
<file path=[Content_Types].xml><?xml version="1.0" encoding="utf-8"?>
<Types xmlns="http://schemas.openxmlformats.org/package/2006/content-types">
  <Default Extension="xml" ContentType="application/xml"/>
  <Default Extension="emf" ContentType="image/x-emf"/>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tabs>
          <w:tab w:val="left" w:pos="8400"/>
        </w:tabs>
        <w:jc w:val="both"/>
        <w:outlineLvl w:val="0"/>
        <w:rPr>
          <w:rFonts w:hint="eastAsia" w:ascii="Times New Roman" w:hAnsi="Times New Roman"/>
          <w:snapToGrid w:val="0"/>
          <w:color w:val="auto"/>
          <w:sz w:val="30"/>
          <w:szCs w:val="30"/>
          <w:lang w:val="en-US" w:eastAsia="zh-CN"/>
        </w:rPr>
        <w:sectPr>
          <w:footerReference r:id="rId5" w:type="default"/>
          <w:pgSz w:w="11906" w:h="16838"/>
          <w:pgMar w:top="1701" w:right="1531" w:bottom="1701" w:left="1531" w:header="851" w:footer="1077" w:gutter="0"/>
          <w:cols w:space="720" w:num="1"/>
          <w:docGrid w:linePitch="312" w:charSpace="0"/>
        </w:sectPr>
      </w:pPr>
      <w:r>
        <w:drawing>
          <wp:inline distT="0" distB="0" distL="114300" distR="114300">
            <wp:extent cx="5608955" cy="8039735"/>
            <wp:effectExtent l="0" t="0" r="4445" b="12065"/>
            <wp:docPr id="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true"/>
                    </pic:cNvPicPr>
                  </pic:nvPicPr>
                  <pic:blipFill>
                    <a:blip r:embed="rId8"/>
                    <a:stretch>
                      <a:fillRect/>
                    </a:stretch>
                  </pic:blipFill>
                  <pic:spPr>
                    <a:xfrm>
                      <a:off x="0" y="0"/>
                      <a:ext cx="5608955" cy="8039735"/>
                    </a:xfrm>
                    <a:prstGeom prst="rect">
                      <a:avLst/>
                    </a:prstGeom>
                    <a:noFill/>
                    <a:ln>
                      <a:noFill/>
                    </a:ln>
                  </pic:spPr>
                </pic:pic>
              </a:graphicData>
            </a:graphic>
          </wp:inline>
        </w:drawing>
      </w:r>
      <w:r>
        <w:drawing>
          <wp:inline distT="0" distB="0" distL="114300" distR="114300">
            <wp:extent cx="5605145" cy="7980680"/>
            <wp:effectExtent l="0" t="0" r="8255" b="7620"/>
            <wp:docPr id="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true"/>
                    </pic:cNvPicPr>
                  </pic:nvPicPr>
                  <pic:blipFill>
                    <a:blip r:embed="rId9"/>
                    <a:stretch>
                      <a:fillRect/>
                    </a:stretch>
                  </pic:blipFill>
                  <pic:spPr>
                    <a:xfrm>
                      <a:off x="0" y="0"/>
                      <a:ext cx="5605145" cy="7980680"/>
                    </a:xfrm>
                    <a:prstGeom prst="rect">
                      <a:avLst/>
                    </a:prstGeom>
                    <a:noFill/>
                    <a:ln>
                      <a:noFill/>
                    </a:ln>
                  </pic:spPr>
                </pic:pic>
              </a:graphicData>
            </a:graphic>
          </wp:inline>
        </w:drawing>
      </w:r>
      <w:r>
        <w:drawing>
          <wp:inline distT="0" distB="0" distL="114300" distR="114300">
            <wp:extent cx="5613400" cy="8376920"/>
            <wp:effectExtent l="0" t="0" r="0" b="5080"/>
            <wp:docPr id="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true"/>
                    </pic:cNvPicPr>
                  </pic:nvPicPr>
                  <pic:blipFill>
                    <a:blip r:embed="rId10"/>
                    <a:stretch>
                      <a:fillRect/>
                    </a:stretch>
                  </pic:blipFill>
                  <pic:spPr>
                    <a:xfrm>
                      <a:off x="0" y="0"/>
                      <a:ext cx="5613400" cy="8376920"/>
                    </a:xfrm>
                    <a:prstGeom prst="rect">
                      <a:avLst/>
                    </a:prstGeom>
                    <a:noFill/>
                    <a:ln>
                      <a:noFill/>
                    </a:ln>
                  </pic:spPr>
                </pic:pic>
              </a:graphicData>
            </a:graphic>
          </wp:inline>
        </w:drawing>
      </w:r>
      <w:r>
        <w:drawing>
          <wp:inline distT="0" distB="0" distL="114300" distR="114300">
            <wp:extent cx="5605780" cy="8028305"/>
            <wp:effectExtent l="0" t="0" r="7620" b="10795"/>
            <wp:docPr id="1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true"/>
                    </pic:cNvPicPr>
                  </pic:nvPicPr>
                  <pic:blipFill>
                    <a:blip r:embed="rId11"/>
                    <a:stretch>
                      <a:fillRect/>
                    </a:stretch>
                  </pic:blipFill>
                  <pic:spPr>
                    <a:xfrm>
                      <a:off x="0" y="0"/>
                      <a:ext cx="5605780" cy="8028305"/>
                    </a:xfrm>
                    <a:prstGeom prst="rect">
                      <a:avLst/>
                    </a:prstGeom>
                    <a:noFill/>
                    <a:ln>
                      <a:noFill/>
                    </a:ln>
                  </pic:spPr>
                </pic:pic>
              </a:graphicData>
            </a:graphic>
          </wp:inline>
        </w:drawing>
      </w:r>
      <w:r>
        <w:drawing>
          <wp:inline distT="0" distB="0" distL="114300" distR="114300">
            <wp:extent cx="5613400" cy="8669020"/>
            <wp:effectExtent l="0" t="0" r="6350" b="17780"/>
            <wp:docPr id="1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true"/>
                    </pic:cNvPicPr>
                  </pic:nvPicPr>
                  <pic:blipFill>
                    <a:blip r:embed="rId12"/>
                    <a:stretch>
                      <a:fillRect/>
                    </a:stretch>
                  </pic:blipFill>
                  <pic:spPr>
                    <a:xfrm>
                      <a:off x="0" y="0"/>
                      <a:ext cx="5613400" cy="8669020"/>
                    </a:xfrm>
                    <a:prstGeom prst="rect">
                      <a:avLst/>
                    </a:prstGeom>
                    <a:noFill/>
                    <a:ln>
                      <a:noFill/>
                    </a:ln>
                  </pic:spPr>
                </pic:pic>
              </a:graphicData>
            </a:graphic>
          </wp:inline>
        </w:drawing>
      </w:r>
    </w:p>
    <w:p>
      <w:pPr>
        <w:pStyle w:val="20"/>
        <w:tabs>
          <w:tab w:val="left" w:pos="8400"/>
        </w:tabs>
        <w:ind w:firstLine="420" w:firstLineChars="0"/>
        <w:jc w:val="center"/>
        <w:outlineLvl w:val="0"/>
        <w:rPr>
          <w:rFonts w:ascii="Times New Roman" w:hAnsi="Times New Roman"/>
          <w:snapToGrid w:val="0"/>
          <w:color w:val="auto"/>
          <w:sz w:val="30"/>
          <w:szCs w:val="30"/>
        </w:rPr>
      </w:pPr>
      <w:r>
        <w:rPr>
          <w:rFonts w:hint="eastAsia" w:ascii="Times New Roman" w:hAnsi="Times New Roman"/>
          <w:snapToGrid w:val="0"/>
          <w:color w:val="auto"/>
          <w:sz w:val="30"/>
          <w:szCs w:val="30"/>
          <w:lang w:val="en-US" w:eastAsia="zh-CN"/>
        </w:rPr>
        <w:t xml:space="preserve"> </w:t>
      </w:r>
      <w:r>
        <w:rPr>
          <w:rFonts w:hint="eastAsia" w:ascii="Times New Roman" w:hAnsi="Times New Roman"/>
          <w:snapToGrid w:val="0"/>
          <w:color w:val="auto"/>
          <w:sz w:val="30"/>
          <w:szCs w:val="30"/>
        </w:rPr>
        <w:t>一、建设项目基本情况</w:t>
      </w:r>
    </w:p>
    <w:tbl>
      <w:tblPr>
        <w:tblStyle w:val="25"/>
        <w:tblW w:w="94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88"/>
        <w:gridCol w:w="2142"/>
        <w:gridCol w:w="2060"/>
        <w:gridCol w:w="40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1188" w:type="dxa"/>
            <w:tcMar>
              <w:top w:w="16" w:type="dxa"/>
              <w:left w:w="16" w:type="dxa"/>
              <w:right w:w="16" w:type="dxa"/>
            </w:tcMar>
            <w:vAlign w:val="center"/>
          </w:tcPr>
          <w:p>
            <w:pPr>
              <w:pStyle w:val="97"/>
              <w:jc w:val="center"/>
              <w:rPr>
                <w:rFonts w:hint="eastAsia"/>
                <w:color w:val="auto"/>
                <w:highlight w:val="none"/>
                <w:lang w:val="en-US" w:eastAsia="zh-CN"/>
              </w:rPr>
            </w:pPr>
            <w:r>
              <w:rPr>
                <w:rFonts w:hint="eastAsia"/>
                <w:color w:val="auto"/>
                <w:highlight w:val="none"/>
                <w:lang w:val="en-US" w:eastAsia="zh-CN"/>
              </w:rPr>
              <w:t>建设项目名称</w:t>
            </w:r>
          </w:p>
        </w:tc>
        <w:tc>
          <w:tcPr>
            <w:tcW w:w="8291" w:type="dxa"/>
            <w:gridSpan w:val="3"/>
            <w:vAlign w:val="center"/>
          </w:tcPr>
          <w:p>
            <w:pPr>
              <w:pStyle w:val="97"/>
              <w:jc w:val="center"/>
              <w:rPr>
                <w:rFonts w:hint="eastAsia"/>
                <w:color w:val="auto"/>
                <w:highlight w:val="none"/>
                <w:lang w:val="en-US" w:eastAsia="zh-CN"/>
              </w:rPr>
            </w:pPr>
            <w:r>
              <w:rPr>
                <w:rFonts w:hint="eastAsia"/>
                <w:color w:val="auto"/>
                <w:highlight w:val="none"/>
                <w:lang w:val="en-US" w:eastAsia="zh-CN"/>
              </w:rPr>
              <w:t>重庆冠华包装科技有限公司塑料包装、塑料膜生产项目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1188" w:type="dxa"/>
            <w:tcMar>
              <w:top w:w="16" w:type="dxa"/>
              <w:left w:w="16" w:type="dxa"/>
              <w:right w:w="16" w:type="dxa"/>
            </w:tcMar>
            <w:vAlign w:val="center"/>
          </w:tcPr>
          <w:p>
            <w:pPr>
              <w:pStyle w:val="97"/>
              <w:jc w:val="center"/>
              <w:rPr>
                <w:rFonts w:hint="eastAsia"/>
                <w:color w:val="auto"/>
                <w:highlight w:val="none"/>
                <w:lang w:val="en-US" w:eastAsia="zh-CN"/>
              </w:rPr>
            </w:pPr>
            <w:r>
              <w:rPr>
                <w:rFonts w:hint="eastAsia"/>
                <w:color w:val="auto"/>
                <w:highlight w:val="none"/>
                <w:lang w:val="en-US" w:eastAsia="zh-CN"/>
              </w:rPr>
              <w:t>项目代码</w:t>
            </w:r>
          </w:p>
        </w:tc>
        <w:tc>
          <w:tcPr>
            <w:tcW w:w="8291" w:type="dxa"/>
            <w:gridSpan w:val="3"/>
            <w:vAlign w:val="center"/>
          </w:tcPr>
          <w:p>
            <w:pPr>
              <w:pStyle w:val="97"/>
              <w:jc w:val="center"/>
              <w:rPr>
                <w:rFonts w:hint="eastAsia"/>
                <w:color w:val="auto"/>
                <w:highlight w:val="none"/>
                <w:lang w:val="en-US" w:eastAsia="zh-CN"/>
              </w:rPr>
            </w:pPr>
            <w:r>
              <w:rPr>
                <w:rFonts w:hint="eastAsia"/>
                <w:color w:val="auto"/>
                <w:highlight w:val="none"/>
                <w:lang w:val="en-US" w:eastAsia="zh-CN"/>
              </w:rPr>
              <w:t>2304-500151-04-05-540621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1188" w:type="dxa"/>
            <w:tcMar>
              <w:top w:w="16" w:type="dxa"/>
              <w:left w:w="16" w:type="dxa"/>
              <w:right w:w="16" w:type="dxa"/>
            </w:tcMar>
            <w:vAlign w:val="center"/>
          </w:tcPr>
          <w:p>
            <w:pPr>
              <w:pStyle w:val="97"/>
              <w:rPr>
                <w:rFonts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建设单位联系人</w:t>
            </w:r>
          </w:p>
        </w:tc>
        <w:tc>
          <w:tcPr>
            <w:tcW w:w="2142" w:type="dxa"/>
            <w:vAlign w:val="center"/>
          </w:tcPr>
          <w:p>
            <w:pPr>
              <w:pStyle w:val="97"/>
              <w:jc w:val="center"/>
              <w:rPr>
                <w:rFonts w:hint="eastAsia" w:ascii="Times New Roman" w:hAnsi="Times New Roman" w:eastAsia="宋体" w:cs="Times New Roman"/>
                <w:snapToGrid w:val="0"/>
                <w:color w:val="auto"/>
                <w:kern w:val="0"/>
                <w:highlight w:val="none"/>
                <w:lang w:eastAsia="zh-CN"/>
              </w:rPr>
            </w:pPr>
            <w:r>
              <w:rPr>
                <w:rFonts w:hint="eastAsia" w:cs="Times New Roman"/>
                <w:snapToGrid w:val="0"/>
                <w:color w:val="auto"/>
                <w:kern w:val="0"/>
                <w:highlight w:val="none"/>
                <w:lang w:eastAsia="zh-CN"/>
              </w:rPr>
              <w:t>林子停</w:t>
            </w:r>
          </w:p>
        </w:tc>
        <w:tc>
          <w:tcPr>
            <w:tcW w:w="2060" w:type="dxa"/>
            <w:vAlign w:val="center"/>
          </w:tcPr>
          <w:p>
            <w:pPr>
              <w:pStyle w:val="97"/>
              <w:jc w:val="center"/>
              <w:rPr>
                <w:rFonts w:hint="eastAsia" w:ascii="Times New Roman" w:hAnsi="Times New Roman" w:eastAsia="宋体" w:cs="Times New Roman"/>
                <w:snapToGrid w:val="0"/>
                <w:color w:val="auto"/>
                <w:kern w:val="0"/>
                <w:highlight w:val="none"/>
              </w:rPr>
            </w:pPr>
            <w:r>
              <w:rPr>
                <w:rFonts w:hint="eastAsia" w:ascii="Times New Roman" w:hAnsi="Times New Roman" w:eastAsia="宋体" w:cs="Times New Roman"/>
                <w:snapToGrid w:val="0"/>
                <w:color w:val="auto"/>
                <w:kern w:val="0"/>
                <w:highlight w:val="none"/>
              </w:rPr>
              <w:t>联系方式</w:t>
            </w:r>
          </w:p>
        </w:tc>
        <w:tc>
          <w:tcPr>
            <w:tcW w:w="4089" w:type="dxa"/>
            <w:vAlign w:val="center"/>
          </w:tcPr>
          <w:p>
            <w:pPr>
              <w:pStyle w:val="97"/>
              <w:jc w:val="center"/>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135</w:t>
            </w:r>
            <w:r>
              <w:rPr>
                <w:rFonts w:hint="eastAsia" w:cs="Times New Roman"/>
                <w:snapToGrid w:val="0"/>
                <w:color w:val="auto"/>
                <w:kern w:val="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1188" w:type="dxa"/>
            <w:tcMar>
              <w:top w:w="16" w:type="dxa"/>
              <w:left w:w="16" w:type="dxa"/>
              <w:right w:w="16" w:type="dxa"/>
            </w:tcMar>
            <w:vAlign w:val="center"/>
          </w:tcPr>
          <w:p>
            <w:pPr>
              <w:pStyle w:val="97"/>
              <w:rPr>
                <w:rFonts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建设地点</w:t>
            </w:r>
          </w:p>
        </w:tc>
        <w:tc>
          <w:tcPr>
            <w:tcW w:w="8291" w:type="dxa"/>
            <w:gridSpan w:val="3"/>
            <w:vAlign w:val="center"/>
          </w:tcPr>
          <w:p>
            <w:pPr>
              <w:adjustRightInd w:val="0"/>
              <w:snapToGrid w:val="0"/>
              <w:jc w:val="center"/>
              <w:rPr>
                <w:rFonts w:hint="default" w:cs="宋体"/>
                <w:color w:val="auto"/>
                <w:highlight w:val="none"/>
                <w:lang w:val="en-US"/>
              </w:rPr>
            </w:pPr>
            <w:r>
              <w:rPr>
                <w:rFonts w:hint="eastAsia" w:cs="宋体"/>
                <w:color w:val="auto"/>
                <w:highlight w:val="none"/>
                <w:u w:val="single"/>
              </w:rPr>
              <w:t>重庆</w:t>
            </w:r>
            <w:r>
              <w:rPr>
                <w:rFonts w:cs="宋体"/>
                <w:color w:val="auto"/>
                <w:highlight w:val="none"/>
                <w:u w:val="single"/>
              </w:rPr>
              <w:t xml:space="preserve"> </w:t>
            </w:r>
            <w:r>
              <w:rPr>
                <w:rFonts w:hint="eastAsia" w:cs="宋体"/>
                <w:color w:val="auto"/>
                <w:highlight w:val="none"/>
              </w:rPr>
              <w:t>市</w:t>
            </w:r>
            <w:r>
              <w:rPr>
                <w:rFonts w:cs="宋体"/>
                <w:color w:val="auto"/>
                <w:highlight w:val="none"/>
                <w:u w:val="single"/>
              </w:rPr>
              <w:t xml:space="preserve">  </w:t>
            </w:r>
            <w:r>
              <w:rPr>
                <w:rFonts w:hint="eastAsia" w:cs="宋体"/>
                <w:color w:val="auto"/>
                <w:highlight w:val="none"/>
                <w:u w:val="single"/>
                <w:lang w:eastAsia="zh-CN"/>
              </w:rPr>
              <w:t>铜梁</w:t>
            </w:r>
            <w:r>
              <w:rPr>
                <w:rFonts w:cs="宋体"/>
                <w:color w:val="auto"/>
                <w:highlight w:val="none"/>
                <w:u w:val="single"/>
              </w:rPr>
              <w:t xml:space="preserve"> </w:t>
            </w:r>
            <w:r>
              <w:rPr>
                <w:rFonts w:hint="eastAsia" w:cs="宋体"/>
                <w:color w:val="auto"/>
                <w:highlight w:val="none"/>
              </w:rPr>
              <w:t>区</w:t>
            </w:r>
            <w:r>
              <w:rPr>
                <w:rFonts w:cs="宋体"/>
                <w:color w:val="auto"/>
                <w:highlight w:val="none"/>
                <w:u w:val="single"/>
              </w:rPr>
              <w:t xml:space="preserve"> </w:t>
            </w:r>
            <w:r>
              <w:rPr>
                <w:rFonts w:hint="eastAsia" w:cs="宋体"/>
                <w:color w:val="auto"/>
                <w:highlight w:val="none"/>
                <w:u w:val="single"/>
                <w:lang w:val="en-US" w:eastAsia="zh-CN"/>
              </w:rPr>
              <w:t xml:space="preserve"> </w:t>
            </w:r>
            <w:r>
              <w:rPr>
                <w:rFonts w:hint="eastAsia" w:cs="宋体"/>
                <w:color w:val="auto"/>
                <w:highlight w:val="none"/>
                <w:u w:val="single"/>
                <w:lang w:eastAsia="zh-CN"/>
              </w:rPr>
              <w:t>铜合大道</w:t>
            </w:r>
            <w:r>
              <w:rPr>
                <w:rFonts w:hint="eastAsia" w:cs="宋体"/>
                <w:color w:val="auto"/>
                <w:highlight w:val="none"/>
                <w:u w:val="single"/>
                <w:lang w:val="en-US" w:eastAsia="zh-CN"/>
              </w:rPr>
              <w:t xml:space="preserve">523号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1188" w:type="dxa"/>
            <w:tcMar>
              <w:top w:w="16" w:type="dxa"/>
              <w:left w:w="16" w:type="dxa"/>
              <w:right w:w="16" w:type="dxa"/>
            </w:tcMar>
            <w:vAlign w:val="center"/>
          </w:tcPr>
          <w:p>
            <w:pPr>
              <w:pStyle w:val="97"/>
              <w:rPr>
                <w:rFonts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地理坐标</w:t>
            </w:r>
          </w:p>
        </w:tc>
        <w:tc>
          <w:tcPr>
            <w:tcW w:w="8291" w:type="dxa"/>
            <w:gridSpan w:val="3"/>
            <w:vAlign w:val="center"/>
          </w:tcPr>
          <w:p>
            <w:pPr>
              <w:jc w:val="center"/>
              <w:rPr>
                <w:rFonts w:cs="宋体"/>
                <w:color w:val="auto"/>
                <w:highlight w:val="none"/>
              </w:rPr>
            </w:pPr>
            <w:r>
              <w:rPr>
                <w:rFonts w:hint="eastAsia" w:cs="宋体"/>
                <w:color w:val="auto"/>
                <w:highlight w:val="none"/>
              </w:rPr>
              <w:t>(</w:t>
            </w:r>
            <w:r>
              <w:rPr>
                <w:rFonts w:cs="宋体"/>
                <w:color w:val="auto"/>
                <w:highlight w:val="none"/>
                <w:u w:val="single"/>
              </w:rPr>
              <w:t xml:space="preserve">  </w:t>
            </w:r>
            <w:r>
              <w:rPr>
                <w:rFonts w:hint="eastAsia" w:cs="宋体"/>
                <w:color w:val="auto"/>
                <w:highlight w:val="none"/>
                <w:u w:val="single"/>
              </w:rPr>
              <w:t>106</w:t>
            </w:r>
            <w:r>
              <w:rPr>
                <w:rFonts w:cs="宋体"/>
                <w:color w:val="auto"/>
                <w:highlight w:val="none"/>
                <w:u w:val="single"/>
              </w:rPr>
              <w:t xml:space="preserve">  </w:t>
            </w:r>
            <w:r>
              <w:rPr>
                <w:rFonts w:hint="eastAsia" w:cs="宋体"/>
                <w:color w:val="auto"/>
                <w:highlight w:val="none"/>
              </w:rPr>
              <w:t>度</w:t>
            </w:r>
            <w:r>
              <w:rPr>
                <w:rFonts w:cs="宋体"/>
                <w:color w:val="auto"/>
                <w:highlight w:val="none"/>
                <w:u w:val="single"/>
              </w:rPr>
              <w:t xml:space="preserve"> </w:t>
            </w:r>
            <w:r>
              <w:rPr>
                <w:rFonts w:hint="eastAsia" w:cs="宋体"/>
                <w:color w:val="auto"/>
                <w:highlight w:val="none"/>
                <w:u w:val="single"/>
                <w:lang w:val="en-US" w:eastAsia="zh-CN"/>
              </w:rPr>
              <w:t xml:space="preserve"> 06</w:t>
            </w:r>
            <w:r>
              <w:rPr>
                <w:rFonts w:cs="宋体"/>
                <w:color w:val="auto"/>
                <w:highlight w:val="none"/>
                <w:u w:val="single"/>
              </w:rPr>
              <w:t xml:space="preserve"> </w:t>
            </w:r>
            <w:r>
              <w:rPr>
                <w:rFonts w:hint="eastAsia" w:cs="宋体"/>
                <w:color w:val="auto"/>
                <w:highlight w:val="none"/>
                <w:u w:val="single"/>
                <w:lang w:val="en-US" w:eastAsia="zh-CN"/>
              </w:rPr>
              <w:t xml:space="preserve"> </w:t>
            </w:r>
            <w:r>
              <w:rPr>
                <w:rFonts w:hint="eastAsia" w:cs="宋体"/>
                <w:color w:val="auto"/>
                <w:highlight w:val="none"/>
              </w:rPr>
              <w:t>分</w:t>
            </w:r>
            <w:r>
              <w:rPr>
                <w:rFonts w:cs="宋体"/>
                <w:color w:val="auto"/>
                <w:highlight w:val="none"/>
                <w:u w:val="single"/>
              </w:rPr>
              <w:t xml:space="preserve">  </w:t>
            </w:r>
            <w:r>
              <w:rPr>
                <w:rFonts w:hint="eastAsia" w:cs="宋体"/>
                <w:color w:val="auto"/>
                <w:highlight w:val="none"/>
                <w:u w:val="single"/>
                <w:lang w:val="en-US" w:eastAsia="zh-CN"/>
              </w:rPr>
              <w:t>32.580</w:t>
            </w:r>
            <w:r>
              <w:rPr>
                <w:rFonts w:cs="宋体"/>
                <w:color w:val="auto"/>
                <w:highlight w:val="none"/>
                <w:u w:val="single"/>
              </w:rPr>
              <w:t xml:space="preserve"> </w:t>
            </w:r>
            <w:r>
              <w:rPr>
                <w:rFonts w:hint="eastAsia" w:cs="宋体"/>
                <w:color w:val="auto"/>
                <w:highlight w:val="none"/>
              </w:rPr>
              <w:t>秒，</w:t>
            </w:r>
            <w:r>
              <w:rPr>
                <w:rFonts w:cs="宋体"/>
                <w:color w:val="auto"/>
                <w:highlight w:val="none"/>
                <w:u w:val="single"/>
              </w:rPr>
              <w:t xml:space="preserve"> </w:t>
            </w:r>
            <w:r>
              <w:rPr>
                <w:rFonts w:hint="eastAsia" w:cs="宋体"/>
                <w:color w:val="auto"/>
                <w:highlight w:val="none"/>
                <w:u w:val="single"/>
              </w:rPr>
              <w:t>29</w:t>
            </w:r>
            <w:r>
              <w:rPr>
                <w:rFonts w:cs="宋体"/>
                <w:color w:val="auto"/>
                <w:highlight w:val="none"/>
                <w:u w:val="single"/>
              </w:rPr>
              <w:t xml:space="preserve"> </w:t>
            </w:r>
            <w:r>
              <w:rPr>
                <w:rFonts w:hint="eastAsia" w:cs="宋体"/>
                <w:color w:val="auto"/>
                <w:highlight w:val="none"/>
              </w:rPr>
              <w:t>度</w:t>
            </w:r>
            <w:r>
              <w:rPr>
                <w:rFonts w:cs="宋体"/>
                <w:color w:val="auto"/>
                <w:highlight w:val="none"/>
                <w:u w:val="single"/>
              </w:rPr>
              <w:t xml:space="preserve">  </w:t>
            </w:r>
            <w:r>
              <w:rPr>
                <w:rFonts w:hint="eastAsia" w:cs="宋体"/>
                <w:color w:val="auto"/>
                <w:highlight w:val="none"/>
                <w:u w:val="single"/>
                <w:lang w:val="en-US" w:eastAsia="zh-CN"/>
              </w:rPr>
              <w:t>51</w:t>
            </w:r>
            <w:r>
              <w:rPr>
                <w:rFonts w:cs="宋体"/>
                <w:color w:val="auto"/>
                <w:highlight w:val="none"/>
                <w:u w:val="single"/>
              </w:rPr>
              <w:t xml:space="preserve">  </w:t>
            </w:r>
            <w:r>
              <w:rPr>
                <w:rFonts w:hint="eastAsia" w:cs="宋体"/>
                <w:color w:val="auto"/>
                <w:highlight w:val="none"/>
              </w:rPr>
              <w:t>分</w:t>
            </w:r>
            <w:r>
              <w:rPr>
                <w:rFonts w:cs="宋体"/>
                <w:color w:val="auto"/>
                <w:highlight w:val="none"/>
                <w:u w:val="single"/>
              </w:rPr>
              <w:t xml:space="preserve">  </w:t>
            </w:r>
            <w:r>
              <w:rPr>
                <w:rFonts w:hint="eastAsia" w:cs="宋体"/>
                <w:color w:val="auto"/>
                <w:highlight w:val="none"/>
                <w:u w:val="single"/>
                <w:lang w:val="en-US" w:eastAsia="zh-CN"/>
              </w:rPr>
              <w:t>27.570</w:t>
            </w:r>
            <w:r>
              <w:rPr>
                <w:rFonts w:cs="宋体"/>
                <w:color w:val="auto"/>
                <w:highlight w:val="none"/>
                <w:u w:val="single"/>
              </w:rPr>
              <w:t xml:space="preserve"> </w:t>
            </w:r>
            <w:r>
              <w:rPr>
                <w:rFonts w:hint="eastAsia" w:cs="宋体"/>
                <w:color w:val="auto"/>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8" w:type="dxa"/>
            <w:tcMar>
              <w:top w:w="16" w:type="dxa"/>
              <w:left w:w="16" w:type="dxa"/>
              <w:right w:w="16" w:type="dxa"/>
            </w:tcMar>
            <w:vAlign w:val="center"/>
          </w:tcPr>
          <w:p>
            <w:pPr>
              <w:pStyle w:val="97"/>
              <w:rPr>
                <w:rFonts w:hint="eastAsia"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国民经济</w:t>
            </w:r>
          </w:p>
          <w:p>
            <w:pPr>
              <w:pStyle w:val="97"/>
              <w:rPr>
                <w:rFonts w:hint="eastAsia"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行业类别</w:t>
            </w:r>
          </w:p>
        </w:tc>
        <w:tc>
          <w:tcPr>
            <w:tcW w:w="2142" w:type="dxa"/>
            <w:vAlign w:val="center"/>
          </w:tcPr>
          <w:p>
            <w:pPr>
              <w:pStyle w:val="97"/>
              <w:jc w:val="center"/>
              <w:rPr>
                <w:rFonts w:hint="default" w:ascii="Times New Roman" w:hAnsi="Times New Roman" w:eastAsia="宋体" w:cs="Times New Roman"/>
                <w:snapToGrid w:val="0"/>
                <w:color w:val="auto"/>
                <w:kern w:val="0"/>
                <w:lang w:val="en-US" w:eastAsia="zh-CN"/>
              </w:rPr>
            </w:pPr>
            <w:r>
              <w:rPr>
                <w:rFonts w:hint="eastAsia"/>
                <w:color w:val="auto"/>
                <w:highlight w:val="none"/>
                <w:lang w:val="en-US" w:eastAsia="zh-CN"/>
              </w:rPr>
              <w:t>C2921塑料薄膜制造、C2923塑料丝、绳及编织品制造、</w:t>
            </w:r>
            <w:r>
              <w:rPr>
                <w:rFonts w:hint="eastAsia"/>
                <w:color w:val="auto"/>
                <w:highlight w:val="none"/>
              </w:rPr>
              <w:t>C</w:t>
            </w:r>
            <w:r>
              <w:rPr>
                <w:rFonts w:hint="eastAsia"/>
                <w:color w:val="auto"/>
                <w:highlight w:val="none"/>
                <w:lang w:val="en-US" w:eastAsia="zh-CN"/>
              </w:rPr>
              <w:t>2929塑料零件及其他塑料制品制造</w:t>
            </w:r>
          </w:p>
        </w:tc>
        <w:tc>
          <w:tcPr>
            <w:tcW w:w="2060" w:type="dxa"/>
            <w:vAlign w:val="center"/>
          </w:tcPr>
          <w:p>
            <w:pPr>
              <w:pStyle w:val="97"/>
              <w:jc w:val="center"/>
              <w:rPr>
                <w:rFonts w:hint="eastAsia" w:ascii="Times New Roman" w:hAnsi="Times New Roman" w:eastAsia="宋体" w:cs="Times New Roman"/>
                <w:snapToGrid w:val="0"/>
                <w:color w:val="auto"/>
                <w:kern w:val="0"/>
              </w:rPr>
            </w:pPr>
            <w:bookmarkStart w:id="0" w:name="_Hlk49843745"/>
            <w:r>
              <w:rPr>
                <w:rFonts w:hint="eastAsia" w:ascii="Times New Roman" w:hAnsi="Times New Roman" w:eastAsia="宋体" w:cs="Times New Roman"/>
                <w:snapToGrid w:val="0"/>
                <w:color w:val="auto"/>
                <w:kern w:val="0"/>
              </w:rPr>
              <w:t>建设项目</w:t>
            </w:r>
          </w:p>
          <w:p>
            <w:pPr>
              <w:pStyle w:val="97"/>
              <w:jc w:val="center"/>
              <w:rPr>
                <w:rFonts w:hint="eastAsia"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行业类别</w:t>
            </w:r>
            <w:bookmarkEnd w:id="0"/>
          </w:p>
        </w:tc>
        <w:tc>
          <w:tcPr>
            <w:tcW w:w="4089" w:type="dxa"/>
            <w:vAlign w:val="center"/>
          </w:tcPr>
          <w:p>
            <w:pPr>
              <w:pStyle w:val="97"/>
              <w:tabs>
                <w:tab w:val="left" w:pos="1440"/>
              </w:tabs>
              <w:jc w:val="center"/>
              <w:rPr>
                <w:rFonts w:hint="default" w:ascii="Times New Roman" w:hAnsi="Times New Roman" w:eastAsia="宋体" w:cs="Times New Roman"/>
                <w:snapToGrid w:val="0"/>
                <w:color w:val="auto"/>
                <w:kern w:val="0"/>
                <w:lang w:val="en-US" w:eastAsia="zh-CN"/>
              </w:rPr>
            </w:pPr>
            <w:r>
              <w:rPr>
                <w:rFonts w:hint="eastAsia"/>
                <w:color w:val="auto"/>
                <w:highlight w:val="none"/>
                <w:lang w:val="en-US" w:eastAsia="zh-CN"/>
              </w:rPr>
              <w:t xml:space="preserve"> 53</w:t>
            </w:r>
            <w:r>
              <w:rPr>
                <w:rFonts w:hint="eastAsia"/>
                <w:color w:val="auto"/>
                <w:highlight w:val="none"/>
              </w:rPr>
              <w:t>、</w:t>
            </w:r>
            <w:r>
              <w:rPr>
                <w:rFonts w:hint="eastAsia"/>
                <w:color w:val="auto"/>
                <w:highlight w:val="none"/>
                <w:lang w:eastAsia="zh-CN"/>
              </w:rPr>
              <w:t>塑料制品业</w:t>
            </w:r>
            <w:r>
              <w:rPr>
                <w:rFonts w:hint="eastAsia"/>
                <w:color w:val="auto"/>
                <w:highlight w:val="none"/>
                <w:lang w:val="en-US" w:eastAsia="zh-CN"/>
              </w:rPr>
              <w:t>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20" w:hRule="atLeast"/>
          <w:jc w:val="center"/>
        </w:trPr>
        <w:tc>
          <w:tcPr>
            <w:tcW w:w="1188" w:type="dxa"/>
            <w:tcMar>
              <w:top w:w="16" w:type="dxa"/>
              <w:left w:w="16" w:type="dxa"/>
              <w:right w:w="16" w:type="dxa"/>
            </w:tcMar>
            <w:vAlign w:val="center"/>
          </w:tcPr>
          <w:p>
            <w:pPr>
              <w:pStyle w:val="97"/>
              <w:rPr>
                <w:rFonts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建设性质</w:t>
            </w:r>
          </w:p>
        </w:tc>
        <w:tc>
          <w:tcPr>
            <w:tcW w:w="2142" w:type="dxa"/>
            <w:vAlign w:val="center"/>
          </w:tcPr>
          <w:p>
            <w:pPr>
              <w:jc w:val="left"/>
              <w:rPr>
                <w:rFonts w:cs="宋体"/>
                <w:color w:val="auto"/>
                <w:highlight w:val="none"/>
              </w:rPr>
            </w:pPr>
            <w:r>
              <w:rPr>
                <w:rFonts w:hint="eastAsia" w:cs="宋体"/>
                <w:color w:val="auto"/>
                <w:highlight w:val="none"/>
              </w:rPr>
              <w:sym w:font="Wingdings 2" w:char="0052"/>
            </w:r>
            <w:r>
              <w:rPr>
                <w:rFonts w:hint="eastAsia" w:cs="宋体"/>
                <w:color w:val="auto"/>
                <w:highlight w:val="none"/>
              </w:rPr>
              <w:t>新建（迁建）</w:t>
            </w:r>
          </w:p>
          <w:p>
            <w:pPr>
              <w:jc w:val="left"/>
              <w:rPr>
                <w:rFonts w:cs="宋体"/>
                <w:color w:val="auto"/>
                <w:highlight w:val="none"/>
              </w:rPr>
            </w:pPr>
            <w:r>
              <w:rPr>
                <w:rFonts w:hint="eastAsia" w:cs="宋体"/>
                <w:color w:val="auto"/>
                <w:highlight w:val="none"/>
              </w:rPr>
              <w:sym w:font="Wingdings 2" w:char="00A3"/>
            </w:r>
            <w:r>
              <w:rPr>
                <w:rFonts w:hint="eastAsia" w:cs="宋体"/>
                <w:color w:val="auto"/>
                <w:highlight w:val="none"/>
              </w:rPr>
              <w:t>改建</w:t>
            </w:r>
          </w:p>
          <w:p>
            <w:pPr>
              <w:jc w:val="left"/>
              <w:rPr>
                <w:rFonts w:cs="宋体"/>
                <w:color w:val="auto"/>
                <w:highlight w:val="none"/>
              </w:rPr>
            </w:pPr>
            <w:r>
              <w:rPr>
                <w:rFonts w:hint="eastAsia" w:cs="宋体"/>
                <w:color w:val="auto"/>
                <w:highlight w:val="none"/>
              </w:rPr>
              <w:sym w:font="Wingdings 2" w:char="00A3"/>
            </w:r>
            <w:r>
              <w:rPr>
                <w:rFonts w:hint="eastAsia" w:cs="宋体"/>
                <w:color w:val="auto"/>
                <w:highlight w:val="none"/>
              </w:rPr>
              <w:t>扩建</w:t>
            </w:r>
          </w:p>
          <w:p>
            <w:pPr>
              <w:jc w:val="left"/>
              <w:rPr>
                <w:rFonts w:cs="宋体"/>
                <w:color w:val="auto"/>
                <w:highlight w:val="none"/>
              </w:rPr>
            </w:pPr>
            <w:r>
              <w:rPr>
                <w:rFonts w:hint="eastAsia" w:cs="宋体"/>
                <w:color w:val="auto"/>
                <w:highlight w:val="none"/>
              </w:rPr>
              <w:sym w:font="Wingdings 2" w:char="00A3"/>
            </w:r>
            <w:r>
              <w:rPr>
                <w:rFonts w:hint="eastAsia" w:cs="宋体"/>
                <w:color w:val="auto"/>
                <w:highlight w:val="none"/>
              </w:rPr>
              <w:t>技术改造</w:t>
            </w:r>
          </w:p>
        </w:tc>
        <w:tc>
          <w:tcPr>
            <w:tcW w:w="2060" w:type="dxa"/>
            <w:vAlign w:val="center"/>
          </w:tcPr>
          <w:p>
            <w:pPr>
              <w:adjustRightInd w:val="0"/>
              <w:snapToGrid w:val="0"/>
              <w:jc w:val="center"/>
              <w:rPr>
                <w:rFonts w:cs="宋体"/>
                <w:color w:val="auto"/>
                <w:highlight w:val="none"/>
              </w:rPr>
            </w:pPr>
            <w:r>
              <w:rPr>
                <w:rFonts w:hint="eastAsia" w:cs="宋体"/>
                <w:color w:val="auto"/>
                <w:highlight w:val="none"/>
              </w:rPr>
              <w:t>建设项目</w:t>
            </w:r>
          </w:p>
          <w:p>
            <w:pPr>
              <w:adjustRightInd w:val="0"/>
              <w:snapToGrid w:val="0"/>
              <w:jc w:val="center"/>
              <w:rPr>
                <w:rFonts w:cs="宋体"/>
                <w:color w:val="auto"/>
                <w:highlight w:val="none"/>
              </w:rPr>
            </w:pPr>
            <w:r>
              <w:rPr>
                <w:rFonts w:hint="eastAsia" w:cs="宋体"/>
                <w:color w:val="auto"/>
                <w:highlight w:val="none"/>
              </w:rPr>
              <w:t>申报情形</w:t>
            </w:r>
          </w:p>
        </w:tc>
        <w:tc>
          <w:tcPr>
            <w:tcW w:w="4089" w:type="dxa"/>
            <w:vAlign w:val="center"/>
          </w:tcPr>
          <w:p>
            <w:pPr>
              <w:jc w:val="left"/>
              <w:rPr>
                <w:rFonts w:cs="宋体"/>
                <w:color w:val="auto"/>
                <w:highlight w:val="none"/>
              </w:rPr>
            </w:pPr>
            <w:r>
              <w:rPr>
                <w:rFonts w:hint="eastAsia" w:cs="宋体"/>
                <w:color w:val="auto"/>
                <w:highlight w:val="none"/>
              </w:rPr>
              <w:sym w:font="Wingdings 2" w:char="0052"/>
            </w:r>
            <w:r>
              <w:rPr>
                <w:rFonts w:hint="eastAsia" w:cs="宋体"/>
                <w:color w:val="auto"/>
                <w:highlight w:val="none"/>
              </w:rPr>
              <w:t>首次申报项目</w:t>
            </w:r>
            <w:r>
              <w:rPr>
                <w:rFonts w:cs="宋体"/>
                <w:color w:val="auto"/>
                <w:highlight w:val="none"/>
              </w:rPr>
              <w:t xml:space="preserve">             </w:t>
            </w:r>
          </w:p>
          <w:p>
            <w:pPr>
              <w:jc w:val="left"/>
              <w:rPr>
                <w:rFonts w:cs="宋体"/>
                <w:color w:val="auto"/>
                <w:highlight w:val="none"/>
              </w:rPr>
            </w:pPr>
            <w:r>
              <w:rPr>
                <w:rFonts w:hint="eastAsia" w:cs="宋体"/>
                <w:color w:val="auto"/>
                <w:highlight w:val="none"/>
              </w:rPr>
              <w:sym w:font="Wingdings 2" w:char="00A3"/>
            </w:r>
            <w:r>
              <w:rPr>
                <w:rFonts w:hint="eastAsia" w:cs="宋体"/>
                <w:color w:val="auto"/>
                <w:highlight w:val="none"/>
              </w:rPr>
              <w:t>不予批准后再次申报项目</w:t>
            </w:r>
          </w:p>
          <w:p>
            <w:pPr>
              <w:jc w:val="left"/>
              <w:rPr>
                <w:rFonts w:cs="宋体"/>
                <w:color w:val="auto"/>
                <w:highlight w:val="none"/>
              </w:rPr>
            </w:pPr>
            <w:r>
              <w:rPr>
                <w:rFonts w:hint="eastAsia" w:cs="宋体"/>
                <w:color w:val="auto"/>
                <w:highlight w:val="none"/>
              </w:rPr>
              <w:sym w:font="Wingdings 2" w:char="00A3"/>
            </w:r>
            <w:r>
              <w:rPr>
                <w:rFonts w:hint="eastAsia" w:cs="宋体"/>
                <w:color w:val="auto"/>
                <w:highlight w:val="none"/>
              </w:rPr>
              <w:t>超五年重新审核项目</w:t>
            </w:r>
            <w:r>
              <w:rPr>
                <w:rFonts w:cs="宋体"/>
                <w:color w:val="auto"/>
                <w:highlight w:val="none"/>
              </w:rPr>
              <w:t xml:space="preserve">     </w:t>
            </w:r>
          </w:p>
          <w:p>
            <w:pPr>
              <w:jc w:val="left"/>
              <w:rPr>
                <w:rFonts w:cs="宋体"/>
                <w:color w:val="auto"/>
                <w:highlight w:val="none"/>
              </w:rPr>
            </w:pPr>
            <w:r>
              <w:rPr>
                <w:rFonts w:hint="eastAsia" w:cs="宋体"/>
                <w:color w:val="auto"/>
                <w:highlight w:val="none"/>
              </w:rPr>
              <w:sym w:font="Wingdings 2" w:char="00A3"/>
            </w:r>
            <w:r>
              <w:rPr>
                <w:rFonts w:hint="eastAsia" w:cs="宋体"/>
                <w:color w:val="auto"/>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1188" w:type="dxa"/>
            <w:tcMar>
              <w:top w:w="16" w:type="dxa"/>
              <w:left w:w="16" w:type="dxa"/>
              <w:right w:w="16" w:type="dxa"/>
            </w:tcMar>
            <w:vAlign w:val="center"/>
          </w:tcPr>
          <w:p>
            <w:pPr>
              <w:adjustRightInd w:val="0"/>
              <w:snapToGrid w:val="0"/>
              <w:jc w:val="center"/>
              <w:rPr>
                <w:rFonts w:cs="宋体"/>
                <w:color w:val="auto"/>
              </w:rPr>
            </w:pPr>
            <w:r>
              <w:rPr>
                <w:rFonts w:hint="eastAsia" w:cs="宋体"/>
                <w:color w:val="auto"/>
              </w:rPr>
              <w:t>项目审批（核准</w:t>
            </w:r>
            <w:r>
              <w:rPr>
                <w:rFonts w:cs="宋体"/>
                <w:color w:val="auto"/>
              </w:rPr>
              <w:t>/</w:t>
            </w:r>
          </w:p>
          <w:p>
            <w:pPr>
              <w:adjustRightInd w:val="0"/>
              <w:snapToGrid w:val="0"/>
              <w:jc w:val="center"/>
              <w:rPr>
                <w:rFonts w:cs="宋体"/>
                <w:color w:val="auto"/>
              </w:rPr>
            </w:pPr>
            <w:r>
              <w:rPr>
                <w:rFonts w:hint="eastAsia" w:cs="宋体"/>
                <w:color w:val="auto"/>
              </w:rPr>
              <w:t>备案）部门（选填）</w:t>
            </w:r>
          </w:p>
        </w:tc>
        <w:tc>
          <w:tcPr>
            <w:tcW w:w="2142" w:type="dxa"/>
            <w:vAlign w:val="center"/>
          </w:tcPr>
          <w:p>
            <w:pPr>
              <w:adjustRightInd w:val="0"/>
              <w:snapToGrid w:val="0"/>
              <w:jc w:val="center"/>
              <w:rPr>
                <w:rFonts w:cs="宋体"/>
                <w:color w:val="auto"/>
                <w:highlight w:val="none"/>
              </w:rPr>
            </w:pPr>
            <w:r>
              <w:rPr>
                <w:rFonts w:cs="宋体"/>
                <w:color w:val="auto"/>
                <w:highlight w:val="none"/>
              </w:rPr>
              <w:t>重庆市</w:t>
            </w:r>
            <w:r>
              <w:rPr>
                <w:rFonts w:hint="eastAsia" w:cs="宋体"/>
                <w:color w:val="auto"/>
                <w:highlight w:val="none"/>
                <w:lang w:eastAsia="zh-CN"/>
              </w:rPr>
              <w:t>铜梁</w:t>
            </w:r>
            <w:r>
              <w:rPr>
                <w:rFonts w:hint="eastAsia" w:cs="宋体"/>
                <w:color w:val="auto"/>
                <w:highlight w:val="none"/>
              </w:rPr>
              <w:t>区</w:t>
            </w:r>
            <w:r>
              <w:rPr>
                <w:rFonts w:cs="宋体"/>
                <w:color w:val="auto"/>
                <w:highlight w:val="none"/>
              </w:rPr>
              <w:t>发展和改革委员会</w:t>
            </w:r>
          </w:p>
        </w:tc>
        <w:tc>
          <w:tcPr>
            <w:tcW w:w="2060" w:type="dxa"/>
            <w:vAlign w:val="center"/>
          </w:tcPr>
          <w:p>
            <w:pPr>
              <w:adjustRightInd w:val="0"/>
              <w:snapToGrid w:val="0"/>
              <w:jc w:val="center"/>
              <w:rPr>
                <w:rFonts w:cs="宋体"/>
                <w:color w:val="auto"/>
                <w:highlight w:val="none"/>
              </w:rPr>
            </w:pPr>
            <w:r>
              <w:rPr>
                <w:rFonts w:hint="eastAsia" w:cs="宋体"/>
                <w:color w:val="auto"/>
                <w:highlight w:val="none"/>
              </w:rPr>
              <w:t>项目审批（核准</w:t>
            </w:r>
            <w:r>
              <w:rPr>
                <w:rFonts w:cs="宋体"/>
                <w:color w:val="auto"/>
                <w:highlight w:val="none"/>
              </w:rPr>
              <w:t>/</w:t>
            </w:r>
          </w:p>
          <w:p>
            <w:pPr>
              <w:adjustRightInd w:val="0"/>
              <w:snapToGrid w:val="0"/>
              <w:jc w:val="center"/>
              <w:rPr>
                <w:rFonts w:cs="宋体"/>
                <w:color w:val="auto"/>
                <w:highlight w:val="none"/>
              </w:rPr>
            </w:pPr>
            <w:r>
              <w:rPr>
                <w:rFonts w:hint="eastAsia" w:cs="宋体"/>
                <w:color w:val="auto"/>
                <w:highlight w:val="none"/>
              </w:rPr>
              <w:t>备案）文号（选填）</w:t>
            </w:r>
          </w:p>
        </w:tc>
        <w:tc>
          <w:tcPr>
            <w:tcW w:w="4089" w:type="dxa"/>
            <w:vAlign w:val="center"/>
          </w:tcPr>
          <w:p>
            <w:pPr>
              <w:adjustRightInd w:val="0"/>
              <w:snapToGrid w:val="0"/>
              <w:jc w:val="center"/>
              <w:rPr>
                <w:rFonts w:cs="宋体"/>
                <w:color w:val="auto"/>
                <w:highlight w:val="none"/>
              </w:rPr>
            </w:pPr>
            <w:r>
              <w:rPr>
                <w:rFonts w:hint="eastAsia"/>
                <w:color w:val="auto"/>
                <w:highlight w:val="none"/>
                <w:lang w:val="en-US" w:eastAsia="zh-CN"/>
              </w:rPr>
              <w:t>2304-500151-04-05-540621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8" w:type="dxa"/>
            <w:tcMar>
              <w:top w:w="16" w:type="dxa"/>
              <w:left w:w="16" w:type="dxa"/>
              <w:right w:w="16" w:type="dxa"/>
            </w:tcMar>
            <w:vAlign w:val="center"/>
          </w:tcPr>
          <w:p>
            <w:pPr>
              <w:adjustRightInd w:val="0"/>
              <w:snapToGrid w:val="0"/>
              <w:jc w:val="center"/>
              <w:rPr>
                <w:rFonts w:cs="宋体"/>
                <w:color w:val="auto"/>
              </w:rPr>
            </w:pPr>
            <w:r>
              <w:rPr>
                <w:rFonts w:hint="eastAsia" w:cs="宋体"/>
                <w:color w:val="auto"/>
              </w:rPr>
              <w:t>总投资（万元）</w:t>
            </w:r>
          </w:p>
        </w:tc>
        <w:tc>
          <w:tcPr>
            <w:tcW w:w="2142" w:type="dxa"/>
            <w:vAlign w:val="center"/>
          </w:tcPr>
          <w:p>
            <w:pPr>
              <w:adjustRightInd w:val="0"/>
              <w:snapToGrid w:val="0"/>
              <w:jc w:val="center"/>
              <w:rPr>
                <w:rFonts w:hint="default" w:eastAsia="宋体" w:cs="宋体"/>
                <w:color w:val="auto"/>
                <w:highlight w:val="none"/>
                <w:lang w:val="en-US" w:eastAsia="zh-CN"/>
              </w:rPr>
            </w:pPr>
            <w:r>
              <w:rPr>
                <w:rFonts w:hint="eastAsia" w:cs="宋体"/>
                <w:color w:val="auto"/>
                <w:highlight w:val="none"/>
                <w:lang w:val="en-US" w:eastAsia="zh-CN"/>
              </w:rPr>
              <w:t>9000</w:t>
            </w:r>
          </w:p>
        </w:tc>
        <w:tc>
          <w:tcPr>
            <w:tcW w:w="2060" w:type="dxa"/>
            <w:tcMar>
              <w:top w:w="16" w:type="dxa"/>
              <w:left w:w="16" w:type="dxa"/>
              <w:right w:w="16" w:type="dxa"/>
            </w:tcMar>
            <w:vAlign w:val="center"/>
          </w:tcPr>
          <w:p>
            <w:pPr>
              <w:adjustRightInd w:val="0"/>
              <w:snapToGrid w:val="0"/>
              <w:jc w:val="center"/>
              <w:rPr>
                <w:rFonts w:cs="宋体"/>
                <w:color w:val="auto"/>
                <w:highlight w:val="none"/>
              </w:rPr>
            </w:pPr>
            <w:r>
              <w:rPr>
                <w:rFonts w:hint="eastAsia" w:cs="宋体"/>
                <w:color w:val="auto"/>
                <w:highlight w:val="none"/>
              </w:rPr>
              <w:t>环保投资（万元）</w:t>
            </w:r>
          </w:p>
        </w:tc>
        <w:tc>
          <w:tcPr>
            <w:tcW w:w="4089" w:type="dxa"/>
            <w:vAlign w:val="center"/>
          </w:tcPr>
          <w:p>
            <w:pPr>
              <w:adjustRightInd w:val="0"/>
              <w:snapToGrid w:val="0"/>
              <w:jc w:val="center"/>
              <w:rPr>
                <w:rFonts w:hint="default" w:eastAsia="宋体" w:cs="宋体"/>
                <w:color w:val="auto"/>
                <w:highlight w:val="none"/>
                <w:lang w:val="en-US" w:eastAsia="zh-CN"/>
              </w:rPr>
            </w:pPr>
            <w:r>
              <w:rPr>
                <w:rFonts w:hint="eastAsia" w:cs="宋体"/>
                <w:color w:val="auto"/>
                <w:highlight w:val="none"/>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8" w:type="dxa"/>
            <w:tcMar>
              <w:top w:w="16" w:type="dxa"/>
              <w:left w:w="16" w:type="dxa"/>
              <w:right w:w="16" w:type="dxa"/>
            </w:tcMar>
            <w:vAlign w:val="center"/>
          </w:tcPr>
          <w:p>
            <w:pPr>
              <w:adjustRightInd w:val="0"/>
              <w:snapToGrid w:val="0"/>
              <w:jc w:val="center"/>
              <w:rPr>
                <w:rFonts w:cs="宋体"/>
                <w:color w:val="auto"/>
              </w:rPr>
            </w:pPr>
            <w:r>
              <w:rPr>
                <w:rFonts w:hint="eastAsia" w:cs="宋体"/>
                <w:color w:val="auto"/>
              </w:rPr>
              <w:t>环保投资占比（</w:t>
            </w:r>
            <w:r>
              <w:rPr>
                <w:rFonts w:cs="宋体"/>
                <w:color w:val="auto"/>
              </w:rPr>
              <w:t>%</w:t>
            </w:r>
            <w:r>
              <w:rPr>
                <w:rFonts w:hint="eastAsia" w:cs="宋体"/>
                <w:color w:val="auto"/>
              </w:rPr>
              <w:t>）</w:t>
            </w:r>
          </w:p>
        </w:tc>
        <w:tc>
          <w:tcPr>
            <w:tcW w:w="2142" w:type="dxa"/>
            <w:vAlign w:val="center"/>
          </w:tcPr>
          <w:p>
            <w:pPr>
              <w:adjustRightInd w:val="0"/>
              <w:snapToGrid w:val="0"/>
              <w:jc w:val="center"/>
              <w:rPr>
                <w:rFonts w:hint="default" w:eastAsia="宋体" w:cs="宋体"/>
                <w:color w:val="auto"/>
                <w:highlight w:val="none"/>
                <w:lang w:val="en-US" w:eastAsia="zh-CN"/>
              </w:rPr>
            </w:pPr>
            <w:r>
              <w:rPr>
                <w:rFonts w:hint="eastAsia" w:cs="宋体"/>
                <w:color w:val="auto"/>
                <w:highlight w:val="none"/>
                <w:lang w:val="en-US" w:eastAsia="zh-CN"/>
              </w:rPr>
              <w:t>1.1</w:t>
            </w:r>
          </w:p>
        </w:tc>
        <w:tc>
          <w:tcPr>
            <w:tcW w:w="2060" w:type="dxa"/>
            <w:tcMar>
              <w:top w:w="16" w:type="dxa"/>
              <w:left w:w="16" w:type="dxa"/>
              <w:right w:w="16" w:type="dxa"/>
            </w:tcMar>
            <w:vAlign w:val="center"/>
          </w:tcPr>
          <w:p>
            <w:pPr>
              <w:adjustRightInd w:val="0"/>
              <w:snapToGrid w:val="0"/>
              <w:jc w:val="center"/>
              <w:rPr>
                <w:rFonts w:cs="宋体"/>
                <w:color w:val="auto"/>
                <w:highlight w:val="none"/>
              </w:rPr>
            </w:pPr>
            <w:r>
              <w:rPr>
                <w:rFonts w:hint="eastAsia" w:cs="宋体"/>
                <w:color w:val="auto"/>
                <w:highlight w:val="none"/>
              </w:rPr>
              <w:t>施工工期</w:t>
            </w:r>
          </w:p>
        </w:tc>
        <w:tc>
          <w:tcPr>
            <w:tcW w:w="4089" w:type="dxa"/>
            <w:vAlign w:val="center"/>
          </w:tcPr>
          <w:p>
            <w:pPr>
              <w:adjustRightInd w:val="0"/>
              <w:snapToGrid w:val="0"/>
              <w:jc w:val="center"/>
              <w:rPr>
                <w:rFonts w:cs="宋体"/>
                <w:color w:val="auto"/>
                <w:highlight w:val="none"/>
              </w:rPr>
            </w:pPr>
            <w:r>
              <w:rPr>
                <w:rFonts w:hint="eastAsia" w:cs="宋体"/>
                <w:color w:val="auto"/>
                <w:highlight w:val="none"/>
                <w:lang w:val="en-US" w:eastAsia="zh-CN"/>
              </w:rPr>
              <w:t>1</w:t>
            </w:r>
            <w:r>
              <w:rPr>
                <w:rFonts w:hint="eastAsia" w:cs="宋体"/>
                <w:color w:val="auto"/>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188" w:type="dxa"/>
            <w:tcMar>
              <w:top w:w="16" w:type="dxa"/>
              <w:left w:w="16" w:type="dxa"/>
              <w:right w:w="16" w:type="dxa"/>
            </w:tcMar>
            <w:vAlign w:val="center"/>
          </w:tcPr>
          <w:p>
            <w:pPr>
              <w:adjustRightInd w:val="0"/>
              <w:snapToGrid w:val="0"/>
              <w:jc w:val="center"/>
              <w:rPr>
                <w:rFonts w:cs="宋体"/>
                <w:color w:val="auto"/>
              </w:rPr>
            </w:pPr>
            <w:r>
              <w:rPr>
                <w:rFonts w:hint="eastAsia" w:cs="宋体"/>
                <w:color w:val="auto"/>
              </w:rPr>
              <w:t>是否开工建设</w:t>
            </w:r>
          </w:p>
        </w:tc>
        <w:tc>
          <w:tcPr>
            <w:tcW w:w="2142" w:type="dxa"/>
            <w:vAlign w:val="center"/>
          </w:tcPr>
          <w:p>
            <w:pPr>
              <w:adjustRightInd w:val="0"/>
              <w:snapToGrid w:val="0"/>
              <w:rPr>
                <w:rFonts w:cs="宋体"/>
                <w:color w:val="auto"/>
                <w:highlight w:val="none"/>
              </w:rPr>
            </w:pPr>
            <w:r>
              <w:rPr>
                <w:rFonts w:hint="eastAsia" w:cs="宋体"/>
                <w:color w:val="auto"/>
                <w:highlight w:val="none"/>
              </w:rPr>
              <w:sym w:font="Wingdings 2" w:char="0052"/>
            </w:r>
            <w:r>
              <w:rPr>
                <w:rFonts w:hint="eastAsia" w:cs="宋体"/>
                <w:color w:val="auto"/>
                <w:highlight w:val="none"/>
              </w:rPr>
              <w:t>否</w:t>
            </w:r>
          </w:p>
          <w:p>
            <w:pPr>
              <w:adjustRightInd w:val="0"/>
              <w:snapToGrid w:val="0"/>
              <w:rPr>
                <w:rFonts w:cs="宋体"/>
                <w:color w:val="auto"/>
                <w:highlight w:val="none"/>
              </w:rPr>
            </w:pPr>
            <w:r>
              <w:rPr>
                <w:rFonts w:hint="eastAsia" w:cs="宋体"/>
                <w:color w:val="auto"/>
                <w:highlight w:val="none"/>
              </w:rPr>
              <w:sym w:font="Wingdings 2" w:char="00A3"/>
            </w:r>
            <w:r>
              <w:rPr>
                <w:rFonts w:hint="eastAsia" w:cs="宋体"/>
                <w:color w:val="auto"/>
                <w:highlight w:val="none"/>
              </w:rPr>
              <w:t>是：</w:t>
            </w:r>
            <w:r>
              <w:rPr>
                <w:rFonts w:hint="eastAsia" w:cs="宋体"/>
                <w:color w:val="auto"/>
                <w:highlight w:val="none"/>
                <w:u w:val="single"/>
              </w:rPr>
              <w:t xml:space="preserve">             </w:t>
            </w:r>
          </w:p>
        </w:tc>
        <w:tc>
          <w:tcPr>
            <w:tcW w:w="2060" w:type="dxa"/>
            <w:tcMar>
              <w:top w:w="16" w:type="dxa"/>
              <w:left w:w="16" w:type="dxa"/>
              <w:right w:w="16" w:type="dxa"/>
            </w:tcMar>
            <w:vAlign w:val="center"/>
          </w:tcPr>
          <w:p>
            <w:pPr>
              <w:adjustRightInd w:val="0"/>
              <w:snapToGrid w:val="0"/>
              <w:jc w:val="center"/>
              <w:rPr>
                <w:rFonts w:cs="宋体"/>
                <w:color w:val="auto"/>
                <w:highlight w:val="none"/>
              </w:rPr>
            </w:pPr>
            <w:r>
              <w:rPr>
                <w:rFonts w:hint="eastAsia" w:cs="宋体"/>
                <w:color w:val="auto"/>
                <w:spacing w:val="-6"/>
                <w:highlight w:val="none"/>
                <w:lang w:eastAsia="zh-CN"/>
              </w:rPr>
              <w:t>建筑</w:t>
            </w:r>
            <w:r>
              <w:rPr>
                <w:rFonts w:hint="eastAsia" w:cs="宋体"/>
                <w:color w:val="auto"/>
                <w:spacing w:val="-6"/>
                <w:highlight w:val="none"/>
              </w:rPr>
              <w:t>面积（</w:t>
            </w:r>
            <w:r>
              <w:rPr>
                <w:rFonts w:cs="宋体"/>
                <w:color w:val="auto"/>
                <w:spacing w:val="-6"/>
                <w:highlight w:val="none"/>
              </w:rPr>
              <w:t>m</w:t>
            </w:r>
            <w:r>
              <w:rPr>
                <w:rFonts w:cs="宋体"/>
                <w:color w:val="auto"/>
                <w:spacing w:val="-6"/>
                <w:highlight w:val="none"/>
                <w:vertAlign w:val="superscript"/>
              </w:rPr>
              <w:t>2</w:t>
            </w:r>
            <w:r>
              <w:rPr>
                <w:rFonts w:hint="eastAsia" w:cs="宋体"/>
                <w:color w:val="auto"/>
                <w:spacing w:val="-6"/>
                <w:highlight w:val="none"/>
              </w:rPr>
              <w:t>）</w:t>
            </w:r>
          </w:p>
        </w:tc>
        <w:tc>
          <w:tcPr>
            <w:tcW w:w="4089" w:type="dxa"/>
            <w:vAlign w:val="center"/>
          </w:tcPr>
          <w:p>
            <w:pPr>
              <w:tabs>
                <w:tab w:val="left" w:pos="1920"/>
              </w:tabs>
              <w:adjustRightInd w:val="0"/>
              <w:snapToGrid w:val="0"/>
              <w:jc w:val="center"/>
              <w:rPr>
                <w:rFonts w:hint="default" w:eastAsia="宋体" w:cs="宋体"/>
                <w:color w:val="auto"/>
                <w:highlight w:val="none"/>
                <w:lang w:val="en-US" w:eastAsia="zh-CN"/>
              </w:rPr>
            </w:pPr>
            <w:r>
              <w:rPr>
                <w:rFonts w:hint="default" w:eastAsia="宋体" w:cs="宋体"/>
                <w:color w:val="auto"/>
                <w:highlight w:val="none"/>
                <w:lang w:val="en-US" w:eastAsia="zh-CN"/>
              </w:rPr>
              <w:t>7495.8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Align w:val="center"/>
          </w:tcPr>
          <w:p>
            <w:pPr>
              <w:pStyle w:val="97"/>
              <w:rPr>
                <w:rFonts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专项评价设置情况</w:t>
            </w:r>
          </w:p>
        </w:tc>
        <w:tc>
          <w:tcPr>
            <w:tcW w:w="8291" w:type="dxa"/>
            <w:gridSpan w:val="3"/>
            <w:vAlign w:val="center"/>
          </w:tcPr>
          <w:p>
            <w:pPr>
              <w:pStyle w:val="97"/>
              <w:spacing w:line="360" w:lineRule="auto"/>
              <w:jc w:val="both"/>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188" w:type="dxa"/>
            <w:vAlign w:val="center"/>
          </w:tcPr>
          <w:p>
            <w:pPr>
              <w:pStyle w:val="97"/>
              <w:rPr>
                <w:rFonts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规划情况</w:t>
            </w:r>
          </w:p>
        </w:tc>
        <w:tc>
          <w:tcPr>
            <w:tcW w:w="8291" w:type="dxa"/>
            <w:gridSpan w:val="3"/>
            <w:vAlign w:val="center"/>
          </w:tcPr>
          <w:p>
            <w:pPr>
              <w:pStyle w:val="97"/>
              <w:spacing w:line="360" w:lineRule="auto"/>
              <w:jc w:val="both"/>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规划名称：《铜梁区工业发展规划》（2017-2025 年）、《重庆市铜梁区中心城区控制性详细规划整合（2017年）》；</w:t>
            </w:r>
          </w:p>
          <w:p>
            <w:pPr>
              <w:pStyle w:val="97"/>
              <w:spacing w:line="360" w:lineRule="auto"/>
              <w:jc w:val="both"/>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审批文件名称及文号：铜府[2017]175号。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88" w:type="dxa"/>
            <w:vAlign w:val="center"/>
          </w:tcPr>
          <w:p>
            <w:pPr>
              <w:pStyle w:val="97"/>
              <w:rPr>
                <w:rFonts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规划环境影响评价情况</w:t>
            </w:r>
          </w:p>
        </w:tc>
        <w:tc>
          <w:tcPr>
            <w:tcW w:w="8291" w:type="dxa"/>
            <w:gridSpan w:val="3"/>
            <w:vAlign w:val="center"/>
          </w:tcPr>
          <w:p>
            <w:pPr>
              <w:autoSpaceDE w:val="0"/>
              <w:autoSpaceDN w:val="0"/>
              <w:adjustRightInd w:val="0"/>
              <w:snapToGrid w:val="0"/>
              <w:spacing w:line="360" w:lineRule="auto"/>
              <w:rPr>
                <w:rFonts w:hint="eastAsia"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规划环评名称：《重庆市铜梁高新区铜梁片区及全蒲片区规划环境影响跟踪评价报告书》；</w:t>
            </w:r>
          </w:p>
          <w:p>
            <w:pPr>
              <w:autoSpaceDE w:val="0"/>
              <w:autoSpaceDN w:val="0"/>
              <w:adjustRightInd w:val="0"/>
              <w:snapToGrid w:val="0"/>
              <w:spacing w:line="360" w:lineRule="auto"/>
              <w:rPr>
                <w:rFonts w:hint="eastAsia"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召集审查机关：重庆市生态环境局；</w:t>
            </w:r>
          </w:p>
          <w:p>
            <w:pPr>
              <w:autoSpaceDE w:val="0"/>
              <w:autoSpaceDN w:val="0"/>
              <w:adjustRightInd w:val="0"/>
              <w:snapToGrid w:val="0"/>
              <w:spacing w:line="360" w:lineRule="auto"/>
              <w:rPr>
                <w:rFonts w:hint="eastAsia"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审查文件名称及文号：《重庆市生态环境局关于重庆市铜梁高新区铜梁片区及全蒲片区规划环境影响跟踪评价报告书审查意见的函》（渝环函[2019]94号）；</w:t>
            </w:r>
          </w:p>
          <w:p>
            <w:pPr>
              <w:autoSpaceDE w:val="0"/>
              <w:autoSpaceDN w:val="0"/>
              <w:adjustRightInd w:val="0"/>
              <w:snapToGrid w:val="0"/>
              <w:spacing w:line="360" w:lineRule="auto"/>
              <w:rPr>
                <w:rFonts w:ascii="Times New Roman" w:hAnsi="Times New Roman" w:eastAsia="宋体" w:cs="Times New Roman"/>
                <w:snapToGrid w:val="0"/>
                <w:color w:val="auto"/>
                <w:kern w:val="0"/>
              </w:rPr>
            </w:pPr>
            <w:r>
              <w:rPr>
                <w:rFonts w:hint="eastAsia" w:ascii="Times New Roman" w:hAnsi="Times New Roman" w:eastAsia="宋体" w:cs="Times New Roman"/>
                <w:snapToGrid w:val="0"/>
                <w:color w:val="auto"/>
                <w:kern w:val="0"/>
              </w:rPr>
              <w:t>审批时间：2019年1月29日。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Align w:val="center"/>
          </w:tcPr>
          <w:p>
            <w:pPr>
              <w:autoSpaceDE w:val="0"/>
              <w:autoSpaceDN w:val="0"/>
              <w:adjustRightInd w:val="0"/>
              <w:snapToGrid w:val="0"/>
              <w:jc w:val="center"/>
              <w:rPr>
                <w:rFonts w:cs="宋体"/>
                <w:color w:val="auto"/>
                <w:kern w:val="0"/>
              </w:rPr>
            </w:pPr>
            <w:r>
              <w:rPr>
                <w:rFonts w:hint="eastAsia" w:cs="宋体"/>
                <w:color w:val="auto"/>
                <w:kern w:val="0"/>
              </w:rPr>
              <w:t>规划及规划环境影响评价符合性分析</w:t>
            </w:r>
          </w:p>
        </w:tc>
        <w:tc>
          <w:tcPr>
            <w:tcW w:w="8291" w:type="dxa"/>
            <w:gridSpan w:val="3"/>
            <w:vAlign w:val="center"/>
          </w:tcPr>
          <w:p>
            <w:pPr>
              <w:numPr>
                <w:ilvl w:val="0"/>
                <w:numId w:val="0"/>
              </w:numPr>
              <w:adjustRightInd w:val="0"/>
              <w:snapToGrid w:val="0"/>
              <w:spacing w:line="460" w:lineRule="exact"/>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b/>
                <w:color w:val="auto"/>
                <w:sz w:val="24"/>
                <w:highlight w:val="none"/>
                <w:u w:val="none"/>
                <w:lang w:val="en-US" w:eastAsia="zh-CN"/>
              </w:rPr>
              <w:t>1.1与《铜梁区工业发展规划》（2017-2025年）、《重庆市铜梁区中心城区控制性详细规划整合（2017年）》</w:t>
            </w:r>
            <w:r>
              <w:rPr>
                <w:rFonts w:hint="eastAsia" w:ascii="Times New Roman" w:hAnsi="Times New Roman" w:cs="Times New Roman"/>
                <w:b/>
                <w:bCs/>
                <w:color w:val="auto"/>
                <w:sz w:val="24"/>
                <w:highlight w:val="none"/>
                <w:u w:val="none"/>
                <w:lang w:val="en-US" w:eastAsia="zh-CN"/>
              </w:rPr>
              <w:t>的符合性</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重庆铜梁工业园区于2002年成立，是重庆市人民政府《关于同意渝北区等16个区县（市）设立特色工业园区的批复》（渝府[2002]210号）批准设立的首批市级特色工业园区，2016年成功创建市级高新区，根据《铜梁区工业发展规划》（2017-2025）及铜梁区各专项规划，铜梁高新区最新规划概要如下：</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（1）规划范围及面积</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以白土坝片区、姜家岩片区、蒲吕片区为核心，白土坝片区、姜家岩片区、蒲吕片区规划面积2233.48ha，远景规划面积50平方公里。</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（2）功能定位</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重庆市重要的先进制造业基地，具有国内竞争力的高新技术开发区，成渝大健康产业集聚区。</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（3）产业结构</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主要发展电子信息、装备制造、新材料、适当发展大健康等产业。</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（4）规划布局</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蒲吕片区：发展装备制造、电子信息、新材料、适当发展大健康产业，培育新型工业。电子信息主要依托蒲旧大道相对集中布局，约1700亩符合城市总规</w:t>
            </w:r>
            <w:r>
              <w:rPr>
                <w:rFonts w:hint="eastAsia" w:cs="Times New Roman"/>
                <w:color w:val="auto"/>
                <w:sz w:val="24"/>
                <w:highlight w:val="none"/>
                <w:u w:val="none"/>
                <w:lang w:val="en-US" w:eastAsia="zh-CN"/>
              </w:rPr>
              <w:t>；</w:t>
            </w:r>
            <w:r>
              <w:rPr>
                <w:rFonts w:hint="eastAsia" w:ascii="Times New Roman" w:hAnsi="Times New Roman" w:cs="Times New Roman"/>
                <w:color w:val="auto"/>
                <w:sz w:val="24"/>
                <w:highlight w:val="none"/>
                <w:u w:val="none"/>
                <w:lang w:val="en-US" w:eastAsia="zh-CN"/>
              </w:rPr>
              <w:t>装备制造主要沿渝遂高速、龙腾大道（东）延伸段进行连片布置，以形成相对连续的产业链，发挥集群效应，约2100亩符合城市总规，包含中车集团及拦河堰水库面积约600亩；新材料类企业用地主要规划于蒲旧大道与渝遂高速交汇处南侧及旧县场镇以西区域，约1700亩符合城市总规，剩余部分作为远景用地进行控制。</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白土坝片区：基本建成，采取“腾笼换鸟”的方式，发展以物流、生产资料交易为主的生产性服务业，推动传统产业提档升级，打造2.5代产业园。</w:t>
            </w:r>
          </w:p>
          <w:p>
            <w:pPr>
              <w:numPr>
                <w:ilvl w:val="0"/>
                <w:numId w:val="0"/>
              </w:numPr>
              <w:adjustRightInd w:val="0"/>
              <w:snapToGrid w:val="0"/>
              <w:spacing w:line="460" w:lineRule="exact"/>
              <w:ind w:firstLine="480" w:firstLineChars="200"/>
              <w:rPr>
                <w:rFonts w:hint="eastAsia"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姜家岩片区：以改造提升现有产业为重点，对机械制造业、生物医药等企业进行改造升级，同时引进发展先进装备制造业，符合规划面积约0.8平方公里。其中大健康产业分两个区域分别规划布局于北环路周边及淮远河、小安溪交汇处。其中，依托腊梅园休闲农业及赛维药业等进行集中布局的北环路周边规划面积约1410亩，淮远河、小安溪交汇处区域规划面积约2060亩。其中约650亩符合城市总规，剩余部分作为远景用地进行控制。</w:t>
            </w:r>
          </w:p>
          <w:p>
            <w:pPr>
              <w:numPr>
                <w:ilvl w:val="0"/>
                <w:numId w:val="0"/>
              </w:numPr>
              <w:adjustRightInd w:val="0"/>
              <w:snapToGrid w:val="0"/>
              <w:spacing w:line="460" w:lineRule="exact"/>
              <w:ind w:firstLine="480" w:firstLineChars="200"/>
              <w:rPr>
                <w:rFonts w:hint="default" w:ascii="Times New Roman" w:hAnsi="Times New Roman" w:cs="Times New Roman"/>
                <w:b/>
                <w:color w:val="auto"/>
                <w:sz w:val="24"/>
                <w:highlight w:val="none"/>
                <w:u w:val="none"/>
                <w:lang w:val="en-US" w:eastAsia="zh-CN"/>
              </w:rPr>
            </w:pPr>
            <w:r>
              <w:rPr>
                <w:rFonts w:hint="eastAsia" w:cs="Times New Roman"/>
                <w:color w:val="auto"/>
                <w:sz w:val="24"/>
                <w:highlight w:val="none"/>
                <w:u w:val="none"/>
                <w:lang w:val="en-US" w:eastAsia="zh-CN"/>
              </w:rPr>
              <w:t>拟建</w:t>
            </w:r>
            <w:r>
              <w:rPr>
                <w:rFonts w:hint="eastAsia" w:ascii="Times New Roman" w:hAnsi="Times New Roman" w:cs="Times New Roman"/>
                <w:color w:val="auto"/>
                <w:sz w:val="24"/>
                <w:highlight w:val="none"/>
                <w:u w:val="none"/>
                <w:lang w:val="en-US" w:eastAsia="zh-CN"/>
              </w:rPr>
              <w:t>项目</w:t>
            </w:r>
            <w:r>
              <w:rPr>
                <w:rFonts w:hint="eastAsia" w:cs="Times New Roman"/>
                <w:color w:val="auto"/>
                <w:sz w:val="24"/>
                <w:highlight w:val="none"/>
                <w:u w:val="none"/>
                <w:lang w:val="en-US" w:eastAsia="zh-CN"/>
              </w:rPr>
              <w:t>购买位于</w:t>
            </w:r>
            <w:r>
              <w:rPr>
                <w:rFonts w:hint="eastAsia" w:ascii="Times New Roman" w:hAnsi="Times New Roman" w:cs="Times New Roman"/>
                <w:color w:val="auto"/>
                <w:sz w:val="24"/>
                <w:highlight w:val="none"/>
                <w:u w:val="none"/>
                <w:lang w:val="en-US" w:eastAsia="zh-CN"/>
              </w:rPr>
              <w:t>重庆市铜梁区铜合大道523号</w:t>
            </w:r>
            <w:r>
              <w:rPr>
                <w:rFonts w:hint="eastAsia" w:cs="Times New Roman"/>
                <w:color w:val="auto"/>
                <w:sz w:val="24"/>
                <w:highlight w:val="none"/>
                <w:u w:val="none"/>
                <w:lang w:val="en-US" w:eastAsia="zh-CN"/>
              </w:rPr>
              <w:t>重庆伟业电源材料有限公司进行生产</w:t>
            </w:r>
            <w:r>
              <w:rPr>
                <w:rFonts w:hint="eastAsia" w:ascii="Times New Roman" w:hAnsi="Times New Roman" w:cs="Times New Roman"/>
                <w:color w:val="auto"/>
                <w:sz w:val="24"/>
                <w:highlight w:val="none"/>
                <w:u w:val="none"/>
                <w:lang w:val="en-US" w:eastAsia="zh-CN"/>
              </w:rPr>
              <w:t>，所在地位于铜梁高新区蒲吕片区，属于C2921塑料薄膜制造、C2923塑料丝、绳及编织品制造、C2929塑料零件及其他塑料制品制造</w:t>
            </w:r>
            <w:r>
              <w:rPr>
                <w:rFonts w:hint="eastAsia" w:cs="Times New Roman"/>
                <w:color w:val="auto"/>
                <w:sz w:val="24"/>
                <w:highlight w:val="none"/>
                <w:u w:val="none"/>
                <w:lang w:val="en-US" w:eastAsia="zh-CN"/>
              </w:rPr>
              <w:t>。拟建</w:t>
            </w:r>
            <w:r>
              <w:rPr>
                <w:rFonts w:hint="eastAsia" w:ascii="Times New Roman" w:hAnsi="Times New Roman" w:cs="Times New Roman"/>
                <w:color w:val="auto"/>
                <w:sz w:val="24"/>
                <w:highlight w:val="none"/>
                <w:u w:val="none"/>
                <w:lang w:val="en-US" w:eastAsia="zh-CN"/>
              </w:rPr>
              <w:t>项目清洁生产水平满足国内清洁生产企业水平，不属于高能耗、高污染和高水耗企业，项目与园区控制行业和禁入行业的产业定位不冲突。同时，</w:t>
            </w:r>
            <w:r>
              <w:rPr>
                <w:rFonts w:hint="eastAsia" w:cs="Times New Roman"/>
                <w:color w:val="auto"/>
                <w:sz w:val="24"/>
                <w:highlight w:val="none"/>
                <w:u w:val="none"/>
                <w:lang w:val="en-US" w:eastAsia="zh-CN"/>
              </w:rPr>
              <w:t>拟建</w:t>
            </w:r>
            <w:r>
              <w:rPr>
                <w:rFonts w:hint="eastAsia" w:ascii="Times New Roman" w:hAnsi="Times New Roman" w:cs="Times New Roman"/>
                <w:color w:val="auto"/>
                <w:sz w:val="24"/>
                <w:highlight w:val="none"/>
                <w:u w:val="none"/>
                <w:lang w:val="en-US" w:eastAsia="zh-CN"/>
              </w:rPr>
              <w:t>项目地块属于工业用地，周边交通方便，基础设施完善，便于企业日常运行，且项目符合《重庆市工业项目环境准入规定（修订）》要求，项目符合用地及园区入园规划要求。</w:t>
            </w:r>
          </w:p>
          <w:p>
            <w:pPr>
              <w:adjustRightInd w:val="0"/>
              <w:snapToGrid w:val="0"/>
              <w:spacing w:line="460" w:lineRule="exact"/>
              <w:rPr>
                <w:rFonts w:hint="default" w:ascii="Times New Roman" w:hAnsi="Times New Roman" w:cs="Times New Roman"/>
                <w:b/>
                <w:color w:val="auto"/>
                <w:sz w:val="24"/>
                <w:highlight w:val="none"/>
                <w:u w:val="none"/>
                <w:lang w:val="en-US" w:eastAsia="zh-CN"/>
              </w:rPr>
            </w:pPr>
            <w:r>
              <w:rPr>
                <w:rFonts w:hint="eastAsia" w:ascii="Times New Roman" w:hAnsi="Times New Roman" w:cs="Times New Roman"/>
                <w:b/>
                <w:color w:val="auto"/>
                <w:sz w:val="24"/>
                <w:highlight w:val="none"/>
                <w:u w:val="none"/>
                <w:lang w:val="en-US" w:eastAsia="zh-CN"/>
              </w:rPr>
              <w:t>1.2</w:t>
            </w:r>
            <w:r>
              <w:rPr>
                <w:rFonts w:hint="default" w:ascii="Times New Roman" w:hAnsi="Times New Roman" w:cs="Times New Roman"/>
                <w:b/>
                <w:color w:val="auto"/>
                <w:sz w:val="24"/>
                <w:highlight w:val="none"/>
                <w:u w:val="none"/>
                <w:lang w:val="en-US" w:eastAsia="zh-CN"/>
              </w:rPr>
              <w:t>与规划环评联动性符合性分析</w:t>
            </w:r>
          </w:p>
          <w:p>
            <w:pPr>
              <w:numPr>
                <w:ilvl w:val="0"/>
                <w:numId w:val="0"/>
              </w:numPr>
              <w:adjustRightInd w:val="0"/>
              <w:snapToGrid w:val="0"/>
              <w:spacing w:line="460" w:lineRule="exact"/>
              <w:rPr>
                <w:rFonts w:hint="eastAsia" w:ascii="Times New Roman" w:hAnsi="Times New Roman" w:cs="Times New Roman"/>
                <w:b/>
                <w:bCs/>
                <w:color w:val="auto"/>
                <w:sz w:val="24"/>
                <w:highlight w:val="none"/>
                <w:u w:val="none"/>
                <w:lang w:val="en-US" w:eastAsia="zh-CN"/>
              </w:rPr>
            </w:pPr>
            <w:r>
              <w:rPr>
                <w:rFonts w:hint="eastAsia" w:ascii="Times New Roman" w:hAnsi="Times New Roman" w:cs="Times New Roman"/>
                <w:b/>
                <w:bCs/>
                <w:color w:val="auto"/>
                <w:sz w:val="24"/>
                <w:highlight w:val="none"/>
                <w:u w:val="none"/>
                <w:lang w:val="en-US" w:eastAsia="zh-CN"/>
              </w:rPr>
              <w:t>1.2.1与规划环评联动性分析</w:t>
            </w:r>
          </w:p>
          <w:p>
            <w:pPr>
              <w:numPr>
                <w:ilvl w:val="0"/>
                <w:numId w:val="0"/>
              </w:numPr>
              <w:adjustRightInd w:val="0"/>
              <w:snapToGrid w:val="0"/>
              <w:spacing w:line="460" w:lineRule="exact"/>
              <w:ind w:firstLine="480" w:firstLineChars="200"/>
              <w:rPr>
                <w:rFonts w:hint="default" w:ascii="Times New Roman" w:hAnsi="Times New Roman" w:cs="Times New Roman"/>
                <w:color w:val="auto"/>
                <w:sz w:val="24"/>
                <w:highlight w:val="none"/>
                <w:u w:val="none"/>
                <w:lang w:val="en-US" w:eastAsia="zh-CN"/>
              </w:rPr>
            </w:pPr>
            <w:r>
              <w:rPr>
                <w:rFonts w:hint="eastAsia" w:ascii="Times New Roman" w:hAnsi="Times New Roman" w:cs="Times New Roman"/>
                <w:color w:val="auto"/>
                <w:sz w:val="24"/>
                <w:highlight w:val="none"/>
                <w:u w:val="none"/>
                <w:lang w:val="en-US" w:eastAsia="zh-CN"/>
              </w:rPr>
              <w:t>根据《重庆市重庆市生态环境局关于印发重庆市产业园区规划环境影响评价与建设项目环境影响评价联动实施方案（试行）的通知》（渝环规〔2022〕2号）文件要求，对项目与规划环评联动性进行分析。</w:t>
            </w:r>
          </w:p>
          <w:p>
            <w:pPr>
              <w:numPr>
                <w:ilvl w:val="0"/>
                <w:numId w:val="0"/>
              </w:numPr>
              <w:adjustRightInd w:val="0"/>
              <w:snapToGrid w:val="0"/>
              <w:spacing w:line="460" w:lineRule="exact"/>
              <w:jc w:val="center"/>
              <w:rPr>
                <w:rFonts w:hint="default" w:ascii="Times New Roman" w:hAnsi="Times New Roman" w:cs="Times New Roman"/>
                <w:b/>
                <w:bCs/>
                <w:color w:val="auto"/>
                <w:sz w:val="24"/>
                <w:highlight w:val="none"/>
                <w:u w:val="none"/>
                <w:lang w:val="en-US" w:eastAsia="zh-CN"/>
              </w:rPr>
            </w:pPr>
            <w:r>
              <w:rPr>
                <w:rFonts w:hint="eastAsia" w:ascii="Times New Roman" w:hAnsi="Times New Roman" w:cs="Times New Roman"/>
                <w:b/>
                <w:bCs/>
                <w:color w:val="auto"/>
                <w:sz w:val="24"/>
                <w:highlight w:val="none"/>
                <w:u w:val="none"/>
                <w:lang w:val="en-US" w:eastAsia="zh-CN"/>
              </w:rPr>
              <w:t>表1.2-1 项目与规划环评联动性分析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189"/>
              <w:gridCol w:w="1901"/>
              <w:gridCol w:w="2404"/>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00"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序号</w:t>
                  </w:r>
                </w:p>
              </w:tc>
              <w:tc>
                <w:tcPr>
                  <w:tcW w:w="765"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项目环评评价内容</w:t>
                  </w:r>
                </w:p>
              </w:tc>
              <w:tc>
                <w:tcPr>
                  <w:tcW w:w="1206"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可简化内容</w:t>
                  </w:r>
                </w:p>
              </w:tc>
              <w:tc>
                <w:tcPr>
                  <w:tcW w:w="1518"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相关要求</w:t>
                  </w:r>
                </w:p>
              </w:tc>
              <w:tc>
                <w:tcPr>
                  <w:tcW w:w="1208"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300"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w:t>
                  </w:r>
                </w:p>
              </w:tc>
              <w:tc>
                <w:tcPr>
                  <w:tcW w:w="765"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总则</w:t>
                  </w:r>
                </w:p>
              </w:tc>
              <w:tc>
                <w:tcPr>
                  <w:tcW w:w="1206"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环境功能区判定内容可以直接引用规划环评结论。</w:t>
                  </w:r>
                </w:p>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p>
              </w:tc>
              <w:tc>
                <w:tcPr>
                  <w:tcW w:w="1518"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w:t>
                  </w:r>
                </w:p>
              </w:tc>
              <w:tc>
                <w:tcPr>
                  <w:tcW w:w="1208"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根据规划环评，项目所在地为环境空气质量二类功能区、3类声环境功能区、执行Ⅳ类水域标准。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w:t>
                  </w:r>
                </w:p>
              </w:tc>
              <w:tc>
                <w:tcPr>
                  <w:tcW w:w="765"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环境现状调查与评价</w:t>
                  </w:r>
                </w:p>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p>
              </w:tc>
              <w:tc>
                <w:tcPr>
                  <w:tcW w:w="1206"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环境现状监测和环境质量现状评价内容可引用规划环评中符合时效性要求的监测数据和相关内容（区域环境质量呈下降趋势或项目新增特征污染物的除外）。</w:t>
                  </w:r>
                </w:p>
              </w:tc>
              <w:tc>
                <w:tcPr>
                  <w:tcW w:w="1518"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 xml:space="preserve">（1）项目环评应分析引用监测数据的有效性。 </w:t>
                  </w:r>
                </w:p>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（2）规划环评未涉及或虽涉及，但深度不能满足项目环评要求而需要增加的特征污染物监测，应根据项目特征按照相应环评技术导则要求补充现状监测数据。</w:t>
                  </w:r>
                </w:p>
              </w:tc>
              <w:tc>
                <w:tcPr>
                  <w:tcW w:w="1208"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规划环评内监测内容已不满足时效性要求，项目另行引用了符合要求的监测数据。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6" w:hRule="atLeast"/>
                <w:jc w:val="center"/>
              </w:trPr>
              <w:tc>
                <w:tcPr>
                  <w:tcW w:w="300"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3</w:t>
                  </w:r>
                </w:p>
              </w:tc>
              <w:tc>
                <w:tcPr>
                  <w:tcW w:w="765"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环境保护措施及其可行性论证</w:t>
                  </w:r>
                </w:p>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p>
              </w:tc>
              <w:tc>
                <w:tcPr>
                  <w:tcW w:w="1206"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依托的产业园区基础设施已按产业园区规划环评要求建设并稳定运行的，项目环评只需说明依托情况，无需开展依托可行性分析。</w:t>
                  </w:r>
                </w:p>
              </w:tc>
              <w:tc>
                <w:tcPr>
                  <w:tcW w:w="1518"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 xml:space="preserve">（1）依托的产业园区基础设施未超过规划环评论证的处理规模。 </w:t>
                  </w:r>
                </w:p>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（2）应明确各方责任。</w:t>
                  </w:r>
                </w:p>
              </w:tc>
              <w:tc>
                <w:tcPr>
                  <w:tcW w:w="1208"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项</w:t>
                  </w:r>
                  <w:r>
                    <w:rPr>
                      <w:rFonts w:hint="default" w:ascii="Times New Roman" w:hAnsi="Times New Roman" w:eastAsia="宋体" w:cs="Times New Roman"/>
                      <w:color w:val="auto"/>
                      <w:sz w:val="21"/>
                      <w:szCs w:val="21"/>
                      <w:highlight w:val="none"/>
                      <w:u w:val="none"/>
                      <w:lang w:val="en-US" w:eastAsia="zh-CN"/>
                    </w:rPr>
                    <w:t>目冷却水循环使用，每半年排放一次；</w:t>
                  </w:r>
                  <w:r>
                    <w:rPr>
                      <w:rFonts w:hint="eastAsia"/>
                      <w:color w:val="auto"/>
                      <w:sz w:val="21"/>
                      <w:lang w:eastAsia="zh-CN"/>
                    </w:rPr>
                    <w:t>项目食堂废水、地面清洁废水经自建隔油池处理后与生活污水、冷却循环废水</w:t>
                  </w:r>
                  <w:r>
                    <w:rPr>
                      <w:rFonts w:hint="eastAsia"/>
                      <w:color w:val="auto"/>
                      <w:sz w:val="21"/>
                    </w:rPr>
                    <w:t>一同</w:t>
                  </w:r>
                  <w:r>
                    <w:rPr>
                      <w:rFonts w:hint="eastAsia"/>
                      <w:color w:val="auto"/>
                      <w:sz w:val="21"/>
                      <w:lang w:eastAsia="zh-CN"/>
                    </w:rPr>
                    <w:t>通过</w:t>
                  </w:r>
                  <w:r>
                    <w:rPr>
                      <w:rFonts w:hint="eastAsia"/>
                      <w:color w:val="auto"/>
                      <w:sz w:val="21"/>
                    </w:rPr>
                    <w:t>生化池处理达到《污水综合排放标准》（GB8978-1996）三级标准</w:t>
                  </w:r>
                  <w:r>
                    <w:rPr>
                      <w:rFonts w:hint="eastAsia"/>
                      <w:color w:val="auto"/>
                      <w:sz w:val="21"/>
                      <w:lang w:eastAsia="zh-CN"/>
                    </w:rPr>
                    <w:t>（</w:t>
                  </w:r>
                  <w:r>
                    <w:rPr>
                      <w:rFonts w:hint="eastAsia"/>
                      <w:color w:val="auto"/>
                      <w:sz w:val="21"/>
                      <w:lang w:val="en-US" w:eastAsia="zh-CN"/>
                    </w:rPr>
                    <w:t>氨氮、TP、TN参照污水排入城镇下水道水质标准》（GB/T31962-2015）B级标准）</w:t>
                  </w:r>
                  <w:r>
                    <w:rPr>
                      <w:rFonts w:hint="eastAsia"/>
                      <w:color w:val="auto"/>
                      <w:sz w:val="21"/>
                    </w:rPr>
                    <w:t>后</w:t>
                  </w:r>
                  <w:r>
                    <w:rPr>
                      <w:rFonts w:hint="default" w:ascii="Times New Roman" w:hAnsi="Times New Roman" w:eastAsia="宋体" w:cs="Times New Roman"/>
                      <w:color w:val="auto"/>
                      <w:sz w:val="21"/>
                      <w:szCs w:val="21"/>
                      <w:highlight w:val="none"/>
                      <w:u w:val="none"/>
                      <w:lang w:val="en-US" w:eastAsia="zh-CN"/>
                    </w:rPr>
                    <w:t>，经市政污水管网进入</w:t>
                  </w:r>
                  <w:r>
                    <w:rPr>
                      <w:rFonts w:hint="eastAsia" w:cs="Times New Roman"/>
                      <w:color w:val="auto"/>
                      <w:sz w:val="21"/>
                      <w:szCs w:val="21"/>
                      <w:highlight w:val="none"/>
                      <w:u w:val="none"/>
                      <w:lang w:val="en-US" w:eastAsia="zh-CN"/>
                    </w:rPr>
                    <w:t>东城污水处理厂</w:t>
                  </w:r>
                  <w:r>
                    <w:rPr>
                      <w:rFonts w:hint="default" w:ascii="Times New Roman" w:hAnsi="Times New Roman" w:eastAsia="宋体" w:cs="Times New Roman"/>
                      <w:color w:val="auto"/>
                      <w:sz w:val="21"/>
                      <w:szCs w:val="21"/>
                      <w:highlight w:val="none"/>
                      <w:u w:val="none"/>
                      <w:lang w:val="en-US" w:eastAsia="zh-CN"/>
                    </w:rPr>
                    <w:t>处理达到《城镇污水处理厂污染物排放标准》(GB18918-2002)</w:t>
                  </w:r>
                  <w:r>
                    <w:rPr>
                      <w:rFonts w:hint="eastAsia" w:cs="Times New Roman"/>
                      <w:color w:val="auto"/>
                      <w:sz w:val="21"/>
                      <w:szCs w:val="21"/>
                      <w:highlight w:val="none"/>
                      <w:u w:val="none"/>
                      <w:lang w:val="en-US" w:eastAsia="zh-CN"/>
                    </w:rPr>
                    <w:t>一级B</w:t>
                  </w:r>
                  <w:r>
                    <w:rPr>
                      <w:rFonts w:hint="default" w:ascii="Times New Roman" w:hAnsi="Times New Roman" w:eastAsia="宋体" w:cs="Times New Roman"/>
                      <w:color w:val="auto"/>
                      <w:sz w:val="21"/>
                      <w:szCs w:val="21"/>
                      <w:highlight w:val="none"/>
                      <w:u w:val="none"/>
                      <w:lang w:val="en-US" w:eastAsia="zh-CN"/>
                    </w:rPr>
                    <w:t>标准后排入建</w:t>
                  </w:r>
                  <w:r>
                    <w:rPr>
                      <w:rFonts w:hint="eastAsia" w:cs="Times New Roman"/>
                      <w:color w:val="auto"/>
                      <w:sz w:val="21"/>
                      <w:szCs w:val="21"/>
                      <w:highlight w:val="none"/>
                      <w:u w:val="none"/>
                      <w:lang w:val="en-US" w:eastAsia="zh-CN"/>
                    </w:rPr>
                    <w:t>淮远河</w:t>
                  </w:r>
                  <w:r>
                    <w:rPr>
                      <w:rFonts w:hint="default" w:ascii="Times New Roman" w:hAnsi="Times New Roman" w:eastAsia="宋体" w:cs="Times New Roman"/>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300"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4</w:t>
                  </w:r>
                </w:p>
              </w:tc>
              <w:tc>
                <w:tcPr>
                  <w:tcW w:w="765"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环境准入分析</w:t>
                  </w:r>
                </w:p>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p>
              </w:tc>
              <w:tc>
                <w:tcPr>
                  <w:tcW w:w="1206" w:type="pct"/>
                  <w:noWrap w:val="0"/>
                  <w:vAlign w:val="center"/>
                </w:tcPr>
                <w:p>
                  <w:pPr>
                    <w:adjustRightInd w:val="0"/>
                    <w:snapToGrid w:val="0"/>
                    <w:spacing w:line="240" w:lineRule="auto"/>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直接引用规划环评已经论述的相关法律、法规及环保政策符合性的结论，项目环评着重分析与新颁布实施的法律、法规及环保政策的符合性。</w:t>
                  </w:r>
                </w:p>
              </w:tc>
              <w:tc>
                <w:tcPr>
                  <w:tcW w:w="1518"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w:t>
                  </w:r>
                </w:p>
              </w:tc>
              <w:tc>
                <w:tcPr>
                  <w:tcW w:w="1208" w:type="pct"/>
                  <w:noWrap w:val="0"/>
                  <w:vAlign w:val="center"/>
                </w:tcPr>
                <w:p>
                  <w:pPr>
                    <w:adjustRightInd w:val="0"/>
                    <w:snapToGrid w:val="0"/>
                    <w:spacing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项目环评着重分析了与新颁布实施的法律、法规及环保政策的符合性。</w:t>
                  </w:r>
                </w:p>
              </w:tc>
            </w:tr>
          </w:tbl>
          <w:p>
            <w:pPr>
              <w:adjustRightInd w:val="0"/>
              <w:snapToGrid w:val="0"/>
              <w:spacing w:line="460" w:lineRule="exact"/>
              <w:rPr>
                <w:rFonts w:hint="eastAsia" w:ascii="Times New Roman" w:hAnsi="Times New Roman" w:cs="Times New Roman"/>
                <w:b/>
                <w:bCs w:val="0"/>
                <w:color w:val="auto"/>
                <w:sz w:val="24"/>
                <w:highlight w:val="none"/>
                <w:u w:val="none"/>
                <w:lang w:val="en-US" w:eastAsia="zh-CN"/>
              </w:rPr>
            </w:pPr>
            <w:r>
              <w:rPr>
                <w:rFonts w:hint="eastAsia" w:ascii="Times New Roman" w:hAnsi="Times New Roman" w:cs="Times New Roman"/>
                <w:b/>
                <w:bCs w:val="0"/>
                <w:color w:val="auto"/>
                <w:sz w:val="24"/>
                <w:highlight w:val="none"/>
                <w:u w:val="none"/>
                <w:lang w:val="en-US" w:eastAsia="zh-CN"/>
              </w:rPr>
              <w:t>1.2.</w:t>
            </w:r>
            <w:r>
              <w:rPr>
                <w:rFonts w:hint="eastAsia" w:cs="Times New Roman"/>
                <w:b/>
                <w:bCs w:val="0"/>
                <w:color w:val="auto"/>
                <w:sz w:val="24"/>
                <w:highlight w:val="none"/>
                <w:u w:val="none"/>
                <w:lang w:val="en-US" w:eastAsia="zh-CN"/>
              </w:rPr>
              <w:t>2</w:t>
            </w:r>
            <w:r>
              <w:rPr>
                <w:rFonts w:hint="eastAsia" w:ascii="Times New Roman" w:hAnsi="Times New Roman" w:cs="Times New Roman"/>
                <w:b/>
                <w:bCs w:val="0"/>
                <w:color w:val="auto"/>
                <w:sz w:val="24"/>
                <w:highlight w:val="none"/>
                <w:u w:val="none"/>
                <w:lang w:val="en-US" w:eastAsia="zh-CN"/>
              </w:rPr>
              <w:t>与《重庆铜梁高新区铜梁片区及全蒲片区规划环境影响跟踪评价报告书》</w:t>
            </w:r>
            <w:r>
              <w:rPr>
                <w:rFonts w:hint="eastAsia" w:cs="Times New Roman"/>
                <w:b/>
                <w:bCs w:val="0"/>
                <w:color w:val="auto"/>
                <w:sz w:val="24"/>
                <w:highlight w:val="none"/>
                <w:u w:val="none"/>
                <w:lang w:val="en-US" w:eastAsia="zh-CN"/>
              </w:rPr>
              <w:t>结论</w:t>
            </w:r>
            <w:r>
              <w:rPr>
                <w:rFonts w:hint="eastAsia" w:ascii="Times New Roman" w:hAnsi="Times New Roman" w:cs="Times New Roman"/>
                <w:b/>
                <w:bCs w:val="0"/>
                <w:color w:val="auto"/>
                <w:sz w:val="24"/>
                <w:highlight w:val="none"/>
                <w:u w:val="none"/>
                <w:lang w:val="en-US" w:eastAsia="zh-CN"/>
              </w:rPr>
              <w:t>符合性分析</w:t>
            </w:r>
          </w:p>
          <w:p>
            <w:pPr>
              <w:adjustRightInd w:val="0"/>
              <w:snapToGrid w:val="0"/>
              <w:spacing w:line="460" w:lineRule="exact"/>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根据《重庆铜梁高新区铜梁片区及全蒲片区规划环境影响跟踪评价报告书》中可知，铜梁片区包含白土坝、姜家岩及蒲吕区域的原蒲吕工业园部分。全蒲片区包含蒲吕区域的全蒲部分。</w:t>
            </w:r>
            <w:r>
              <w:rPr>
                <w:rFonts w:hint="eastAsia" w:cs="Times New Roman"/>
                <w:color w:val="auto"/>
                <w:sz w:val="24"/>
                <w:highlight w:val="none"/>
                <w:u w:val="none"/>
                <w:lang w:eastAsia="zh-CN"/>
              </w:rPr>
              <w:t>拟建项目所在的铜梁高新区蒲吕片区</w:t>
            </w:r>
            <w:r>
              <w:rPr>
                <w:rFonts w:hint="default" w:ascii="Times New Roman" w:hAnsi="Times New Roman" w:cs="Times New Roman"/>
                <w:color w:val="auto"/>
                <w:sz w:val="24"/>
                <w:highlight w:val="none"/>
                <w:u w:val="none"/>
              </w:rPr>
              <w:t>规划面积约7.5平方公里，已建成面积约3平方公里，主要集中发展电子信息、装备制造、新材料类企业。</w:t>
            </w:r>
          </w:p>
          <w:p>
            <w:pPr>
              <w:adjustRightInd w:val="0"/>
              <w:snapToGrid w:val="0"/>
              <w:spacing w:line="460" w:lineRule="exact"/>
              <w:ind w:firstLine="48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全蒲片区包含蒲吕区域限制羽绒、食品行业的发展，不再新引进该类产业企业，待区域内淮远河、小安溪流域水体得到有效改善的情况下，可予以适当引进。禁止发展装备制造、汽摩业产业链上游的冶炼等产业和印染业、原料药业、医药中间体等污染较重、耗水大和其它不符合国家产业政策的项目进入，以保证铜梁工业园区的可持续发展。</w:t>
            </w:r>
          </w:p>
          <w:p>
            <w:pPr>
              <w:adjustRightInd w:val="0"/>
              <w:snapToGrid w:val="0"/>
              <w:spacing w:line="460" w:lineRule="exact"/>
              <w:ind w:firstLine="480"/>
              <w:rPr>
                <w:rFonts w:hint="default" w:ascii="Times New Roman" w:hAnsi="Times New Roman" w:cs="Times New Roman"/>
                <w:color w:val="auto"/>
                <w:sz w:val="24"/>
                <w:highlight w:val="none"/>
                <w:u w:val="none"/>
              </w:rPr>
            </w:pPr>
            <w:r>
              <w:rPr>
                <w:rFonts w:hint="eastAsia" w:cs="Times New Roman"/>
                <w:color w:val="auto"/>
                <w:sz w:val="24"/>
                <w:highlight w:val="none"/>
                <w:u w:val="none"/>
                <w:lang w:eastAsia="zh-CN"/>
              </w:rPr>
              <w:t>拟建项目属于</w:t>
            </w:r>
            <w:r>
              <w:rPr>
                <w:rFonts w:hint="eastAsia"/>
                <w:color w:val="auto"/>
                <w:highlight w:val="none"/>
                <w:lang w:eastAsia="zh-CN"/>
              </w:rPr>
              <w:t>塑料制品业</w:t>
            </w:r>
            <w:r>
              <w:rPr>
                <w:rFonts w:hint="default" w:ascii="Times New Roman" w:hAnsi="Times New Roman" w:cs="Times New Roman"/>
                <w:color w:val="auto"/>
                <w:sz w:val="24"/>
                <w:highlight w:val="none"/>
                <w:u w:val="none"/>
              </w:rPr>
              <w:t>，主要产品为包装用品、缠绕膜、吹膜产品，</w:t>
            </w:r>
            <w:r>
              <w:rPr>
                <w:rFonts w:hint="eastAsia" w:cs="Times New Roman"/>
                <w:color w:val="auto"/>
                <w:sz w:val="24"/>
                <w:highlight w:val="none"/>
                <w:u w:val="none"/>
                <w:lang w:eastAsia="zh-CN"/>
              </w:rPr>
              <w:t>不属于限制、禁止类项目，</w:t>
            </w:r>
            <w:r>
              <w:rPr>
                <w:rFonts w:hint="default" w:ascii="Times New Roman" w:hAnsi="Times New Roman" w:cs="Times New Roman"/>
                <w:color w:val="auto"/>
                <w:sz w:val="24"/>
                <w:highlight w:val="none"/>
                <w:u w:val="none"/>
              </w:rPr>
              <w:t>属于允许入驻类项目，</w:t>
            </w:r>
            <w:r>
              <w:rPr>
                <w:rFonts w:hint="eastAsia" w:cs="Times New Roman"/>
                <w:color w:val="auto"/>
                <w:sz w:val="24"/>
                <w:highlight w:val="none"/>
                <w:u w:val="none"/>
                <w:lang w:eastAsia="zh-CN"/>
              </w:rPr>
              <w:t>不违背铜梁全</w:t>
            </w:r>
            <w:r>
              <w:rPr>
                <w:rFonts w:hint="default" w:ascii="Times New Roman" w:hAnsi="Times New Roman" w:cs="Times New Roman"/>
                <w:color w:val="auto"/>
                <w:sz w:val="24"/>
                <w:highlight w:val="none"/>
                <w:u w:val="none"/>
              </w:rPr>
              <w:t>蒲</w:t>
            </w:r>
            <w:r>
              <w:rPr>
                <w:rFonts w:hint="eastAsia" w:cs="Times New Roman"/>
                <w:color w:val="auto"/>
                <w:sz w:val="24"/>
                <w:highlight w:val="none"/>
                <w:u w:val="none"/>
                <w:lang w:eastAsia="zh-CN"/>
              </w:rPr>
              <w:t>片区</w:t>
            </w:r>
            <w:r>
              <w:rPr>
                <w:rFonts w:hint="default" w:ascii="Times New Roman" w:hAnsi="Times New Roman" w:cs="Times New Roman"/>
                <w:color w:val="auto"/>
                <w:sz w:val="24"/>
                <w:highlight w:val="none"/>
                <w:u w:val="none"/>
              </w:rPr>
              <w:t>规划及入园要求。</w:t>
            </w:r>
          </w:p>
          <w:p>
            <w:pPr>
              <w:adjustRightInd w:val="0"/>
              <w:snapToGrid w:val="0"/>
              <w:spacing w:line="460" w:lineRule="exact"/>
              <w:jc w:val="both"/>
              <w:rPr>
                <w:rFonts w:hint="default" w:ascii="Times New Roman" w:hAnsi="Times New Roman" w:cs="Times New Roman"/>
                <w:b/>
                <w:bCs/>
                <w:color w:val="auto"/>
                <w:sz w:val="24"/>
                <w:highlight w:val="none"/>
                <w:u w:val="none"/>
              </w:rPr>
            </w:pPr>
            <w:r>
              <w:rPr>
                <w:rFonts w:hint="eastAsia" w:ascii="Times New Roman" w:hAnsi="Times New Roman" w:cs="Times New Roman"/>
                <w:b/>
                <w:bCs/>
                <w:color w:val="auto"/>
                <w:sz w:val="24"/>
                <w:highlight w:val="none"/>
                <w:u w:val="none"/>
                <w:lang w:val="en-US" w:eastAsia="zh-CN"/>
              </w:rPr>
              <w:t>1.2.</w:t>
            </w:r>
            <w:r>
              <w:rPr>
                <w:rFonts w:hint="eastAsia" w:cs="Times New Roman"/>
                <w:b/>
                <w:bCs/>
                <w:color w:val="auto"/>
                <w:sz w:val="24"/>
                <w:highlight w:val="none"/>
                <w:u w:val="none"/>
                <w:lang w:val="en-US" w:eastAsia="zh-CN"/>
              </w:rPr>
              <w:t>3</w:t>
            </w:r>
            <w:r>
              <w:rPr>
                <w:rFonts w:hint="default" w:ascii="Times New Roman" w:hAnsi="Times New Roman" w:cs="Times New Roman"/>
                <w:b/>
                <w:bCs/>
                <w:color w:val="auto"/>
                <w:sz w:val="24"/>
                <w:highlight w:val="none"/>
                <w:u w:val="none"/>
              </w:rPr>
              <w:t>项目与《重庆市生态环境局关于重庆市铜梁高新区铜梁片区及全蒲片区规划环境影响跟踪评价报告书审查意见的函》（渝环函[2019]94号）的符合性分析</w:t>
            </w:r>
          </w:p>
          <w:p>
            <w:pPr>
              <w:adjustRightInd w:val="0"/>
              <w:snapToGrid w:val="0"/>
              <w:spacing w:line="460" w:lineRule="exact"/>
              <w:ind w:firstLine="480" w:firstLineChars="200"/>
              <w:rPr>
                <w:rFonts w:hint="default" w:ascii="Times New Roman" w:hAnsi="Times New Roman" w:cs="Times New Roman"/>
                <w:b/>
                <w:color w:val="auto"/>
                <w:sz w:val="24"/>
                <w:highlight w:val="none"/>
                <w:u w:val="none"/>
              </w:rPr>
            </w:pPr>
            <w:r>
              <w:rPr>
                <w:rFonts w:hint="eastAsia" w:cs="Times New Roman"/>
                <w:color w:val="auto"/>
                <w:sz w:val="24"/>
                <w:highlight w:val="none"/>
                <w:u w:val="none"/>
                <w:lang w:val="en-US" w:eastAsia="zh-CN"/>
              </w:rPr>
              <w:t>拟建项目</w:t>
            </w:r>
            <w:r>
              <w:rPr>
                <w:rFonts w:hint="default" w:ascii="Times New Roman" w:hAnsi="Times New Roman" w:cs="Times New Roman"/>
                <w:color w:val="auto"/>
                <w:sz w:val="24"/>
                <w:highlight w:val="none"/>
                <w:u w:val="none"/>
              </w:rPr>
              <w:t>与规划环评审查意见（渝环函[2019]94号）符合性分析见表</w:t>
            </w:r>
            <w:r>
              <w:rPr>
                <w:rFonts w:hint="eastAsia" w:ascii="Times New Roman" w:hAnsi="Times New Roman" w:cs="Times New Roman"/>
                <w:color w:val="auto"/>
                <w:sz w:val="24"/>
                <w:highlight w:val="none"/>
                <w:u w:val="none"/>
                <w:lang w:val="en-US" w:eastAsia="zh-CN"/>
              </w:rPr>
              <w:t>1.2-1</w:t>
            </w:r>
            <w:r>
              <w:rPr>
                <w:rFonts w:hint="default" w:ascii="Times New Roman" w:hAnsi="Times New Roman" w:cs="Times New Roman"/>
                <w:color w:val="auto"/>
                <w:sz w:val="24"/>
                <w:highlight w:val="none"/>
                <w:u w:val="none"/>
              </w:rPr>
              <w:t>。</w:t>
            </w:r>
          </w:p>
          <w:p>
            <w:pPr>
              <w:adjustRightInd w:val="0"/>
              <w:snapToGrid w:val="0"/>
              <w:spacing w:line="240" w:lineRule="auto"/>
              <w:ind w:firstLine="480"/>
              <w:jc w:val="center"/>
              <w:rPr>
                <w:rFonts w:hint="eastAsia" w:cs="Times New Roman"/>
                <w:b/>
                <w:bCs/>
                <w:color w:val="auto"/>
                <w:sz w:val="24"/>
                <w:highlight w:val="none"/>
                <w:u w:val="none"/>
                <w:lang w:eastAsia="zh-CN"/>
              </w:rPr>
            </w:pPr>
            <w:r>
              <w:rPr>
                <w:rFonts w:hint="default" w:ascii="Times New Roman" w:hAnsi="Times New Roman" w:cs="Times New Roman"/>
                <w:b/>
                <w:color w:val="auto"/>
                <w:sz w:val="24"/>
                <w:highlight w:val="none"/>
                <w:u w:val="none"/>
              </w:rPr>
              <w:t>表1</w:t>
            </w:r>
            <w:r>
              <w:rPr>
                <w:rFonts w:hint="eastAsia" w:ascii="Times New Roman" w:hAnsi="Times New Roman" w:cs="Times New Roman"/>
                <w:b/>
                <w:color w:val="auto"/>
                <w:sz w:val="24"/>
                <w:highlight w:val="none"/>
                <w:u w:val="none"/>
                <w:lang w:val="en-US" w:eastAsia="zh-CN"/>
              </w:rPr>
              <w:t>.2</w:t>
            </w:r>
            <w:r>
              <w:rPr>
                <w:rFonts w:hint="default" w:ascii="Times New Roman" w:hAnsi="Times New Roman" w:cs="Times New Roman"/>
                <w:b/>
                <w:color w:val="auto"/>
                <w:sz w:val="24"/>
                <w:highlight w:val="none"/>
                <w:u w:val="none"/>
              </w:rPr>
              <w:t>-</w:t>
            </w:r>
            <w:r>
              <w:rPr>
                <w:rFonts w:hint="eastAsia" w:cs="Times New Roman"/>
                <w:b/>
                <w:color w:val="auto"/>
                <w:sz w:val="24"/>
                <w:highlight w:val="none"/>
                <w:u w:val="none"/>
                <w:lang w:val="en-US" w:eastAsia="zh-CN"/>
              </w:rPr>
              <w:t>2</w:t>
            </w:r>
            <w:r>
              <w:rPr>
                <w:rFonts w:hint="default" w:ascii="Times New Roman" w:hAnsi="Times New Roman" w:cs="Times New Roman"/>
                <w:b/>
                <w:color w:val="auto"/>
                <w:sz w:val="24"/>
                <w:highlight w:val="none"/>
                <w:u w:val="none"/>
              </w:rPr>
              <w:t xml:space="preserve">  </w:t>
            </w:r>
            <w:r>
              <w:rPr>
                <w:rFonts w:hint="default" w:ascii="Times New Roman" w:hAnsi="Times New Roman" w:cs="Times New Roman"/>
                <w:b/>
                <w:bCs/>
                <w:color w:val="auto"/>
                <w:sz w:val="24"/>
                <w:highlight w:val="none"/>
                <w:u w:val="none"/>
              </w:rPr>
              <w:t>项目与规划环评审查意见符合性分析一览表</w:t>
            </w:r>
            <w:r>
              <w:rPr>
                <w:rFonts w:hint="eastAsia" w:cs="Times New Roman"/>
                <w:b/>
                <w:bCs/>
                <w:color w:val="auto"/>
                <w:sz w:val="24"/>
                <w:highlight w:val="none"/>
                <w:u w:val="none"/>
                <w:lang w:eastAsia="zh-CN"/>
              </w:rPr>
              <w:t>（摘录）</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8"/>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6" w:type="pct"/>
                  <w:noWrap w:val="0"/>
                  <w:vAlign w:val="center"/>
                </w:tcPr>
                <w:p>
                  <w:pPr>
                    <w:adjustRightInd w:val="0"/>
                    <w:snapToGrid w:val="0"/>
                    <w:spacing w:line="320" w:lineRule="exact"/>
                    <w:ind w:firstLine="48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审查意见内容</w:t>
                  </w:r>
                </w:p>
              </w:tc>
              <w:tc>
                <w:tcPr>
                  <w:tcW w:w="1993" w:type="pct"/>
                  <w:noWrap w:val="0"/>
                  <w:vAlign w:val="center"/>
                </w:tcPr>
                <w:p>
                  <w:pPr>
                    <w:adjustRightInd w:val="0"/>
                    <w:snapToGrid w:val="0"/>
                    <w:spacing w:line="320" w:lineRule="exact"/>
                    <w:ind w:firstLine="48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6" w:type="pct"/>
                  <w:noWrap w:val="0"/>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规划区应不断优化产业发展方向，按照报告书提出</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的“三线一单”管理要求，以资源利用上线、环境质</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量底线为约束，严格建设项目环境准入，入驻工业企业应满足《重庆市工业项目环境准入规定（修订）》</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《报告书》确定的环境准入清单要求，禁止发展印</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染。化学合成药类等重污染企业，限制引进食品发酵业等耗水量大、水污染物排放强度高的项目。</w:t>
                  </w:r>
                </w:p>
              </w:tc>
              <w:tc>
                <w:tcPr>
                  <w:tcW w:w="1993" w:type="pct"/>
                  <w:noWrap w:val="0"/>
                  <w:vAlign w:val="center"/>
                </w:tcPr>
                <w:p>
                  <w:pPr>
                    <w:adjustRightInd w:val="0"/>
                    <w:snapToGrid w:val="0"/>
                    <w:spacing w:line="320" w:lineRule="exact"/>
                    <w:jc w:val="center"/>
                    <w:rPr>
                      <w:rFonts w:hint="default" w:ascii="Times New Roman" w:hAnsi="Times New Roman" w:eastAsia="宋体" w:cs="Times New Roman"/>
                      <w:color w:val="auto"/>
                      <w:sz w:val="21"/>
                      <w:szCs w:val="21"/>
                      <w:highlight w:val="none"/>
                      <w:u w:val="none"/>
                      <w:lang w:eastAsia="zh-CN"/>
                    </w:rPr>
                  </w:pPr>
                  <w:r>
                    <w:rPr>
                      <w:rFonts w:hint="eastAsia" w:eastAsia="宋体" w:cs="Times New Roman"/>
                      <w:color w:val="auto"/>
                      <w:sz w:val="21"/>
                      <w:szCs w:val="21"/>
                      <w:highlight w:val="none"/>
                      <w:u w:val="none"/>
                      <w:lang w:eastAsia="zh-CN"/>
                    </w:rPr>
                    <w:t>拟建</w:t>
                  </w:r>
                  <w:r>
                    <w:rPr>
                      <w:rFonts w:hint="default" w:ascii="Times New Roman" w:hAnsi="Times New Roman" w:eastAsia="宋体" w:cs="Times New Roman"/>
                      <w:color w:val="auto"/>
                      <w:sz w:val="21"/>
                      <w:szCs w:val="21"/>
                      <w:highlight w:val="none"/>
                      <w:u w:val="none"/>
                      <w:lang w:eastAsia="zh-CN"/>
                    </w:rPr>
                    <w:t>项目满足《重庆市工业项目环境准入规定（修订）》，符合园区环境准入清单要求，不属于印染、化学合成药类等重污染企业，不属于食品发酵业等耗水量大、水污染物排放强度高的项目。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006" w:type="pct"/>
                  <w:noWrap w:val="0"/>
                  <w:vAlign w:val="center"/>
                </w:tcPr>
                <w:p>
                  <w:pPr>
                    <w:adjustRightInd w:val="0"/>
                    <w:snapToGrid w:val="0"/>
                    <w:spacing w:line="320" w:lineRule="exact"/>
                    <w:ind w:firstLine="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规划区内淮远河、小安溪等河流两岸以及拦河堰水</w:t>
                  </w:r>
                </w:p>
                <w:p>
                  <w:pPr>
                    <w:adjustRightInd w:val="0"/>
                    <w:snapToGrid w:val="0"/>
                    <w:spacing w:line="320" w:lineRule="exact"/>
                    <w:ind w:firstLine="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库、生基嘴水库库岸应设置一定宽度的绿化缓冲带，绿化缓冲带要保持原有的状况和自然形态，原则上应为绿地，除护岸工程及必要的市政设施外，禁止修建任何建筑物和构筑物。规划区要优化区域内的工业景观设计和建设，调整不和谐的建筑因素，按国务院实现全域旅游景观的原则要求，逐步调整工</w:t>
                  </w:r>
                </w:p>
                <w:p>
                  <w:pPr>
                    <w:adjustRightInd w:val="0"/>
                    <w:snapToGrid w:val="0"/>
                    <w:spacing w:line="320" w:lineRule="exact"/>
                    <w:ind w:firstLine="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业园区与城市的景观和谐、自然，达到园区工业景</w:t>
                  </w:r>
                </w:p>
                <w:p>
                  <w:pPr>
                    <w:adjustRightInd w:val="0"/>
                    <w:snapToGrid w:val="0"/>
                    <w:spacing w:line="320" w:lineRule="exact"/>
                    <w:ind w:firstLine="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观的“产业美”目标。规划区后续涉及环境防护距离的工业企业或项目，应通过选址或调整布局严格控制环境防护距离。结合铜梁区工业发展规划，白土坝片区采取“腾笼换鸟”的方式，发展以物流、生产资料交易为主的生产性服务业，将片区内不符合产业规划、排污量大企业逐步迁出片区。</w:t>
                  </w:r>
                </w:p>
              </w:tc>
              <w:tc>
                <w:tcPr>
                  <w:tcW w:w="1993" w:type="pct"/>
                  <w:noWrap w:val="0"/>
                  <w:vAlign w:val="center"/>
                </w:tcPr>
                <w:p>
                  <w:pPr>
                    <w:adjustRightInd w:val="0"/>
                    <w:snapToGrid w:val="0"/>
                    <w:spacing w:line="320" w:lineRule="exact"/>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eastAsia="zh-CN"/>
                    </w:rPr>
                    <w:t>拟建</w:t>
                  </w:r>
                  <w:r>
                    <w:rPr>
                      <w:rFonts w:hint="default" w:ascii="Times New Roman" w:hAnsi="Times New Roman" w:cs="Times New Roman"/>
                      <w:color w:val="auto"/>
                      <w:sz w:val="21"/>
                      <w:szCs w:val="21"/>
                      <w:highlight w:val="none"/>
                      <w:u w:val="none"/>
                    </w:rPr>
                    <w:t>项目位于铜梁高新区蒲吕片区</w:t>
                  </w:r>
                  <w:r>
                    <w:rPr>
                      <w:rFonts w:hint="eastAsia" w:cs="Times New Roman"/>
                      <w:color w:val="auto"/>
                      <w:sz w:val="21"/>
                      <w:szCs w:val="21"/>
                      <w:highlight w:val="none"/>
                      <w:u w:val="none"/>
                      <w:lang w:eastAsia="zh-CN"/>
                    </w:rPr>
                    <w:t>的工业用地</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eastAsia="zh-CN"/>
                    </w:rPr>
                    <w:t>周边均为工业企业，</w:t>
                  </w:r>
                  <w:r>
                    <w:rPr>
                      <w:rFonts w:hint="default" w:ascii="Times New Roman" w:hAnsi="Times New Roman" w:cs="Times New Roman"/>
                      <w:color w:val="auto"/>
                      <w:sz w:val="21"/>
                      <w:szCs w:val="21"/>
                      <w:highlight w:val="none"/>
                      <w:u w:val="none"/>
                    </w:rPr>
                    <w:t>不属于白土坝片区，符合园区规划。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6" w:type="pct"/>
                  <w:noWrap w:val="0"/>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严格环境准入。禁止燃煤，鼓励燃气锅炉采用低氮</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燃烧技术。加强现状企业大气污染治理和监管，各</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入驻企业采用清洁工艺，采取先进的污染防治措施，</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确保废气稳定达标排放。排放挥发性有机物的企业</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应符合《重庆市“十三五”挥发性有机物污染防治工作实施方案》等相关要求。合理布局，产生有毒有害气体、粉尘的项目尽量远离生活配套服务区等集中居住区，尽量降低企业达标扰民的影响。食品加工、生物医药等对环境要求较高企业布局应考虑周边企业污染排放，留足防护距离。</w:t>
                  </w:r>
                </w:p>
              </w:tc>
              <w:tc>
                <w:tcPr>
                  <w:tcW w:w="1993" w:type="pct"/>
                  <w:noWrap w:val="0"/>
                  <w:vAlign w:val="center"/>
                </w:tcPr>
                <w:p>
                  <w:pPr>
                    <w:adjustRightInd w:val="0"/>
                    <w:snapToGrid w:val="0"/>
                    <w:spacing w:line="320" w:lineRule="exact"/>
                    <w:jc w:val="center"/>
                    <w:rPr>
                      <w:rFonts w:hint="default" w:ascii="Times New Roman" w:hAnsi="Times New Roman" w:eastAsia="宋体" w:cs="Times New Roman"/>
                      <w:color w:val="auto"/>
                      <w:sz w:val="21"/>
                      <w:szCs w:val="21"/>
                      <w:highlight w:val="none"/>
                      <w:u w:val="none"/>
                      <w:lang w:val="en-US" w:eastAsia="zh-CN"/>
                    </w:rPr>
                  </w:pPr>
                  <w:r>
                    <w:rPr>
                      <w:rFonts w:hint="eastAsia" w:eastAsia="宋体" w:cs="Times New Roman"/>
                      <w:color w:val="auto"/>
                      <w:sz w:val="21"/>
                      <w:szCs w:val="21"/>
                      <w:highlight w:val="none"/>
                      <w:u w:val="none"/>
                      <w:lang w:val="en-US" w:eastAsia="zh-CN"/>
                    </w:rPr>
                    <w:t>拟建</w:t>
                  </w:r>
                  <w:r>
                    <w:rPr>
                      <w:rFonts w:hint="default" w:ascii="Times New Roman" w:hAnsi="Times New Roman" w:eastAsia="宋体" w:cs="Times New Roman"/>
                      <w:color w:val="auto"/>
                      <w:sz w:val="21"/>
                      <w:szCs w:val="21"/>
                      <w:highlight w:val="none"/>
                      <w:u w:val="none"/>
                      <w:lang w:val="en-US" w:eastAsia="zh-CN"/>
                    </w:rPr>
                    <w:t>项目位于</w:t>
                  </w:r>
                  <w:r>
                    <w:rPr>
                      <w:rFonts w:hint="default" w:ascii="Times New Roman" w:hAnsi="Times New Roman" w:cs="Times New Roman"/>
                      <w:color w:val="auto"/>
                      <w:sz w:val="21"/>
                      <w:szCs w:val="21"/>
                      <w:highlight w:val="none"/>
                      <w:u w:val="none"/>
                    </w:rPr>
                    <w:t>铜梁高新区蒲吕片区</w:t>
                  </w:r>
                  <w:r>
                    <w:rPr>
                      <w:rFonts w:hint="default" w:ascii="Times New Roman" w:hAnsi="Times New Roman" w:eastAsia="宋体" w:cs="Times New Roman"/>
                      <w:color w:val="auto"/>
                      <w:sz w:val="21"/>
                      <w:szCs w:val="21"/>
                      <w:highlight w:val="none"/>
                      <w:u w:val="none"/>
                      <w:lang w:val="en-US" w:eastAsia="zh-CN"/>
                    </w:rPr>
                    <w:t>，主要能耗为电能，不燃煤。排放的有机污染物均经有效处理后达标排放，符合《重庆市“十三五”挥发性有机物污染防治工作实施方案》等相关要求。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9" w:hRule="atLeast"/>
                <w:jc w:val="center"/>
              </w:trPr>
              <w:tc>
                <w:tcPr>
                  <w:tcW w:w="3006" w:type="pct"/>
                  <w:noWrap w:val="0"/>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合理布局企业噪声源，高噪声源企业选址和布局应满足相应的环境防护距离要求，尽量远离居住区</w:t>
                  </w:r>
                  <w:r>
                    <w:rPr>
                      <w:rFonts w:hint="eastAsia" w:eastAsia="宋体"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选择低噪声设备，采取消声、隔声、减震等措施</w:t>
                  </w:r>
                  <w:r>
                    <w:rPr>
                      <w:rFonts w:hint="eastAsia" w:eastAsia="宋体"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确保厂界噪声达标；合理布局、科学设定建筑物与交通干线的防噪声距离，严格落实规划区内交通主干道两侧的防护绿化带要求。</w:t>
                  </w:r>
                </w:p>
              </w:tc>
              <w:tc>
                <w:tcPr>
                  <w:tcW w:w="1993" w:type="pct"/>
                  <w:noWrap w:val="0"/>
                  <w:vAlign w:val="center"/>
                </w:tcPr>
                <w:p>
                  <w:pPr>
                    <w:adjustRightInd w:val="0"/>
                    <w:snapToGrid w:val="0"/>
                    <w:spacing w:line="320" w:lineRule="exact"/>
                    <w:jc w:val="center"/>
                    <w:rPr>
                      <w:rFonts w:hint="default" w:ascii="Times New Roman" w:hAnsi="Times New Roman" w:eastAsia="宋体" w:cs="Times New Roman"/>
                      <w:color w:val="auto"/>
                      <w:sz w:val="21"/>
                      <w:szCs w:val="21"/>
                      <w:highlight w:val="none"/>
                      <w:u w:val="none"/>
                    </w:rPr>
                  </w:pPr>
                  <w:r>
                    <w:rPr>
                      <w:rFonts w:hint="eastAsia" w:eastAsia="宋体" w:cs="Times New Roman"/>
                      <w:color w:val="auto"/>
                      <w:sz w:val="21"/>
                      <w:szCs w:val="21"/>
                      <w:highlight w:val="none"/>
                      <w:u w:val="none"/>
                      <w:lang w:eastAsia="zh-CN"/>
                    </w:rPr>
                    <w:t>拟建</w:t>
                  </w:r>
                  <w:r>
                    <w:rPr>
                      <w:rFonts w:hint="default" w:ascii="Times New Roman" w:hAnsi="Times New Roman" w:eastAsia="宋体" w:cs="Times New Roman"/>
                      <w:color w:val="auto"/>
                      <w:sz w:val="21"/>
                      <w:szCs w:val="21"/>
                      <w:highlight w:val="none"/>
                      <w:u w:val="none"/>
                    </w:rPr>
                    <w:t>项目运营期生产设备通过采取合理布局、基础减振、厂房隔声等措施后，厂界噪声达标。项目周边50m范围内无声环境保护目标。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3006" w:type="pct"/>
                  <w:noWrap w:val="0"/>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固体废物应按相关要求进行妥善收集、处理。加强一般工业固体废物综合利用和处置；危险废物交有相应危险废物处理资质的单位进行处置；生活垃圾经收集后由环卫部门统一清运处置。 严格执行土壤风险评估和污染土壤修复制度，对疑似污染地块开展调查评估，建立污染地块名录及其开发利用负面清单，土地开发利用必须满足规划用地土壤环境质量要求。</w:t>
                  </w:r>
                </w:p>
              </w:tc>
              <w:tc>
                <w:tcPr>
                  <w:tcW w:w="1993" w:type="pct"/>
                  <w:noWrap w:val="0"/>
                  <w:vAlign w:val="center"/>
                </w:tcPr>
                <w:p>
                  <w:pPr>
                    <w:adjustRightInd w:val="0"/>
                    <w:snapToGrid w:val="0"/>
                    <w:spacing w:line="320" w:lineRule="exact"/>
                    <w:jc w:val="center"/>
                    <w:rPr>
                      <w:rFonts w:hint="eastAsia" w:ascii="Times New Roman" w:hAnsi="Times New Roman" w:eastAsia="宋体" w:cs="Times New Roman"/>
                      <w:color w:val="auto"/>
                      <w:sz w:val="21"/>
                      <w:szCs w:val="21"/>
                      <w:highlight w:val="none"/>
                      <w:u w:val="none"/>
                      <w:lang w:eastAsia="zh-CN"/>
                    </w:rPr>
                  </w:pPr>
                  <w:r>
                    <w:rPr>
                      <w:rFonts w:hint="eastAsia" w:eastAsia="宋体" w:cs="Times New Roman"/>
                      <w:color w:val="auto"/>
                      <w:sz w:val="21"/>
                      <w:szCs w:val="21"/>
                      <w:highlight w:val="none"/>
                      <w:u w:val="none"/>
                      <w:lang w:eastAsia="zh-CN"/>
                    </w:rPr>
                    <w:t>拟建</w:t>
                  </w:r>
                  <w:r>
                    <w:rPr>
                      <w:rFonts w:hint="default" w:ascii="Times New Roman" w:hAnsi="Times New Roman" w:eastAsia="宋体" w:cs="Times New Roman"/>
                      <w:color w:val="auto"/>
                      <w:sz w:val="21"/>
                      <w:szCs w:val="21"/>
                      <w:highlight w:val="none"/>
                      <w:u w:val="none"/>
                    </w:rPr>
                    <w:t>项目运营期按固废性质进行分类收集处置，并委托有危险废物处置资质的单位处置，不会对外环境造成二次污染；本项目在现有厂房内建设生产，不涉及土壤修复</w:t>
                  </w:r>
                  <w:r>
                    <w:rPr>
                      <w:rFonts w:hint="eastAsia" w:eastAsia="宋体" w:cs="Times New Roman"/>
                      <w:color w:val="auto"/>
                      <w:sz w:val="21"/>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3006" w:type="pct"/>
                  <w:noWrap w:val="0"/>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境风险防范和应急处置是确保环境安全的重要工作内容，园区应在现有基础上完善环境风险防范体系建设，相关企业尤其是涉及危化品的企业应严格落实各项环境风险防范措施，防范突发性环境风险事故发生。完善环境污染事故应急预案，配备相应风险防范应急物资，定期做好应急演练，完善园区三级风险防范体系，保障环境安全。</w:t>
                  </w:r>
                </w:p>
              </w:tc>
              <w:tc>
                <w:tcPr>
                  <w:tcW w:w="1993" w:type="pct"/>
                  <w:noWrap w:val="0"/>
                  <w:vAlign w:val="center"/>
                </w:tcPr>
                <w:p>
                  <w:pPr>
                    <w:numPr>
                      <w:ilvl w:val="0"/>
                      <w:numId w:val="0"/>
                    </w:numPr>
                    <w:adjustRightInd w:val="0"/>
                    <w:snapToGrid w:val="0"/>
                    <w:spacing w:line="320" w:lineRule="exact"/>
                    <w:ind w:leftChars="0"/>
                    <w:jc w:val="both"/>
                    <w:rPr>
                      <w:rFonts w:hint="eastAsia" w:ascii="Times New Roman" w:hAnsi="Times New Roman" w:eastAsia="宋体" w:cs="Times New Roman"/>
                      <w:color w:val="auto"/>
                      <w:sz w:val="21"/>
                      <w:szCs w:val="21"/>
                      <w:highlight w:val="none"/>
                      <w:u w:val="none"/>
                      <w:lang w:eastAsia="zh-CN"/>
                    </w:rPr>
                  </w:pPr>
                  <w:r>
                    <w:rPr>
                      <w:rFonts w:hint="eastAsia" w:eastAsia="宋体" w:cs="Times New Roman"/>
                      <w:color w:val="auto"/>
                      <w:sz w:val="21"/>
                      <w:szCs w:val="21"/>
                      <w:highlight w:val="none"/>
                      <w:u w:val="none"/>
                      <w:lang w:eastAsia="zh-CN"/>
                    </w:rPr>
                    <w:t>拟建</w:t>
                  </w:r>
                  <w:r>
                    <w:rPr>
                      <w:rFonts w:hint="default" w:ascii="Times New Roman" w:hAnsi="Times New Roman" w:eastAsia="宋体" w:cs="Times New Roman"/>
                      <w:color w:val="auto"/>
                      <w:sz w:val="21"/>
                      <w:szCs w:val="21"/>
                      <w:highlight w:val="none"/>
                      <w:u w:val="none"/>
                    </w:rPr>
                    <w:t>项目无重大风险源，</w:t>
                  </w:r>
                  <w:r>
                    <w:rPr>
                      <w:rFonts w:hint="eastAsia"/>
                      <w:color w:val="auto"/>
                      <w:sz w:val="21"/>
                      <w:szCs w:val="21"/>
                      <w:lang w:eastAsia="zh-CN"/>
                    </w:rPr>
                    <w:t>化学品库</w:t>
                  </w:r>
                  <w:r>
                    <w:rPr>
                      <w:rFonts w:hint="eastAsia"/>
                      <w:color w:val="auto"/>
                      <w:sz w:val="21"/>
                      <w:szCs w:val="21"/>
                    </w:rPr>
                    <w:t>、危险废物暂存间、空压机房</w:t>
                  </w:r>
                  <w:r>
                    <w:rPr>
                      <w:rFonts w:hint="eastAsia"/>
                      <w:color w:val="auto"/>
                      <w:sz w:val="21"/>
                      <w:szCs w:val="21"/>
                      <w:lang w:eastAsia="zh-CN"/>
                    </w:rPr>
                    <w:t>按</w:t>
                  </w:r>
                  <w:r>
                    <w:rPr>
                      <w:color w:val="auto"/>
                      <w:sz w:val="21"/>
                      <w:szCs w:val="21"/>
                    </w:rPr>
                    <w:t>重点防渗区</w:t>
                  </w:r>
                  <w:r>
                    <w:rPr>
                      <w:rFonts w:hint="default" w:ascii="Times New Roman" w:hAnsi="Times New Roman" w:eastAsia="宋体" w:cs="Times New Roman"/>
                      <w:color w:val="auto"/>
                      <w:sz w:val="21"/>
                      <w:szCs w:val="21"/>
                      <w:highlight w:val="none"/>
                      <w:u w:val="none"/>
                    </w:rPr>
                    <w:t>进行防渗处理，并按照相关要求设置托盘、围堰等应急设施</w:t>
                  </w:r>
                  <w:r>
                    <w:rPr>
                      <w:rFonts w:hint="eastAsia" w:eastAsia="宋体" w:cs="Times New Roman"/>
                      <w:color w:val="auto"/>
                      <w:sz w:val="21"/>
                      <w:szCs w:val="21"/>
                      <w:highlight w:val="none"/>
                      <w:u w:val="none"/>
                      <w:lang w:eastAsia="zh-CN"/>
                    </w:rPr>
                    <w:t>。</w:t>
                  </w:r>
                </w:p>
              </w:tc>
            </w:tr>
          </w:tbl>
          <w:p>
            <w:pPr>
              <w:adjustRightInd w:val="0"/>
              <w:snapToGrid w:val="0"/>
              <w:spacing w:line="460" w:lineRule="exact"/>
              <w:ind w:firstLine="480"/>
              <w:rPr>
                <w:rFonts w:ascii="Times New Roman" w:hAnsi="Times New Roman"/>
                <w:color w:val="auto"/>
                <w:spacing w:val="-3"/>
                <w:sz w:val="24"/>
                <w:lang w:eastAsia="zh-CN"/>
              </w:rPr>
            </w:pPr>
            <w:r>
              <w:rPr>
                <w:rFonts w:hint="eastAsia" w:ascii="Times New Roman" w:hAnsi="Times New Roman" w:eastAsia="宋体" w:cs="Times New Roman"/>
                <w:color w:val="auto"/>
                <w:sz w:val="24"/>
                <w:highlight w:val="none"/>
                <w:u w:val="none"/>
                <w:lang w:val="en-US" w:eastAsia="zh-CN"/>
              </w:rPr>
              <w:t>根据上文可知，拟建项目满足铜梁高新区蒲吕片区规划及规划环境影响评价的要求。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88" w:type="dxa"/>
            <w:vAlign w:val="center"/>
          </w:tcPr>
          <w:p>
            <w:pPr>
              <w:autoSpaceDE w:val="0"/>
              <w:autoSpaceDN w:val="0"/>
              <w:adjustRightInd w:val="0"/>
              <w:snapToGrid w:val="0"/>
              <w:jc w:val="center"/>
              <w:rPr>
                <w:rFonts w:cs="宋体"/>
                <w:color w:val="auto"/>
                <w:kern w:val="0"/>
              </w:rPr>
            </w:pPr>
            <w:r>
              <w:rPr>
                <w:rFonts w:hint="eastAsia" w:cs="宋体"/>
                <w:color w:val="auto"/>
                <w:kern w:val="0"/>
              </w:rPr>
              <w:t>其他符合性分析</w:t>
            </w:r>
          </w:p>
        </w:tc>
        <w:tc>
          <w:tcPr>
            <w:tcW w:w="8291" w:type="dxa"/>
            <w:gridSpan w:val="3"/>
            <w:vAlign w:val="center"/>
          </w:tcPr>
          <w:p>
            <w:pPr>
              <w:adjustRightInd w:val="0"/>
              <w:snapToGrid w:val="0"/>
              <w:spacing w:line="360" w:lineRule="auto"/>
              <w:rPr>
                <w:rFonts w:hint="default" w:ascii="Times New Roman" w:hAnsi="Times New Roman" w:cs="Times New Roman"/>
                <w:b/>
                <w:color w:val="auto"/>
                <w:sz w:val="24"/>
                <w:highlight w:val="none"/>
                <w:u w:val="none"/>
              </w:rPr>
            </w:pPr>
            <w:r>
              <w:rPr>
                <w:rFonts w:hint="eastAsia" w:ascii="Times New Roman" w:hAnsi="Times New Roman" w:cs="Times New Roman"/>
                <w:b/>
                <w:color w:val="auto"/>
                <w:sz w:val="24"/>
                <w:highlight w:val="none"/>
                <w:u w:val="none"/>
                <w:lang w:val="en-US" w:eastAsia="zh-CN"/>
              </w:rPr>
              <w:t>1.3</w:t>
            </w:r>
            <w:r>
              <w:rPr>
                <w:rFonts w:hint="default" w:ascii="Times New Roman" w:hAnsi="Times New Roman" w:cs="Times New Roman"/>
                <w:b/>
                <w:color w:val="auto"/>
                <w:sz w:val="24"/>
                <w:highlight w:val="none"/>
                <w:u w:val="none"/>
              </w:rPr>
              <w:t>三线一单符合性分析</w:t>
            </w:r>
          </w:p>
          <w:p>
            <w:pPr>
              <w:adjustRightInd/>
              <w:snapToGrid/>
              <w:spacing w:line="240" w:lineRule="auto"/>
              <w:ind w:firstLine="482" w:firstLineChars="200"/>
              <w:jc w:val="center"/>
              <w:rPr>
                <w:rFonts w:hint="default" w:ascii="Times New Roman" w:hAnsi="Times New Roman" w:eastAsia="宋体" w:cs="Times New Roman"/>
                <w:b/>
                <w:color w:val="auto"/>
                <w:sz w:val="24"/>
                <w:highlight w:val="none"/>
                <w:u w:val="none"/>
                <w:lang w:val="en-US" w:eastAsia="zh-CN"/>
              </w:rPr>
            </w:pPr>
            <w:r>
              <w:rPr>
                <w:rFonts w:hint="eastAsia" w:ascii="Times New Roman" w:hAnsi="Times New Roman" w:eastAsia="宋体" w:cs="Times New Roman"/>
                <w:b/>
                <w:color w:val="auto"/>
                <w:sz w:val="24"/>
                <w:highlight w:val="none"/>
                <w:u w:val="none"/>
                <w:lang w:val="en-US" w:eastAsia="zh-CN"/>
              </w:rPr>
              <w:t>表1.3-1 项目与“三线一单”管控要求符合性分析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685"/>
              <w:gridCol w:w="2940"/>
              <w:gridCol w:w="2152"/>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15" w:type="dxa"/>
                  <w:gridSpan w:val="2"/>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环境管控单元编码</w:t>
                  </w:r>
                </w:p>
              </w:tc>
              <w:tc>
                <w:tcPr>
                  <w:tcW w:w="2940"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环境管控单位名称</w:t>
                  </w:r>
                </w:p>
              </w:tc>
              <w:tc>
                <w:tcPr>
                  <w:tcW w:w="3210" w:type="dxa"/>
                  <w:gridSpan w:val="2"/>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5" w:type="dxa"/>
                  <w:gridSpan w:val="2"/>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r>
                    <w:rPr>
                      <w:rFonts w:ascii="Times New Roman" w:hAnsi="Times New Roman" w:cs="Times New Roman"/>
                      <w:bCs/>
                      <w:color w:val="auto"/>
                      <w:sz w:val="21"/>
                      <w:szCs w:val="21"/>
                    </w:rPr>
                    <w:t>ZH50015120002</w:t>
                  </w: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r>
                    <w:rPr>
                      <w:rFonts w:ascii="Times New Roman" w:hAnsi="Times New Roman" w:cs="Times New Roman"/>
                      <w:bCs/>
                      <w:color w:val="auto"/>
                      <w:sz w:val="21"/>
                      <w:szCs w:val="21"/>
                    </w:rPr>
                    <w:t>淮远河众志桥</w:t>
                  </w:r>
                </w:p>
              </w:tc>
              <w:tc>
                <w:tcPr>
                  <w:tcW w:w="3210" w:type="dxa"/>
                  <w:gridSpan w:val="2"/>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highlight w:val="none"/>
                      <w:u w:val="none"/>
                      <w:lang w:eastAsia="zh-CN"/>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管控要求层级</w:t>
                  </w:r>
                </w:p>
              </w:tc>
              <w:tc>
                <w:tcPr>
                  <w:tcW w:w="685"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管控类型</w:t>
                  </w:r>
                </w:p>
              </w:tc>
              <w:tc>
                <w:tcPr>
                  <w:tcW w:w="2940"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管控要求</w:t>
                  </w:r>
                </w:p>
              </w:tc>
              <w:tc>
                <w:tcPr>
                  <w:tcW w:w="2152"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建设项目相关情况</w:t>
                  </w:r>
                </w:p>
              </w:tc>
              <w:tc>
                <w:tcPr>
                  <w:tcW w:w="1058"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符合性分析结论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restart"/>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全市总体管控要求</w:t>
                  </w:r>
                </w:p>
              </w:tc>
              <w:tc>
                <w:tcPr>
                  <w:tcW w:w="685" w:type="dxa"/>
                  <w:vMerge w:val="restart"/>
                  <w:vAlign w:val="center"/>
                </w:tcPr>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eastAsia="zh-CN"/>
                    </w:rPr>
                    <w:t>空间</w:t>
                  </w:r>
                </w:p>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eastAsia="zh-CN"/>
                    </w:rPr>
                    <w:t>布局</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eastAsia="宋体"/>
                      <w:color w:val="auto"/>
                      <w:sz w:val="21"/>
                      <w:szCs w:val="16"/>
                      <w:vertAlign w:val="baseline"/>
                      <w:lang w:eastAsia="zh-CN"/>
                    </w:rPr>
                    <w:t>约束</w:t>
                  </w: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第一条 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拟建项目为</w:t>
                  </w:r>
                  <w:r>
                    <w:rPr>
                      <w:rFonts w:hint="eastAsia" w:cs="Times New Roman"/>
                      <w:color w:val="auto"/>
                      <w:sz w:val="21"/>
                      <w:szCs w:val="21"/>
                      <w:highlight w:val="none"/>
                      <w:u w:val="none"/>
                      <w:lang w:val="en-US" w:eastAsia="zh-CN"/>
                    </w:rPr>
                    <w:t>塑料制品</w:t>
                  </w:r>
                  <w:r>
                    <w:rPr>
                      <w:rFonts w:hint="eastAsia" w:ascii="Times New Roman" w:hAnsi="Times New Roman" w:eastAsia="宋体" w:cs="Times New Roman"/>
                      <w:color w:val="auto"/>
                      <w:sz w:val="21"/>
                      <w:szCs w:val="21"/>
                      <w:highlight w:val="none"/>
                      <w:u w:val="none"/>
                      <w:lang w:val="en-US" w:eastAsia="zh-CN"/>
                    </w:rPr>
                    <w:t>项目，符合准入要求。</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第二条 禁止在长江干流及主要支流岸线1公里范围内新建重化工、纺织、造纸等存在污染风险的工业项目，禁止在长江干支流1公里范围内新建、扩建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pStyle w:val="36"/>
                    <w:rPr>
                      <w:rFonts w:hint="eastAsia"/>
                      <w:color w:val="auto"/>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mc:AlternateContent>
                      <mc:Choice Requires="wps">
                        <w:drawing>
                          <wp:anchor distT="0" distB="0" distL="114300" distR="114300" simplePos="0" relativeHeight="251659264" behindDoc="0" locked="0" layoutInCell="1" allowOverlap="1">
                            <wp:simplePos x="0" y="0"/>
                            <wp:positionH relativeFrom="rightMargin">
                              <wp:posOffset>-8994140</wp:posOffset>
                            </wp:positionH>
                            <wp:positionV relativeFrom="topMargin">
                              <wp:posOffset>699135</wp:posOffset>
                            </wp:positionV>
                            <wp:extent cx="143510" cy="192405"/>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43510" cy="192405"/>
                                    </a:xfrm>
                                    <a:prstGeom prst="rect">
                                      <a:avLst/>
                                    </a:prstGeom>
                                    <a:noFill/>
                                    <a:ln>
                                      <a:noFill/>
                                    </a:ln>
                                  </wps:spPr>
                                  <wps:txbx>
                                    <w:txbxContent>
                                      <w:p>
                                        <w:pPr>
                                          <w:spacing w:before="20" w:line="233" w:lineRule="auto"/>
                                          <w:ind w:left="20"/>
                                          <w:rPr>
                                            <w:rFonts w:ascii="宋体" w:hAnsi="宋体" w:eastAsia="宋体" w:cs="宋体"/>
                                            <w:sz w:val="20"/>
                                            <w:szCs w:val="20"/>
                                          </w:rPr>
                                        </w:pPr>
                                        <w:r>
                                          <w:rPr>
                                            <w:rFonts w:ascii="宋体" w:hAnsi="宋体" w:eastAsia="宋体" w:cs="宋体"/>
                                            <w:sz w:val="20"/>
                                            <w:szCs w:val="20"/>
                                          </w:rPr>
                                          <w:t>区</w:t>
                                        </w:r>
                                      </w:p>
                                    </w:txbxContent>
                                  </wps:txbx>
                                  <wps:bodyPr lIns="0" tIns="0" rIns="0" bIns="0" upright="true"/>
                                </wps:wsp>
                              </a:graphicData>
                            </a:graphic>
                          </wp:anchor>
                        </w:drawing>
                      </mc:Choice>
                      <mc:Fallback>
                        <w:pict>
                          <v:shape id="_x0000_s1026" o:spid="_x0000_s1026" o:spt="202" type="#_x0000_t202" style="position:absolute;left:0pt;margin-left:-606pt;margin-top:55.55pt;height:15.15pt;width:11.3pt;mso-position-horizontal-relative:page;mso-position-vertical-relative:page;z-index:251659264;mso-width-relative:page;mso-height-relative:page;" filled="f" stroked="f" coordsize="21600,21600" o:gfxdata="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mAZsaNsAAAAPAQAADwAAAAAAAAABACAAAAA4AAAAZHJzL2Rvd25yZXYueG1sUEsBAhQA&#10;FAAAAAgAh07iQAqOGmagAQAAKQMAAA4AAAAAAAAAAQAgAAAAQAEAAGRycy9lMm9Eb2MueG1sUEsF&#10;BgAAAAAGAAYAWQEAAFIFAAAAAA==&#10;">
                            <v:fill on="f" focussize="0,0"/>
                            <v:stroke on="f"/>
                            <v:imagedata o:title=""/>
                            <o:lock v:ext="edit" aspectratio="f"/>
                            <v:textbox inset="0mm,0mm,0mm,0mm">
                              <w:txbxContent>
                                <w:p>
                                  <w:pPr>
                                    <w:spacing w:before="20" w:line="233" w:lineRule="auto"/>
                                    <w:ind w:left="20"/>
                                    <w:rPr>
                                      <w:rFonts w:ascii="宋体" w:hAnsi="宋体" w:eastAsia="宋体" w:cs="宋体"/>
                                      <w:sz w:val="20"/>
                                      <w:szCs w:val="20"/>
                                    </w:rPr>
                                  </w:pPr>
                                  <w:r>
                                    <w:rPr>
                                      <w:rFonts w:ascii="宋体" w:hAnsi="宋体" w:eastAsia="宋体" w:cs="宋体"/>
                                      <w:sz w:val="20"/>
                                      <w:szCs w:val="20"/>
                                    </w:rPr>
                                    <w:t>区</w:t>
                                  </w:r>
                                </w:p>
                              </w:txbxContent>
                            </v:textbox>
                          </v:shape>
                        </w:pict>
                      </mc:Fallback>
                    </mc:AlternateContent>
                  </w:r>
                  <w:r>
                    <w:rPr>
                      <w:rFonts w:hint="eastAsia" w:ascii="Times New Roman" w:hAnsi="Times New Roman" w:eastAsia="宋体" w:cs="Times New Roman"/>
                      <w:color w:val="auto"/>
                      <w:sz w:val="21"/>
                      <w:szCs w:val="21"/>
                      <w:highlight w:val="none"/>
                      <w:u w:val="none"/>
                      <w:lang w:val="en-US" w:eastAsia="zh-CN"/>
                    </w:rPr>
                    <w:t>拟建项目为</w:t>
                  </w:r>
                  <w:r>
                    <w:rPr>
                      <w:rFonts w:hint="eastAsia" w:cs="Times New Roman"/>
                      <w:color w:val="auto"/>
                      <w:sz w:val="21"/>
                      <w:szCs w:val="21"/>
                      <w:highlight w:val="none"/>
                      <w:u w:val="none"/>
                      <w:lang w:val="en-US" w:eastAsia="zh-CN"/>
                    </w:rPr>
                    <w:t>塑料制品</w:t>
                  </w:r>
                  <w:r>
                    <w:rPr>
                      <w:rFonts w:hint="eastAsia" w:ascii="Times New Roman" w:hAnsi="Times New Roman" w:eastAsia="宋体" w:cs="Times New Roman"/>
                      <w:color w:val="auto"/>
                      <w:sz w:val="21"/>
                      <w:szCs w:val="21"/>
                      <w:highlight w:val="none"/>
                      <w:u w:val="none"/>
                      <w:lang w:val="en-US" w:eastAsia="zh-CN"/>
                    </w:rPr>
                    <w:t>项目，不属于化工项目，且项目位于铜梁蒲吕工业园。</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第三条 在长江鱼嘴以上江段及其一级支流汇入口上游20公里、嘉陵江及其一级支流汇入口上游20公里、集中式饮用水水源取水口上游20公里范围内的沿岸地区(江河50年一遇洪水位向陆域一侧1公里范围内)，禁止新建、扩建排放重点重金属(铬、镉、汞、砷、铅等五类重金属)、剧毒物质和持久性有机污染物的工业项目。</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拟建项目不在前述区域，不排放五类重金属、剧毒物质和持久性有机污染物。</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第四条 严格执行相关行业企业布局选址要求，优化环境防护距离设置；按要求设置生态隔离带，防范工业园区(工业集聚区)涉生态环境“邻避”问题，将环境防护距离优化控制在园区边界或用地红线以内。</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拟建项目不设置环境防护距离。</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第五条 加快布局分散的企业向园区集中，鼓励现有工业项目化工项目分别搬入工业集聚区、化工产业集聚区。</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拟建项目位于铜梁蒲吕工业园。</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第六条 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拟建项目的建设在区域资源环境承载能力之内。</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restart"/>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污染物排放管控</w:t>
                  </w: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第七条 未达到国家环境质量标准的重点区域、流域的有关地方人民政府，应当制定限期达标规划，并采取措施按期达标。</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铜梁区属于大气环境不达标区，已制定《铜梁区环境空气质量限期达标规划（2017-2025年）》。</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第八条 巩固(不符合国家产业政策的小型造纸、制革、印染、染料、炼焦、炼硫、炼砷、炼油、电镀、农药、涉磷生产和使用等企业)取缔成果，防止死灰复燃。巩固“十一大”(造纸、焦化，氮肥、有色金属、印染、农副产品及食品加工、原料药制造(生化制药)、制革、农药、电镀以及涉磷产品等)企业污染整治成果。</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拟建项目为</w:t>
                  </w:r>
                  <w:r>
                    <w:rPr>
                      <w:rFonts w:hint="eastAsia" w:cs="Times New Roman"/>
                      <w:color w:val="auto"/>
                      <w:sz w:val="21"/>
                      <w:szCs w:val="21"/>
                      <w:highlight w:val="none"/>
                      <w:u w:val="none"/>
                      <w:lang w:val="en-US" w:eastAsia="zh-CN"/>
                    </w:rPr>
                    <w:t>塑料制品</w:t>
                  </w:r>
                  <w:r>
                    <w:rPr>
                      <w:rFonts w:hint="eastAsia" w:ascii="Times New Roman" w:hAnsi="Times New Roman" w:eastAsia="宋体" w:cs="Times New Roman"/>
                      <w:color w:val="auto"/>
                      <w:sz w:val="21"/>
                      <w:szCs w:val="21"/>
                      <w:highlight w:val="none"/>
                      <w:u w:val="none"/>
                      <w:lang w:val="en-US" w:eastAsia="zh-CN"/>
                    </w:rPr>
                    <w:t>项目，不涉及前述行业。</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第九条 主城区及江津区、合川区、璧山区、铜梁区二氧化硫、氮氧化物、颗粒物、挥发性有机物严格执行大气污染物特别排放限值，并逐步将执行范围扩大到重点控制区重点行业。</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拟建项目为</w:t>
                  </w:r>
                  <w:r>
                    <w:rPr>
                      <w:rFonts w:hint="eastAsia" w:cs="Times New Roman"/>
                      <w:color w:val="auto"/>
                      <w:sz w:val="21"/>
                      <w:szCs w:val="21"/>
                      <w:highlight w:val="none"/>
                      <w:u w:val="none"/>
                      <w:lang w:val="en-US" w:eastAsia="zh-CN"/>
                    </w:rPr>
                    <w:t>塑料制品</w:t>
                  </w:r>
                  <w:r>
                    <w:rPr>
                      <w:rFonts w:hint="eastAsia" w:ascii="Times New Roman" w:hAnsi="Times New Roman" w:eastAsia="宋体" w:cs="Times New Roman"/>
                      <w:color w:val="auto"/>
                      <w:sz w:val="21"/>
                      <w:szCs w:val="21"/>
                      <w:highlight w:val="none"/>
                      <w:u w:val="none"/>
                      <w:lang w:val="en-US" w:eastAsia="zh-CN"/>
                    </w:rPr>
                    <w:t>项目</w:t>
                  </w:r>
                  <w:r>
                    <w:rPr>
                      <w:rFonts w:hint="eastAsia" w:cs="Times New Roman"/>
                      <w:color w:val="auto"/>
                      <w:sz w:val="21"/>
                      <w:szCs w:val="21"/>
                      <w:highlight w:val="none"/>
                      <w:u w:val="none"/>
                      <w:lang w:val="en-US" w:eastAsia="zh-CN"/>
                    </w:rPr>
                    <w:t>，</w:t>
                  </w:r>
                  <w:r>
                    <w:rPr>
                      <w:rFonts w:hint="eastAsia" w:ascii="Times New Roman" w:hAnsi="Times New Roman" w:eastAsia="宋体" w:cs="Times New Roman"/>
                      <w:color w:val="auto"/>
                      <w:sz w:val="21"/>
                      <w:szCs w:val="21"/>
                      <w:highlight w:val="none"/>
                      <w:u w:val="none"/>
                      <w:lang w:val="en-US" w:eastAsia="zh-CN"/>
                    </w:rPr>
                    <w:t>位于铜梁区，</w:t>
                  </w:r>
                  <w:r>
                    <w:rPr>
                      <w:rFonts w:hint="eastAsia" w:cs="Times New Roman"/>
                      <w:color w:val="auto"/>
                      <w:sz w:val="21"/>
                      <w:szCs w:val="21"/>
                      <w:highlight w:val="none"/>
                      <w:u w:val="none"/>
                      <w:lang w:val="en-US" w:eastAsia="zh-CN"/>
                    </w:rPr>
                    <w:t>应</w:t>
                  </w:r>
                  <w:r>
                    <w:rPr>
                      <w:rFonts w:hint="eastAsia" w:ascii="Times New Roman" w:hAnsi="Times New Roman" w:eastAsia="宋体" w:cs="Times New Roman"/>
                      <w:color w:val="auto"/>
                      <w:sz w:val="21"/>
                      <w:szCs w:val="21"/>
                      <w:highlight w:val="none"/>
                      <w:u w:val="none"/>
                      <w:lang w:val="en-US" w:eastAsia="zh-CN"/>
                    </w:rPr>
                    <w:t>执行《大气污染物综合排放标准》(DB50/418-2016)其他区域标准。</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第十条 新建、改建、扩建涉VOCs排放的项目，加强源头控制，使用低(无)VOCs含量的原辅料，加强废气收集，安装高效治理设施，有条件的工业集聚区建设集中喷涂中心，配备高效治污设施，替代企业独立喷涂工序。</w:t>
                  </w:r>
                </w:p>
              </w:tc>
              <w:tc>
                <w:tcPr>
                  <w:tcW w:w="2152"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拟建项目涉及白乳胶等VOCs物料。项目卷管过程产生的胶粘废气经集气罩收集后通过“活性炭吸附”处理后通过15m高排气筒DA001排放；</w:t>
                  </w:r>
                  <w:r>
                    <w:rPr>
                      <w:rFonts w:hint="eastAsia"/>
                      <w:color w:val="auto"/>
                      <w:sz w:val="21"/>
                      <w:highlight w:val="none"/>
                      <w:lang w:val="en-US" w:eastAsia="zh-CN"/>
                    </w:rPr>
                    <w:t>项目流延废气、</w:t>
                  </w:r>
                  <w:r>
                    <w:rPr>
                      <w:rFonts w:hint="default"/>
                      <w:color w:val="auto"/>
                      <w:sz w:val="21"/>
                      <w:highlight w:val="none"/>
                      <w:lang w:val="en-US" w:eastAsia="zh-CN"/>
                    </w:rPr>
                    <w:t>吹膜废气</w:t>
                  </w:r>
                  <w:r>
                    <w:rPr>
                      <w:rFonts w:hint="eastAsia"/>
                      <w:color w:val="auto"/>
                      <w:sz w:val="21"/>
                      <w:highlight w:val="none"/>
                      <w:lang w:val="en-US" w:eastAsia="zh-CN"/>
                    </w:rPr>
                    <w:t>经集气罩收集后通过“二级活性炭吸附”处理后通过15m高排气筒DA002排放；危废间废气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第十一条 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蒲吕片区设有污水处理厂集中处理片区废水，项目废水可实现接管排放。</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restart"/>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环境风险防控</w:t>
                  </w: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第十二条 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蒲吕工业园已开展园区级突发环境事件风险评估。</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第十三条 禁止建设存在重大环境安全隐患的工业项目，严禁工艺技术落后、环境风险高的化工企业向我市转移。</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拟建项目为</w:t>
                  </w:r>
                  <w:r>
                    <w:rPr>
                      <w:rFonts w:hint="eastAsia" w:cs="Times New Roman"/>
                      <w:color w:val="auto"/>
                      <w:sz w:val="21"/>
                      <w:szCs w:val="21"/>
                      <w:highlight w:val="none"/>
                      <w:u w:val="none"/>
                      <w:lang w:val="en-US" w:eastAsia="zh-CN"/>
                    </w:rPr>
                    <w:t>塑料制品</w:t>
                  </w:r>
                  <w:r>
                    <w:rPr>
                      <w:rFonts w:hint="eastAsia" w:ascii="Times New Roman" w:hAnsi="Times New Roman" w:eastAsia="宋体" w:cs="Times New Roman"/>
                      <w:color w:val="auto"/>
                      <w:sz w:val="21"/>
                      <w:szCs w:val="21"/>
                      <w:highlight w:val="none"/>
                      <w:u w:val="none"/>
                      <w:lang w:val="en-US" w:eastAsia="zh-CN"/>
                    </w:rPr>
                    <w:t>项目，不属于存在重大环境安全隐患的工业项目。</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restart"/>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资源开发利用效率</w:t>
                  </w: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第十四条 加强资源节约集约利用。实行能源，水资源，建设用地总量和强度双控行动，推进节能、节水、节地，节材等节约自然资源行动，从源头减少污染物排放。</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拟建项目在蒲吕园区建设，在满足工艺生产要求前提下优先选用节能设备。</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第十五条 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拟建项目为</w:t>
                  </w:r>
                  <w:r>
                    <w:rPr>
                      <w:rFonts w:hint="eastAsia" w:cs="Times New Roman"/>
                      <w:color w:val="auto"/>
                      <w:sz w:val="21"/>
                      <w:szCs w:val="21"/>
                      <w:highlight w:val="none"/>
                      <w:u w:val="none"/>
                      <w:lang w:val="en-US" w:eastAsia="zh-CN"/>
                    </w:rPr>
                    <w:t>塑料制品</w:t>
                  </w:r>
                  <w:r>
                    <w:rPr>
                      <w:rFonts w:hint="eastAsia" w:ascii="Times New Roman" w:hAnsi="Times New Roman" w:eastAsia="宋体" w:cs="Times New Roman"/>
                      <w:color w:val="auto"/>
                      <w:sz w:val="21"/>
                      <w:szCs w:val="21"/>
                      <w:highlight w:val="none"/>
                      <w:u w:val="none"/>
                      <w:lang w:val="en-US" w:eastAsia="zh-CN"/>
                    </w:rPr>
                    <w:t>项目，不涉及高污染燃料。</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restart"/>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铜梁</w:t>
                  </w:r>
                  <w:r>
                    <w:rPr>
                      <w:rFonts w:hint="eastAsia" w:ascii="Times New Roman" w:hAnsi="Times New Roman" w:eastAsia="宋体" w:cs="Times New Roman"/>
                      <w:color w:val="auto"/>
                      <w:sz w:val="21"/>
                      <w:szCs w:val="21"/>
                      <w:highlight w:val="none"/>
                      <w:u w:val="none"/>
                      <w:lang w:val="en-US" w:eastAsia="zh-CN"/>
                    </w:rPr>
                    <w:t>区总体管控要求</w:t>
                  </w:r>
                </w:p>
              </w:tc>
              <w:tc>
                <w:tcPr>
                  <w:tcW w:w="685" w:type="dxa"/>
                  <w:vMerge w:val="restart"/>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空间布局约束</w:t>
                  </w:r>
                </w:p>
              </w:tc>
              <w:tc>
                <w:tcPr>
                  <w:tcW w:w="2940" w:type="dxa"/>
                  <w:vAlign w:val="center"/>
                </w:tcPr>
                <w:p>
                  <w:pPr>
                    <w:pStyle w:val="6"/>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第一条 保护好巴岳山、毓青山等自然生态环境，形成以生态功能区为支撑，国家禁止开发区域为重要组成部分的生态空间体系。</w:t>
                  </w:r>
                </w:p>
              </w:tc>
              <w:tc>
                <w:tcPr>
                  <w:tcW w:w="2152" w:type="dxa"/>
                  <w:vAlign w:val="center"/>
                </w:tcPr>
                <w:p>
                  <w:pPr>
                    <w:pStyle w:val="6"/>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项目位于铜梁高新区蒲吕片区内，不涉及前述问题。</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pStyle w:val="6"/>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第二条 铜梁高新区白土坝片区采取“腾笼换鸟”的方式，推动现有产业提档升级。</w:t>
                  </w:r>
                </w:p>
              </w:tc>
              <w:tc>
                <w:tcPr>
                  <w:tcW w:w="2152" w:type="dxa"/>
                  <w:vAlign w:val="center"/>
                </w:tcPr>
                <w:p>
                  <w:pPr>
                    <w:pStyle w:val="6"/>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项目位于铜梁高新区蒲吕片区内，不属于白土坝片区。</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restart"/>
                  <w:vAlign w:val="center"/>
                </w:tcPr>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eastAsia="zh-CN"/>
                    </w:rPr>
                    <w:t>污染</w:t>
                  </w:r>
                </w:p>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eastAsia="zh-CN"/>
                    </w:rPr>
                    <w:t>物排</w:t>
                  </w:r>
                </w:p>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eastAsia="zh-CN"/>
                    </w:rPr>
                    <w:t>放管</w:t>
                  </w:r>
                </w:p>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eastAsia="宋体"/>
                      <w:color w:val="auto"/>
                      <w:sz w:val="21"/>
                      <w:szCs w:val="16"/>
                      <w:vertAlign w:val="baseline"/>
                      <w:lang w:eastAsia="zh-CN"/>
                    </w:rPr>
                    <w:t>控</w:t>
                  </w:r>
                </w:p>
              </w:tc>
              <w:tc>
                <w:tcPr>
                  <w:tcW w:w="2940" w:type="dxa"/>
                  <w:vAlign w:val="center"/>
                </w:tcPr>
                <w:p>
                  <w:pPr>
                    <w:pStyle w:val="6"/>
                    <w:spacing w:line="240" w:lineRule="auto"/>
                    <w:ind w:left="0" w:leftChars="0" w:firstLine="0" w:firstLineChars="0"/>
                    <w:jc w:val="center"/>
                    <w:rPr>
                      <w:rFonts w:hint="eastAsia" w:ascii="Times New Roman" w:hAnsi="Times New Roman" w:eastAsia="宋体" w:cs="Times New Roman"/>
                      <w:color w:val="auto"/>
                      <w:kern w:val="0"/>
                      <w:sz w:val="21"/>
                      <w:szCs w:val="16"/>
                      <w:vertAlign w:val="baseline"/>
                      <w:lang w:val="en-US" w:eastAsia="zh-CN" w:bidi="ar-SA"/>
                    </w:rPr>
                  </w:pPr>
                  <w:r>
                    <w:rPr>
                      <w:rFonts w:hint="eastAsia" w:eastAsia="宋体"/>
                      <w:color w:val="auto"/>
                      <w:sz w:val="21"/>
                      <w:szCs w:val="16"/>
                      <w:vertAlign w:val="baseline"/>
                      <w:lang w:eastAsia="zh-CN"/>
                    </w:rPr>
                    <w:t>第三条 城市生活污水处理厂全面达到《城镇污水处理厂污染物排放标准》（GB18919-2002）一级A排放标准。</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项目废水经处理后进入</w:t>
                  </w:r>
                  <w:r>
                    <w:rPr>
                      <w:rFonts w:hint="eastAsia" w:cs="Times New Roman"/>
                      <w:color w:val="auto"/>
                      <w:sz w:val="21"/>
                      <w:szCs w:val="21"/>
                      <w:highlight w:val="none"/>
                      <w:u w:val="none"/>
                      <w:lang w:val="en-US" w:eastAsia="zh-CN"/>
                    </w:rPr>
                    <w:t>东城污水处理厂</w:t>
                  </w:r>
                  <w:r>
                    <w:rPr>
                      <w:rFonts w:hint="eastAsia" w:ascii="Times New Roman" w:hAnsi="Times New Roman" w:eastAsia="宋体" w:cs="Times New Roman"/>
                      <w:color w:val="auto"/>
                      <w:sz w:val="21"/>
                      <w:szCs w:val="21"/>
                      <w:highlight w:val="none"/>
                      <w:u w:val="none"/>
                      <w:lang w:val="en-US" w:eastAsia="zh-CN"/>
                    </w:rPr>
                    <w:t>处理达到《城镇污水处理厂污染物排放标准》(GB18918-2002)</w:t>
                  </w:r>
                  <w:r>
                    <w:rPr>
                      <w:rFonts w:hint="eastAsia" w:cs="Times New Roman"/>
                      <w:color w:val="auto"/>
                      <w:sz w:val="21"/>
                      <w:szCs w:val="21"/>
                      <w:highlight w:val="none"/>
                      <w:u w:val="none"/>
                      <w:lang w:val="en-US" w:eastAsia="zh-CN"/>
                    </w:rPr>
                    <w:t>一级B</w:t>
                  </w:r>
                  <w:r>
                    <w:rPr>
                      <w:rFonts w:hint="eastAsia" w:ascii="Times New Roman" w:hAnsi="Times New Roman" w:eastAsia="宋体" w:cs="Times New Roman"/>
                      <w:color w:val="auto"/>
                      <w:sz w:val="21"/>
                      <w:szCs w:val="21"/>
                      <w:highlight w:val="none"/>
                      <w:u w:val="none"/>
                      <w:lang w:val="en-US" w:eastAsia="zh-CN"/>
                    </w:rPr>
                    <w:t>标准后排入建</w:t>
                  </w:r>
                  <w:r>
                    <w:rPr>
                      <w:rFonts w:hint="eastAsia" w:cs="Times New Roman"/>
                      <w:color w:val="auto"/>
                      <w:sz w:val="21"/>
                      <w:szCs w:val="21"/>
                      <w:highlight w:val="none"/>
                      <w:u w:val="none"/>
                      <w:lang w:val="en-US" w:eastAsia="zh-CN"/>
                    </w:rPr>
                    <w:t>淮远河</w:t>
                  </w:r>
                  <w:r>
                    <w:rPr>
                      <w:rFonts w:hint="eastAsia" w:ascii="Times New Roman" w:hAnsi="Times New Roman" w:eastAsia="宋体" w:cs="Times New Roman"/>
                      <w:color w:val="auto"/>
                      <w:sz w:val="21"/>
                      <w:szCs w:val="21"/>
                      <w:highlight w:val="none"/>
                      <w:u w:val="none"/>
                      <w:lang w:val="en-US" w:eastAsia="zh-CN"/>
                    </w:rPr>
                    <w:t>。</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pStyle w:val="6"/>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第四条 持续推进企业大气污染防治。二氧化硫、氦氧化物、颗粒物、</w:t>
                  </w:r>
                  <w:r>
                    <w:rPr>
                      <w:rFonts w:hint="default" w:ascii="Times New Roman" w:hAnsi="Times New Roman" w:eastAsia="宋体" w:cs="Times New Roman"/>
                      <w:color w:val="auto"/>
                      <w:kern w:val="2"/>
                      <w:sz w:val="21"/>
                      <w:szCs w:val="21"/>
                      <w:highlight w:val="none"/>
                      <w:u w:val="none"/>
                      <w:lang w:val="en-US" w:eastAsia="zh-CN" w:bidi="ar-SA"/>
                    </w:rPr>
                    <w:t>VOC</w:t>
                  </w:r>
                  <w:r>
                    <w:rPr>
                      <w:rFonts w:hint="default" w:ascii="Times New Roman" w:hAnsi="Times New Roman" w:eastAsia="宋体" w:cs="Times New Roman"/>
                      <w:color w:val="auto"/>
                      <w:kern w:val="2"/>
                      <w:sz w:val="21"/>
                      <w:szCs w:val="21"/>
                      <w:highlight w:val="none"/>
                      <w:u w:val="none"/>
                      <w:vertAlign w:val="subscript"/>
                      <w:lang w:val="en-US" w:eastAsia="zh-CN" w:bidi="ar-SA"/>
                    </w:rPr>
                    <w:t>S</w:t>
                  </w:r>
                  <w:r>
                    <w:rPr>
                      <w:rFonts w:hint="eastAsia" w:ascii="Times New Roman" w:hAnsi="Times New Roman" w:eastAsia="宋体" w:cs="Times New Roman"/>
                      <w:color w:val="auto"/>
                      <w:kern w:val="2"/>
                      <w:sz w:val="21"/>
                      <w:szCs w:val="21"/>
                      <w:highlight w:val="none"/>
                      <w:u w:val="none"/>
                      <w:lang w:val="en-US" w:eastAsia="zh-CN" w:bidi="ar-SA"/>
                    </w:rPr>
                    <w:t>严格执行大气污染物特别排放限值，鼓励辖区内水泥、烧结砖瓦窑企业错峰生产</w:t>
                  </w:r>
                </w:p>
              </w:tc>
              <w:tc>
                <w:tcPr>
                  <w:tcW w:w="2152" w:type="dxa"/>
                  <w:vAlign w:val="center"/>
                </w:tcPr>
                <w:p>
                  <w:pPr>
                    <w:pStyle w:val="6"/>
                    <w:spacing w:line="240" w:lineRule="auto"/>
                    <w:ind w:left="0" w:leftChars="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GB" w:eastAsia="zh-CN" w:bidi="ar-SA"/>
                    </w:rPr>
                    <w:t>项目流延废气、拌料废气、吹膜废气、制袋废气、危废间有机废气的颗粒物、非甲烷总烃执行《合成树脂工业污染物排放标准》（GB31572-2015）中大气污染物特别排放限值</w:t>
                  </w:r>
                  <w:r>
                    <w:rPr>
                      <w:rFonts w:hint="eastAsia" w:ascii="Times New Roman" w:hAnsi="Times New Roman" w:cs="Times New Roman"/>
                      <w:color w:val="auto"/>
                      <w:kern w:val="2"/>
                      <w:sz w:val="21"/>
                      <w:szCs w:val="21"/>
                      <w:highlight w:val="none"/>
                      <w:u w:val="none"/>
                      <w:lang w:val="en-US" w:eastAsia="zh-CN" w:bidi="ar-SA"/>
                    </w:rPr>
                    <w:t>；胶粘废气的非甲烷总烃执行《涂料、油墨及胶粘剂工业大气污染物排放标准》（GB37824—2019）中大气污染物特别排放限值；厂房外非甲烷总烃执行《挥发性有机物无组织排放控制标准》（GB37822-2019）特别排放限值</w:t>
                  </w:r>
                  <w:r>
                    <w:rPr>
                      <w:rFonts w:hint="eastAsia" w:cs="Times New Roman"/>
                      <w:color w:val="auto"/>
                      <w:kern w:val="2"/>
                      <w:sz w:val="21"/>
                      <w:szCs w:val="21"/>
                      <w:highlight w:val="none"/>
                      <w:u w:val="none"/>
                      <w:lang w:val="en-US" w:eastAsia="zh-CN" w:bidi="ar-SA"/>
                    </w:rPr>
                    <w:t>。</w:t>
                  </w:r>
                </w:p>
              </w:tc>
              <w:tc>
                <w:tcPr>
                  <w:tcW w:w="1058"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val="en-US" w:eastAsia="zh-CN"/>
                    </w:rPr>
                    <w:t>第五条 新建、改建、扩建涉</w:t>
                  </w:r>
                  <w:r>
                    <w:rPr>
                      <w:rFonts w:hint="default" w:eastAsia="宋体"/>
                      <w:color w:val="auto"/>
                      <w:sz w:val="21"/>
                      <w:szCs w:val="16"/>
                      <w:vertAlign w:val="baseline"/>
                      <w:lang w:val="en-US" w:eastAsia="zh-CN"/>
                    </w:rPr>
                    <w:t>VOC</w:t>
                  </w:r>
                  <w:r>
                    <w:rPr>
                      <w:rFonts w:hint="default" w:eastAsia="宋体"/>
                      <w:color w:val="auto"/>
                      <w:sz w:val="21"/>
                      <w:szCs w:val="16"/>
                      <w:vertAlign w:val="subscript"/>
                      <w:lang w:val="en-US" w:eastAsia="zh-CN"/>
                    </w:rPr>
                    <w:t>S</w:t>
                  </w:r>
                  <w:r>
                    <w:rPr>
                      <w:rFonts w:hint="eastAsia" w:eastAsia="宋体"/>
                      <w:color w:val="auto"/>
                      <w:sz w:val="21"/>
                      <w:szCs w:val="16"/>
                      <w:vertAlign w:val="baseline"/>
                      <w:lang w:val="en-US" w:eastAsia="zh-CN"/>
                    </w:rPr>
                    <w:t>的项目，要加强源头控制，使用低（无）</w:t>
                  </w:r>
                  <w:r>
                    <w:rPr>
                      <w:rFonts w:hint="default" w:eastAsia="宋体"/>
                      <w:color w:val="auto"/>
                      <w:sz w:val="21"/>
                      <w:szCs w:val="16"/>
                      <w:vertAlign w:val="baseline"/>
                      <w:lang w:val="en-US" w:eastAsia="zh-CN"/>
                    </w:rPr>
                    <w:t>VOC</w:t>
                  </w:r>
                  <w:r>
                    <w:rPr>
                      <w:rFonts w:hint="default" w:eastAsia="宋体"/>
                      <w:color w:val="auto"/>
                      <w:sz w:val="21"/>
                      <w:szCs w:val="16"/>
                      <w:vertAlign w:val="subscript"/>
                      <w:lang w:val="en-US" w:eastAsia="zh-CN"/>
                    </w:rPr>
                    <w:t>S</w:t>
                  </w:r>
                  <w:r>
                    <w:rPr>
                      <w:rFonts w:hint="eastAsia" w:eastAsia="宋体"/>
                      <w:color w:val="auto"/>
                      <w:sz w:val="21"/>
                      <w:szCs w:val="16"/>
                      <w:vertAlign w:val="baseline"/>
                      <w:lang w:val="en-US" w:eastAsia="zh-CN"/>
                    </w:rPr>
                    <w:t xml:space="preserve">含量的原辅料，加强度气收集， </w:t>
                  </w:r>
                </w:p>
                <w:p>
                  <w:pPr>
                    <w:pStyle w:val="6"/>
                    <w:spacing w:line="240" w:lineRule="auto"/>
                    <w:ind w:left="0" w:leftChars="0" w:firstLine="0" w:firstLineChars="0"/>
                    <w:jc w:val="center"/>
                    <w:rPr>
                      <w:rFonts w:hint="eastAsia" w:ascii="Times New Roman" w:hAnsi="Times New Roman" w:eastAsia="宋体" w:cs="Times New Roman"/>
                      <w:color w:val="auto"/>
                      <w:kern w:val="0"/>
                      <w:sz w:val="21"/>
                      <w:szCs w:val="16"/>
                      <w:vertAlign w:val="baseline"/>
                      <w:lang w:val="en-US" w:eastAsia="zh-CN" w:bidi="ar-SA"/>
                    </w:rPr>
                  </w:pPr>
                  <w:r>
                    <w:rPr>
                      <w:rFonts w:hint="eastAsia" w:eastAsia="宋体"/>
                      <w:color w:val="auto"/>
                      <w:sz w:val="21"/>
                      <w:szCs w:val="16"/>
                      <w:vertAlign w:val="baseline"/>
                      <w:lang w:val="en-US" w:eastAsia="zh-CN"/>
                    </w:rPr>
                    <w:t>安装高效治理设施。</w:t>
                  </w:r>
                </w:p>
              </w:tc>
              <w:tc>
                <w:tcPr>
                  <w:tcW w:w="2152"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b w:val="0"/>
                      <w:bCs/>
                      <w:color w:val="auto"/>
                      <w:sz w:val="21"/>
                      <w:szCs w:val="21"/>
                      <w:lang w:val="en-US" w:eastAsia="zh-CN"/>
                    </w:rPr>
                    <w:t>拟建项目</w:t>
                  </w:r>
                  <w:r>
                    <w:rPr>
                      <w:rFonts w:hint="eastAsia" w:cs="Times New Roman"/>
                      <w:b w:val="0"/>
                      <w:bCs/>
                      <w:color w:val="auto"/>
                      <w:sz w:val="21"/>
                      <w:szCs w:val="21"/>
                      <w:lang w:val="en-US" w:eastAsia="zh-CN"/>
                    </w:rPr>
                    <w:t>所用的白乳胶为水性胶，使用的原料为PP和PE。项目</w:t>
                  </w:r>
                  <w:r>
                    <w:rPr>
                      <w:rFonts w:hint="eastAsia"/>
                      <w:color w:val="auto"/>
                      <w:sz w:val="21"/>
                      <w:highlight w:val="none"/>
                      <w:lang w:val="en-US" w:eastAsia="zh-CN"/>
                    </w:rPr>
                    <w:t>卷管过程产生的胶粘废气经集气罩收集后通过“活性炭吸附”处理后通过15m高排气筒DA001排放；项目流延废气、</w:t>
                  </w:r>
                  <w:r>
                    <w:rPr>
                      <w:rFonts w:hint="default"/>
                      <w:color w:val="auto"/>
                      <w:sz w:val="21"/>
                      <w:highlight w:val="none"/>
                      <w:lang w:val="en-US" w:eastAsia="zh-CN"/>
                    </w:rPr>
                    <w:t>吹膜废气</w:t>
                  </w:r>
                  <w:r>
                    <w:rPr>
                      <w:rFonts w:hint="eastAsia"/>
                      <w:color w:val="auto"/>
                      <w:sz w:val="21"/>
                      <w:highlight w:val="none"/>
                      <w:lang w:val="en-US" w:eastAsia="zh-CN"/>
                    </w:rPr>
                    <w:t>经集气罩收集后通过“二级活性炭吸附”处理后通过15m高排气筒DA002排放；危废间废气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r>
                    <w:rPr>
                      <w:rFonts w:hint="eastAsia"/>
                      <w:color w:val="auto"/>
                      <w:sz w:val="21"/>
                      <w:highlight w:val="none"/>
                      <w:lang w:val="en-US" w:eastAsia="zh-CN"/>
                    </w:rPr>
                    <w:t>；集气罩收集的食堂废气经引风机引入油烟净化器处理后引至DA004排气筒15m排放。</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val="en-US" w:eastAsia="zh-CN"/>
                    </w:rPr>
                    <w:t xml:space="preserve">第六条 持续推进小安溪综合整治，加强农业面源污染防治；加快农村分散污水有效处理，推进农村生活垃圾进行集 </w:t>
                  </w:r>
                </w:p>
                <w:p>
                  <w:pPr>
                    <w:pStyle w:val="6"/>
                    <w:spacing w:line="240" w:lineRule="auto"/>
                    <w:ind w:left="0" w:leftChars="0" w:firstLine="0" w:firstLineChars="0"/>
                    <w:jc w:val="center"/>
                    <w:rPr>
                      <w:rFonts w:hint="eastAsia" w:ascii="Times New Roman" w:hAnsi="Times New Roman" w:eastAsia="宋体" w:cs="Times New Roman"/>
                      <w:color w:val="auto"/>
                      <w:kern w:val="0"/>
                      <w:sz w:val="21"/>
                      <w:szCs w:val="16"/>
                      <w:vertAlign w:val="baseline"/>
                      <w:lang w:val="en-US" w:eastAsia="zh-CN" w:bidi="ar-SA"/>
                    </w:rPr>
                  </w:pPr>
                  <w:r>
                    <w:rPr>
                      <w:rFonts w:hint="eastAsia" w:eastAsia="宋体"/>
                      <w:color w:val="auto"/>
                      <w:sz w:val="21"/>
                      <w:szCs w:val="16"/>
                      <w:vertAlign w:val="baseline"/>
                      <w:lang w:val="en-US" w:eastAsia="zh-CN"/>
                    </w:rPr>
                    <w:t>中收集并转运统一处置。</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项目位于铜梁高新区蒲吕片区内，项目废水经管网排入</w:t>
                  </w:r>
                  <w:r>
                    <w:rPr>
                      <w:rFonts w:hint="eastAsia" w:cs="Times New Roman"/>
                      <w:color w:val="auto"/>
                      <w:sz w:val="21"/>
                      <w:szCs w:val="21"/>
                      <w:highlight w:val="none"/>
                      <w:u w:val="none"/>
                      <w:lang w:val="en-US" w:eastAsia="zh-CN"/>
                    </w:rPr>
                    <w:t>东城污水处理厂</w:t>
                  </w:r>
                  <w:r>
                    <w:rPr>
                      <w:rFonts w:hint="eastAsia" w:ascii="Times New Roman" w:hAnsi="Times New Roman" w:eastAsia="宋体" w:cs="Times New Roman"/>
                      <w:color w:val="auto"/>
                      <w:sz w:val="21"/>
                      <w:szCs w:val="21"/>
                      <w:highlight w:val="none"/>
                      <w:u w:val="none"/>
                      <w:lang w:val="en-US" w:eastAsia="zh-CN"/>
                    </w:rPr>
                    <w:t>处理。</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2940" w:type="dxa"/>
                  <w:vAlign w:val="center"/>
                </w:tcPr>
                <w:p>
                  <w:pPr>
                    <w:pStyle w:val="6"/>
                    <w:spacing w:line="240" w:lineRule="auto"/>
                    <w:ind w:left="0" w:leftChars="0" w:firstLine="0" w:firstLineChars="0"/>
                    <w:jc w:val="center"/>
                    <w:rPr>
                      <w:rFonts w:hint="eastAsia" w:ascii="Times New Roman" w:hAnsi="Times New Roman" w:eastAsia="宋体" w:cs="Times New Roman"/>
                      <w:color w:val="auto"/>
                      <w:kern w:val="0"/>
                      <w:sz w:val="21"/>
                      <w:szCs w:val="16"/>
                      <w:vertAlign w:val="baseline"/>
                      <w:lang w:val="en-US" w:eastAsia="zh-CN" w:bidi="ar-SA"/>
                    </w:rPr>
                  </w:pPr>
                  <w:r>
                    <w:rPr>
                      <w:rFonts w:hint="eastAsia" w:eastAsia="宋体"/>
                      <w:color w:val="auto"/>
                      <w:sz w:val="21"/>
                      <w:szCs w:val="16"/>
                      <w:vertAlign w:val="baseline"/>
                      <w:lang w:val="en-US" w:eastAsia="zh-CN"/>
                    </w:rPr>
                    <w:t>第七条 严格落实畜禽养殖规划，关闭或搬迁小安溪流域禁养区畜禽养殖场。</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项目为</w:t>
                  </w:r>
                  <w:r>
                    <w:rPr>
                      <w:rFonts w:hint="eastAsia" w:cs="Times New Roman"/>
                      <w:color w:val="auto"/>
                      <w:sz w:val="21"/>
                      <w:szCs w:val="21"/>
                      <w:highlight w:val="none"/>
                      <w:u w:val="none"/>
                      <w:lang w:val="en-US" w:eastAsia="zh-CN"/>
                    </w:rPr>
                    <w:t>塑料制品</w:t>
                  </w:r>
                  <w:r>
                    <w:rPr>
                      <w:rFonts w:hint="eastAsia" w:ascii="Times New Roman" w:hAnsi="Times New Roman" w:eastAsia="宋体" w:cs="Times New Roman"/>
                      <w:color w:val="auto"/>
                      <w:sz w:val="21"/>
                      <w:szCs w:val="21"/>
                      <w:highlight w:val="none"/>
                      <w:u w:val="none"/>
                      <w:lang w:val="en-US" w:eastAsia="zh-CN"/>
                    </w:rPr>
                    <w:t>项目，不涉及</w:t>
                  </w:r>
                  <w:r>
                    <w:rPr>
                      <w:rFonts w:hint="eastAsia" w:eastAsia="宋体"/>
                      <w:color w:val="auto"/>
                      <w:sz w:val="21"/>
                      <w:szCs w:val="16"/>
                      <w:vertAlign w:val="baseline"/>
                      <w:lang w:val="en-US" w:eastAsia="zh-CN"/>
                    </w:rPr>
                    <w:t>畜禽养殖。</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Align w:val="center"/>
                </w:tcPr>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eastAsia="zh-CN"/>
                    </w:rPr>
                    <w:t>资源</w:t>
                  </w:r>
                </w:p>
                <w:p>
                  <w:pPr>
                    <w:pStyle w:val="6"/>
                    <w:spacing w:line="240" w:lineRule="auto"/>
                    <w:ind w:left="0" w:leftChars="0" w:firstLine="0" w:firstLineChars="0"/>
                    <w:jc w:val="center"/>
                    <w:rPr>
                      <w:rFonts w:hint="eastAsia" w:eastAsia="宋体"/>
                      <w:color w:val="auto"/>
                      <w:sz w:val="21"/>
                      <w:szCs w:val="16"/>
                      <w:vertAlign w:val="baseline"/>
                      <w:lang w:eastAsia="zh-CN"/>
                    </w:rPr>
                  </w:pPr>
                  <w:r>
                    <w:rPr>
                      <w:rFonts w:hint="eastAsia" w:eastAsia="宋体"/>
                      <w:color w:val="auto"/>
                      <w:sz w:val="21"/>
                      <w:szCs w:val="16"/>
                      <w:vertAlign w:val="baseline"/>
                      <w:lang w:eastAsia="zh-CN"/>
                    </w:rPr>
                    <w:t>利用</w:t>
                  </w:r>
                </w:p>
                <w:p>
                  <w:pPr>
                    <w:pStyle w:val="6"/>
                    <w:spacing w:line="240" w:lineRule="auto"/>
                    <w:ind w:left="0" w:leftChars="0" w:firstLine="0" w:firstLineChars="0"/>
                    <w:jc w:val="center"/>
                    <w:rPr>
                      <w:rFonts w:hint="default" w:ascii="Times New Roman" w:hAnsi="Times New Roman" w:eastAsia="宋体" w:cs="Times New Roman"/>
                      <w:color w:val="auto"/>
                      <w:kern w:val="0"/>
                      <w:sz w:val="21"/>
                      <w:szCs w:val="16"/>
                      <w:vertAlign w:val="baseline"/>
                      <w:lang w:val="en-US" w:eastAsia="zh-CN" w:bidi="ar-SA"/>
                    </w:rPr>
                  </w:pPr>
                  <w:r>
                    <w:rPr>
                      <w:rFonts w:hint="eastAsia" w:eastAsia="宋体"/>
                      <w:color w:val="auto"/>
                      <w:sz w:val="21"/>
                      <w:szCs w:val="16"/>
                      <w:vertAlign w:val="baseline"/>
                      <w:lang w:eastAsia="zh-CN"/>
                    </w:rPr>
                    <w:t>效率</w:t>
                  </w:r>
                </w:p>
              </w:tc>
              <w:tc>
                <w:tcPr>
                  <w:tcW w:w="2940" w:type="dxa"/>
                  <w:vAlign w:val="center"/>
                </w:tcPr>
                <w:p>
                  <w:pPr>
                    <w:pStyle w:val="6"/>
                    <w:spacing w:line="240" w:lineRule="auto"/>
                    <w:ind w:left="0" w:leftChars="0" w:firstLine="0" w:firstLineChars="0"/>
                    <w:jc w:val="center"/>
                    <w:rPr>
                      <w:rFonts w:hint="eastAsia" w:ascii="Times New Roman" w:hAnsi="Times New Roman" w:eastAsia="宋体" w:cs="Times New Roman"/>
                      <w:color w:val="auto"/>
                      <w:kern w:val="0"/>
                      <w:sz w:val="21"/>
                      <w:szCs w:val="16"/>
                      <w:vertAlign w:val="baseline"/>
                      <w:lang w:val="en-US" w:eastAsia="zh-CN" w:bidi="ar-SA"/>
                    </w:rPr>
                  </w:pPr>
                  <w:r>
                    <w:rPr>
                      <w:rFonts w:hint="eastAsia" w:eastAsia="宋体"/>
                      <w:color w:val="auto"/>
                      <w:sz w:val="21"/>
                      <w:szCs w:val="16"/>
                      <w:vertAlign w:val="baseline"/>
                      <w:lang w:val="en-US" w:eastAsia="zh-CN"/>
                    </w:rPr>
                    <w:t>第八条 推行节水措施和中水回用提高水资源回用率，鼓励工业企业提高中水回用率。</w:t>
                  </w:r>
                </w:p>
              </w:tc>
              <w:tc>
                <w:tcPr>
                  <w:tcW w:w="2152"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拟建项目流延机</w:t>
                  </w:r>
                  <w:r>
                    <w:rPr>
                      <w:rFonts w:hint="eastAsia" w:cs="Times New Roman"/>
                      <w:color w:val="auto"/>
                      <w:sz w:val="21"/>
                      <w:szCs w:val="21"/>
                      <w:highlight w:val="none"/>
                      <w:u w:val="none"/>
                      <w:lang w:val="en-US" w:eastAsia="zh-CN"/>
                    </w:rPr>
                    <w:t>、吹膜机、气柱膜机</w:t>
                  </w:r>
                  <w:r>
                    <w:rPr>
                      <w:rFonts w:hint="eastAsia" w:ascii="Times New Roman" w:hAnsi="Times New Roman" w:eastAsia="宋体" w:cs="Times New Roman"/>
                      <w:color w:val="auto"/>
                      <w:sz w:val="21"/>
                      <w:szCs w:val="21"/>
                      <w:highlight w:val="none"/>
                      <w:u w:val="none"/>
                      <w:lang w:val="en-US" w:eastAsia="zh-CN"/>
                    </w:rPr>
                    <w:t>冷却</w:t>
                  </w:r>
                  <w:r>
                    <w:rPr>
                      <w:rFonts w:hint="eastAsia" w:cs="Times New Roman"/>
                      <w:color w:val="auto"/>
                      <w:sz w:val="21"/>
                      <w:szCs w:val="21"/>
                      <w:highlight w:val="none"/>
                      <w:u w:val="none"/>
                      <w:lang w:val="en-US" w:eastAsia="zh-CN"/>
                    </w:rPr>
                    <w:t>循环</w:t>
                  </w:r>
                  <w:r>
                    <w:rPr>
                      <w:rFonts w:hint="eastAsia" w:ascii="Times New Roman" w:hAnsi="Times New Roman" w:eastAsia="宋体" w:cs="Times New Roman"/>
                      <w:color w:val="auto"/>
                      <w:sz w:val="21"/>
                      <w:szCs w:val="21"/>
                      <w:highlight w:val="none"/>
                      <w:u w:val="none"/>
                      <w:lang w:val="en-US" w:eastAsia="zh-CN"/>
                    </w:rPr>
                    <w:t xml:space="preserve">水，采用间接冷却的方式在设备内循环使用，每半年排放一次，提高了水回用率。  </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restart"/>
                  <w:vAlign w:val="center"/>
                </w:tcPr>
                <w:p>
                  <w:pPr>
                    <w:pStyle w:val="6"/>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lang w:eastAsia="zh-CN"/>
                    </w:rPr>
                  </w:pPr>
                  <w:r>
                    <w:rPr>
                      <w:rFonts w:ascii="Times New Roman" w:hAnsi="Times New Roman" w:cs="Times New Roman"/>
                      <w:color w:val="auto"/>
                      <w:sz w:val="21"/>
                      <w:szCs w:val="21"/>
                    </w:rPr>
                    <w:t>单元管控要求</w:t>
                  </w:r>
                </w:p>
              </w:tc>
              <w:tc>
                <w:tcPr>
                  <w:tcW w:w="685" w:type="dxa"/>
                  <w:vAlign w:val="center"/>
                </w:tcPr>
                <w:p>
                  <w:pPr>
                    <w:spacing w:line="320" w:lineRule="exact"/>
                    <w:jc w:val="center"/>
                    <w:rPr>
                      <w:rFonts w:hint="default" w:ascii="Times New Roman" w:hAnsi="Times New Roman" w:eastAsia="宋体" w:cs="Times New Roman"/>
                      <w:color w:val="auto"/>
                      <w:kern w:val="0"/>
                      <w:sz w:val="21"/>
                      <w:szCs w:val="16"/>
                      <w:vertAlign w:val="baseline"/>
                      <w:lang w:val="en-US" w:eastAsia="zh-CN" w:bidi="ar-SA"/>
                    </w:rPr>
                  </w:pPr>
                  <w:r>
                    <w:rPr>
                      <w:rFonts w:ascii="Times New Roman" w:hAnsi="Times New Roman" w:cs="Times New Roman"/>
                      <w:color w:val="auto"/>
                      <w:sz w:val="21"/>
                      <w:szCs w:val="21"/>
                    </w:rPr>
                    <w:t>空间布局约束</w:t>
                  </w:r>
                </w:p>
              </w:tc>
              <w:tc>
                <w:tcPr>
                  <w:tcW w:w="2940" w:type="dxa"/>
                  <w:vAlign w:val="center"/>
                </w:tcPr>
                <w:p>
                  <w:pPr>
                    <w:pStyle w:val="107"/>
                    <w:spacing w:line="320" w:lineRule="exact"/>
                    <w:rPr>
                      <w:color w:val="auto"/>
                      <w:sz w:val="21"/>
                      <w:szCs w:val="21"/>
                    </w:rPr>
                  </w:pPr>
                  <w:r>
                    <w:rPr>
                      <w:color w:val="auto"/>
                      <w:sz w:val="21"/>
                      <w:szCs w:val="21"/>
                    </w:rPr>
                    <w:t>1.除在安全或产业布局等方面有特殊要求的项目外，新建有污染物排放的工业项目，应当进入工业园区/工业集聚区。</w:t>
                  </w:r>
                </w:p>
                <w:p>
                  <w:pPr>
                    <w:pStyle w:val="107"/>
                    <w:spacing w:line="320" w:lineRule="exact"/>
                    <w:rPr>
                      <w:color w:val="auto"/>
                      <w:sz w:val="21"/>
                      <w:szCs w:val="21"/>
                    </w:rPr>
                  </w:pPr>
                  <w:r>
                    <w:rPr>
                      <w:color w:val="auto"/>
                      <w:sz w:val="21"/>
                      <w:szCs w:val="21"/>
                    </w:rPr>
                    <w:t>2.限制引入高耗水、高排水项目。</w:t>
                  </w:r>
                </w:p>
                <w:p>
                  <w:pPr>
                    <w:pStyle w:val="107"/>
                    <w:spacing w:line="320" w:lineRule="exact"/>
                    <w:rPr>
                      <w:rFonts w:hint="eastAsia" w:ascii="Times New Roman" w:hAnsi="Times New Roman" w:eastAsia="宋体" w:cs="Times New Roman"/>
                      <w:color w:val="auto"/>
                      <w:kern w:val="0"/>
                      <w:sz w:val="21"/>
                      <w:szCs w:val="16"/>
                      <w:vertAlign w:val="baseline"/>
                      <w:lang w:val="en-US" w:eastAsia="zh-CN" w:bidi="ar-SA"/>
                    </w:rPr>
                  </w:pPr>
                  <w:r>
                    <w:rPr>
                      <w:color w:val="auto"/>
                      <w:sz w:val="21"/>
                      <w:szCs w:val="21"/>
                    </w:rPr>
                    <w:t>3.铜梁高新区的白土坝片区采取“腾笼换鸟”的方式，推动现有产业提档升级，发展环境影响小、风险可控的产业。</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拟建项目为</w:t>
                  </w:r>
                  <w:r>
                    <w:rPr>
                      <w:rFonts w:hint="eastAsia" w:cs="Times New Roman"/>
                      <w:color w:val="auto"/>
                      <w:sz w:val="21"/>
                      <w:szCs w:val="21"/>
                      <w:highlight w:val="none"/>
                      <w:u w:val="none"/>
                      <w:lang w:val="en-US" w:eastAsia="zh-CN"/>
                    </w:rPr>
                    <w:t>塑料制品项目</w:t>
                  </w:r>
                  <w:r>
                    <w:rPr>
                      <w:rFonts w:hint="eastAsia" w:ascii="Times New Roman" w:hAnsi="Times New Roman" w:eastAsia="宋体" w:cs="Times New Roman"/>
                      <w:color w:val="auto"/>
                      <w:sz w:val="21"/>
                      <w:szCs w:val="21"/>
                      <w:highlight w:val="none"/>
                      <w:u w:val="none"/>
                      <w:lang w:val="en-US" w:eastAsia="zh-CN"/>
                    </w:rPr>
                    <w:t>，不属于高耗水、高排水项，且位于蒲吕园区内。</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Align w:val="center"/>
                </w:tcPr>
                <w:p>
                  <w:pPr>
                    <w:spacing w:line="320" w:lineRule="exact"/>
                    <w:jc w:val="center"/>
                    <w:rPr>
                      <w:rFonts w:hint="default" w:ascii="Times New Roman" w:hAnsi="Times New Roman" w:eastAsia="宋体" w:cs="Times New Roman"/>
                      <w:color w:val="auto"/>
                      <w:kern w:val="0"/>
                      <w:sz w:val="21"/>
                      <w:szCs w:val="16"/>
                      <w:vertAlign w:val="baseline"/>
                      <w:lang w:val="en-US" w:eastAsia="zh-CN" w:bidi="ar-SA"/>
                    </w:rPr>
                  </w:pPr>
                  <w:r>
                    <w:rPr>
                      <w:rFonts w:ascii="Times New Roman" w:hAnsi="Times New Roman" w:cs="Times New Roman"/>
                      <w:color w:val="auto"/>
                      <w:sz w:val="21"/>
                      <w:szCs w:val="21"/>
                    </w:rPr>
                    <w:t>污染物排放管控</w:t>
                  </w:r>
                </w:p>
              </w:tc>
              <w:tc>
                <w:tcPr>
                  <w:tcW w:w="2940" w:type="dxa"/>
                  <w:vAlign w:val="center"/>
                </w:tcPr>
                <w:p>
                  <w:pPr>
                    <w:pStyle w:val="107"/>
                    <w:spacing w:line="320" w:lineRule="exact"/>
                    <w:rPr>
                      <w:color w:val="auto"/>
                      <w:sz w:val="21"/>
                      <w:szCs w:val="21"/>
                    </w:rPr>
                  </w:pPr>
                  <w:r>
                    <w:rPr>
                      <w:color w:val="auto"/>
                      <w:sz w:val="21"/>
                      <w:szCs w:val="21"/>
                    </w:rPr>
                    <w:t>1.城市建成区生活污水集中处理率达到95%；镇街生活污水集中处理率达到85%。</w:t>
                  </w:r>
                </w:p>
                <w:p>
                  <w:pPr>
                    <w:pStyle w:val="107"/>
                    <w:spacing w:line="320" w:lineRule="exact"/>
                    <w:rPr>
                      <w:color w:val="auto"/>
                      <w:sz w:val="21"/>
                      <w:szCs w:val="21"/>
                    </w:rPr>
                  </w:pPr>
                  <w:r>
                    <w:rPr>
                      <w:color w:val="auto"/>
                      <w:sz w:val="21"/>
                      <w:szCs w:val="21"/>
                    </w:rPr>
                    <w:t>2.城市生活污水处理厂全面达到一级A排放标准，生活污水处理厂污泥无害化处置率达到100%。</w:t>
                  </w:r>
                </w:p>
                <w:p>
                  <w:pPr>
                    <w:pStyle w:val="107"/>
                    <w:spacing w:line="320" w:lineRule="exact"/>
                    <w:rPr>
                      <w:color w:val="auto"/>
                      <w:sz w:val="21"/>
                      <w:szCs w:val="21"/>
                    </w:rPr>
                  </w:pPr>
                  <w:r>
                    <w:rPr>
                      <w:color w:val="auto"/>
                      <w:sz w:val="21"/>
                      <w:szCs w:val="21"/>
                    </w:rPr>
                    <w:t>3.大力推广清洁能源，禁止新建20蒸吨以下小燃煤锅炉。</w:t>
                  </w:r>
                </w:p>
                <w:p>
                  <w:pPr>
                    <w:pStyle w:val="107"/>
                    <w:spacing w:line="320" w:lineRule="exact"/>
                    <w:rPr>
                      <w:color w:val="auto"/>
                      <w:sz w:val="21"/>
                      <w:szCs w:val="21"/>
                    </w:rPr>
                  </w:pPr>
                  <w:r>
                    <w:rPr>
                      <w:color w:val="auto"/>
                      <w:sz w:val="21"/>
                      <w:szCs w:val="21"/>
                    </w:rPr>
                    <w:t>4.鼓励烧结砖瓦窑开展错峰生产。</w:t>
                  </w:r>
                </w:p>
                <w:p>
                  <w:pPr>
                    <w:pStyle w:val="107"/>
                    <w:spacing w:line="320" w:lineRule="exact"/>
                    <w:rPr>
                      <w:rFonts w:hint="eastAsia" w:ascii="Times New Roman" w:hAnsi="Times New Roman" w:eastAsia="宋体" w:cs="Times New Roman"/>
                      <w:color w:val="auto"/>
                      <w:kern w:val="0"/>
                      <w:sz w:val="21"/>
                      <w:szCs w:val="16"/>
                      <w:vertAlign w:val="baseline"/>
                      <w:lang w:val="en-US" w:eastAsia="zh-CN" w:bidi="ar-SA"/>
                    </w:rPr>
                  </w:pPr>
                  <w:r>
                    <w:rPr>
                      <w:color w:val="auto"/>
                      <w:sz w:val="21"/>
                      <w:szCs w:val="21"/>
                    </w:rPr>
                    <w:t>5.持续推进企业大气污染防治，加强涉及挥发性有机物排放企业的VOCs的治理，新建涉及喷涂的建设项目鼓励使用环保涂料。</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b w:val="0"/>
                      <w:bCs/>
                      <w:color w:val="auto"/>
                      <w:sz w:val="21"/>
                      <w:szCs w:val="21"/>
                      <w:lang w:val="en-US" w:eastAsia="zh-CN"/>
                    </w:rPr>
                    <w:t>拟建项目</w:t>
                  </w:r>
                  <w:r>
                    <w:rPr>
                      <w:rFonts w:hint="eastAsia" w:cs="Times New Roman"/>
                      <w:b w:val="0"/>
                      <w:bCs/>
                      <w:color w:val="auto"/>
                      <w:sz w:val="21"/>
                      <w:szCs w:val="21"/>
                      <w:lang w:val="en-US" w:eastAsia="zh-CN"/>
                    </w:rPr>
                    <w:t>所用的白乳胶为水性胶，使用的原料为PP和PE。项目</w:t>
                  </w:r>
                  <w:r>
                    <w:rPr>
                      <w:rFonts w:hint="eastAsia"/>
                      <w:color w:val="auto"/>
                      <w:sz w:val="21"/>
                      <w:highlight w:val="none"/>
                      <w:lang w:val="en-US" w:eastAsia="zh-CN"/>
                    </w:rPr>
                    <w:t>卷管过程产生的胶粘废气经集气罩收集后通过“活性炭吸附”处理后通过15m高排气筒DA001排放；项目流延废气、</w:t>
                  </w:r>
                  <w:r>
                    <w:rPr>
                      <w:rFonts w:hint="default"/>
                      <w:color w:val="auto"/>
                      <w:sz w:val="21"/>
                      <w:highlight w:val="none"/>
                      <w:lang w:val="en-US" w:eastAsia="zh-CN"/>
                    </w:rPr>
                    <w:t>吹膜废气</w:t>
                  </w:r>
                  <w:r>
                    <w:rPr>
                      <w:rFonts w:hint="eastAsia"/>
                      <w:color w:val="auto"/>
                      <w:sz w:val="21"/>
                      <w:highlight w:val="none"/>
                      <w:lang w:val="en-US" w:eastAsia="zh-CN"/>
                    </w:rPr>
                    <w:t>经集气罩收集后通过“二级活性炭吸附”处理后通过15m高排气筒DA002排放；危废间废气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r>
                    <w:rPr>
                      <w:rFonts w:hint="eastAsia"/>
                      <w:color w:val="auto"/>
                      <w:sz w:val="21"/>
                      <w:highlight w:val="none"/>
                      <w:lang w:val="en-US" w:eastAsia="zh-CN"/>
                    </w:rPr>
                    <w:t>；集气罩收集的食堂废气经引风机引入油烟净化器处理后引至DA004排气筒15m排放。项目废水经处理后排入东城污水处理厂深度处理排放。</w:t>
                  </w:r>
                </w:p>
              </w:tc>
              <w:tc>
                <w:tcPr>
                  <w:tcW w:w="1058"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p>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Align w:val="center"/>
                </w:tcPr>
                <w:p>
                  <w:pPr>
                    <w:spacing w:line="320" w:lineRule="exact"/>
                    <w:jc w:val="center"/>
                    <w:rPr>
                      <w:rFonts w:hint="default" w:ascii="Times New Roman" w:hAnsi="Times New Roman" w:eastAsia="宋体" w:cs="Times New Roman"/>
                      <w:color w:val="auto"/>
                      <w:kern w:val="0"/>
                      <w:sz w:val="21"/>
                      <w:szCs w:val="16"/>
                      <w:vertAlign w:val="baseline"/>
                      <w:lang w:val="en-US" w:eastAsia="zh-CN" w:bidi="ar-SA"/>
                    </w:rPr>
                  </w:pPr>
                  <w:r>
                    <w:rPr>
                      <w:rFonts w:ascii="Times New Roman" w:hAnsi="Times New Roman" w:cs="Times New Roman"/>
                      <w:color w:val="auto"/>
                      <w:sz w:val="21"/>
                      <w:szCs w:val="21"/>
                    </w:rPr>
                    <w:t>环境风险防控</w:t>
                  </w:r>
                </w:p>
              </w:tc>
              <w:tc>
                <w:tcPr>
                  <w:tcW w:w="2940" w:type="dxa"/>
                  <w:vAlign w:val="center"/>
                </w:tcPr>
                <w:p>
                  <w:pPr>
                    <w:pStyle w:val="107"/>
                    <w:spacing w:line="320" w:lineRule="exact"/>
                    <w:rPr>
                      <w:color w:val="auto"/>
                      <w:sz w:val="21"/>
                      <w:szCs w:val="21"/>
                    </w:rPr>
                  </w:pPr>
                  <w:r>
                    <w:rPr>
                      <w:color w:val="auto"/>
                      <w:sz w:val="21"/>
                      <w:szCs w:val="21"/>
                    </w:rPr>
                    <w:t>1.严格限制居住区周边布设企业类型，不宜引入存在重大环境风险的工业企业。</w:t>
                  </w:r>
                </w:p>
                <w:p>
                  <w:pPr>
                    <w:pStyle w:val="107"/>
                    <w:spacing w:line="320" w:lineRule="exact"/>
                    <w:rPr>
                      <w:color w:val="auto"/>
                      <w:sz w:val="21"/>
                      <w:szCs w:val="21"/>
                    </w:rPr>
                  </w:pPr>
                  <w:r>
                    <w:rPr>
                      <w:color w:val="auto"/>
                      <w:sz w:val="21"/>
                      <w:szCs w:val="21"/>
                    </w:rPr>
                    <w:t>2.小企业基地应开展环境影响评价工作，并建立环境风险防控体系。</w:t>
                  </w:r>
                </w:p>
                <w:p>
                  <w:pPr>
                    <w:pStyle w:val="107"/>
                    <w:spacing w:line="320" w:lineRule="exact"/>
                    <w:rPr>
                      <w:color w:val="auto"/>
                      <w:sz w:val="21"/>
                      <w:szCs w:val="21"/>
                    </w:rPr>
                  </w:pPr>
                  <w:r>
                    <w:rPr>
                      <w:color w:val="auto"/>
                      <w:sz w:val="21"/>
                      <w:szCs w:val="21"/>
                    </w:rPr>
                    <w:t>3.生产、存储危险化学品及产生大量废水的企业，应配套有效措施，防止因渗漏污染地下水、土壤，以及因事故废水直排污染地表水体。</w:t>
                  </w:r>
                </w:p>
                <w:p>
                  <w:pPr>
                    <w:pStyle w:val="107"/>
                    <w:spacing w:line="320" w:lineRule="exact"/>
                    <w:rPr>
                      <w:rFonts w:hint="eastAsia" w:ascii="Times New Roman" w:hAnsi="Times New Roman" w:eastAsia="宋体" w:cs="Times New Roman"/>
                      <w:color w:val="auto"/>
                      <w:kern w:val="0"/>
                      <w:sz w:val="21"/>
                      <w:szCs w:val="16"/>
                      <w:vertAlign w:val="baseline"/>
                      <w:lang w:val="en-US" w:eastAsia="zh-CN" w:bidi="ar-SA"/>
                    </w:rPr>
                  </w:pPr>
                  <w:r>
                    <w:rPr>
                      <w:color w:val="auto"/>
                      <w:sz w:val="21"/>
                      <w:szCs w:val="21"/>
                    </w:rPr>
                    <w:t>4.产生、利用或处置固体废物（含危险废物）的企业，在贮存、转移、利用、处置固体废物（含危险废物）过程中，应配套防扬散、防流失、防渗漏及其他防止污染环境的措施。</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项目位于蒲吕园区内，周边均为工业企业，无重大风险源，</w:t>
                  </w:r>
                  <w:r>
                    <w:rPr>
                      <w:rFonts w:hint="eastAsia" w:cs="Times New Roman"/>
                      <w:color w:val="auto"/>
                      <w:sz w:val="21"/>
                      <w:szCs w:val="21"/>
                      <w:highlight w:val="none"/>
                      <w:u w:val="none"/>
                      <w:lang w:val="en-US" w:eastAsia="zh-CN"/>
                    </w:rPr>
                    <w:t>化学品库</w:t>
                  </w:r>
                  <w:r>
                    <w:rPr>
                      <w:rFonts w:hint="eastAsia" w:ascii="Times New Roman" w:hAnsi="Times New Roman" w:eastAsia="宋体" w:cs="Times New Roman"/>
                      <w:color w:val="auto"/>
                      <w:sz w:val="21"/>
                      <w:szCs w:val="21"/>
                      <w:highlight w:val="none"/>
                      <w:u w:val="none"/>
                      <w:lang w:val="en-US" w:eastAsia="zh-CN"/>
                    </w:rPr>
                    <w:t>、危险废物暂存间、空压机房</w:t>
                  </w:r>
                  <w:r>
                    <w:rPr>
                      <w:rFonts w:hint="eastAsia"/>
                      <w:color w:val="auto"/>
                      <w:sz w:val="21"/>
                      <w:szCs w:val="21"/>
                      <w:lang w:eastAsia="zh-CN"/>
                    </w:rPr>
                    <w:t>区域</w:t>
                  </w:r>
                  <w:r>
                    <w:rPr>
                      <w:rFonts w:hint="eastAsia" w:ascii="Times New Roman" w:hAnsi="Times New Roman" w:eastAsia="宋体" w:cs="Times New Roman"/>
                      <w:color w:val="auto"/>
                      <w:sz w:val="21"/>
                      <w:szCs w:val="21"/>
                      <w:highlight w:val="none"/>
                      <w:u w:val="none"/>
                      <w:lang w:val="en-US" w:eastAsia="zh-CN"/>
                    </w:rPr>
                    <w:t>按重点防渗区进行防渗处理，并按照相关要求设置托盘、围堰等应急设施。</w:t>
                  </w:r>
                </w:p>
              </w:tc>
              <w:tc>
                <w:tcPr>
                  <w:tcW w:w="1058"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vMerge w:val="continue"/>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eastAsia="zh-CN"/>
                    </w:rPr>
                  </w:pPr>
                </w:p>
              </w:tc>
              <w:tc>
                <w:tcPr>
                  <w:tcW w:w="685" w:type="dxa"/>
                  <w:vAlign w:val="center"/>
                </w:tcPr>
                <w:p>
                  <w:pPr>
                    <w:spacing w:line="320" w:lineRule="exact"/>
                    <w:jc w:val="center"/>
                    <w:rPr>
                      <w:rFonts w:hint="default" w:ascii="Times New Roman" w:hAnsi="Times New Roman" w:eastAsia="宋体" w:cs="Times New Roman"/>
                      <w:color w:val="auto"/>
                      <w:kern w:val="0"/>
                      <w:sz w:val="21"/>
                      <w:szCs w:val="16"/>
                      <w:vertAlign w:val="baseline"/>
                      <w:lang w:val="en-US" w:eastAsia="zh-CN" w:bidi="ar-SA"/>
                    </w:rPr>
                  </w:pPr>
                  <w:r>
                    <w:rPr>
                      <w:rFonts w:ascii="Times New Roman" w:hAnsi="Times New Roman" w:cs="Times New Roman"/>
                      <w:color w:val="auto"/>
                      <w:sz w:val="21"/>
                      <w:szCs w:val="21"/>
                    </w:rPr>
                    <w:t>资源开发利用效率</w:t>
                  </w:r>
                </w:p>
              </w:tc>
              <w:tc>
                <w:tcPr>
                  <w:tcW w:w="2940" w:type="dxa"/>
                  <w:vAlign w:val="center"/>
                </w:tcPr>
                <w:p>
                  <w:pPr>
                    <w:pStyle w:val="107"/>
                    <w:spacing w:line="320" w:lineRule="exact"/>
                    <w:rPr>
                      <w:color w:val="auto"/>
                      <w:sz w:val="21"/>
                      <w:szCs w:val="21"/>
                    </w:rPr>
                  </w:pPr>
                  <w:r>
                    <w:rPr>
                      <w:color w:val="auto"/>
                      <w:sz w:val="21"/>
                      <w:szCs w:val="21"/>
                    </w:rPr>
                    <w:t>1.在禁燃区内，禁止销售、燃用高污染燃料；禁止新建、扩建燃用高污染燃料的设施，已建成的，应当在城市人民政府规定的期限内改用天然气、页岩气、液化石油气、电或者其他清洁能源。</w:t>
                  </w:r>
                </w:p>
                <w:p>
                  <w:pPr>
                    <w:pStyle w:val="107"/>
                    <w:spacing w:line="320" w:lineRule="exact"/>
                    <w:rPr>
                      <w:rFonts w:hint="eastAsia" w:ascii="Times New Roman" w:hAnsi="Times New Roman" w:eastAsia="宋体" w:cs="Times New Roman"/>
                      <w:color w:val="auto"/>
                      <w:kern w:val="0"/>
                      <w:sz w:val="21"/>
                      <w:szCs w:val="16"/>
                      <w:vertAlign w:val="baseline"/>
                      <w:lang w:val="en-US" w:eastAsia="zh-CN" w:bidi="ar-SA"/>
                    </w:rPr>
                  </w:pPr>
                  <w:r>
                    <w:rPr>
                      <w:color w:val="auto"/>
                      <w:sz w:val="21"/>
                      <w:szCs w:val="21"/>
                    </w:rPr>
                    <w:t>2.推行节水措施和中水回用提高水资源回用率。鼓励工业企业实施中水回用。</w:t>
                  </w:r>
                </w:p>
              </w:tc>
              <w:tc>
                <w:tcPr>
                  <w:tcW w:w="2152" w:type="dxa"/>
                  <w:vAlign w:val="center"/>
                </w:tcPr>
                <w:p>
                  <w:pPr>
                    <w:adjustRightInd w:val="0"/>
                    <w:snapToGrid w:val="0"/>
                    <w:spacing w:line="320" w:lineRule="exact"/>
                    <w:ind w:firstLine="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拟建项目流延机</w:t>
                  </w:r>
                  <w:r>
                    <w:rPr>
                      <w:rFonts w:hint="eastAsia" w:cs="Times New Roman"/>
                      <w:color w:val="auto"/>
                      <w:sz w:val="21"/>
                      <w:szCs w:val="21"/>
                      <w:highlight w:val="none"/>
                      <w:u w:val="none"/>
                      <w:lang w:val="en-US" w:eastAsia="zh-CN"/>
                    </w:rPr>
                    <w:t>、吹膜机、气柱膜机</w:t>
                  </w:r>
                  <w:r>
                    <w:rPr>
                      <w:rFonts w:hint="eastAsia" w:ascii="Times New Roman" w:hAnsi="Times New Roman" w:eastAsia="宋体" w:cs="Times New Roman"/>
                      <w:color w:val="auto"/>
                      <w:sz w:val="21"/>
                      <w:szCs w:val="21"/>
                      <w:highlight w:val="none"/>
                      <w:u w:val="none"/>
                      <w:lang w:val="en-US" w:eastAsia="zh-CN"/>
                    </w:rPr>
                    <w:t>冷却</w:t>
                  </w:r>
                  <w:r>
                    <w:rPr>
                      <w:rFonts w:hint="eastAsia" w:cs="Times New Roman"/>
                      <w:color w:val="auto"/>
                      <w:sz w:val="21"/>
                      <w:szCs w:val="21"/>
                      <w:highlight w:val="none"/>
                      <w:u w:val="none"/>
                      <w:lang w:val="en-US" w:eastAsia="zh-CN"/>
                    </w:rPr>
                    <w:t>循环</w:t>
                  </w:r>
                  <w:r>
                    <w:rPr>
                      <w:rFonts w:hint="eastAsia" w:ascii="Times New Roman" w:hAnsi="Times New Roman" w:eastAsia="宋体" w:cs="Times New Roman"/>
                      <w:color w:val="auto"/>
                      <w:sz w:val="21"/>
                      <w:szCs w:val="21"/>
                      <w:highlight w:val="none"/>
                      <w:u w:val="none"/>
                      <w:lang w:val="en-US" w:eastAsia="zh-CN"/>
                    </w:rPr>
                    <w:t xml:space="preserve">水，采用间接冷却的方式在设备内循环使用，每半年排放一次，提高了水回用率。 </w:t>
                  </w:r>
                </w:p>
              </w:tc>
              <w:tc>
                <w:tcPr>
                  <w:tcW w:w="1058" w:type="dxa"/>
                  <w:vAlign w:val="center"/>
                </w:tcPr>
                <w:p>
                  <w:pPr>
                    <w:adjustRightInd w:val="0"/>
                    <w:snapToGrid w:val="0"/>
                    <w:spacing w:line="320" w:lineRule="exact"/>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符合</w:t>
                  </w:r>
                </w:p>
              </w:tc>
            </w:tr>
          </w:tbl>
          <w:p>
            <w:pPr>
              <w:pStyle w:val="63"/>
              <w:keepNext w:val="0"/>
              <w:keepLines w:val="0"/>
              <w:pageBreakBefore w:val="0"/>
              <w:widowControl w:val="0"/>
              <w:tabs>
                <w:tab w:val="left" w:pos="634"/>
              </w:tabs>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val="0"/>
                <w:color w:val="auto"/>
                <w:kern w:val="2"/>
                <w:sz w:val="24"/>
                <w:szCs w:val="24"/>
                <w:highlight w:val="none"/>
                <w:lang w:val="en-US" w:eastAsia="zh-CN"/>
              </w:rPr>
            </w:pPr>
            <w:r>
              <w:rPr>
                <w:rFonts w:hint="eastAsia" w:ascii="Times New Roman" w:hAnsi="Times New Roman" w:eastAsia="宋体" w:cs="Times New Roman"/>
                <w:color w:val="auto"/>
                <w:kern w:val="0"/>
                <w:sz w:val="24"/>
                <w:highlight w:val="none"/>
                <w:u w:val="none"/>
                <w:lang w:val="en-US" w:eastAsia="zh-CN"/>
              </w:rPr>
              <w:t>综上所述，拟建项目满足“三线一单”要求。</w:t>
            </w:r>
          </w:p>
          <w:p>
            <w:pPr>
              <w:spacing w:line="360" w:lineRule="auto"/>
              <w:rPr>
                <w:rFonts w:hint="eastAsia"/>
                <w:b/>
                <w:color w:val="auto"/>
                <w:sz w:val="24"/>
                <w:lang w:val="en-US" w:eastAsia="zh-CN"/>
              </w:rPr>
            </w:pPr>
            <w:r>
              <w:rPr>
                <w:b/>
                <w:bCs/>
                <w:color w:val="auto"/>
              </w:rPr>
              <w:t>1.</w:t>
            </w:r>
            <w:r>
              <w:rPr>
                <w:rFonts w:hint="eastAsia"/>
                <w:b/>
                <w:bCs/>
                <w:color w:val="auto"/>
                <w:lang w:val="en-US" w:eastAsia="zh-CN"/>
              </w:rPr>
              <w:t>4</w:t>
            </w:r>
            <w:r>
              <w:rPr>
                <w:rFonts w:hint="eastAsia"/>
                <w:b/>
                <w:color w:val="auto"/>
                <w:sz w:val="24"/>
                <w:lang w:val="en-US" w:eastAsia="zh-CN"/>
              </w:rPr>
              <w:t>与</w:t>
            </w:r>
            <w:r>
              <w:rPr>
                <w:rFonts w:hint="eastAsia"/>
                <w:b/>
                <w:color w:val="auto"/>
                <w:sz w:val="24"/>
              </w:rPr>
              <w:t>《重庆市生态环境保护“十四五”规划》（</w:t>
            </w:r>
            <w:r>
              <w:rPr>
                <w:rFonts w:hint="eastAsia"/>
                <w:b/>
                <w:color w:val="auto"/>
                <w:sz w:val="24"/>
                <w:lang w:val="en-US" w:eastAsia="zh-CN"/>
              </w:rPr>
              <w:t>渝</w:t>
            </w:r>
            <w:r>
              <w:rPr>
                <w:rFonts w:hint="eastAsia"/>
                <w:b/>
                <w:color w:val="auto"/>
                <w:sz w:val="24"/>
              </w:rPr>
              <w:t>府办发〔2022〕</w:t>
            </w:r>
            <w:r>
              <w:rPr>
                <w:rFonts w:hint="eastAsia"/>
                <w:b/>
                <w:color w:val="auto"/>
                <w:sz w:val="24"/>
                <w:lang w:val="en-US" w:eastAsia="zh-CN"/>
              </w:rPr>
              <w:t>11</w:t>
            </w:r>
            <w:r>
              <w:rPr>
                <w:rFonts w:hint="eastAsia"/>
                <w:b/>
                <w:color w:val="auto"/>
                <w:sz w:val="24"/>
              </w:rPr>
              <w:t>号）</w:t>
            </w:r>
            <w:r>
              <w:rPr>
                <w:rFonts w:hint="eastAsia"/>
                <w:b/>
                <w:color w:val="auto"/>
                <w:sz w:val="24"/>
                <w:lang w:val="en-US" w:eastAsia="zh-CN"/>
              </w:rPr>
              <w:t>符合性分析</w:t>
            </w:r>
          </w:p>
          <w:p>
            <w:pPr>
              <w:spacing w:line="240" w:lineRule="auto"/>
              <w:jc w:val="center"/>
              <w:rPr>
                <w:rFonts w:hint="eastAsia"/>
                <w:color w:val="auto"/>
                <w:lang w:val="en-US" w:eastAsia="zh-CN"/>
              </w:rPr>
            </w:pPr>
            <w:r>
              <w:rPr>
                <w:rFonts w:hint="eastAsia"/>
                <w:b/>
                <w:color w:val="auto"/>
                <w:sz w:val="24"/>
              </w:rPr>
              <w:t>表1.</w:t>
            </w:r>
            <w:r>
              <w:rPr>
                <w:rFonts w:hint="eastAsia"/>
                <w:b/>
                <w:color w:val="auto"/>
                <w:sz w:val="24"/>
                <w:lang w:val="en-US" w:eastAsia="zh-CN"/>
              </w:rPr>
              <w:t>4</w:t>
            </w:r>
            <w:r>
              <w:rPr>
                <w:rFonts w:hint="eastAsia"/>
                <w:b/>
                <w:color w:val="auto"/>
                <w:sz w:val="24"/>
              </w:rPr>
              <w:t>-1与《重庆市生态环境保护“十四五”规划》（</w:t>
            </w:r>
            <w:r>
              <w:rPr>
                <w:rFonts w:hint="eastAsia"/>
                <w:b/>
                <w:color w:val="auto"/>
                <w:sz w:val="24"/>
                <w:lang w:val="en-US" w:eastAsia="zh-CN"/>
              </w:rPr>
              <w:t>渝</w:t>
            </w:r>
            <w:r>
              <w:rPr>
                <w:rFonts w:hint="eastAsia"/>
                <w:b/>
                <w:color w:val="auto"/>
                <w:sz w:val="24"/>
              </w:rPr>
              <w:t>府办发〔2022〕</w:t>
            </w:r>
            <w:r>
              <w:rPr>
                <w:rFonts w:hint="eastAsia"/>
                <w:b/>
                <w:color w:val="auto"/>
                <w:sz w:val="24"/>
                <w:lang w:val="en-US" w:eastAsia="zh-CN"/>
              </w:rPr>
              <w:t>11</w:t>
            </w:r>
            <w:r>
              <w:rPr>
                <w:rFonts w:hint="eastAsia"/>
                <w:b/>
                <w:color w:val="auto"/>
                <w:sz w:val="24"/>
              </w:rPr>
              <w:t>号）符合性分析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3"/>
              <w:gridCol w:w="3366"/>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4" w:type="pct"/>
                  <w:noWrap w:val="0"/>
                  <w:vAlign w:val="center"/>
                </w:tcPr>
                <w:p>
                  <w:pPr>
                    <w:spacing w:line="240" w:lineRule="auto"/>
                    <w:jc w:val="center"/>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相关要求</w:t>
                  </w:r>
                </w:p>
              </w:tc>
              <w:tc>
                <w:tcPr>
                  <w:tcW w:w="2087" w:type="pct"/>
                  <w:noWrap w:val="0"/>
                  <w:vAlign w:val="center"/>
                </w:tcPr>
                <w:p>
                  <w:pPr>
                    <w:spacing w:line="240" w:lineRule="auto"/>
                    <w:jc w:val="center"/>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项目情况</w:t>
                  </w:r>
                </w:p>
              </w:tc>
              <w:tc>
                <w:tcPr>
                  <w:tcW w:w="448" w:type="pct"/>
                  <w:noWrap w:val="0"/>
                  <w:vAlign w:val="center"/>
                </w:tcPr>
                <w:p>
                  <w:pPr>
                    <w:spacing w:line="240" w:lineRule="auto"/>
                    <w:jc w:val="center"/>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464" w:type="pct"/>
                  <w:noWrap w:val="0"/>
                  <w:vAlign w:val="center"/>
                </w:tcPr>
                <w:p>
                  <w:pPr>
                    <w:spacing w:line="240" w:lineRule="auto"/>
                    <w:jc w:val="center"/>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改善水环境质量：对企业、园区、污水集中处理设施、畜禽养殖场、医疗机构、餐饮、洗车场和建筑工地等场所进行排查，深入查找污水偷排直排乱排问题源头，建立问题清单，持续推进整改。</w:t>
                  </w:r>
                </w:p>
              </w:tc>
              <w:tc>
                <w:tcPr>
                  <w:tcW w:w="2087" w:type="pct"/>
                  <w:noWrap w:val="0"/>
                  <w:vAlign w:val="center"/>
                </w:tcPr>
                <w:p>
                  <w:pPr>
                    <w:spacing w:line="240" w:lineRule="auto"/>
                    <w:jc w:val="center"/>
                    <w:rPr>
                      <w:rFonts w:hint="eastAsia"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项目冷却水循环使用，每半年排放一次；项目食堂废水、地面清洁废水经自建隔油池处理后与生活污水、冷却循环废水一同通过生化池处理达到《污水综合排放标准》（GB8978-1996）三级标准</w:t>
                  </w:r>
                  <w:r>
                    <w:rPr>
                      <w:rFonts w:hint="eastAsia"/>
                      <w:color w:val="auto"/>
                      <w:sz w:val="21"/>
                      <w:lang w:eastAsia="zh-CN"/>
                    </w:rPr>
                    <w:t>（</w:t>
                  </w:r>
                  <w:r>
                    <w:rPr>
                      <w:rFonts w:hint="eastAsia"/>
                      <w:color w:val="auto"/>
                      <w:sz w:val="21"/>
                      <w:lang w:val="en-US" w:eastAsia="zh-CN"/>
                    </w:rPr>
                    <w:t>氨氮、TP、TN参照污水排入城镇下水道水质标准》（GB/T31962-2015）B级标准）</w:t>
                  </w:r>
                  <w:r>
                    <w:rPr>
                      <w:rFonts w:hint="eastAsia"/>
                      <w:color w:val="auto"/>
                      <w:sz w:val="21"/>
                    </w:rPr>
                    <w:t>后</w:t>
                  </w:r>
                  <w:r>
                    <w:rPr>
                      <w:rFonts w:hint="eastAsia" w:ascii="Times New Roman" w:hAnsi="Times New Roman" w:eastAsia="宋体" w:cs="Times New Roman"/>
                      <w:b w:val="0"/>
                      <w:color w:val="auto"/>
                      <w:sz w:val="21"/>
                      <w:szCs w:val="21"/>
                      <w:vertAlign w:val="baseline"/>
                      <w:lang w:val="en-US" w:eastAsia="zh-CN"/>
                    </w:rPr>
                    <w:t>，经市政污水管网进入</w:t>
                  </w:r>
                  <w:r>
                    <w:rPr>
                      <w:rFonts w:hint="eastAsia" w:cs="Times New Roman"/>
                      <w:b w:val="0"/>
                      <w:color w:val="auto"/>
                      <w:sz w:val="21"/>
                      <w:szCs w:val="21"/>
                      <w:vertAlign w:val="baseline"/>
                      <w:lang w:val="en-US" w:eastAsia="zh-CN"/>
                    </w:rPr>
                    <w:t>东城污水处理厂</w:t>
                  </w:r>
                  <w:r>
                    <w:rPr>
                      <w:rFonts w:hint="eastAsia" w:ascii="Times New Roman" w:hAnsi="Times New Roman" w:eastAsia="宋体" w:cs="Times New Roman"/>
                      <w:b w:val="0"/>
                      <w:color w:val="auto"/>
                      <w:sz w:val="21"/>
                      <w:szCs w:val="21"/>
                      <w:vertAlign w:val="baseline"/>
                      <w:lang w:val="en-US" w:eastAsia="zh-CN"/>
                    </w:rPr>
                    <w:t>处理达到《城镇污水处理厂污染物排放标准》(GB18918-2002)</w:t>
                  </w:r>
                  <w:r>
                    <w:rPr>
                      <w:rFonts w:hint="eastAsia" w:cs="Times New Roman"/>
                      <w:b w:val="0"/>
                      <w:color w:val="auto"/>
                      <w:sz w:val="21"/>
                      <w:szCs w:val="21"/>
                      <w:vertAlign w:val="baseline"/>
                      <w:lang w:val="en-US" w:eastAsia="zh-CN"/>
                    </w:rPr>
                    <w:t>一级B</w:t>
                  </w:r>
                  <w:r>
                    <w:rPr>
                      <w:rFonts w:hint="eastAsia" w:ascii="Times New Roman" w:hAnsi="Times New Roman" w:eastAsia="宋体" w:cs="Times New Roman"/>
                      <w:b w:val="0"/>
                      <w:color w:val="auto"/>
                      <w:sz w:val="21"/>
                      <w:szCs w:val="21"/>
                      <w:vertAlign w:val="baseline"/>
                      <w:lang w:val="en-US" w:eastAsia="zh-CN"/>
                    </w:rPr>
                    <w:t>标准后排入建</w:t>
                  </w:r>
                  <w:r>
                    <w:rPr>
                      <w:rFonts w:hint="eastAsia" w:cs="Times New Roman"/>
                      <w:b w:val="0"/>
                      <w:color w:val="auto"/>
                      <w:sz w:val="21"/>
                      <w:szCs w:val="21"/>
                      <w:vertAlign w:val="baseline"/>
                      <w:lang w:val="en-US" w:eastAsia="zh-CN"/>
                    </w:rPr>
                    <w:t>淮远河</w:t>
                  </w:r>
                  <w:r>
                    <w:rPr>
                      <w:rFonts w:hint="eastAsia" w:ascii="Times New Roman" w:hAnsi="Times New Roman" w:eastAsia="宋体" w:cs="Times New Roman"/>
                      <w:b w:val="0"/>
                      <w:color w:val="auto"/>
                      <w:sz w:val="21"/>
                      <w:szCs w:val="21"/>
                      <w:vertAlign w:val="baseline"/>
                      <w:lang w:val="en-US" w:eastAsia="zh-CN"/>
                    </w:rPr>
                    <w:t>。</w:t>
                  </w:r>
                </w:p>
              </w:tc>
              <w:tc>
                <w:tcPr>
                  <w:tcW w:w="448" w:type="pct"/>
                  <w:noWrap w:val="0"/>
                  <w:vAlign w:val="center"/>
                </w:tcPr>
                <w:p>
                  <w:pPr>
                    <w:spacing w:line="240" w:lineRule="auto"/>
                    <w:jc w:val="center"/>
                    <w:rPr>
                      <w:rFonts w:hint="eastAsia" w:ascii="Times New Roman" w:hAnsi="Times New Roman" w:eastAsia="宋体" w:cs="Times New Roman"/>
                      <w:b w:val="0"/>
                      <w:color w:val="auto"/>
                      <w:sz w:val="21"/>
                      <w:szCs w:val="21"/>
                      <w:vertAlign w:val="baseline"/>
                      <w:lang w:val="en-US" w:eastAsia="zh-CN"/>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4" w:type="pct"/>
                  <w:noWrap w:val="0"/>
                  <w:vAlign w:val="center"/>
                </w:tcPr>
                <w:p>
                  <w:pPr>
                    <w:spacing w:line="240" w:lineRule="auto"/>
                    <w:jc w:val="center"/>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提升大气环境质量：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w:t>
                  </w:r>
                </w:p>
              </w:tc>
              <w:tc>
                <w:tcPr>
                  <w:tcW w:w="2087" w:type="pct"/>
                  <w:noWrap w:val="0"/>
                  <w:vAlign w:val="center"/>
                </w:tcPr>
                <w:p>
                  <w:pPr>
                    <w:spacing w:line="240" w:lineRule="auto"/>
                    <w:jc w:val="center"/>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cs="Times New Roman"/>
                      <w:b w:val="0"/>
                      <w:bCs/>
                      <w:color w:val="auto"/>
                      <w:sz w:val="21"/>
                      <w:szCs w:val="21"/>
                      <w:lang w:val="en-US" w:eastAsia="zh-CN"/>
                    </w:rPr>
                    <w:t>拟建项目</w:t>
                  </w:r>
                  <w:r>
                    <w:rPr>
                      <w:rFonts w:hint="eastAsia" w:cs="Times New Roman"/>
                      <w:b w:val="0"/>
                      <w:bCs/>
                      <w:color w:val="auto"/>
                      <w:sz w:val="21"/>
                      <w:szCs w:val="21"/>
                      <w:lang w:val="en-US" w:eastAsia="zh-CN"/>
                    </w:rPr>
                    <w:t>所用的白乳胶为水性胶，使用的原料为PP和PE。项目</w:t>
                  </w:r>
                  <w:r>
                    <w:rPr>
                      <w:rFonts w:hint="eastAsia"/>
                      <w:color w:val="auto"/>
                      <w:sz w:val="21"/>
                      <w:highlight w:val="none"/>
                      <w:lang w:val="en-US" w:eastAsia="zh-CN"/>
                    </w:rPr>
                    <w:t>卷管过程产生的胶粘废气经集气罩收集后通过“活性炭吸附”处理后通过15m高排气筒DA001排放；项目流延废气、</w:t>
                  </w:r>
                  <w:r>
                    <w:rPr>
                      <w:rFonts w:hint="default"/>
                      <w:color w:val="auto"/>
                      <w:sz w:val="21"/>
                      <w:highlight w:val="none"/>
                      <w:lang w:val="en-US" w:eastAsia="zh-CN"/>
                    </w:rPr>
                    <w:t>吹膜废气</w:t>
                  </w:r>
                  <w:r>
                    <w:rPr>
                      <w:rFonts w:hint="eastAsia"/>
                      <w:color w:val="auto"/>
                      <w:sz w:val="21"/>
                      <w:highlight w:val="none"/>
                      <w:lang w:val="en-US" w:eastAsia="zh-CN"/>
                    </w:rPr>
                    <w:t>经集气罩收集后通过“二级活性炭吸附”处理后通过15m高排气筒DA002排放；危废间废气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r>
                    <w:rPr>
                      <w:rFonts w:hint="eastAsia"/>
                      <w:color w:val="auto"/>
                      <w:sz w:val="21"/>
                      <w:highlight w:val="none"/>
                      <w:lang w:val="en-US" w:eastAsia="zh-CN"/>
                    </w:rPr>
                    <w:t>；集气罩收集的食堂废气经引风机引入油烟净化器处理后引至DA004排气筒15m排放。</w:t>
                  </w:r>
                </w:p>
              </w:tc>
              <w:tc>
                <w:tcPr>
                  <w:tcW w:w="448" w:type="pct"/>
                  <w:noWrap w:val="0"/>
                  <w:vAlign w:val="center"/>
                </w:tcPr>
                <w:p>
                  <w:pPr>
                    <w:spacing w:line="240" w:lineRule="auto"/>
                    <w:jc w:val="center"/>
                    <w:rPr>
                      <w:rFonts w:hint="eastAsia" w:ascii="Times New Roman" w:hAnsi="Times New Roman" w:eastAsia="宋体" w:cs="Times New Roman"/>
                      <w:b w:val="0"/>
                      <w:color w:val="auto"/>
                      <w:sz w:val="21"/>
                      <w:szCs w:val="21"/>
                      <w:vertAlign w:val="baseline"/>
                      <w:lang w:val="en-US" w:eastAsia="zh-CN"/>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4" w:type="pct"/>
                  <w:noWrap w:val="0"/>
                  <w:vAlign w:val="center"/>
                </w:tcPr>
                <w:p>
                  <w:pPr>
                    <w:spacing w:line="240" w:lineRule="auto"/>
                    <w:jc w:val="center"/>
                    <w:rPr>
                      <w:rFonts w:hint="eastAsia"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协同防治土壤和地下水污染：严格建设用地土壤污染风险管控和修复。落实重点监管单位自行监测、隐患排查、有毒有害物质排放报告制度，防止新增土壤污染。开展城镇人口密集区危险化学品生产企业搬迁改造、化工污染整治腾退地块专项排查行动，建立高风险地块清单，健全建设用地再开发利用联合监管体系，完善污染地块再开发利用负面清单，分类型、分阶段开展污染地块风险管控和修复。</w:t>
                  </w:r>
                </w:p>
              </w:tc>
              <w:tc>
                <w:tcPr>
                  <w:tcW w:w="2087" w:type="pct"/>
                  <w:noWrap w:val="0"/>
                  <w:vAlign w:val="center"/>
                </w:tcPr>
                <w:p>
                  <w:pPr>
                    <w:spacing w:line="240" w:lineRule="auto"/>
                    <w:jc w:val="center"/>
                    <w:rPr>
                      <w:rFonts w:hint="default" w:ascii="Times New Roman" w:hAnsi="Times New Roman" w:eastAsia="宋体" w:cs="Times New Roman"/>
                      <w:b w:val="0"/>
                      <w:color w:val="auto"/>
                      <w:sz w:val="21"/>
                      <w:szCs w:val="21"/>
                      <w:vertAlign w:val="baseline"/>
                      <w:lang w:val="en-US" w:eastAsia="zh-CN"/>
                    </w:rPr>
                  </w:pPr>
                  <w:r>
                    <w:rPr>
                      <w:rFonts w:hint="eastAsia"/>
                      <w:color w:val="auto"/>
                      <w:sz w:val="21"/>
                      <w:szCs w:val="21"/>
                      <w:highlight w:val="none"/>
                    </w:rPr>
                    <w:t>在项目危废暂存间、化学品库、空压机房设置托盘等设施，防止物料、危险废物跑、冒、滴、漏，包装桶采取密闭结构，针对空压机等管道阀门、弯头等容易出现跑冒滴漏处也应设置托盘，将污染物泄漏的环境风险事故降低到最低程度。</w:t>
                  </w:r>
                  <w:r>
                    <w:rPr>
                      <w:color w:val="auto"/>
                      <w:sz w:val="21"/>
                      <w:szCs w:val="21"/>
                    </w:rPr>
                    <w:t>根据厂区各生产功能单元可能泄漏至地面区域的污染物性质和生产单元的构筑方式、构筑材料，将厂区划分为重点防渗区、一般防渗区和简单防渗区及非防渗区：重点防渗区：</w:t>
                  </w:r>
                  <w:r>
                    <w:rPr>
                      <w:rFonts w:hint="eastAsia"/>
                      <w:color w:val="auto"/>
                      <w:sz w:val="21"/>
                      <w:szCs w:val="21"/>
                      <w:highlight w:val="none"/>
                    </w:rPr>
                    <w:t>危废暂存间、化学品库、空压机房</w:t>
                  </w:r>
                  <w:r>
                    <w:rPr>
                      <w:color w:val="auto"/>
                      <w:sz w:val="21"/>
                      <w:szCs w:val="21"/>
                    </w:rPr>
                    <w:t>为重点防渗区。重点防渗区的防渗性能要求不低6.0m厚渗透系数为1.0×10</w:t>
                  </w:r>
                  <w:r>
                    <w:rPr>
                      <w:color w:val="auto"/>
                      <w:sz w:val="21"/>
                      <w:szCs w:val="21"/>
                      <w:vertAlign w:val="superscript"/>
                    </w:rPr>
                    <w:t>-7</w:t>
                  </w:r>
                  <w:r>
                    <w:rPr>
                      <w:color w:val="auto"/>
                      <w:sz w:val="21"/>
                      <w:szCs w:val="21"/>
                    </w:rPr>
                    <w:t>cm/s的黏土层防渗性能，并采取防腐措施，危险废物暂存间按</w:t>
                  </w:r>
                  <w:r>
                    <w:rPr>
                      <w:rFonts w:hint="eastAsia"/>
                      <w:color w:val="auto"/>
                      <w:sz w:val="21"/>
                      <w:szCs w:val="21"/>
                      <w:lang w:eastAsia="zh-CN"/>
                    </w:rPr>
                    <w:t>《危险废物贮存污染控制标准》（GB18597—2023）</w:t>
                  </w:r>
                  <w:r>
                    <w:rPr>
                      <w:rFonts w:hint="eastAsia"/>
                      <w:color w:val="auto"/>
                      <w:sz w:val="21"/>
                      <w:szCs w:val="21"/>
                    </w:rPr>
                    <w:t>，</w:t>
                  </w:r>
                  <w:r>
                    <w:rPr>
                      <w:rFonts w:hint="eastAsia"/>
                      <w:color w:val="auto"/>
                      <w:sz w:val="21"/>
                      <w:szCs w:val="21"/>
                      <w:lang w:val="en-US" w:eastAsia="zh-CN"/>
                    </w:rPr>
                    <w:t>防渗层为至少</w:t>
                  </w:r>
                  <w:r>
                    <w:rPr>
                      <w:rFonts w:hint="default"/>
                      <w:color w:val="auto"/>
                      <w:sz w:val="21"/>
                      <w:szCs w:val="21"/>
                      <w:lang w:val="en-US" w:eastAsia="zh-CN"/>
                    </w:rPr>
                    <w:t>1 m</w:t>
                  </w:r>
                  <w:r>
                    <w:rPr>
                      <w:rFonts w:hint="eastAsia"/>
                      <w:color w:val="auto"/>
                      <w:sz w:val="21"/>
                      <w:szCs w:val="21"/>
                      <w:lang w:val="en-US" w:eastAsia="zh-CN"/>
                    </w:rPr>
                    <w:t>厚黏土层（渗透系数不大于</w:t>
                  </w:r>
                  <w:r>
                    <w:rPr>
                      <w:rFonts w:hint="default"/>
                      <w:color w:val="auto"/>
                      <w:sz w:val="21"/>
                      <w:szCs w:val="21"/>
                      <w:lang w:val="en-US" w:eastAsia="zh-CN"/>
                    </w:rPr>
                    <w:t>10</w:t>
                  </w:r>
                  <w:r>
                    <w:rPr>
                      <w:rFonts w:hint="default"/>
                      <w:color w:val="auto"/>
                      <w:sz w:val="21"/>
                      <w:szCs w:val="21"/>
                      <w:vertAlign w:val="superscript"/>
                      <w:lang w:val="en-US" w:eastAsia="zh-CN"/>
                    </w:rPr>
                    <w:t>-7</w:t>
                  </w:r>
                  <w:r>
                    <w:rPr>
                      <w:rFonts w:hint="default"/>
                      <w:color w:val="auto"/>
                      <w:sz w:val="21"/>
                      <w:szCs w:val="21"/>
                      <w:lang w:val="en-US" w:eastAsia="zh-CN"/>
                    </w:rPr>
                    <w:t xml:space="preserve"> cm/s</w:t>
                  </w:r>
                  <w:r>
                    <w:rPr>
                      <w:rFonts w:hint="eastAsia"/>
                      <w:color w:val="auto"/>
                      <w:sz w:val="21"/>
                      <w:szCs w:val="21"/>
                      <w:lang w:val="en-US" w:eastAsia="zh-CN"/>
                    </w:rPr>
                    <w:t>），或至少</w:t>
                  </w:r>
                  <w:r>
                    <w:rPr>
                      <w:rFonts w:hint="default"/>
                      <w:color w:val="auto"/>
                      <w:sz w:val="21"/>
                      <w:szCs w:val="21"/>
                      <w:lang w:val="en-US" w:eastAsia="zh-CN"/>
                    </w:rPr>
                    <w:t>2mm</w:t>
                  </w:r>
                  <w:r>
                    <w:rPr>
                      <w:rFonts w:hint="eastAsia"/>
                      <w:color w:val="auto"/>
                      <w:sz w:val="21"/>
                      <w:szCs w:val="21"/>
                      <w:lang w:val="en-US" w:eastAsia="zh-CN"/>
                    </w:rPr>
                    <w:t>厚高密度聚乙烯膜等人工防渗材料（渗透系数不大于</w:t>
                  </w:r>
                  <w:r>
                    <w:rPr>
                      <w:rFonts w:hint="default"/>
                      <w:color w:val="auto"/>
                      <w:sz w:val="21"/>
                      <w:szCs w:val="21"/>
                      <w:lang w:val="en-US" w:eastAsia="zh-CN"/>
                    </w:rPr>
                    <w:t>10</w:t>
                  </w:r>
                  <w:r>
                    <w:rPr>
                      <w:rFonts w:hint="default"/>
                      <w:color w:val="auto"/>
                      <w:sz w:val="21"/>
                      <w:szCs w:val="21"/>
                      <w:vertAlign w:val="superscript"/>
                      <w:lang w:val="en-US" w:eastAsia="zh-CN"/>
                    </w:rPr>
                    <w:t xml:space="preserve"> -10</w:t>
                  </w:r>
                  <w:r>
                    <w:rPr>
                      <w:rFonts w:hint="default"/>
                      <w:color w:val="auto"/>
                      <w:sz w:val="21"/>
                      <w:szCs w:val="21"/>
                      <w:lang w:val="en-US" w:eastAsia="zh-CN"/>
                    </w:rPr>
                    <w:t>cm/s</w:t>
                  </w:r>
                  <w:r>
                    <w:rPr>
                      <w:rFonts w:hint="eastAsia"/>
                      <w:color w:val="auto"/>
                      <w:sz w:val="21"/>
                      <w:szCs w:val="21"/>
                      <w:lang w:val="en-US" w:eastAsia="zh-CN"/>
                    </w:rPr>
                    <w:t>）</w:t>
                  </w:r>
                  <w:r>
                    <w:rPr>
                      <w:rFonts w:hint="eastAsia"/>
                      <w:color w:val="auto"/>
                      <w:sz w:val="21"/>
                      <w:szCs w:val="21"/>
                    </w:rPr>
                    <w:t>。</w:t>
                  </w:r>
                  <w:r>
                    <w:rPr>
                      <w:color w:val="auto"/>
                      <w:sz w:val="21"/>
                      <w:szCs w:val="21"/>
                    </w:rPr>
                    <w:t>一般防渗区：拟建项目一般固废暂存间</w:t>
                  </w:r>
                  <w:r>
                    <w:rPr>
                      <w:rFonts w:hint="eastAsia"/>
                      <w:color w:val="auto"/>
                      <w:sz w:val="21"/>
                      <w:szCs w:val="21"/>
                    </w:rPr>
                    <w:t>及</w:t>
                  </w:r>
                  <w:r>
                    <w:rPr>
                      <w:color w:val="auto"/>
                      <w:sz w:val="21"/>
                      <w:szCs w:val="21"/>
                    </w:rPr>
                    <w:t>其他</w:t>
                  </w:r>
                  <w:r>
                    <w:rPr>
                      <w:rFonts w:hint="eastAsia"/>
                      <w:color w:val="auto"/>
                      <w:sz w:val="21"/>
                      <w:szCs w:val="21"/>
                    </w:rPr>
                    <w:t>生产</w:t>
                  </w:r>
                  <w:r>
                    <w:rPr>
                      <w:color w:val="auto"/>
                      <w:sz w:val="21"/>
                      <w:szCs w:val="21"/>
                    </w:rPr>
                    <w:t>区域为一般防渗区。一般污染防渗区的防渗性能要求不低1.5m厚渗透系数为1.0×10</w:t>
                  </w:r>
                  <w:r>
                    <w:rPr>
                      <w:color w:val="auto"/>
                      <w:sz w:val="21"/>
                      <w:szCs w:val="21"/>
                      <w:vertAlign w:val="superscript"/>
                    </w:rPr>
                    <w:t>-7</w:t>
                  </w:r>
                  <w:r>
                    <w:rPr>
                      <w:color w:val="auto"/>
                      <w:sz w:val="21"/>
                      <w:szCs w:val="21"/>
                    </w:rPr>
                    <w:t>cm/s的黏土层防渗性能。简单防渗区：车间内的</w:t>
                  </w:r>
                  <w:r>
                    <w:rPr>
                      <w:rFonts w:hint="eastAsia"/>
                      <w:color w:val="auto"/>
                      <w:sz w:val="21"/>
                      <w:szCs w:val="21"/>
                    </w:rPr>
                    <w:t>办公室、</w:t>
                  </w:r>
                  <w:r>
                    <w:rPr>
                      <w:color w:val="auto"/>
                      <w:sz w:val="21"/>
                      <w:szCs w:val="21"/>
                    </w:rPr>
                    <w:t>过道</w:t>
                  </w:r>
                  <w:r>
                    <w:rPr>
                      <w:rFonts w:hint="eastAsia"/>
                      <w:color w:val="auto"/>
                      <w:sz w:val="21"/>
                      <w:szCs w:val="21"/>
                    </w:rPr>
                    <w:t>、卫生间等</w:t>
                  </w:r>
                  <w:r>
                    <w:rPr>
                      <w:color w:val="auto"/>
                      <w:sz w:val="21"/>
                      <w:szCs w:val="21"/>
                    </w:rPr>
                    <w:t>其他区域做简单防渗。</w:t>
                  </w:r>
                  <w:r>
                    <w:rPr>
                      <w:rFonts w:hint="eastAsia"/>
                      <w:color w:val="auto"/>
                      <w:sz w:val="21"/>
                      <w:szCs w:val="21"/>
                    </w:rPr>
                    <w:t>相关部门对设备设施检查、维护，要制定严格的检修标准、周期和考核标准，落实责任人，检查、维修人员要按照相关标准认真执行，定检后要验收，并做好记录。项目危险废物不得与其他垃圾混存，必须委托具有危险废物处理资质的单位进行回收处置，禁止私自处理。</w:t>
                  </w:r>
                </w:p>
              </w:tc>
              <w:tc>
                <w:tcPr>
                  <w:tcW w:w="448" w:type="pct"/>
                  <w:noWrap w:val="0"/>
                  <w:vAlign w:val="center"/>
                </w:tcPr>
                <w:p>
                  <w:pPr>
                    <w:spacing w:line="240" w:lineRule="auto"/>
                    <w:jc w:val="center"/>
                    <w:rPr>
                      <w:rFonts w:hint="eastAsia" w:ascii="Times New Roman" w:hAnsi="Times New Roman" w:eastAsia="宋体" w:cs="Times New Roman"/>
                      <w:b w:val="0"/>
                      <w:color w:val="auto"/>
                      <w:sz w:val="21"/>
                      <w:szCs w:val="21"/>
                      <w:vertAlign w:val="baseline"/>
                      <w:lang w:val="en-US" w:eastAsia="zh-CN"/>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4" w:type="pct"/>
                  <w:noWrap w:val="0"/>
                  <w:vAlign w:val="center"/>
                </w:tcPr>
                <w:p>
                  <w:pPr>
                    <w:spacing w:line="240" w:lineRule="auto"/>
                    <w:jc w:val="center"/>
                    <w:rPr>
                      <w:rFonts w:hint="eastAsia"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管控噪声环境影响：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2087" w:type="pct"/>
                  <w:noWrap w:val="0"/>
                  <w:vAlign w:val="center"/>
                </w:tcPr>
                <w:p>
                  <w:pPr>
                    <w:spacing w:line="240" w:lineRule="auto"/>
                    <w:jc w:val="center"/>
                    <w:rPr>
                      <w:rFonts w:hint="default" w:ascii="Times New Roman" w:hAnsi="Times New Roman" w:eastAsia="宋体" w:cs="Times New Roman"/>
                      <w:b w:val="0"/>
                      <w:color w:val="auto"/>
                      <w:sz w:val="21"/>
                      <w:szCs w:val="21"/>
                      <w:vertAlign w:val="baseline"/>
                      <w:lang w:val="en-US" w:eastAsia="zh-CN"/>
                    </w:rPr>
                  </w:pPr>
                  <w:r>
                    <w:rPr>
                      <w:rFonts w:hint="eastAsia" w:ascii="Times New Roman" w:hAnsi="Times New Roman" w:eastAsia="宋体" w:cs="Times New Roman"/>
                      <w:b w:val="0"/>
                      <w:color w:val="auto"/>
                      <w:sz w:val="21"/>
                      <w:szCs w:val="21"/>
                      <w:vertAlign w:val="baseline"/>
                      <w:lang w:val="en-US" w:eastAsia="zh-CN"/>
                    </w:rPr>
                    <w:t>项目位于工业园区内，项目实施后，厂界噪声可满足《工业企业厂界环境噪声排放标准》（GB 12348-2008）3类排放限值要求。根据项目现状调查，厂区外50m范围内无声环境敏感目标，均为工业园区的在建或已建企业，运营期不会造成噪声污染</w:t>
                  </w:r>
                </w:p>
              </w:tc>
              <w:tc>
                <w:tcPr>
                  <w:tcW w:w="448" w:type="pct"/>
                  <w:noWrap w:val="0"/>
                  <w:vAlign w:val="center"/>
                </w:tcPr>
                <w:p>
                  <w:pPr>
                    <w:spacing w:line="240" w:lineRule="auto"/>
                    <w:jc w:val="center"/>
                    <w:rPr>
                      <w:rFonts w:hint="eastAsia" w:ascii="Times New Roman" w:hAnsi="Times New Roman" w:eastAsia="宋体" w:cs="Times New Roman"/>
                      <w:b w:val="0"/>
                      <w:color w:val="auto"/>
                      <w:sz w:val="21"/>
                      <w:szCs w:val="21"/>
                      <w:vertAlign w:val="baseline"/>
                      <w:lang w:val="en-US" w:eastAsia="zh-CN"/>
                    </w:rPr>
                  </w:pPr>
                  <w:r>
                    <w:rPr>
                      <w:rFonts w:hint="eastAsia"/>
                      <w:color w:val="auto"/>
                      <w:sz w:val="21"/>
                      <w:szCs w:val="21"/>
                    </w:rPr>
                    <w:t>符合</w:t>
                  </w:r>
                </w:p>
              </w:tc>
            </w:tr>
          </w:tbl>
          <w:p>
            <w:pPr>
              <w:keepNext w:val="0"/>
              <w:keepLines w:val="0"/>
              <w:suppressLineNumbers w:val="0"/>
              <w:spacing w:before="0" w:beforeAutospacing="0" w:after="0" w:afterAutospacing="0" w:line="360" w:lineRule="auto"/>
              <w:ind w:left="0" w:right="0"/>
              <w:outlineLvl w:val="0"/>
              <w:rPr>
                <w:rFonts w:hint="eastAsia"/>
                <w:b/>
                <w:color w:val="auto"/>
                <w:szCs w:val="24"/>
                <w:lang w:val="en-US" w:eastAsia="zh-CN"/>
              </w:rPr>
            </w:pPr>
            <w:r>
              <w:rPr>
                <w:rFonts w:hint="eastAsia"/>
                <w:b/>
                <w:color w:val="auto"/>
                <w:szCs w:val="24"/>
                <w:lang w:val="en-US" w:eastAsia="zh-CN"/>
              </w:rPr>
              <w:t>1.5与《四川省、重庆市长江经济带发展负面清单实施细则（试行，2022年版）》符合性分析</w:t>
            </w:r>
          </w:p>
          <w:p>
            <w:pPr>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cs="Times New Roman"/>
                <w:b/>
                <w:color w:val="auto"/>
                <w:szCs w:val="24"/>
                <w:lang w:val="en-US" w:eastAsia="zh-CN"/>
              </w:rPr>
            </w:pPr>
            <w:r>
              <w:rPr>
                <w:rFonts w:hint="eastAsia" w:ascii="Times New Roman" w:hAnsi="Times New Roman" w:eastAsia="宋体" w:cs="Times New Roman"/>
                <w:b/>
                <w:color w:val="auto"/>
                <w:szCs w:val="24"/>
                <w:lang w:val="en-US" w:eastAsia="zh-CN"/>
              </w:rPr>
              <w:t>表1.5-1 项目与细则中相关要求符合性分析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5"/>
              <w:gridCol w:w="1890"/>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相关内容</w:t>
                  </w:r>
                </w:p>
              </w:tc>
              <w:tc>
                <w:tcPr>
                  <w:tcW w:w="11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项目情况</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禁止新建、改建和扩建不符合全国港口布局规划以及《四川省内河水运发展规划》《泸州—宜宾—乐山港口群布局规划》《重庆港总体规划(2035年）》等省级港口布局规划及市级港口总体规划的码头项目。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项目不属于港口项目</w:t>
                  </w:r>
                  <w:r>
                    <w:rPr>
                      <w:rFonts w:hint="eastAsia" w:ascii="Times New Roman" w:hAnsi="Times New Roman" w:eastAsia="宋体" w:cs="Times New Roman"/>
                      <w:color w:val="auto"/>
                      <w:sz w:val="21"/>
                      <w:szCs w:val="21"/>
                      <w:lang w:eastAsia="zh-CN"/>
                    </w:rPr>
                    <w:t>。</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禁止新建、改建和扩建不符合《长江干线过江通道布局规划(2020—2035年）》的过长江通道项目（含桥梁、隧道），国家发展改革委同意过长江通道线位调整的除外。</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不属于过长江通道项目</w:t>
                  </w:r>
                  <w:r>
                    <w:rPr>
                      <w:rFonts w:hint="eastAsia" w:ascii="Times New Roman" w:hAnsi="Times New Roman" w:eastAsia="宋体" w:cs="Times New Roman"/>
                      <w:color w:val="auto"/>
                      <w:sz w:val="21"/>
                      <w:szCs w:val="21"/>
                      <w:lang w:eastAsia="zh-CN"/>
                    </w:rPr>
                    <w:t>。</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禁止在自然保护区核心区、缓冲区的岸线和河段范围内投资建设旅游和生产经营项目。自然保护区的内部未分区的，依照核心区和缓冲区的规定管控。</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项目不在自然保护区</w:t>
                  </w:r>
                  <w:r>
                    <w:rPr>
                      <w:rFonts w:hint="eastAsia" w:ascii="Times New Roman" w:hAnsi="Times New Roman" w:eastAsia="宋体" w:cs="Times New Roman"/>
                      <w:color w:val="auto"/>
                      <w:sz w:val="21"/>
                      <w:szCs w:val="21"/>
                    </w:rPr>
                    <w:t>、缓冲区内</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1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位于工业园区内，且不属于左述项目</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禁止在饮用水水源准保护区的岸线和河段范围内新建、扩建对水体污染严重的建设项目，禁止改建增加排污量的建设项目。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项目不在划定的饮用水源保护区范围内</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饮用水水源二级保护区的岸线和河段范围内，除遵守准保护区规定外，禁止新建、改建、扩建排放污染物的投资建设项目；禁止从事对水体有污染的水产养殖等活动。</w:t>
                  </w:r>
                </w:p>
              </w:tc>
              <w:tc>
                <w:tcPr>
                  <w:tcW w:w="11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项目不在划定的</w:t>
                  </w:r>
                  <w:r>
                    <w:rPr>
                      <w:rFonts w:hint="eastAsia" w:ascii="Times New Roman" w:hAnsi="Times New Roman" w:eastAsia="宋体" w:cs="Times New Roman"/>
                      <w:color w:val="auto"/>
                      <w:sz w:val="21"/>
                      <w:szCs w:val="21"/>
                    </w:rPr>
                    <w:t>饮用水水源二级保护区的岸线和河段范围内</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饮用水水源一级保护区的岸线和河段范围内，除遵守二级保护区规定外， 禁止新建、改建、扩建与供水设施和保护水源无关的项目，以及网箱养殖、畜禽养殖、旅游等可能污染饮用水水体的投资建设项目</w:t>
                  </w:r>
                </w:p>
              </w:tc>
              <w:tc>
                <w:tcPr>
                  <w:tcW w:w="11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不在划定的饮用水水源一级保护区的岸线和河段范围内</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禁止在水产种质资源保护区岸线和河段范围内新建围湖造田、围湖造地或挖沙采石等投资建设项目。</w:t>
                  </w:r>
                </w:p>
              </w:tc>
              <w:tc>
                <w:tcPr>
                  <w:tcW w:w="11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不属于水产种质资源保护区范围内</w:t>
                  </w:r>
                </w:p>
              </w:tc>
              <w:tc>
                <w:tcPr>
                  <w:tcW w:w="472" w:type="pct"/>
                  <w:noWrap w:val="0"/>
                  <w:vAlign w:val="center"/>
                </w:tcPr>
                <w:p>
                  <w:pPr>
                    <w:pStyle w:val="97"/>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不在国家湿地公园的岸线和河段范围内，且不属于左述项目</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所在地区长江段不在岸线保护区内；项目不在《长江岸线保护和开发利用总体规划》岸线保留区内</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禁止在《全国重要江河湖泊水功能区划》划定的河段及湖泊保护区、保留区内投资建设不利于水资源及自然生态保护的项目。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不在《全国重要江河湖泊水功能区划》划定的河段及湖泊保护区</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禁止在长江流域江河、湖泊新设、改设或者扩大排污口，经有管辖权的生态环境主管部门或者长江流域生态环境监督管理机构同意的除外。</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不新增排污口</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禁止在长江干支流、重要湖泊岸线一公里范围内新建、扩建化工园区和化工项目。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不属于化工项目</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禁止在长江干流岸线三公里范围内和重要支流岸线一公里范围内新建、改建、扩建尾矿库、冶炼渣库、磷石膏库，以提升安全、生态环境保护水平为目的的改建除外。</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不属于左述项目</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禁止在生态保护红线区域、永久基本农田集中区域和其他需要特别保护的区域内选址建设尾矿库、冶炼渣库、磷石膏库。</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不属于左述项目</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禁止在合规园区外新建、扩建钢铁、石化、化工、焦化、建材、有色、制浆造纸等高污染项目。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不属于左述项目</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禁止新建、扩建不符合国家石化、现代煤化工等产业布局规划的项目。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不属于石化类</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不属《产业结构调整指导目录》中限制、淘汰类，属允许类</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禁止新建、扩建不符合国家产能置换要求的严重过剩产能行业的项目。对于不符合国家产能置换要求的严重过剩产能行业，不得以其他任何名义、任何方式备案新增产能项目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拟建</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属于</w:t>
                  </w:r>
                  <w:r>
                    <w:rPr>
                      <w:rFonts w:hint="eastAsia" w:cs="Times New Roman"/>
                      <w:color w:val="auto"/>
                      <w:sz w:val="21"/>
                      <w:szCs w:val="21"/>
                      <w:lang w:eastAsia="zh-CN"/>
                    </w:rPr>
                    <w:t>塑料制品</w:t>
                  </w:r>
                  <w:r>
                    <w:rPr>
                      <w:rFonts w:hint="eastAsia"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sz w:val="21"/>
                      <w:szCs w:val="21"/>
                    </w:rPr>
                    <w:t>，不属于产能过剩行业</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建设以下燃油汽车投资项目（不在中回境内销售产品的投资项目除外）：①新建独立燃油汽车企业；②现有汽车企业跨乘用车、商用车类别建设燃油汽车生产能力；③外省现有燃油汽车企业整体搬迁至本省（列入国家级区域发展规划或不改变企业股权结构的项目除外）；④对行业管理部门特别公示的燃油汽车企业进行投资（企业原有股东投资或将该企业转为非独立法人的投资项目除外）</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项目属于</w:t>
                  </w:r>
                  <w:r>
                    <w:rPr>
                      <w:rFonts w:hint="eastAsia" w:cs="Times New Roman"/>
                      <w:color w:val="auto"/>
                      <w:sz w:val="21"/>
                      <w:szCs w:val="21"/>
                      <w:lang w:eastAsia="zh-CN"/>
                    </w:rPr>
                    <w:t>塑料制品</w:t>
                  </w:r>
                  <w:r>
                    <w:rPr>
                      <w:rFonts w:hint="eastAsia"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sz w:val="21"/>
                      <w:szCs w:val="21"/>
                    </w:rPr>
                    <w:t>；不属于左述行业</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57"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禁止新建、扩建不符合要求的高耗能、高排放、低水平项目。</w:t>
                  </w:r>
                </w:p>
              </w:tc>
              <w:tc>
                <w:tcPr>
                  <w:tcW w:w="11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cs="Times New Roman"/>
                      <w:color w:val="auto"/>
                      <w:sz w:val="21"/>
                      <w:szCs w:val="21"/>
                      <w:lang w:eastAsia="zh-CN"/>
                    </w:rPr>
                    <w:t>本项目</w:t>
                  </w:r>
                  <w:r>
                    <w:rPr>
                      <w:rFonts w:hint="eastAsia" w:ascii="Times New Roman" w:hAnsi="Times New Roman" w:eastAsia="宋体" w:cs="Times New Roman"/>
                      <w:color w:val="auto"/>
                      <w:sz w:val="21"/>
                      <w:szCs w:val="21"/>
                    </w:rPr>
                    <w:t>不属于高耗能、高排放、低水平项目</w:t>
                  </w:r>
                </w:p>
              </w:tc>
              <w:tc>
                <w:tcPr>
                  <w:tcW w:w="472" w:type="pct"/>
                  <w:noWrap w:val="0"/>
                  <w:vAlign w:val="center"/>
                </w:tcPr>
                <w:p>
                  <w:pPr>
                    <w:pStyle w:val="97"/>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bl>
          <w:p>
            <w:pPr>
              <w:keepNext w:val="0"/>
              <w:keepLines w:val="0"/>
              <w:suppressLineNumbers w:val="0"/>
              <w:spacing w:before="0" w:beforeAutospacing="0" w:after="0" w:afterAutospacing="0" w:line="360" w:lineRule="auto"/>
              <w:ind w:left="0" w:right="0"/>
              <w:outlineLvl w:val="0"/>
              <w:rPr>
                <w:rFonts w:hint="eastAsia"/>
                <w:b/>
                <w:color w:val="auto"/>
                <w:szCs w:val="24"/>
                <w:lang w:val="en-US" w:eastAsia="zh-CN"/>
              </w:rPr>
            </w:pPr>
            <w:r>
              <w:rPr>
                <w:rFonts w:hint="eastAsia"/>
                <w:b/>
                <w:color w:val="auto"/>
                <w:szCs w:val="24"/>
                <w:lang w:val="en-US" w:eastAsia="zh-CN"/>
              </w:rPr>
              <w:t>1.6与《重庆市大气环境保护“十四五”规划（2021-2025）》符合性分析</w:t>
            </w:r>
          </w:p>
          <w:p>
            <w:pPr>
              <w:pStyle w:val="36"/>
              <w:jc w:val="center"/>
              <w:rPr>
                <w:rFonts w:hint="default" w:ascii="Times New Roman" w:hAnsi="Times New Roman" w:cs="Times New Roman"/>
                <w:b/>
                <w:color w:val="auto"/>
                <w:szCs w:val="24"/>
                <w:lang w:val="en-US" w:eastAsia="zh-CN"/>
              </w:rPr>
            </w:pPr>
            <w:r>
              <w:rPr>
                <w:rFonts w:hint="default" w:ascii="Times New Roman" w:hAnsi="Times New Roman" w:cs="Times New Roman"/>
                <w:b/>
                <w:color w:val="auto"/>
                <w:szCs w:val="24"/>
                <w:lang w:val="en-US" w:eastAsia="zh-CN"/>
              </w:rPr>
              <w:t>表1.6-1 与重庆市大气环境保护“十四五”规划符合性</w:t>
            </w:r>
            <w:r>
              <w:rPr>
                <w:rFonts w:hint="eastAsia" w:ascii="Times New Roman" w:hAnsi="Times New Roman" w:cs="Times New Roman"/>
                <w:b/>
                <w:color w:val="auto"/>
                <w:szCs w:val="24"/>
                <w:lang w:val="en-US" w:eastAsia="zh-CN"/>
              </w:rPr>
              <w:t>（摘录）</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088"/>
              <w:gridCol w:w="2125"/>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5" w:type="dxa"/>
                  <w:gridSpan w:val="2"/>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相关要求</w:t>
                  </w:r>
                </w:p>
              </w:tc>
              <w:tc>
                <w:tcPr>
                  <w:tcW w:w="2125"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项目情况</w:t>
                  </w:r>
                </w:p>
              </w:tc>
              <w:tc>
                <w:tcPr>
                  <w:tcW w:w="845"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7"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加强源头控制</w:t>
                  </w:r>
                </w:p>
              </w:tc>
              <w:tc>
                <w:tcPr>
                  <w:tcW w:w="4088"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施VOCs排放总量控制，涉VOCs建设项目按照新增排放量进行减量替代。以工业涂装、包装印刷等行业为重点，实施原辅材料和产品源头替代。加快对溶剂型涂料、油墨、胶粘剂、清洗剂使用企业制定低VOCs含量原辅材料替代计划。将生产和使用高VOCs含量产品的企业列入强制性清洁生产审核名单。到2025年，基本完成汽车、摩托车整车制造底漆、中涂、色漆低VOCs含量涂料替代；在木质家具、汽车零部件、工程机械、钢结构、船舶制造等行业技术成熟环节，大力推广低VOCs含量涂料。在房屋建筑、市政工程和城市道路交通标志中，除特殊功能要求外，全面推广使用低VOCs含量的涂料、胶粘剂。到2025年，全市溶剂型工业涂料、溶剂型油墨使用比例分别降低20%、15%，溶剂型胶粘剂使用量下降20%。</w:t>
                  </w:r>
                </w:p>
              </w:tc>
              <w:tc>
                <w:tcPr>
                  <w:tcW w:w="2125"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color w:val="auto"/>
                      <w:sz w:val="21"/>
                      <w:szCs w:val="21"/>
                      <w:lang w:val="en-US" w:eastAsia="zh-CN"/>
                    </w:rPr>
                    <w:t>拟建项目</w:t>
                  </w:r>
                  <w:r>
                    <w:rPr>
                      <w:rFonts w:hint="eastAsia" w:cs="Times New Roman"/>
                      <w:b w:val="0"/>
                      <w:bCs/>
                      <w:color w:val="auto"/>
                      <w:sz w:val="21"/>
                      <w:szCs w:val="21"/>
                      <w:lang w:val="en-US" w:eastAsia="zh-CN"/>
                    </w:rPr>
                    <w:t>所用的白乳胶为水性胶，使用的原料为PP和PE。项目</w:t>
                  </w:r>
                  <w:r>
                    <w:rPr>
                      <w:rFonts w:hint="eastAsia"/>
                      <w:color w:val="auto"/>
                      <w:sz w:val="21"/>
                      <w:highlight w:val="none"/>
                      <w:lang w:val="en-US" w:eastAsia="zh-CN"/>
                    </w:rPr>
                    <w:t>卷管过程产生的胶粘废气经集气罩收集后通过“活性炭吸附”处理后通过15m高排气筒DA001排放；项目流延废气、</w:t>
                  </w:r>
                  <w:r>
                    <w:rPr>
                      <w:rFonts w:hint="default"/>
                      <w:color w:val="auto"/>
                      <w:sz w:val="21"/>
                      <w:highlight w:val="none"/>
                      <w:lang w:val="en-US" w:eastAsia="zh-CN"/>
                    </w:rPr>
                    <w:t>吹膜废气</w:t>
                  </w:r>
                  <w:r>
                    <w:rPr>
                      <w:rFonts w:hint="eastAsia"/>
                      <w:color w:val="auto"/>
                      <w:sz w:val="21"/>
                      <w:highlight w:val="none"/>
                      <w:lang w:val="en-US" w:eastAsia="zh-CN"/>
                    </w:rPr>
                    <w:t>经集气罩收集后通过“二级活性炭吸附”处理后通过15m高排气筒DA002排放；危废间废气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r>
                    <w:rPr>
                      <w:rFonts w:hint="eastAsia"/>
                      <w:color w:val="auto"/>
                      <w:sz w:val="21"/>
                      <w:highlight w:val="none"/>
                      <w:lang w:val="en-US" w:eastAsia="zh-CN"/>
                    </w:rPr>
                    <w:t>；集气罩收集的食堂废气经引风机引入油烟净化器处理后引至DA004排气筒15m排放。经处理后的废气均可达标排放。</w:t>
                  </w:r>
                </w:p>
              </w:tc>
              <w:tc>
                <w:tcPr>
                  <w:tcW w:w="845"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持续推进VOCs</w:t>
                  </w:r>
                </w:p>
                <w:p>
                  <w:pPr>
                    <w:pStyle w:val="9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全过程综合治</w:t>
                  </w:r>
                </w:p>
                <w:p>
                  <w:pPr>
                    <w:pStyle w:val="9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理</w:t>
                  </w:r>
                </w:p>
              </w:tc>
              <w:tc>
                <w:tcPr>
                  <w:tcW w:w="4088"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推动VOCs末端治理升级。推行“一企一策”，引导企业选择多种技术的组合工艺提高VOCs治理效率。石化、化工企业加强火炬系统排放监管，保证燃烧温度和污染物停留时间能有效去除污染物。加强非正常工况废气排放管控，制定非正常工况VOCs管控规程，严格按规程操作。有条件的工业集聚区建设集中喷涂工程中心，配备高效治污设施，替代企业独立喷涂工序，对涉及喷漆、喷粉、印刷等废气进行集中处理。鼓励对中小型企业集群开展企业分散收集一活性炭移动集中再生治理模式的示范推广。</w:t>
                  </w:r>
                </w:p>
              </w:tc>
              <w:tc>
                <w:tcPr>
                  <w:tcW w:w="2125"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color w:val="auto"/>
                      <w:sz w:val="21"/>
                      <w:szCs w:val="21"/>
                      <w:lang w:val="en-US" w:eastAsia="zh-CN"/>
                    </w:rPr>
                    <w:t>拟建项目</w:t>
                  </w:r>
                  <w:r>
                    <w:rPr>
                      <w:rFonts w:hint="eastAsia" w:cs="Times New Roman"/>
                      <w:b w:val="0"/>
                      <w:bCs/>
                      <w:color w:val="auto"/>
                      <w:sz w:val="21"/>
                      <w:szCs w:val="21"/>
                      <w:lang w:val="en-US" w:eastAsia="zh-CN"/>
                    </w:rPr>
                    <w:t>所用的白乳胶为水性胶，使用的原料为PP和PE。项目</w:t>
                  </w:r>
                  <w:r>
                    <w:rPr>
                      <w:rFonts w:hint="eastAsia"/>
                      <w:color w:val="auto"/>
                      <w:sz w:val="21"/>
                      <w:highlight w:val="none"/>
                      <w:lang w:val="en-US" w:eastAsia="zh-CN"/>
                    </w:rPr>
                    <w:t>卷管过程产生的胶粘废气经集气罩收集后通过“活性炭吸附”处理后通过15m高排气筒DA001排放；项目流延废气、</w:t>
                  </w:r>
                  <w:r>
                    <w:rPr>
                      <w:rFonts w:hint="default"/>
                      <w:color w:val="auto"/>
                      <w:sz w:val="21"/>
                      <w:highlight w:val="none"/>
                      <w:lang w:val="en-US" w:eastAsia="zh-CN"/>
                    </w:rPr>
                    <w:t>吹膜废气</w:t>
                  </w:r>
                  <w:r>
                    <w:rPr>
                      <w:rFonts w:hint="eastAsia"/>
                      <w:color w:val="auto"/>
                      <w:sz w:val="21"/>
                      <w:highlight w:val="none"/>
                      <w:lang w:val="en-US" w:eastAsia="zh-CN"/>
                    </w:rPr>
                    <w:t>经集气罩收集后通过“二级活性炭吸附”处理后通过15m高排气筒DA002排放；危废间废气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r>
                    <w:rPr>
                      <w:rFonts w:hint="eastAsia"/>
                      <w:color w:val="auto"/>
                      <w:sz w:val="21"/>
                      <w:highlight w:val="none"/>
                      <w:lang w:val="en-US" w:eastAsia="zh-CN"/>
                    </w:rPr>
                    <w:t>；集气罩收集的食堂废气经引风机引入油烟净化器处理后引至DA004排气筒15m排放。经处理后的废气均可达标排放。</w:t>
                  </w:r>
                </w:p>
              </w:tc>
              <w:tc>
                <w:tcPr>
                  <w:tcW w:w="845"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持续优化产业结构和布局</w:t>
                  </w:r>
                </w:p>
              </w:tc>
              <w:tc>
                <w:tcPr>
                  <w:tcW w:w="4088"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坚决遏制高耗能、高排放、低水平项目盲目发展。严格落实国家和本市产业规划、产业政策、“三线一单”、规划环评以及产能置换、煤炭消费减量替代、区域污染物削减等相关要求，严控高耗能、高排放、低水平项目，因地制宜制定“两高”和资源型行业准入标准。适时修订并严格执行产业禁投清单等准入政策，合理控制煤制油气产能规模，未纳入国家有关领域产业规划的</w:t>
                  </w:r>
                </w:p>
                <w:p>
                  <w:pPr>
                    <w:pStyle w:val="97"/>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新、改、扩建炼油和新建乙烯、对二甲苯、煤制烯烃项目，一律不得建设。新、改、扩建项目所需二氧化硫、氮氧化物、VOCs 排放量指标要进行减量替代，PM</w:t>
                  </w:r>
                  <w:r>
                    <w:rPr>
                      <w:rFonts w:hint="default" w:ascii="Times New Roman" w:hAnsi="Times New Roman" w:eastAsia="宋体" w:cs="Times New Roman"/>
                      <w:color w:val="auto"/>
                      <w:sz w:val="21"/>
                      <w:szCs w:val="21"/>
                      <w:vertAlign w:val="subscript"/>
                      <w:lang w:val="en-US" w:eastAsia="zh-CN"/>
                    </w:rPr>
                    <w:t>2.5</w:t>
                  </w:r>
                  <w:r>
                    <w:rPr>
                      <w:rFonts w:hint="default" w:ascii="Times New Roman" w:hAnsi="Times New Roman" w:eastAsia="宋体" w:cs="Times New Roman"/>
                      <w:color w:val="auto"/>
                      <w:sz w:val="21"/>
                      <w:szCs w:val="21"/>
                      <w:lang w:val="en-US" w:eastAsia="zh-CN"/>
                    </w:rPr>
                    <w:t>或者臭氧未达标区县要加大替代比例。加快推进“两高”和资源型行业依法开展清洁生产审核，推动一批重点企业达到国际清洁生产领先水平，确保新上的“两高”项目达到标杆值水平和污染物排放标准先进值。</w:t>
                  </w:r>
                </w:p>
              </w:tc>
              <w:tc>
                <w:tcPr>
                  <w:tcW w:w="2125"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color w:val="auto"/>
                      <w:sz w:val="21"/>
                      <w:szCs w:val="21"/>
                      <w:lang w:val="en-US" w:eastAsia="zh-CN"/>
                    </w:rPr>
                    <w:t>拟建项目不属于“两高”行业</w:t>
                  </w:r>
                  <w:r>
                    <w:rPr>
                      <w:rFonts w:hint="eastAsia" w:ascii="Times New Roman" w:hAnsi="Times New Roman" w:eastAsia="宋体" w:cs="Times New Roman"/>
                      <w:b w:val="0"/>
                      <w:bCs w:val="0"/>
                      <w:color w:val="auto"/>
                      <w:kern w:val="2"/>
                      <w:sz w:val="21"/>
                      <w:szCs w:val="21"/>
                      <w:highlight w:val="none"/>
                      <w:shd w:val="clear" w:color="auto" w:fill="auto"/>
                      <w:vertAlign w:val="baseline"/>
                      <w:lang w:val="en-US" w:eastAsia="zh-CN" w:bidi="ar-SA"/>
                    </w:rPr>
                    <w:t>。</w:t>
                  </w:r>
                </w:p>
              </w:tc>
              <w:tc>
                <w:tcPr>
                  <w:tcW w:w="845" w:type="dxa"/>
                  <w:vAlign w:val="center"/>
                </w:tcPr>
                <w:p>
                  <w:pPr>
                    <w:pStyle w:val="97"/>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符合</w:t>
                  </w:r>
                </w:p>
              </w:tc>
            </w:tr>
          </w:tbl>
          <w:p>
            <w:pPr>
              <w:jc w:val="left"/>
              <w:outlineLvl w:val="0"/>
              <w:rPr>
                <w:b/>
                <w:bCs/>
                <w:color w:val="auto"/>
              </w:rPr>
            </w:pPr>
            <w:r>
              <w:rPr>
                <w:b/>
                <w:bCs/>
                <w:color w:val="auto"/>
              </w:rPr>
              <w:t>1.</w:t>
            </w:r>
            <w:r>
              <w:rPr>
                <w:rFonts w:hint="eastAsia"/>
                <w:b/>
                <w:bCs/>
                <w:color w:val="auto"/>
                <w:lang w:val="en-US" w:eastAsia="zh-CN"/>
              </w:rPr>
              <w:t>7</w:t>
            </w:r>
            <w:r>
              <w:rPr>
                <w:b/>
                <w:bCs/>
                <w:color w:val="auto"/>
              </w:rPr>
              <w:t>与《挥发性有机物无组织排放控制标准》（GB37822-2019）符合性分析</w:t>
            </w:r>
          </w:p>
          <w:p>
            <w:pPr>
              <w:ind w:firstLine="462"/>
              <w:rPr>
                <w:color w:val="auto"/>
              </w:rPr>
            </w:pPr>
            <w:r>
              <w:rPr>
                <w:color w:val="auto"/>
              </w:rPr>
              <w:t>拟建项目与《挥发性有机物无组织排放控制标准（GB 37822—2019）》符合性分析详见表1.</w:t>
            </w:r>
            <w:r>
              <w:rPr>
                <w:rFonts w:hint="eastAsia"/>
                <w:color w:val="auto"/>
                <w:lang w:val="en-US" w:eastAsia="zh-CN"/>
              </w:rPr>
              <w:t>7</w:t>
            </w:r>
            <w:r>
              <w:rPr>
                <w:color w:val="auto"/>
              </w:rPr>
              <w:t>-1。</w:t>
            </w:r>
          </w:p>
          <w:p>
            <w:pPr>
              <w:spacing w:line="240" w:lineRule="auto"/>
              <w:ind w:firstLine="462"/>
              <w:jc w:val="center"/>
              <w:rPr>
                <w:color w:val="auto"/>
              </w:rPr>
            </w:pPr>
            <w:r>
              <w:rPr>
                <w:color w:val="auto"/>
              </w:rPr>
              <w:t>表1.</w:t>
            </w:r>
            <w:r>
              <w:rPr>
                <w:rFonts w:hint="eastAsia"/>
                <w:color w:val="auto"/>
                <w:lang w:val="en-US" w:eastAsia="zh-CN"/>
              </w:rPr>
              <w:t>7</w:t>
            </w:r>
            <w:r>
              <w:rPr>
                <w:color w:val="auto"/>
              </w:rPr>
              <w:t>-1 与《挥发性有机物无组织排放控制标准》符合性分析（摘录）</w:t>
            </w:r>
          </w:p>
          <w:tbl>
            <w:tblPr>
              <w:tblStyle w:val="2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4"/>
              <w:gridCol w:w="3976"/>
              <w:gridCol w:w="2194"/>
              <w:gridCol w:w="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Header/>
                <w:jc w:val="center"/>
              </w:trPr>
              <w:tc>
                <w:tcPr>
                  <w:tcW w:w="697" w:type="pct"/>
                  <w:vAlign w:val="center"/>
                </w:tcPr>
                <w:p>
                  <w:pPr>
                    <w:pStyle w:val="73"/>
                    <w:adjustRightInd w:val="0"/>
                    <w:snapToGrid w:val="0"/>
                    <w:spacing w:line="240" w:lineRule="auto"/>
                    <w:rPr>
                      <w:color w:val="auto"/>
                      <w:szCs w:val="21"/>
                    </w:rPr>
                  </w:pPr>
                  <w:r>
                    <w:rPr>
                      <w:color w:val="auto"/>
                      <w:szCs w:val="21"/>
                    </w:rPr>
                    <w:t>类别</w:t>
                  </w:r>
                </w:p>
              </w:tc>
              <w:tc>
                <w:tcPr>
                  <w:tcW w:w="2465" w:type="pct"/>
                  <w:vAlign w:val="center"/>
                </w:tcPr>
                <w:p>
                  <w:pPr>
                    <w:pStyle w:val="73"/>
                    <w:adjustRightInd w:val="0"/>
                    <w:snapToGrid w:val="0"/>
                    <w:spacing w:line="240" w:lineRule="auto"/>
                    <w:rPr>
                      <w:color w:val="auto"/>
                      <w:szCs w:val="21"/>
                    </w:rPr>
                  </w:pPr>
                  <w:r>
                    <w:rPr>
                      <w:color w:val="auto"/>
                      <w:szCs w:val="21"/>
                    </w:rPr>
                    <w:t>相关要求</w:t>
                  </w:r>
                </w:p>
              </w:tc>
              <w:tc>
                <w:tcPr>
                  <w:tcW w:w="1360" w:type="pct"/>
                  <w:vAlign w:val="center"/>
                </w:tcPr>
                <w:p>
                  <w:pPr>
                    <w:pStyle w:val="73"/>
                    <w:adjustRightInd w:val="0"/>
                    <w:snapToGrid w:val="0"/>
                    <w:spacing w:line="240" w:lineRule="auto"/>
                    <w:rPr>
                      <w:color w:val="auto"/>
                      <w:szCs w:val="21"/>
                    </w:rPr>
                  </w:pPr>
                  <w:r>
                    <w:rPr>
                      <w:color w:val="auto"/>
                      <w:szCs w:val="21"/>
                    </w:rPr>
                    <w:t>拟建项目情况</w:t>
                  </w:r>
                </w:p>
              </w:tc>
              <w:tc>
                <w:tcPr>
                  <w:tcW w:w="476" w:type="pct"/>
                  <w:vAlign w:val="center"/>
                </w:tcPr>
                <w:p>
                  <w:pPr>
                    <w:pStyle w:val="73"/>
                    <w:adjustRightInd w:val="0"/>
                    <w:snapToGrid w:val="0"/>
                    <w:spacing w:line="240" w:lineRule="auto"/>
                    <w:rPr>
                      <w:color w:val="auto"/>
                      <w:szCs w:val="21"/>
                    </w:rPr>
                  </w:pPr>
                  <w:r>
                    <w:rPr>
                      <w:color w:val="auto"/>
                      <w:szCs w:val="21"/>
                    </w:rPr>
                    <w:t>符合性</w:t>
                  </w:r>
                </w:p>
                <w:p>
                  <w:pPr>
                    <w:pStyle w:val="73"/>
                    <w:adjustRightInd w:val="0"/>
                    <w:snapToGrid w:val="0"/>
                    <w:spacing w:line="240" w:lineRule="auto"/>
                    <w:rPr>
                      <w:color w:val="auto"/>
                      <w:szCs w:val="21"/>
                    </w:rPr>
                  </w:pPr>
                  <w:r>
                    <w:rPr>
                      <w:color w:val="auto"/>
                      <w:szCs w:val="21"/>
                    </w:rPr>
                    <w:t>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97" w:type="pct"/>
                  <w:vMerge w:val="restart"/>
                  <w:vAlign w:val="center"/>
                </w:tcPr>
                <w:p>
                  <w:pPr>
                    <w:pStyle w:val="73"/>
                    <w:adjustRightInd w:val="0"/>
                    <w:snapToGrid w:val="0"/>
                    <w:spacing w:line="240" w:lineRule="auto"/>
                    <w:rPr>
                      <w:color w:val="auto"/>
                      <w:szCs w:val="21"/>
                    </w:rPr>
                  </w:pPr>
                  <w:r>
                    <w:rPr>
                      <w:color w:val="auto"/>
                      <w:szCs w:val="21"/>
                    </w:rPr>
                    <w:t>VOCs物料储存无组织排放控制要求</w:t>
                  </w:r>
                </w:p>
              </w:tc>
              <w:tc>
                <w:tcPr>
                  <w:tcW w:w="2465" w:type="pct"/>
                  <w:vAlign w:val="center"/>
                </w:tcPr>
                <w:p>
                  <w:pPr>
                    <w:pStyle w:val="73"/>
                    <w:adjustRightInd w:val="0"/>
                    <w:snapToGrid w:val="0"/>
                    <w:spacing w:line="240" w:lineRule="auto"/>
                    <w:rPr>
                      <w:color w:val="auto"/>
                      <w:szCs w:val="21"/>
                    </w:rPr>
                  </w:pPr>
                  <w:r>
                    <w:rPr>
                      <w:color w:val="auto"/>
                      <w:szCs w:val="21"/>
                    </w:rPr>
                    <w:t>VOCs物料应储存于密闭的容器、包装袋、储罐、储库、料仓中。</w:t>
                  </w:r>
                </w:p>
              </w:tc>
              <w:tc>
                <w:tcPr>
                  <w:tcW w:w="1360" w:type="pct"/>
                  <w:vMerge w:val="restart"/>
                  <w:vAlign w:val="center"/>
                </w:tcPr>
                <w:p>
                  <w:pPr>
                    <w:pStyle w:val="73"/>
                    <w:adjustRightInd w:val="0"/>
                    <w:snapToGrid w:val="0"/>
                    <w:spacing w:line="240" w:lineRule="auto"/>
                    <w:rPr>
                      <w:color w:val="auto"/>
                      <w:szCs w:val="21"/>
                    </w:rPr>
                  </w:pPr>
                  <w:r>
                    <w:rPr>
                      <w:rFonts w:hint="eastAsia" w:ascii="Times New Roman" w:hAnsi="Times New Roman" w:cs="Times New Roman"/>
                      <w:b w:val="0"/>
                      <w:bCs/>
                      <w:color w:val="auto"/>
                      <w:sz w:val="21"/>
                      <w:szCs w:val="21"/>
                      <w:lang w:val="en-US" w:eastAsia="zh-CN"/>
                    </w:rPr>
                    <w:t>拟建项目</w:t>
                  </w:r>
                  <w:r>
                    <w:rPr>
                      <w:rFonts w:hint="eastAsia" w:cs="Times New Roman"/>
                      <w:b w:val="0"/>
                      <w:bCs/>
                      <w:color w:val="auto"/>
                      <w:sz w:val="21"/>
                      <w:szCs w:val="21"/>
                      <w:lang w:val="en-US" w:eastAsia="zh-CN"/>
                    </w:rPr>
                    <w:t>所用的白乳胶为水性胶，为桶装密封存储；使用的原料为PP和PE为固体颗粒，袋装包装。</w:t>
                  </w:r>
                </w:p>
              </w:tc>
              <w:tc>
                <w:tcPr>
                  <w:tcW w:w="476" w:type="pct"/>
                  <w:vMerge w:val="restart"/>
                  <w:vAlign w:val="center"/>
                </w:tcPr>
                <w:p>
                  <w:pPr>
                    <w:pStyle w:val="73"/>
                    <w:adjustRightInd w:val="0"/>
                    <w:snapToGrid w:val="0"/>
                    <w:spacing w:line="240" w:lineRule="auto"/>
                    <w:rPr>
                      <w:color w:val="auto"/>
                      <w:szCs w:val="21"/>
                    </w:rPr>
                  </w:pPr>
                  <w:r>
                    <w:rPr>
                      <w:color w:val="auto"/>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97" w:type="pct"/>
                  <w:vMerge w:val="continue"/>
                  <w:vAlign w:val="center"/>
                </w:tcPr>
                <w:p>
                  <w:pPr>
                    <w:pStyle w:val="73"/>
                    <w:adjustRightInd w:val="0"/>
                    <w:snapToGrid w:val="0"/>
                    <w:spacing w:line="240" w:lineRule="auto"/>
                    <w:rPr>
                      <w:color w:val="auto"/>
                      <w:szCs w:val="21"/>
                    </w:rPr>
                  </w:pPr>
                </w:p>
              </w:tc>
              <w:tc>
                <w:tcPr>
                  <w:tcW w:w="2465" w:type="pct"/>
                  <w:vAlign w:val="center"/>
                </w:tcPr>
                <w:p>
                  <w:pPr>
                    <w:pStyle w:val="73"/>
                    <w:adjustRightInd w:val="0"/>
                    <w:snapToGrid w:val="0"/>
                    <w:spacing w:line="240" w:lineRule="auto"/>
                    <w:rPr>
                      <w:color w:val="auto"/>
                      <w:szCs w:val="21"/>
                    </w:rPr>
                  </w:pPr>
                  <w:r>
                    <w:rPr>
                      <w:color w:val="auto"/>
                      <w:szCs w:val="21"/>
                    </w:rPr>
                    <w:t>盛装VOCs物料的容器或包装袋应存放于室内，或存放于设置有雨棚、遮阳和防渗设施的专用场地。盛装VOCs物料的容器或包装袋在非取用状态时应加盖、封口，保持密闭。</w:t>
                  </w:r>
                </w:p>
              </w:tc>
              <w:tc>
                <w:tcPr>
                  <w:tcW w:w="1360" w:type="pct"/>
                  <w:vMerge w:val="continue"/>
                  <w:vAlign w:val="center"/>
                </w:tcPr>
                <w:p>
                  <w:pPr>
                    <w:pStyle w:val="73"/>
                    <w:adjustRightInd w:val="0"/>
                    <w:snapToGrid w:val="0"/>
                    <w:spacing w:line="240" w:lineRule="auto"/>
                    <w:jc w:val="both"/>
                    <w:rPr>
                      <w:color w:val="auto"/>
                      <w:szCs w:val="21"/>
                    </w:rPr>
                  </w:pPr>
                </w:p>
              </w:tc>
              <w:tc>
                <w:tcPr>
                  <w:tcW w:w="476" w:type="pct"/>
                  <w:vMerge w:val="continue"/>
                  <w:vAlign w:val="center"/>
                </w:tcPr>
                <w:p>
                  <w:pPr>
                    <w:pStyle w:val="73"/>
                    <w:adjustRightInd w:val="0"/>
                    <w:snapToGrid w:val="0"/>
                    <w:spacing w:line="240" w:lineRule="auto"/>
                    <w:rPr>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97" w:type="pct"/>
                  <w:vMerge w:val="restart"/>
                  <w:vAlign w:val="center"/>
                </w:tcPr>
                <w:p>
                  <w:pPr>
                    <w:pStyle w:val="73"/>
                    <w:adjustRightInd w:val="0"/>
                    <w:snapToGrid w:val="0"/>
                    <w:spacing w:line="240" w:lineRule="auto"/>
                    <w:rPr>
                      <w:color w:val="auto"/>
                      <w:szCs w:val="21"/>
                    </w:rPr>
                  </w:pPr>
                  <w:r>
                    <w:rPr>
                      <w:color w:val="auto"/>
                      <w:szCs w:val="21"/>
                    </w:rPr>
                    <w:t>含VOCs产品的使用过程无组织排放控制要求</w:t>
                  </w:r>
                </w:p>
              </w:tc>
              <w:tc>
                <w:tcPr>
                  <w:tcW w:w="2465" w:type="pct"/>
                  <w:vAlign w:val="center"/>
                </w:tcPr>
                <w:p>
                  <w:pPr>
                    <w:pStyle w:val="73"/>
                    <w:adjustRightInd w:val="0"/>
                    <w:snapToGrid w:val="0"/>
                    <w:spacing w:line="240" w:lineRule="auto"/>
                    <w:rPr>
                      <w:color w:val="auto"/>
                      <w:szCs w:val="21"/>
                    </w:rPr>
                  </w:pPr>
                  <w:r>
                    <w:rPr>
                      <w:color w:val="auto"/>
                      <w:szCs w:val="21"/>
                    </w:rPr>
                    <w:t xml:space="preserve">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 </w:t>
                  </w:r>
                </w:p>
                <w:p>
                  <w:pPr>
                    <w:pStyle w:val="73"/>
                    <w:adjustRightInd w:val="0"/>
                    <w:snapToGrid w:val="0"/>
                    <w:spacing w:line="240" w:lineRule="auto"/>
                    <w:rPr>
                      <w:color w:val="auto"/>
                      <w:szCs w:val="21"/>
                    </w:rPr>
                  </w:pPr>
                  <w:r>
                    <w:rPr>
                      <w:color w:val="auto"/>
                      <w:szCs w:val="21"/>
                    </w:rPr>
                    <w:t>a）调配（混合、搅拌等）；b）涂装（喷涂、浸涂、淋涂、辊涂、刷涂、涂布等）；c）印刷（平版、凸版、凹版、孔版等）；d）粘结（涂胶、热压、复合、贴合等）；e）印染（染色、印花、定型等）；f ）干燥（</w:t>
                  </w:r>
                  <w:r>
                    <w:rPr>
                      <w:rFonts w:hint="eastAsia"/>
                      <w:color w:val="auto"/>
                      <w:szCs w:val="21"/>
                      <w:lang w:eastAsia="zh-CN"/>
                    </w:rPr>
                    <w:t>晾干</w:t>
                  </w:r>
                  <w:r>
                    <w:rPr>
                      <w:color w:val="auto"/>
                      <w:szCs w:val="21"/>
                    </w:rPr>
                    <w:t>、风干、</w:t>
                  </w:r>
                  <w:r>
                    <w:rPr>
                      <w:rFonts w:hint="eastAsia"/>
                      <w:color w:val="auto"/>
                      <w:szCs w:val="21"/>
                      <w:lang w:eastAsia="zh-CN"/>
                    </w:rPr>
                    <w:t>晾干</w:t>
                  </w:r>
                  <w:r>
                    <w:rPr>
                      <w:color w:val="auto"/>
                      <w:szCs w:val="21"/>
                    </w:rPr>
                    <w:t>等）；g）清洗（浸洗、喷洗、淋洗、冲洗、擦洗等）。</w:t>
                  </w:r>
                </w:p>
              </w:tc>
              <w:tc>
                <w:tcPr>
                  <w:tcW w:w="1360" w:type="pct"/>
                  <w:vMerge w:val="continue"/>
                  <w:vAlign w:val="center"/>
                </w:tcPr>
                <w:p>
                  <w:pPr>
                    <w:pStyle w:val="73"/>
                    <w:adjustRightInd w:val="0"/>
                    <w:snapToGrid w:val="0"/>
                    <w:spacing w:line="240" w:lineRule="auto"/>
                    <w:rPr>
                      <w:color w:val="auto"/>
                      <w:szCs w:val="21"/>
                    </w:rPr>
                  </w:pPr>
                </w:p>
              </w:tc>
              <w:tc>
                <w:tcPr>
                  <w:tcW w:w="476" w:type="pct"/>
                  <w:vAlign w:val="center"/>
                </w:tcPr>
                <w:p>
                  <w:pPr>
                    <w:pStyle w:val="73"/>
                    <w:adjustRightInd w:val="0"/>
                    <w:snapToGrid w:val="0"/>
                    <w:spacing w:line="240" w:lineRule="auto"/>
                    <w:rPr>
                      <w:color w:val="auto"/>
                      <w:szCs w:val="21"/>
                    </w:rPr>
                  </w:pPr>
                  <w:r>
                    <w:rPr>
                      <w:color w:val="auto"/>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97" w:type="pct"/>
                  <w:vMerge w:val="continue"/>
                  <w:vAlign w:val="center"/>
                </w:tcPr>
                <w:p>
                  <w:pPr>
                    <w:pStyle w:val="73"/>
                    <w:adjustRightInd w:val="0"/>
                    <w:snapToGrid w:val="0"/>
                    <w:spacing w:line="240" w:lineRule="auto"/>
                    <w:rPr>
                      <w:color w:val="auto"/>
                      <w:szCs w:val="21"/>
                    </w:rPr>
                  </w:pPr>
                </w:p>
              </w:tc>
              <w:tc>
                <w:tcPr>
                  <w:tcW w:w="2465" w:type="pct"/>
                  <w:vAlign w:val="center"/>
                </w:tcPr>
                <w:p>
                  <w:pPr>
                    <w:pStyle w:val="73"/>
                    <w:adjustRightInd w:val="0"/>
                    <w:snapToGrid w:val="0"/>
                    <w:spacing w:line="240" w:lineRule="auto"/>
                    <w:rPr>
                      <w:color w:val="auto"/>
                      <w:szCs w:val="21"/>
                    </w:rPr>
                  </w:pPr>
                  <w:r>
                    <w:rPr>
                      <w:color w:val="auto"/>
                      <w:szCs w:val="21"/>
                    </w:rPr>
                    <w:t>企业应建立台账，记录含VOCs原辅材料和含VOCs产品的名称、使用量、回收量、废弃量、去向以及VOCs含量等信息。台账保存期限不少于3年。</w:t>
                  </w:r>
                </w:p>
              </w:tc>
              <w:tc>
                <w:tcPr>
                  <w:tcW w:w="1360" w:type="pct"/>
                  <w:vMerge w:val="continue"/>
                  <w:vAlign w:val="center"/>
                </w:tcPr>
                <w:p>
                  <w:pPr>
                    <w:pStyle w:val="73"/>
                    <w:adjustRightInd w:val="0"/>
                    <w:snapToGrid w:val="0"/>
                    <w:spacing w:line="240" w:lineRule="auto"/>
                    <w:rPr>
                      <w:color w:val="auto"/>
                      <w:szCs w:val="21"/>
                    </w:rPr>
                  </w:pPr>
                </w:p>
              </w:tc>
              <w:tc>
                <w:tcPr>
                  <w:tcW w:w="476" w:type="pct"/>
                  <w:vAlign w:val="center"/>
                </w:tcPr>
                <w:p>
                  <w:pPr>
                    <w:pStyle w:val="73"/>
                    <w:adjustRightInd w:val="0"/>
                    <w:snapToGrid w:val="0"/>
                    <w:spacing w:line="240" w:lineRule="auto"/>
                    <w:rPr>
                      <w:color w:val="auto"/>
                      <w:szCs w:val="21"/>
                    </w:rPr>
                  </w:pPr>
                  <w:r>
                    <w:rPr>
                      <w:color w:val="auto"/>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97" w:type="pct"/>
                  <w:vMerge w:val="continue"/>
                  <w:vAlign w:val="center"/>
                </w:tcPr>
                <w:p>
                  <w:pPr>
                    <w:pStyle w:val="73"/>
                    <w:adjustRightInd w:val="0"/>
                    <w:snapToGrid w:val="0"/>
                    <w:spacing w:line="240" w:lineRule="auto"/>
                    <w:rPr>
                      <w:color w:val="auto"/>
                      <w:szCs w:val="21"/>
                    </w:rPr>
                  </w:pPr>
                </w:p>
              </w:tc>
              <w:tc>
                <w:tcPr>
                  <w:tcW w:w="2465" w:type="pct"/>
                  <w:vAlign w:val="center"/>
                </w:tcPr>
                <w:p>
                  <w:pPr>
                    <w:pStyle w:val="73"/>
                    <w:adjustRightInd w:val="0"/>
                    <w:snapToGrid w:val="0"/>
                    <w:spacing w:line="240" w:lineRule="auto"/>
                    <w:rPr>
                      <w:color w:val="auto"/>
                      <w:szCs w:val="21"/>
                    </w:rPr>
                  </w:pPr>
                  <w:r>
                    <w:rPr>
                      <w:color w:val="auto"/>
                      <w:szCs w:val="21"/>
                    </w:rPr>
                    <w:t>盛装过VOCs物料的废包装容器应加盖密闭。</w:t>
                  </w:r>
                </w:p>
              </w:tc>
              <w:tc>
                <w:tcPr>
                  <w:tcW w:w="1360" w:type="pct"/>
                  <w:vMerge w:val="continue"/>
                  <w:vAlign w:val="center"/>
                </w:tcPr>
                <w:p>
                  <w:pPr>
                    <w:pStyle w:val="73"/>
                    <w:adjustRightInd w:val="0"/>
                    <w:snapToGrid w:val="0"/>
                    <w:spacing w:line="240" w:lineRule="auto"/>
                    <w:rPr>
                      <w:color w:val="auto"/>
                      <w:szCs w:val="21"/>
                    </w:rPr>
                  </w:pPr>
                </w:p>
              </w:tc>
              <w:tc>
                <w:tcPr>
                  <w:tcW w:w="476" w:type="pct"/>
                  <w:vAlign w:val="center"/>
                </w:tcPr>
                <w:p>
                  <w:pPr>
                    <w:pStyle w:val="73"/>
                    <w:adjustRightInd w:val="0"/>
                    <w:snapToGrid w:val="0"/>
                    <w:spacing w:line="240" w:lineRule="auto"/>
                    <w:rPr>
                      <w:color w:val="auto"/>
                      <w:szCs w:val="21"/>
                    </w:rPr>
                  </w:pPr>
                  <w:r>
                    <w:rPr>
                      <w:color w:val="auto"/>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97" w:type="pct"/>
                  <w:vMerge w:val="restart"/>
                  <w:vAlign w:val="center"/>
                </w:tcPr>
                <w:p>
                  <w:pPr>
                    <w:pStyle w:val="73"/>
                    <w:adjustRightInd w:val="0"/>
                    <w:snapToGrid w:val="0"/>
                    <w:spacing w:line="240" w:lineRule="auto"/>
                    <w:rPr>
                      <w:color w:val="auto"/>
                      <w:szCs w:val="21"/>
                    </w:rPr>
                  </w:pPr>
                  <w:r>
                    <w:rPr>
                      <w:color w:val="auto"/>
                      <w:szCs w:val="21"/>
                    </w:rPr>
                    <w:t>VOCs无组织排放废气收集处理系统要求</w:t>
                  </w:r>
                </w:p>
              </w:tc>
              <w:tc>
                <w:tcPr>
                  <w:tcW w:w="2465" w:type="pct"/>
                  <w:vAlign w:val="center"/>
                </w:tcPr>
                <w:p>
                  <w:pPr>
                    <w:pStyle w:val="73"/>
                    <w:adjustRightInd w:val="0"/>
                    <w:snapToGrid w:val="0"/>
                    <w:spacing w:line="240" w:lineRule="auto"/>
                    <w:rPr>
                      <w:color w:val="auto"/>
                      <w:szCs w:val="21"/>
                    </w:rPr>
                  </w:pPr>
                  <w:r>
                    <w:rPr>
                      <w:color w:val="auto"/>
                      <w:szCs w:val="21"/>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360" w:type="pct"/>
                  <w:vAlign w:val="center"/>
                </w:tcPr>
                <w:p>
                  <w:pPr>
                    <w:pStyle w:val="73"/>
                    <w:adjustRightInd w:val="0"/>
                    <w:snapToGrid w:val="0"/>
                    <w:spacing w:line="240" w:lineRule="auto"/>
                    <w:rPr>
                      <w:color w:val="auto"/>
                      <w:szCs w:val="21"/>
                    </w:rPr>
                  </w:pPr>
                  <w:r>
                    <w:rPr>
                      <w:color w:val="auto"/>
                      <w:szCs w:val="21"/>
                    </w:rPr>
                    <w:t>拟建项目VOCs废气收集处理系统应与生产工艺设备同步运行，一旦发现废气收集处理设施故障，立即停机检修</w:t>
                  </w:r>
                  <w:r>
                    <w:rPr>
                      <w:rFonts w:hint="eastAsia"/>
                      <w:color w:val="auto"/>
                      <w:szCs w:val="21"/>
                    </w:rPr>
                    <w:t>。</w:t>
                  </w:r>
                </w:p>
              </w:tc>
              <w:tc>
                <w:tcPr>
                  <w:tcW w:w="476" w:type="pct"/>
                  <w:vAlign w:val="center"/>
                </w:tcPr>
                <w:p>
                  <w:pPr>
                    <w:pStyle w:val="73"/>
                    <w:adjustRightInd w:val="0"/>
                    <w:snapToGrid w:val="0"/>
                    <w:spacing w:line="240" w:lineRule="auto"/>
                    <w:rPr>
                      <w:color w:val="auto"/>
                      <w:szCs w:val="21"/>
                    </w:rPr>
                  </w:pPr>
                  <w:r>
                    <w:rPr>
                      <w:color w:val="auto"/>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97" w:type="pct"/>
                  <w:vMerge w:val="continue"/>
                  <w:vAlign w:val="center"/>
                </w:tcPr>
                <w:p>
                  <w:pPr>
                    <w:pStyle w:val="73"/>
                    <w:adjustRightInd w:val="0"/>
                    <w:snapToGrid w:val="0"/>
                    <w:spacing w:line="240" w:lineRule="auto"/>
                    <w:rPr>
                      <w:color w:val="auto"/>
                      <w:szCs w:val="21"/>
                    </w:rPr>
                  </w:pPr>
                </w:p>
              </w:tc>
              <w:tc>
                <w:tcPr>
                  <w:tcW w:w="2465" w:type="pct"/>
                  <w:vAlign w:val="center"/>
                </w:tcPr>
                <w:p>
                  <w:pPr>
                    <w:pStyle w:val="73"/>
                    <w:adjustRightInd w:val="0"/>
                    <w:snapToGrid w:val="0"/>
                    <w:spacing w:line="240" w:lineRule="auto"/>
                    <w:jc w:val="both"/>
                    <w:rPr>
                      <w:color w:val="auto"/>
                      <w:szCs w:val="21"/>
                    </w:rPr>
                  </w:pPr>
                  <w:r>
                    <w:rPr>
                      <w:color w:val="auto"/>
                      <w:szCs w:val="21"/>
                    </w:rPr>
                    <w:t>废气收集系统排风罩（集气罩）的设置应符合 GB/T16758的规定。采用外部排风罩的，应按 GB/T 16758、AQ/T 4274—2016规定的方法测量控制风速，测量点应选取在距排风罩开口面最远处的VOCs无组织排放位置，控制风速不应低于0.3 m/s（行业相关规范有具体规定的，按相关规定执行）</w:t>
                  </w:r>
                  <w:r>
                    <w:rPr>
                      <w:rFonts w:hint="eastAsia"/>
                      <w:color w:val="auto"/>
                      <w:szCs w:val="21"/>
                    </w:rPr>
                    <w:t>。</w:t>
                  </w:r>
                </w:p>
              </w:tc>
              <w:tc>
                <w:tcPr>
                  <w:tcW w:w="1360" w:type="pct"/>
                  <w:vAlign w:val="center"/>
                </w:tcPr>
                <w:p>
                  <w:pPr>
                    <w:pStyle w:val="73"/>
                    <w:adjustRightInd w:val="0"/>
                    <w:snapToGrid w:val="0"/>
                    <w:spacing w:line="240" w:lineRule="auto"/>
                    <w:rPr>
                      <w:rFonts w:hint="eastAsia" w:eastAsia="宋体"/>
                      <w:color w:val="auto"/>
                      <w:szCs w:val="21"/>
                      <w:lang w:eastAsia="zh-CN"/>
                    </w:rPr>
                  </w:pPr>
                  <w:r>
                    <w:rPr>
                      <w:rFonts w:hint="eastAsia"/>
                      <w:color w:val="auto"/>
                      <w:szCs w:val="21"/>
                      <w:lang w:eastAsia="zh-CN"/>
                    </w:rPr>
                    <w:t>项目废气集气罩为顶吸式，符合左列规定。集气罩控制风速为</w:t>
                  </w:r>
                  <w:r>
                    <w:rPr>
                      <w:rFonts w:hint="eastAsia"/>
                      <w:color w:val="auto"/>
                      <w:szCs w:val="21"/>
                      <w:lang w:val="en-US" w:eastAsia="zh-CN"/>
                    </w:rPr>
                    <w:t>0.5m/s，</w:t>
                  </w:r>
                  <w:r>
                    <w:rPr>
                      <w:color w:val="auto"/>
                      <w:szCs w:val="21"/>
                    </w:rPr>
                    <w:t>不低于0.3 m/s</w:t>
                  </w:r>
                  <w:r>
                    <w:rPr>
                      <w:rFonts w:hint="eastAsia"/>
                      <w:color w:val="auto"/>
                      <w:szCs w:val="21"/>
                      <w:lang w:eastAsia="zh-CN"/>
                    </w:rPr>
                    <w:t>。</w:t>
                  </w:r>
                </w:p>
              </w:tc>
              <w:tc>
                <w:tcPr>
                  <w:tcW w:w="476" w:type="pct"/>
                  <w:vAlign w:val="center"/>
                </w:tcPr>
                <w:p>
                  <w:pPr>
                    <w:pStyle w:val="73"/>
                    <w:adjustRightInd w:val="0"/>
                    <w:snapToGrid w:val="0"/>
                    <w:spacing w:line="240" w:lineRule="auto"/>
                    <w:rPr>
                      <w:color w:val="auto"/>
                      <w:szCs w:val="21"/>
                    </w:rPr>
                  </w:pPr>
                  <w:r>
                    <w:rPr>
                      <w:color w:val="auto"/>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97" w:type="pct"/>
                  <w:vMerge w:val="continue"/>
                  <w:vAlign w:val="center"/>
                </w:tcPr>
                <w:p>
                  <w:pPr>
                    <w:pStyle w:val="73"/>
                    <w:adjustRightInd w:val="0"/>
                    <w:snapToGrid w:val="0"/>
                    <w:spacing w:line="240" w:lineRule="auto"/>
                    <w:rPr>
                      <w:color w:val="auto"/>
                      <w:szCs w:val="21"/>
                    </w:rPr>
                  </w:pPr>
                </w:p>
              </w:tc>
              <w:tc>
                <w:tcPr>
                  <w:tcW w:w="2465" w:type="pct"/>
                  <w:vAlign w:val="center"/>
                </w:tcPr>
                <w:p>
                  <w:pPr>
                    <w:pStyle w:val="73"/>
                    <w:adjustRightInd w:val="0"/>
                    <w:snapToGrid w:val="0"/>
                    <w:spacing w:line="240" w:lineRule="auto"/>
                    <w:jc w:val="both"/>
                    <w:rPr>
                      <w:color w:val="auto"/>
                      <w:szCs w:val="21"/>
                    </w:rPr>
                  </w:pPr>
                  <w:r>
                    <w:rPr>
                      <w:color w:val="auto"/>
                      <w:szCs w:val="21"/>
                    </w:rPr>
                    <w:t>废气收集系统的输送管道应密闭。废气收集系统应在负压下运行，若处于正压状态，应对输送管道组件的密封点进行泄漏检测，泄漏检测值不应超过，亦不应有感官可察觉泄漏。泄漏检测频次、修复与记录的要求按照第8章规定执行。</w:t>
                  </w:r>
                </w:p>
              </w:tc>
              <w:tc>
                <w:tcPr>
                  <w:tcW w:w="1360" w:type="pct"/>
                  <w:vAlign w:val="center"/>
                </w:tcPr>
                <w:p>
                  <w:pPr>
                    <w:pStyle w:val="73"/>
                    <w:adjustRightInd w:val="0"/>
                    <w:snapToGrid w:val="0"/>
                    <w:spacing w:line="240" w:lineRule="auto"/>
                    <w:rPr>
                      <w:color w:val="auto"/>
                      <w:szCs w:val="21"/>
                    </w:rPr>
                  </w:pPr>
                  <w:r>
                    <w:rPr>
                      <w:color w:val="auto"/>
                      <w:szCs w:val="21"/>
                    </w:rPr>
                    <w:t>拟建项目废气收集系统均保持负压</w:t>
                  </w:r>
                  <w:r>
                    <w:rPr>
                      <w:rFonts w:hint="eastAsia"/>
                      <w:color w:val="auto"/>
                      <w:szCs w:val="21"/>
                    </w:rPr>
                    <w:t>。</w:t>
                  </w:r>
                </w:p>
              </w:tc>
              <w:tc>
                <w:tcPr>
                  <w:tcW w:w="476" w:type="pct"/>
                  <w:vAlign w:val="center"/>
                </w:tcPr>
                <w:p>
                  <w:pPr>
                    <w:pStyle w:val="73"/>
                    <w:adjustRightInd w:val="0"/>
                    <w:snapToGrid w:val="0"/>
                    <w:spacing w:line="240" w:lineRule="auto"/>
                    <w:rPr>
                      <w:color w:val="auto"/>
                      <w:szCs w:val="21"/>
                    </w:rPr>
                  </w:pPr>
                  <w:r>
                    <w:rPr>
                      <w:color w:val="auto"/>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97" w:type="pct"/>
                  <w:vMerge w:val="continue"/>
                  <w:vAlign w:val="center"/>
                </w:tcPr>
                <w:p>
                  <w:pPr>
                    <w:pStyle w:val="73"/>
                    <w:adjustRightInd w:val="0"/>
                    <w:snapToGrid w:val="0"/>
                    <w:spacing w:line="240" w:lineRule="auto"/>
                    <w:rPr>
                      <w:color w:val="auto"/>
                      <w:szCs w:val="21"/>
                    </w:rPr>
                  </w:pPr>
                </w:p>
              </w:tc>
              <w:tc>
                <w:tcPr>
                  <w:tcW w:w="2465" w:type="pct"/>
                  <w:vAlign w:val="center"/>
                </w:tcPr>
                <w:p>
                  <w:pPr>
                    <w:pStyle w:val="73"/>
                    <w:adjustRightInd w:val="0"/>
                    <w:snapToGrid w:val="0"/>
                    <w:spacing w:line="240" w:lineRule="auto"/>
                    <w:rPr>
                      <w:color w:val="auto"/>
                      <w:szCs w:val="21"/>
                    </w:rPr>
                  </w:pPr>
                  <w:r>
                    <w:rPr>
                      <w:color w:val="auto"/>
                      <w:szCs w:val="21"/>
                    </w:rPr>
                    <w:t>收集的废气中NMHC初始排放速率≥3kg/h时，应配置VOCs处理设施，处理效率不应低于80%；对于重点地区，收集的废气中NMHC初始排放速率≥2kg/h时，应配置VOCs 处理设施，处理效率不应低于80%；</w:t>
                  </w:r>
                  <w:r>
                    <w:rPr>
                      <w:color w:val="auto"/>
                      <w:szCs w:val="21"/>
                      <w:highlight w:val="none"/>
                    </w:rPr>
                    <w:t>采用的原辅材料符合国家有关低VOCs含量产品规定的除外。</w:t>
                  </w:r>
                </w:p>
              </w:tc>
              <w:tc>
                <w:tcPr>
                  <w:tcW w:w="1360" w:type="pct"/>
                  <w:vAlign w:val="center"/>
                </w:tcPr>
                <w:p>
                  <w:pPr>
                    <w:pStyle w:val="73"/>
                    <w:adjustRightInd w:val="0"/>
                    <w:snapToGrid w:val="0"/>
                    <w:spacing w:line="240" w:lineRule="auto"/>
                    <w:jc w:val="center"/>
                    <w:rPr>
                      <w:rFonts w:hint="eastAsia" w:eastAsia="宋体"/>
                      <w:color w:val="auto"/>
                      <w:szCs w:val="21"/>
                      <w:lang w:val="en-US" w:eastAsia="zh-CN"/>
                    </w:rPr>
                  </w:pPr>
                  <w:r>
                    <w:rPr>
                      <w:rFonts w:hint="eastAsia"/>
                      <w:color w:val="auto"/>
                      <w:szCs w:val="21"/>
                      <w:lang w:val="en-US" w:eastAsia="zh-CN"/>
                    </w:rPr>
                    <w:t>拟建项目</w:t>
                  </w:r>
                  <w:r>
                    <w:rPr>
                      <w:color w:val="auto"/>
                      <w:szCs w:val="21"/>
                    </w:rPr>
                    <w:t>NMHC初始排放速率</w:t>
                  </w:r>
                  <w:r>
                    <w:rPr>
                      <w:rFonts w:hint="eastAsia"/>
                      <w:color w:val="auto"/>
                      <w:szCs w:val="21"/>
                      <w:lang w:eastAsia="zh-CN"/>
                    </w:rPr>
                    <w:t>均小于</w:t>
                  </w:r>
                  <w:r>
                    <w:rPr>
                      <w:rFonts w:hint="eastAsia"/>
                      <w:color w:val="auto"/>
                      <w:szCs w:val="21"/>
                      <w:lang w:val="en-US" w:eastAsia="zh-CN"/>
                    </w:rPr>
                    <w:t>2</w:t>
                  </w:r>
                  <w:r>
                    <w:rPr>
                      <w:color w:val="auto"/>
                      <w:szCs w:val="21"/>
                    </w:rPr>
                    <w:t>kg/h</w:t>
                  </w:r>
                  <w:r>
                    <w:rPr>
                      <w:rFonts w:hint="eastAsia"/>
                      <w:color w:val="auto"/>
                      <w:szCs w:val="21"/>
                      <w:lang w:eastAsia="zh-CN"/>
                    </w:rPr>
                    <w:t>。</w:t>
                  </w:r>
                  <w:r>
                    <w:rPr>
                      <w:rFonts w:hint="eastAsia" w:cs="Times New Roman"/>
                      <w:b w:val="0"/>
                      <w:bCs/>
                      <w:color w:val="auto"/>
                      <w:sz w:val="21"/>
                      <w:szCs w:val="21"/>
                      <w:lang w:val="en-US" w:eastAsia="zh-CN"/>
                    </w:rPr>
                    <w:t>项目</w:t>
                  </w:r>
                  <w:r>
                    <w:rPr>
                      <w:rFonts w:hint="eastAsia"/>
                      <w:color w:val="auto"/>
                      <w:sz w:val="21"/>
                      <w:highlight w:val="none"/>
                      <w:lang w:val="en-US" w:eastAsia="zh-CN"/>
                    </w:rPr>
                    <w:t>卷管过程产生的胶粘废气经集气罩收集后通过“活性炭吸附”处理后通过15m高排气筒DA001排放；项目流延废气、</w:t>
                  </w:r>
                  <w:r>
                    <w:rPr>
                      <w:rFonts w:hint="default"/>
                      <w:color w:val="auto"/>
                      <w:sz w:val="21"/>
                      <w:highlight w:val="none"/>
                      <w:lang w:val="en-US" w:eastAsia="zh-CN"/>
                    </w:rPr>
                    <w:t>吹膜废气</w:t>
                  </w:r>
                  <w:r>
                    <w:rPr>
                      <w:rFonts w:hint="eastAsia"/>
                      <w:color w:val="auto"/>
                      <w:sz w:val="21"/>
                      <w:highlight w:val="none"/>
                      <w:lang w:val="en-US" w:eastAsia="zh-CN"/>
                    </w:rPr>
                    <w:t>经集气罩收集后通过“二级活性炭吸附”处理后通过15m高排气筒DA002排放；危废间废气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r>
                    <w:rPr>
                      <w:rFonts w:hint="eastAsia"/>
                      <w:color w:val="auto"/>
                      <w:sz w:val="21"/>
                      <w:highlight w:val="none"/>
                      <w:lang w:val="en-US" w:eastAsia="zh-CN"/>
                    </w:rPr>
                    <w:t>；集气罩收集的食堂废气经引风机引入油烟净化器处理后引至DA004排气筒15m排放。</w:t>
                  </w:r>
                </w:p>
              </w:tc>
              <w:tc>
                <w:tcPr>
                  <w:tcW w:w="476" w:type="pct"/>
                  <w:vAlign w:val="center"/>
                </w:tcPr>
                <w:p>
                  <w:pPr>
                    <w:pStyle w:val="73"/>
                    <w:adjustRightInd w:val="0"/>
                    <w:snapToGrid w:val="0"/>
                    <w:spacing w:line="240" w:lineRule="auto"/>
                    <w:rPr>
                      <w:color w:val="auto"/>
                      <w:szCs w:val="21"/>
                    </w:rPr>
                  </w:pPr>
                  <w:r>
                    <w:rPr>
                      <w:color w:val="auto"/>
                      <w:szCs w:val="21"/>
                    </w:rPr>
                    <w:t>符合</w:t>
                  </w:r>
                </w:p>
              </w:tc>
            </w:tr>
          </w:tbl>
          <w:p>
            <w:pPr>
              <w:pStyle w:val="97"/>
              <w:spacing w:line="360" w:lineRule="auto"/>
              <w:ind w:firstLine="480" w:firstLineChars="200"/>
              <w:jc w:val="both"/>
              <w:rPr>
                <w:color w:val="auto"/>
              </w:rPr>
            </w:pPr>
            <w:r>
              <w:rPr>
                <w:color w:val="auto"/>
              </w:rPr>
              <w:t>由表1.</w:t>
            </w:r>
            <w:r>
              <w:rPr>
                <w:rFonts w:hint="eastAsia"/>
                <w:color w:val="auto"/>
                <w:lang w:val="en-US" w:eastAsia="zh-CN"/>
              </w:rPr>
              <w:t>8</w:t>
            </w:r>
            <w:r>
              <w:rPr>
                <w:color w:val="auto"/>
              </w:rPr>
              <w:t>-1可知，拟建项目拟采取的挥发性有机物控制措施满足《挥发性有机物无组织排放控制标准（GB37822—2019）》。</w:t>
            </w: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color w:val="auto"/>
              </w:rPr>
            </w:pPr>
          </w:p>
          <w:p>
            <w:pPr>
              <w:pStyle w:val="97"/>
              <w:spacing w:line="360" w:lineRule="auto"/>
              <w:jc w:val="both"/>
              <w:rPr>
                <w:rFonts w:hint="eastAsia" w:eastAsia="宋体" w:cs="宋体"/>
                <w:color w:val="auto"/>
                <w:kern w:val="0"/>
                <w:lang w:eastAsia="zh-CN"/>
              </w:rPr>
            </w:pPr>
          </w:p>
        </w:tc>
      </w:tr>
    </w:tbl>
    <w:p>
      <w:pPr>
        <w:outlineLvl w:val="0"/>
        <w:rPr>
          <w:color w:val="auto"/>
          <w:sz w:val="30"/>
        </w:rPr>
        <w:sectPr>
          <w:pgSz w:w="11906" w:h="16838"/>
          <w:pgMar w:top="1701" w:right="1531" w:bottom="1701" w:left="1531" w:header="851" w:footer="1077" w:gutter="0"/>
          <w:cols w:space="720" w:num="1"/>
          <w:docGrid w:linePitch="312" w:charSpace="0"/>
        </w:sectPr>
      </w:pPr>
    </w:p>
    <w:p>
      <w:pPr>
        <w:pStyle w:val="20"/>
        <w:tabs>
          <w:tab w:val="left" w:pos="8400"/>
        </w:tabs>
        <w:jc w:val="center"/>
        <w:outlineLvl w:val="0"/>
        <w:rPr>
          <w:rFonts w:hint="eastAsia" w:ascii="Times New Roman" w:hAnsi="Times New Roman"/>
          <w:snapToGrid w:val="0"/>
          <w:color w:val="auto"/>
          <w:sz w:val="30"/>
          <w:szCs w:val="30"/>
          <w:lang w:val="en-US" w:eastAsia="zh-CN"/>
        </w:rPr>
      </w:pPr>
      <w:r>
        <w:rPr>
          <w:rFonts w:hint="eastAsia" w:ascii="Times New Roman" w:hAnsi="Times New Roman"/>
          <w:snapToGrid w:val="0"/>
          <w:color w:val="auto"/>
          <w:sz w:val="30"/>
          <w:szCs w:val="30"/>
          <w:lang w:val="en-US" w:eastAsia="zh-CN"/>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84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5" w:hRule="atLeast"/>
          <w:jc w:val="center"/>
        </w:trPr>
        <w:tc>
          <w:tcPr>
            <w:tcW w:w="550" w:type="dxa"/>
            <w:vAlign w:val="center"/>
          </w:tcPr>
          <w:p>
            <w:pPr>
              <w:pStyle w:val="2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454" w:type="dxa"/>
          </w:tcPr>
          <w:p>
            <w:pPr>
              <w:rPr>
                <w:b/>
                <w:color w:val="auto"/>
              </w:rPr>
            </w:pPr>
            <w:r>
              <w:rPr>
                <w:b/>
                <w:color w:val="auto"/>
              </w:rPr>
              <w:t>2.1</w:t>
            </w:r>
            <w:r>
              <w:rPr>
                <w:rFonts w:hint="eastAsia"/>
                <w:b/>
                <w:color w:val="auto"/>
                <w:lang w:eastAsia="zh-CN"/>
              </w:rPr>
              <w:t>建设内容</w:t>
            </w:r>
          </w:p>
          <w:p>
            <w:pPr>
              <w:ind w:firstLine="482" w:firstLineChars="200"/>
              <w:jc w:val="left"/>
              <w:rPr>
                <w:rFonts w:hint="eastAsia"/>
                <w:b/>
                <w:bCs/>
                <w:color w:val="auto"/>
                <w:lang w:val="en-US" w:eastAsia="zh-CN"/>
              </w:rPr>
            </w:pPr>
            <w:r>
              <w:rPr>
                <w:rFonts w:hint="eastAsia"/>
                <w:b/>
                <w:bCs/>
                <w:color w:val="auto"/>
                <w:lang w:val="en-US" w:eastAsia="zh-CN"/>
              </w:rPr>
              <w:t>2.1.1</w:t>
            </w:r>
            <w:r>
              <w:rPr>
                <w:rFonts w:hint="eastAsia"/>
                <w:b/>
                <w:bCs/>
                <w:color w:val="auto"/>
                <w:lang w:eastAsia="zh-CN"/>
              </w:rPr>
              <w:t>项目概况</w:t>
            </w:r>
          </w:p>
          <w:p>
            <w:pPr>
              <w:ind w:firstLine="480" w:firstLineChars="200"/>
              <w:jc w:val="both"/>
              <w:rPr>
                <w:rFonts w:hint="eastAsia"/>
                <w:color w:val="auto"/>
                <w:lang w:eastAsia="zh-CN"/>
              </w:rPr>
            </w:pPr>
            <w:r>
              <w:rPr>
                <w:rFonts w:hint="eastAsia"/>
                <w:color w:val="auto"/>
                <w:lang w:val="en-US" w:eastAsia="zh-CN"/>
              </w:rPr>
              <w:t>项目名称：重庆冠华包装科技有限公司塑料包装、塑料膜生产项目（以下简称“拟建项目”）；</w:t>
            </w:r>
          </w:p>
          <w:p>
            <w:pPr>
              <w:ind w:firstLine="480" w:firstLineChars="200"/>
              <w:jc w:val="both"/>
              <w:rPr>
                <w:rFonts w:hint="eastAsia"/>
                <w:color w:val="auto"/>
                <w:lang w:val="en-US" w:eastAsia="zh-CN"/>
              </w:rPr>
            </w:pPr>
            <w:r>
              <w:rPr>
                <w:rFonts w:hint="eastAsia"/>
                <w:color w:val="auto"/>
                <w:lang w:val="en-US" w:eastAsia="zh-CN"/>
              </w:rPr>
              <w:t>建设单位：</w:t>
            </w:r>
            <w:r>
              <w:rPr>
                <w:rFonts w:hint="eastAsia" w:ascii="Times New Roman" w:hAnsi="Times New Roman" w:eastAsia="宋体" w:cs="Times New Roman"/>
                <w:snapToGrid w:val="0"/>
                <w:color w:val="auto"/>
                <w:kern w:val="0"/>
                <w:highlight w:val="none"/>
                <w:lang w:eastAsia="zh-CN"/>
              </w:rPr>
              <w:t>重庆冠华包装科技有限公司</w:t>
            </w:r>
            <w:r>
              <w:rPr>
                <w:rFonts w:hint="eastAsia" w:ascii="Times New Roman" w:hAnsi="Times New Roman" w:cs="Times New Roman"/>
                <w:snapToGrid w:val="0"/>
                <w:color w:val="auto"/>
                <w:kern w:val="0"/>
                <w:highlight w:val="none"/>
                <w:lang w:eastAsia="zh-CN"/>
              </w:rPr>
              <w:t>；</w:t>
            </w:r>
          </w:p>
          <w:p>
            <w:pPr>
              <w:ind w:firstLine="480" w:firstLineChars="200"/>
              <w:jc w:val="both"/>
              <w:rPr>
                <w:rFonts w:hint="eastAsia"/>
                <w:color w:val="auto"/>
                <w:lang w:eastAsia="zh-CN"/>
              </w:rPr>
            </w:pPr>
            <w:r>
              <w:rPr>
                <w:rFonts w:hint="eastAsia"/>
                <w:color w:val="auto"/>
                <w:lang w:val="en-US" w:eastAsia="zh-CN"/>
              </w:rPr>
              <w:t>建设性质：新建；</w:t>
            </w:r>
          </w:p>
          <w:p>
            <w:pPr>
              <w:ind w:firstLine="480" w:firstLineChars="200"/>
              <w:jc w:val="both"/>
              <w:rPr>
                <w:rFonts w:hint="eastAsia"/>
                <w:color w:val="auto"/>
                <w:lang w:eastAsia="zh-CN"/>
              </w:rPr>
            </w:pPr>
            <w:r>
              <w:rPr>
                <w:rFonts w:hint="eastAsia"/>
                <w:color w:val="auto"/>
                <w:lang w:val="en-US" w:eastAsia="zh-CN"/>
              </w:rPr>
              <w:t>建设地点：重庆市铜梁区铜合大道523号；</w:t>
            </w:r>
          </w:p>
          <w:p>
            <w:pPr>
              <w:ind w:firstLine="480" w:firstLineChars="200"/>
              <w:jc w:val="both"/>
              <w:rPr>
                <w:rFonts w:hint="eastAsia"/>
                <w:color w:val="auto"/>
                <w:lang w:eastAsia="zh-CN"/>
              </w:rPr>
            </w:pPr>
            <w:r>
              <w:rPr>
                <w:rFonts w:hint="eastAsia"/>
                <w:color w:val="auto"/>
                <w:lang w:val="en-US" w:eastAsia="zh-CN"/>
              </w:rPr>
              <w:t>生产规模：建成后年产1200t包装用品（其中包含封口胶带900t、双面胶带200t、防水胶带40t、美纹纸30t、分色带30t）、17500t缠绕膜（其中1500t缠绕膜生产通过流延机加工，16000t缠绕膜生产工艺仅为复卷、分切）、10000t吹膜产品（平口袋7000t、气柱膜3000t）；</w:t>
            </w:r>
          </w:p>
          <w:p>
            <w:pPr>
              <w:ind w:firstLine="480" w:firstLineChars="200"/>
              <w:jc w:val="both"/>
              <w:rPr>
                <w:rFonts w:hint="eastAsia" w:eastAsia="宋体"/>
                <w:color w:val="auto"/>
                <w:lang w:eastAsia="zh-CN"/>
              </w:rPr>
            </w:pPr>
            <w:r>
              <w:rPr>
                <w:rFonts w:hint="eastAsia"/>
                <w:color w:val="auto"/>
              </w:rPr>
              <w:t>建筑面积</w:t>
            </w:r>
            <w:r>
              <w:rPr>
                <w:rFonts w:hint="eastAsia"/>
                <w:color w:val="auto"/>
                <w:lang w:eastAsia="zh-CN"/>
              </w:rPr>
              <w:t>：7495.8</w:t>
            </w:r>
            <w:r>
              <w:rPr>
                <w:rFonts w:hint="eastAsia"/>
                <w:color w:val="auto"/>
              </w:rPr>
              <w:t>m</w:t>
            </w:r>
            <w:r>
              <w:rPr>
                <w:rFonts w:hint="eastAsia"/>
                <w:color w:val="auto"/>
                <w:vertAlign w:val="superscript"/>
              </w:rPr>
              <w:t>2</w:t>
            </w:r>
            <w:r>
              <w:rPr>
                <w:rFonts w:hint="eastAsia"/>
                <w:color w:val="auto"/>
                <w:vertAlign w:val="baseline"/>
                <w:lang w:eastAsia="zh-CN"/>
              </w:rPr>
              <w:t>；</w:t>
            </w:r>
          </w:p>
          <w:p>
            <w:pPr>
              <w:ind w:firstLine="480" w:firstLineChars="200"/>
              <w:jc w:val="both"/>
              <w:rPr>
                <w:rFonts w:hint="eastAsia"/>
                <w:color w:val="auto"/>
                <w:lang w:eastAsia="zh-CN"/>
              </w:rPr>
            </w:pPr>
            <w:r>
              <w:rPr>
                <w:rFonts w:hint="eastAsia"/>
                <w:color w:val="auto"/>
                <w:lang w:val="en-US" w:eastAsia="zh-CN"/>
              </w:rPr>
              <w:t>项目投资：总投资</w:t>
            </w:r>
            <w:r>
              <w:rPr>
                <w:rFonts w:hint="eastAsia" w:cs="宋体"/>
                <w:color w:val="auto"/>
                <w:highlight w:val="none"/>
                <w:lang w:val="en-US" w:eastAsia="zh-CN"/>
              </w:rPr>
              <w:t>9000</w:t>
            </w:r>
            <w:r>
              <w:rPr>
                <w:rFonts w:hint="eastAsia"/>
                <w:color w:val="auto"/>
                <w:lang w:val="en-US" w:eastAsia="zh-CN"/>
              </w:rPr>
              <w:t>万元，其中环保投资100万元，占项目总投资的1.1</w:t>
            </w:r>
            <w:r>
              <w:rPr>
                <w:rFonts w:hint="default"/>
                <w:color w:val="auto"/>
                <w:lang w:val="en-US" w:eastAsia="zh-CN"/>
              </w:rPr>
              <w:t>%</w:t>
            </w:r>
            <w:r>
              <w:rPr>
                <w:rFonts w:hint="eastAsia"/>
                <w:color w:val="auto"/>
                <w:lang w:val="en-US" w:eastAsia="zh-CN"/>
              </w:rPr>
              <w:t>。</w:t>
            </w:r>
            <w:r>
              <w:rPr>
                <w:rFonts w:hint="default"/>
                <w:color w:val="auto"/>
                <w:lang w:val="en-US" w:eastAsia="zh-CN"/>
              </w:rPr>
              <w:t xml:space="preserve"> </w:t>
            </w:r>
          </w:p>
          <w:p>
            <w:pPr>
              <w:ind w:firstLine="482" w:firstLineChars="200"/>
              <w:jc w:val="both"/>
              <w:rPr>
                <w:rFonts w:hint="eastAsia"/>
                <w:b/>
                <w:bCs/>
                <w:color w:val="auto"/>
                <w:lang w:val="en-US" w:eastAsia="zh-CN"/>
              </w:rPr>
            </w:pPr>
            <w:r>
              <w:rPr>
                <w:rFonts w:hint="eastAsia"/>
                <w:b/>
                <w:bCs/>
                <w:color w:val="auto"/>
                <w:lang w:val="en-US" w:eastAsia="zh-CN"/>
              </w:rPr>
              <w:t>2.1.2项目组成</w:t>
            </w:r>
          </w:p>
          <w:p>
            <w:pPr>
              <w:ind w:firstLine="480" w:firstLineChars="200"/>
              <w:jc w:val="both"/>
              <w:rPr>
                <w:rFonts w:hint="eastAsia"/>
                <w:color w:val="auto"/>
                <w:lang w:eastAsia="zh-CN"/>
              </w:rPr>
            </w:pPr>
            <w:r>
              <w:rPr>
                <w:rFonts w:hint="eastAsia"/>
                <w:color w:val="auto"/>
                <w:lang w:val="en-US" w:eastAsia="zh-CN"/>
              </w:rPr>
              <w:t>拟建项目购买的厂房为钢筋混凝土结构厂房，厂房内采取自然通风；厂房共2层，层高分别为5.8m、5.6m，总层高11.4m；购买综合楼共3层，1F为食堂、2~3F为宿舍，每层层高3.6m，总层高10.8m；项目总建面7495.8m</w:t>
            </w:r>
            <w:r>
              <w:rPr>
                <w:rFonts w:hint="eastAsia"/>
                <w:color w:val="auto"/>
                <w:vertAlign w:val="superscript"/>
                <w:lang w:val="en-US" w:eastAsia="zh-CN"/>
              </w:rPr>
              <w:t>2</w:t>
            </w:r>
            <w:r>
              <w:rPr>
                <w:rFonts w:hint="eastAsia"/>
                <w:color w:val="auto"/>
                <w:lang w:val="en-US" w:eastAsia="zh-CN"/>
              </w:rPr>
              <w:t>（厂房两层楼建面共5400m</w:t>
            </w:r>
            <w:r>
              <w:rPr>
                <w:rFonts w:hint="eastAsia"/>
                <w:color w:val="auto"/>
                <w:vertAlign w:val="superscript"/>
                <w:lang w:val="en-US" w:eastAsia="zh-CN"/>
              </w:rPr>
              <w:t>2</w:t>
            </w:r>
            <w:r>
              <w:rPr>
                <w:rFonts w:hint="eastAsia"/>
                <w:color w:val="auto"/>
                <w:lang w:val="en-US" w:eastAsia="zh-CN"/>
              </w:rPr>
              <w:t>，1、2F建面相同）。厂房内设置分切机、自动切割机、复卷机（小）、复卷机（中）、复卷机（大）、切管机、流延机、自动包装机、卷管机、拌料机、吹膜机、气柱膜机、压扁机、自动磨刀机等设备，产品为包装用品、缠绕膜和吹膜产品。拟建项目由主体工程、辅助工程、储运工程、公用工程和环保工程组成，详见表2.1-1。</w:t>
            </w:r>
          </w:p>
          <w:p>
            <w:pPr>
              <w:pStyle w:val="39"/>
              <w:adjustRightInd/>
              <w:snapToGrid/>
              <w:spacing w:before="0" w:after="0" w:line="240" w:lineRule="auto"/>
              <w:ind w:right="0"/>
              <w:rPr>
                <w:b w:val="0"/>
                <w:bCs/>
                <w:color w:val="auto"/>
              </w:rPr>
            </w:pPr>
            <w:r>
              <w:rPr>
                <w:b w:val="0"/>
                <w:bCs/>
                <w:color w:val="auto"/>
              </w:rPr>
              <w:t>表2.</w:t>
            </w:r>
            <w:r>
              <w:rPr>
                <w:rFonts w:hint="eastAsia"/>
                <w:b w:val="0"/>
                <w:bCs/>
                <w:color w:val="auto"/>
                <w:lang w:val="en-US" w:eastAsia="zh-CN"/>
              </w:rPr>
              <w:t>1</w:t>
            </w:r>
            <w:r>
              <w:rPr>
                <w:b w:val="0"/>
                <w:bCs/>
                <w:color w:val="auto"/>
              </w:rPr>
              <w:t>-1 项目组成一览表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90"/>
              <w:gridCol w:w="6058"/>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0" w:type="pct"/>
                  <w:gridSpan w:val="2"/>
                  <w:vAlign w:val="center"/>
                </w:tcPr>
                <w:p>
                  <w:pPr>
                    <w:spacing w:line="240" w:lineRule="auto"/>
                    <w:jc w:val="center"/>
                    <w:rPr>
                      <w:color w:val="auto"/>
                      <w:sz w:val="21"/>
                      <w:highlight w:val="none"/>
                    </w:rPr>
                  </w:pPr>
                  <w:r>
                    <w:rPr>
                      <w:color w:val="auto"/>
                      <w:sz w:val="21"/>
                      <w:highlight w:val="none"/>
                    </w:rPr>
                    <w:t>项目组成</w:t>
                  </w:r>
                </w:p>
              </w:tc>
              <w:tc>
                <w:tcPr>
                  <w:tcW w:w="3682" w:type="pct"/>
                  <w:vAlign w:val="center"/>
                </w:tcPr>
                <w:p>
                  <w:pPr>
                    <w:spacing w:line="240" w:lineRule="auto"/>
                    <w:jc w:val="center"/>
                    <w:rPr>
                      <w:color w:val="auto"/>
                      <w:sz w:val="21"/>
                      <w:highlight w:val="none"/>
                    </w:rPr>
                  </w:pPr>
                  <w:r>
                    <w:rPr>
                      <w:color w:val="auto"/>
                      <w:sz w:val="21"/>
                      <w:highlight w:val="none"/>
                    </w:rPr>
                    <w:t>主要建设内容</w:t>
                  </w:r>
                </w:p>
              </w:tc>
              <w:tc>
                <w:tcPr>
                  <w:tcW w:w="396" w:type="pct"/>
                  <w:vAlign w:val="center"/>
                </w:tcPr>
                <w:p>
                  <w:pPr>
                    <w:spacing w:line="240" w:lineRule="auto"/>
                    <w:jc w:val="center"/>
                    <w:rPr>
                      <w:color w:val="auto"/>
                      <w:sz w:val="21"/>
                      <w:highlight w:val="none"/>
                    </w:rPr>
                  </w:pPr>
                  <w:r>
                    <w:rPr>
                      <w:color w:val="auto"/>
                      <w:sz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restart"/>
                  <w:vAlign w:val="center"/>
                </w:tcPr>
                <w:p>
                  <w:pPr>
                    <w:spacing w:line="240" w:lineRule="auto"/>
                    <w:jc w:val="center"/>
                    <w:rPr>
                      <w:color w:val="auto"/>
                      <w:sz w:val="21"/>
                      <w:highlight w:val="none"/>
                    </w:rPr>
                  </w:pPr>
                  <w:r>
                    <w:rPr>
                      <w:color w:val="auto"/>
                      <w:sz w:val="21"/>
                      <w:highlight w:val="none"/>
                    </w:rPr>
                    <w:t>主体工程</w:t>
                  </w:r>
                </w:p>
              </w:tc>
              <w:tc>
                <w:tcPr>
                  <w:tcW w:w="663" w:type="pct"/>
                  <w:vAlign w:val="center"/>
                </w:tcPr>
                <w:p>
                  <w:pPr>
                    <w:spacing w:line="240" w:lineRule="auto"/>
                    <w:jc w:val="center"/>
                    <w:rPr>
                      <w:rFonts w:hint="eastAsia" w:eastAsia="宋体"/>
                      <w:color w:val="auto"/>
                      <w:sz w:val="21"/>
                      <w:highlight w:val="none"/>
                      <w:lang w:eastAsia="zh-CN"/>
                    </w:rPr>
                  </w:pPr>
                  <w:r>
                    <w:rPr>
                      <w:rFonts w:hint="eastAsia" w:eastAsia="宋体"/>
                      <w:color w:val="auto"/>
                      <w:sz w:val="21"/>
                      <w:highlight w:val="none"/>
                      <w:lang w:eastAsia="zh-CN"/>
                    </w:rPr>
                    <w:t>包装用品</w:t>
                  </w:r>
                  <w:r>
                    <w:rPr>
                      <w:rFonts w:hint="eastAsia"/>
                      <w:color w:val="auto"/>
                      <w:sz w:val="21"/>
                      <w:highlight w:val="none"/>
                      <w:lang w:eastAsia="zh-CN"/>
                    </w:rPr>
                    <w:t>生产区</w:t>
                  </w:r>
                </w:p>
              </w:tc>
              <w:tc>
                <w:tcPr>
                  <w:tcW w:w="3682" w:type="pct"/>
                  <w:vAlign w:val="center"/>
                </w:tcPr>
                <w:p>
                  <w:pPr>
                    <w:pStyle w:val="15"/>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位于厂房1F中部，面积1500m</w:t>
                  </w:r>
                  <w:r>
                    <w:rPr>
                      <w:rFonts w:hint="eastAsia"/>
                      <w:color w:val="auto"/>
                      <w:sz w:val="21"/>
                      <w:highlight w:val="none"/>
                      <w:vertAlign w:val="superscript"/>
                      <w:lang w:val="en-US" w:eastAsia="zh-CN"/>
                    </w:rPr>
                    <w:t>2</w:t>
                  </w:r>
                  <w:r>
                    <w:rPr>
                      <w:rFonts w:hint="eastAsia"/>
                      <w:color w:val="auto"/>
                      <w:sz w:val="21"/>
                      <w:highlight w:val="none"/>
                      <w:lang w:val="en-US" w:eastAsia="zh-CN"/>
                    </w:rPr>
                    <w:t>，设置20台复卷机（小）、20台分切机、4台复卷机（中）、4台自动切割机，用于</w:t>
                  </w:r>
                  <w:r>
                    <w:rPr>
                      <w:rFonts w:hint="default" w:eastAsia="宋体"/>
                      <w:color w:val="auto"/>
                      <w:sz w:val="21"/>
                      <w:szCs w:val="21"/>
                      <w:vertAlign w:val="baseline"/>
                      <w:lang w:val="en-US" w:eastAsia="zh-CN"/>
                    </w:rPr>
                    <w:t>包装用品</w:t>
                  </w:r>
                  <w:r>
                    <w:rPr>
                      <w:rFonts w:hint="eastAsia" w:eastAsia="宋体"/>
                      <w:color w:val="auto"/>
                      <w:sz w:val="21"/>
                      <w:szCs w:val="21"/>
                      <w:vertAlign w:val="baseline"/>
                      <w:lang w:val="en-US" w:eastAsia="zh-CN"/>
                    </w:rPr>
                    <w:t>的复卷、分切、切割。</w:t>
                  </w:r>
                </w:p>
              </w:tc>
              <w:tc>
                <w:tcPr>
                  <w:tcW w:w="396" w:type="pct"/>
                  <w:vAlign w:val="center"/>
                </w:tcPr>
                <w:p>
                  <w:pPr>
                    <w:spacing w:line="240" w:lineRule="auto"/>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lang w:eastAsia="zh-CN"/>
                    </w:rPr>
                  </w:pPr>
                  <w:r>
                    <w:rPr>
                      <w:rFonts w:hint="eastAsia"/>
                      <w:color w:val="auto"/>
                      <w:sz w:val="21"/>
                      <w:highlight w:val="none"/>
                      <w:lang w:eastAsia="zh-CN"/>
                    </w:rPr>
                    <w:t>缠绕膜生产区</w:t>
                  </w:r>
                </w:p>
              </w:tc>
              <w:tc>
                <w:tcPr>
                  <w:tcW w:w="3682" w:type="pct"/>
                  <w:vAlign w:val="center"/>
                </w:tcPr>
                <w:p>
                  <w:pPr>
                    <w:pStyle w:val="15"/>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位于厂房2F中部，面积750m</w:t>
                  </w:r>
                  <w:r>
                    <w:rPr>
                      <w:rFonts w:hint="eastAsia"/>
                      <w:color w:val="auto"/>
                      <w:sz w:val="21"/>
                      <w:highlight w:val="none"/>
                      <w:vertAlign w:val="superscript"/>
                      <w:lang w:val="en-US" w:eastAsia="zh-CN"/>
                    </w:rPr>
                    <w:t>2</w:t>
                  </w:r>
                  <w:r>
                    <w:rPr>
                      <w:rFonts w:hint="eastAsia"/>
                      <w:color w:val="auto"/>
                      <w:sz w:val="21"/>
                      <w:highlight w:val="none"/>
                      <w:lang w:val="en-US" w:eastAsia="zh-CN"/>
                    </w:rPr>
                    <w:t>，设置5台复卷机（大）、5台分切机、5台流延机，用于缠绕膜复卷、分切、流延。</w:t>
                  </w:r>
                </w:p>
              </w:tc>
              <w:tc>
                <w:tcPr>
                  <w:tcW w:w="396" w:type="pct"/>
                  <w:vAlign w:val="center"/>
                </w:tcPr>
                <w:p>
                  <w:pPr>
                    <w:spacing w:line="240" w:lineRule="auto"/>
                    <w:jc w:val="center"/>
                    <w:rPr>
                      <w:color w:val="auto"/>
                      <w:sz w:val="21"/>
                      <w:highlight w:val="none"/>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lang w:val="en-US" w:eastAsia="zh-CN"/>
                    </w:rPr>
                  </w:pPr>
                  <w:r>
                    <w:rPr>
                      <w:rFonts w:hint="eastAsia"/>
                      <w:color w:val="auto"/>
                      <w:sz w:val="21"/>
                      <w:highlight w:val="none"/>
                      <w:lang w:val="en-US" w:eastAsia="zh-CN"/>
                    </w:rPr>
                    <w:t>吹膜产品生产区</w:t>
                  </w:r>
                </w:p>
              </w:tc>
              <w:tc>
                <w:tcPr>
                  <w:tcW w:w="3682" w:type="pct"/>
                  <w:vAlign w:val="center"/>
                </w:tcPr>
                <w:p>
                  <w:pPr>
                    <w:spacing w:line="240" w:lineRule="auto"/>
                    <w:jc w:val="center"/>
                    <w:rPr>
                      <w:rFonts w:hint="default"/>
                      <w:color w:val="auto"/>
                      <w:sz w:val="21"/>
                      <w:highlight w:val="none"/>
                      <w:lang w:val="en-US" w:eastAsia="zh-CN"/>
                    </w:rPr>
                  </w:pPr>
                  <w:r>
                    <w:rPr>
                      <w:rFonts w:hint="eastAsia"/>
                      <w:color w:val="auto"/>
                      <w:sz w:val="21"/>
                      <w:highlight w:val="none"/>
                      <w:lang w:val="en-US" w:eastAsia="zh-CN"/>
                    </w:rPr>
                    <w:t>位于厂房2F北侧，面积750m</w:t>
                  </w:r>
                  <w:r>
                    <w:rPr>
                      <w:rFonts w:hint="eastAsia"/>
                      <w:color w:val="auto"/>
                      <w:sz w:val="21"/>
                      <w:highlight w:val="none"/>
                      <w:vertAlign w:val="superscript"/>
                      <w:lang w:val="en-US" w:eastAsia="zh-CN"/>
                    </w:rPr>
                    <w:t>2</w:t>
                  </w:r>
                  <w:r>
                    <w:rPr>
                      <w:rFonts w:hint="eastAsia"/>
                      <w:color w:val="auto"/>
                      <w:sz w:val="21"/>
                      <w:highlight w:val="none"/>
                      <w:lang w:val="en-US" w:eastAsia="zh-CN"/>
                    </w:rPr>
                    <w:t>，设置3台吹膜机、2台拌料机、2台气柱膜机、6台制袋机</w:t>
                  </w:r>
                </w:p>
              </w:tc>
              <w:tc>
                <w:tcPr>
                  <w:tcW w:w="396" w:type="pct"/>
                  <w:vAlign w:val="center"/>
                </w:tcPr>
                <w:p>
                  <w:pPr>
                    <w:spacing w:line="240" w:lineRule="auto"/>
                    <w:jc w:val="center"/>
                    <w:rPr>
                      <w:rFonts w:hint="eastAsia"/>
                      <w:color w:val="auto"/>
                      <w:sz w:val="21"/>
                      <w:highlight w:val="none"/>
                      <w:lang w:val="en-US" w:eastAsia="zh-CN"/>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lang w:val="en-US" w:eastAsia="zh-CN"/>
                    </w:rPr>
                  </w:pPr>
                  <w:r>
                    <w:rPr>
                      <w:rFonts w:hint="eastAsia"/>
                      <w:color w:val="auto"/>
                      <w:sz w:val="21"/>
                      <w:highlight w:val="none"/>
                      <w:lang w:val="en-US" w:eastAsia="zh-CN"/>
                    </w:rPr>
                    <w:t>产品包装区</w:t>
                  </w:r>
                </w:p>
              </w:tc>
              <w:tc>
                <w:tcPr>
                  <w:tcW w:w="3682" w:type="pct"/>
                  <w:vAlign w:val="center"/>
                </w:tcPr>
                <w:p>
                  <w:pPr>
                    <w:spacing w:line="240" w:lineRule="auto"/>
                    <w:jc w:val="center"/>
                    <w:rPr>
                      <w:rFonts w:hint="default"/>
                      <w:color w:val="auto"/>
                      <w:sz w:val="21"/>
                      <w:highlight w:val="none"/>
                      <w:vertAlign w:val="baseline"/>
                      <w:lang w:val="en-US" w:eastAsia="zh-CN"/>
                    </w:rPr>
                  </w:pPr>
                  <w:r>
                    <w:rPr>
                      <w:rFonts w:hint="eastAsia"/>
                      <w:color w:val="auto"/>
                      <w:sz w:val="21"/>
                      <w:highlight w:val="none"/>
                      <w:lang w:val="en-US" w:eastAsia="zh-CN"/>
                    </w:rPr>
                    <w:t>位于厂房1F南侧，面积100m</w:t>
                  </w:r>
                  <w:r>
                    <w:rPr>
                      <w:rFonts w:hint="eastAsia"/>
                      <w:color w:val="auto"/>
                      <w:sz w:val="21"/>
                      <w:highlight w:val="none"/>
                      <w:vertAlign w:val="superscript"/>
                      <w:lang w:val="en-US" w:eastAsia="zh-CN"/>
                    </w:rPr>
                    <w:t>2</w:t>
                  </w:r>
                  <w:r>
                    <w:rPr>
                      <w:rFonts w:hint="eastAsia"/>
                      <w:color w:val="auto"/>
                      <w:sz w:val="21"/>
                      <w:highlight w:val="none"/>
                      <w:vertAlign w:val="baseline"/>
                      <w:lang w:val="en-US" w:eastAsia="zh-CN"/>
                    </w:rPr>
                    <w:t>，设置4台自动包装机，用于产品包装。</w:t>
                  </w:r>
                </w:p>
              </w:tc>
              <w:tc>
                <w:tcPr>
                  <w:tcW w:w="396" w:type="pct"/>
                  <w:vAlign w:val="center"/>
                </w:tcPr>
                <w:p>
                  <w:pPr>
                    <w:spacing w:line="240" w:lineRule="auto"/>
                    <w:jc w:val="center"/>
                    <w:rPr>
                      <w:rFonts w:hint="eastAsia"/>
                      <w:color w:val="auto"/>
                      <w:sz w:val="21"/>
                      <w:highlight w:val="none"/>
                      <w:lang w:eastAsia="zh-CN"/>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lang w:val="en-US" w:eastAsia="zh-CN"/>
                    </w:rPr>
                  </w:pPr>
                  <w:r>
                    <w:rPr>
                      <w:rFonts w:hint="eastAsia"/>
                      <w:color w:val="auto"/>
                      <w:sz w:val="21"/>
                      <w:highlight w:val="none"/>
                      <w:lang w:val="en-US" w:eastAsia="zh-CN"/>
                    </w:rPr>
                    <w:t>纸芯生产区</w:t>
                  </w:r>
                </w:p>
              </w:tc>
              <w:tc>
                <w:tcPr>
                  <w:tcW w:w="3682" w:type="pct"/>
                  <w:vAlign w:val="center"/>
                </w:tcPr>
                <w:p>
                  <w:pPr>
                    <w:spacing w:line="240" w:lineRule="auto"/>
                    <w:jc w:val="center"/>
                    <w:rPr>
                      <w:rFonts w:hint="default"/>
                      <w:color w:val="auto"/>
                      <w:sz w:val="21"/>
                      <w:highlight w:val="none"/>
                      <w:lang w:val="en-US" w:eastAsia="zh-CN"/>
                    </w:rPr>
                  </w:pPr>
                  <w:r>
                    <w:rPr>
                      <w:rFonts w:hint="eastAsia"/>
                      <w:color w:val="auto"/>
                      <w:sz w:val="21"/>
                      <w:highlight w:val="none"/>
                      <w:lang w:val="en-US" w:eastAsia="zh-CN"/>
                    </w:rPr>
                    <w:t>位于厂房2F南侧，面积150m</w:t>
                  </w:r>
                  <w:r>
                    <w:rPr>
                      <w:rFonts w:hint="eastAsia"/>
                      <w:color w:val="auto"/>
                      <w:sz w:val="21"/>
                      <w:highlight w:val="none"/>
                      <w:vertAlign w:val="superscript"/>
                      <w:lang w:val="en-US" w:eastAsia="zh-CN"/>
                    </w:rPr>
                    <w:t>2</w:t>
                  </w:r>
                  <w:r>
                    <w:rPr>
                      <w:rFonts w:hint="eastAsia"/>
                      <w:color w:val="auto"/>
                      <w:sz w:val="21"/>
                      <w:highlight w:val="none"/>
                      <w:lang w:val="en-US" w:eastAsia="zh-CN"/>
                    </w:rPr>
                    <w:t>，设置3台卷管机、3台切管机，用于卷管、切管。</w:t>
                  </w:r>
                </w:p>
              </w:tc>
              <w:tc>
                <w:tcPr>
                  <w:tcW w:w="396" w:type="pct"/>
                  <w:vAlign w:val="center"/>
                </w:tcPr>
                <w:p>
                  <w:pPr>
                    <w:spacing w:line="240" w:lineRule="auto"/>
                    <w:jc w:val="center"/>
                    <w:rPr>
                      <w:rFonts w:hint="eastAsia"/>
                      <w:color w:val="auto"/>
                      <w:sz w:val="21"/>
                      <w:highlight w:val="none"/>
                      <w:lang w:eastAsia="zh-CN"/>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restart"/>
                  <w:vAlign w:val="center"/>
                </w:tcPr>
                <w:p>
                  <w:pPr>
                    <w:spacing w:line="240" w:lineRule="auto"/>
                    <w:jc w:val="center"/>
                    <w:rPr>
                      <w:color w:val="auto"/>
                      <w:sz w:val="21"/>
                      <w:highlight w:val="none"/>
                    </w:rPr>
                  </w:pPr>
                  <w:r>
                    <w:rPr>
                      <w:color w:val="auto"/>
                      <w:sz w:val="21"/>
                      <w:highlight w:val="none"/>
                    </w:rPr>
                    <w:t>辅助工程</w:t>
                  </w:r>
                </w:p>
              </w:tc>
              <w:tc>
                <w:tcPr>
                  <w:tcW w:w="663" w:type="pct"/>
                  <w:vAlign w:val="center"/>
                </w:tcPr>
                <w:p>
                  <w:pPr>
                    <w:spacing w:line="240" w:lineRule="auto"/>
                    <w:jc w:val="center"/>
                    <w:rPr>
                      <w:rFonts w:hint="default" w:eastAsia="宋体"/>
                      <w:color w:val="auto"/>
                      <w:sz w:val="21"/>
                      <w:highlight w:val="none"/>
                      <w:lang w:val="en-US" w:eastAsia="zh-CN"/>
                    </w:rPr>
                  </w:pPr>
                  <w:r>
                    <w:rPr>
                      <w:rFonts w:hint="eastAsia"/>
                      <w:color w:val="auto"/>
                      <w:sz w:val="21"/>
                      <w:highlight w:val="none"/>
                      <w:lang w:eastAsia="zh-CN"/>
                    </w:rPr>
                    <w:t>综合楼</w:t>
                  </w:r>
                  <w:r>
                    <w:rPr>
                      <w:rFonts w:hint="eastAsia"/>
                      <w:color w:val="auto"/>
                      <w:sz w:val="21"/>
                      <w:highlight w:val="none"/>
                      <w:lang w:val="en-US" w:eastAsia="zh-CN"/>
                    </w:rPr>
                    <w:t xml:space="preserve">                  </w:t>
                  </w:r>
                </w:p>
              </w:tc>
              <w:tc>
                <w:tcPr>
                  <w:tcW w:w="3682" w:type="pct"/>
                  <w:vAlign w:val="center"/>
                </w:tcPr>
                <w:p>
                  <w:pPr>
                    <w:spacing w:line="240" w:lineRule="auto"/>
                    <w:jc w:val="center"/>
                    <w:rPr>
                      <w:color w:val="auto"/>
                      <w:sz w:val="21"/>
                      <w:highlight w:val="none"/>
                    </w:rPr>
                  </w:pPr>
                  <w:r>
                    <w:rPr>
                      <w:rFonts w:hint="eastAsia"/>
                      <w:color w:val="auto"/>
                      <w:sz w:val="21"/>
                      <w:highlight w:val="none"/>
                      <w:lang w:eastAsia="zh-CN"/>
                    </w:rPr>
                    <w:t>位于厂房外南侧，共设置</w:t>
                  </w:r>
                  <w:r>
                    <w:rPr>
                      <w:rFonts w:hint="eastAsia"/>
                      <w:color w:val="auto"/>
                      <w:sz w:val="21"/>
                      <w:highlight w:val="none"/>
                      <w:lang w:val="en-US" w:eastAsia="zh-CN"/>
                    </w:rPr>
                    <w:t>3F</w:t>
                  </w:r>
                  <w:r>
                    <w:rPr>
                      <w:color w:val="auto"/>
                      <w:sz w:val="21"/>
                      <w:highlight w:val="none"/>
                    </w:rPr>
                    <w:t>，</w:t>
                  </w:r>
                  <w:r>
                    <w:rPr>
                      <w:rFonts w:hint="eastAsia"/>
                      <w:color w:val="auto"/>
                      <w:sz w:val="21"/>
                      <w:highlight w:val="none"/>
                      <w:lang w:val="en-US" w:eastAsia="zh-CN"/>
                    </w:rPr>
                    <w:t>1F为食堂、2~3F为宿舍，每层</w:t>
                  </w:r>
                  <w:r>
                    <w:rPr>
                      <w:rFonts w:hint="eastAsia"/>
                      <w:color w:val="auto"/>
                      <w:sz w:val="21"/>
                      <w:highlight w:val="none"/>
                      <w:lang w:eastAsia="zh-CN"/>
                    </w:rPr>
                    <w:t>面积约</w:t>
                  </w:r>
                  <w:r>
                    <w:rPr>
                      <w:rFonts w:hint="eastAsia"/>
                      <w:color w:val="auto"/>
                      <w:sz w:val="21"/>
                      <w:highlight w:val="none"/>
                      <w:lang w:val="en-US" w:eastAsia="zh-CN"/>
                    </w:rPr>
                    <w:t>698.6</w:t>
                  </w:r>
                  <w:r>
                    <w:rPr>
                      <w:color w:val="auto"/>
                      <w:sz w:val="21"/>
                      <w:highlight w:val="none"/>
                    </w:rPr>
                    <w:t>m</w:t>
                  </w:r>
                  <w:r>
                    <w:rPr>
                      <w:color w:val="auto"/>
                      <w:sz w:val="21"/>
                      <w:highlight w:val="none"/>
                      <w:vertAlign w:val="superscript"/>
                    </w:rPr>
                    <w:t>2</w:t>
                  </w:r>
                  <w:r>
                    <w:rPr>
                      <w:rFonts w:hint="eastAsia"/>
                      <w:color w:val="auto"/>
                      <w:sz w:val="21"/>
                      <w:highlight w:val="none"/>
                      <w:lang w:eastAsia="zh-CN"/>
                    </w:rPr>
                    <w:t>，用于员工餐饮、休息。</w:t>
                  </w:r>
                </w:p>
              </w:tc>
              <w:tc>
                <w:tcPr>
                  <w:tcW w:w="396" w:type="pct"/>
                  <w:vAlign w:val="center"/>
                </w:tcPr>
                <w:p>
                  <w:pPr>
                    <w:spacing w:line="240" w:lineRule="auto"/>
                    <w:jc w:val="center"/>
                    <w:rPr>
                      <w:rFonts w:hint="eastAsia" w:eastAsia="宋体"/>
                      <w:color w:val="auto"/>
                      <w:sz w:val="21"/>
                      <w:highlight w:val="none"/>
                      <w:lang w:eastAsia="zh-CN"/>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eastAsia="zh-CN"/>
                    </w:rPr>
                    <w:t>卫生间</w:t>
                  </w:r>
                </w:p>
              </w:tc>
              <w:tc>
                <w:tcPr>
                  <w:tcW w:w="3682" w:type="pct"/>
                  <w:vAlign w:val="center"/>
                </w:tcPr>
                <w:p>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eastAsia="zh-CN"/>
                    </w:rPr>
                    <w:t>位于综合楼内，每层设置一个卫生间</w:t>
                  </w:r>
                  <w:r>
                    <w:rPr>
                      <w:color w:val="auto"/>
                      <w:sz w:val="21"/>
                      <w:highlight w:val="none"/>
                    </w:rPr>
                    <w:t>，</w:t>
                  </w:r>
                  <w:r>
                    <w:rPr>
                      <w:rFonts w:hint="eastAsia"/>
                      <w:color w:val="auto"/>
                      <w:sz w:val="21"/>
                      <w:highlight w:val="none"/>
                      <w:lang w:eastAsia="zh-CN"/>
                    </w:rPr>
                    <w:t>面积</w:t>
                  </w:r>
                  <w:r>
                    <w:rPr>
                      <w:rFonts w:hint="eastAsia"/>
                      <w:color w:val="auto"/>
                      <w:sz w:val="21"/>
                      <w:highlight w:val="none"/>
                    </w:rPr>
                    <w:t>约</w:t>
                  </w:r>
                  <w:r>
                    <w:rPr>
                      <w:rFonts w:hint="eastAsia"/>
                      <w:color w:val="auto"/>
                      <w:sz w:val="21"/>
                      <w:highlight w:val="none"/>
                      <w:lang w:val="en-US" w:eastAsia="zh-CN"/>
                    </w:rPr>
                    <w:t>8</w:t>
                  </w:r>
                  <w:r>
                    <w:rPr>
                      <w:color w:val="auto"/>
                      <w:sz w:val="21"/>
                      <w:highlight w:val="none"/>
                    </w:rPr>
                    <w:t>m</w:t>
                  </w:r>
                  <w:r>
                    <w:rPr>
                      <w:color w:val="auto"/>
                      <w:sz w:val="21"/>
                      <w:highlight w:val="none"/>
                      <w:vertAlign w:val="superscript"/>
                    </w:rPr>
                    <w:t>2</w:t>
                  </w:r>
                  <w:r>
                    <w:rPr>
                      <w:rFonts w:hint="eastAsia"/>
                      <w:color w:val="auto"/>
                      <w:sz w:val="21"/>
                      <w:highlight w:val="none"/>
                      <w:lang w:eastAsia="zh-CN"/>
                    </w:rPr>
                    <w:t>，用于员工生活、清洗。</w:t>
                  </w:r>
                </w:p>
              </w:tc>
              <w:tc>
                <w:tcPr>
                  <w:tcW w:w="396" w:type="pct"/>
                  <w:vAlign w:val="center"/>
                </w:tcPr>
                <w:p>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default"/>
                      <w:color w:val="auto"/>
                      <w:sz w:val="21"/>
                      <w:highlight w:val="none"/>
                      <w:lang w:val="en-US" w:eastAsia="zh-CN"/>
                    </w:rPr>
                  </w:pPr>
                  <w:r>
                    <w:rPr>
                      <w:rFonts w:hint="eastAsia"/>
                      <w:color w:val="auto"/>
                      <w:sz w:val="21"/>
                      <w:highlight w:val="none"/>
                      <w:lang w:val="en-US" w:eastAsia="zh-CN"/>
                    </w:rPr>
                    <w:t>压扁区</w:t>
                  </w:r>
                </w:p>
              </w:tc>
              <w:tc>
                <w:tcPr>
                  <w:tcW w:w="3682" w:type="pct"/>
                  <w:vAlign w:val="center"/>
                </w:tcPr>
                <w:p>
                  <w:pPr>
                    <w:spacing w:line="240" w:lineRule="auto"/>
                    <w:jc w:val="center"/>
                    <w:rPr>
                      <w:rFonts w:hint="default"/>
                      <w:color w:val="auto"/>
                      <w:sz w:val="21"/>
                      <w:highlight w:val="none"/>
                      <w:lang w:val="en-US" w:eastAsia="zh-CN"/>
                    </w:rPr>
                  </w:pPr>
                  <w:r>
                    <w:rPr>
                      <w:rFonts w:hint="eastAsia"/>
                      <w:color w:val="auto"/>
                      <w:sz w:val="21"/>
                      <w:highlight w:val="none"/>
                      <w:lang w:eastAsia="zh-CN"/>
                    </w:rPr>
                    <w:t>位于厂房</w:t>
                  </w:r>
                  <w:r>
                    <w:rPr>
                      <w:rFonts w:hint="eastAsia"/>
                      <w:color w:val="auto"/>
                      <w:sz w:val="21"/>
                      <w:highlight w:val="none"/>
                      <w:lang w:val="en-US" w:eastAsia="zh-CN"/>
                    </w:rPr>
                    <w:t>1F</w:t>
                  </w:r>
                  <w:r>
                    <w:rPr>
                      <w:rFonts w:hint="eastAsia"/>
                      <w:color w:val="auto"/>
                      <w:sz w:val="21"/>
                      <w:highlight w:val="none"/>
                      <w:lang w:eastAsia="zh-CN"/>
                    </w:rPr>
                    <w:t>南侧</w:t>
                  </w:r>
                  <w:r>
                    <w:rPr>
                      <w:rFonts w:hint="eastAsia"/>
                      <w:color w:val="auto"/>
                      <w:sz w:val="21"/>
                      <w:highlight w:val="none"/>
                      <w:lang w:val="en-US" w:eastAsia="zh-CN"/>
                    </w:rPr>
                    <w:t>，面积约50m</w:t>
                  </w:r>
                  <w:r>
                    <w:rPr>
                      <w:rFonts w:hint="eastAsia"/>
                      <w:color w:val="auto"/>
                      <w:sz w:val="21"/>
                      <w:highlight w:val="none"/>
                      <w:vertAlign w:val="superscript"/>
                      <w:lang w:val="en-US" w:eastAsia="zh-CN"/>
                    </w:rPr>
                    <w:t>2</w:t>
                  </w:r>
                  <w:r>
                    <w:rPr>
                      <w:rFonts w:hint="eastAsia"/>
                      <w:color w:val="auto"/>
                      <w:sz w:val="21"/>
                      <w:highlight w:val="none"/>
                      <w:lang w:val="en-US" w:eastAsia="zh-CN"/>
                    </w:rPr>
                    <w:t>，设置1台</w:t>
                  </w:r>
                  <w:r>
                    <w:rPr>
                      <w:rFonts w:hint="eastAsia" w:cs="Times New Roman"/>
                      <w:color w:val="auto"/>
                      <w:kern w:val="0"/>
                      <w:sz w:val="21"/>
                      <w:szCs w:val="21"/>
                      <w:highlight w:val="none"/>
                      <w:lang w:val="en-US" w:eastAsia="zh-CN" w:bidi="ar"/>
                    </w:rPr>
                    <w:t>压扁机，用于边角料压扁。</w:t>
                  </w:r>
                </w:p>
              </w:tc>
              <w:tc>
                <w:tcPr>
                  <w:tcW w:w="396" w:type="pct"/>
                  <w:vAlign w:val="center"/>
                </w:tcPr>
                <w:p>
                  <w:pPr>
                    <w:spacing w:line="240" w:lineRule="auto"/>
                    <w:jc w:val="center"/>
                    <w:rPr>
                      <w:rFonts w:hint="eastAsia"/>
                      <w:color w:val="auto"/>
                      <w:sz w:val="21"/>
                      <w:highlight w:val="none"/>
                      <w:lang w:eastAsia="zh-CN"/>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eastAsia="宋体"/>
                      <w:color w:val="auto"/>
                      <w:sz w:val="21"/>
                      <w:highlight w:val="none"/>
                      <w:lang w:eastAsia="zh-CN"/>
                    </w:rPr>
                  </w:pPr>
                  <w:r>
                    <w:rPr>
                      <w:rFonts w:hint="eastAsia"/>
                      <w:color w:val="auto"/>
                      <w:sz w:val="21"/>
                      <w:highlight w:val="none"/>
                      <w:lang w:eastAsia="zh-CN"/>
                    </w:rPr>
                    <w:t>设备维修区</w:t>
                  </w:r>
                </w:p>
              </w:tc>
              <w:tc>
                <w:tcPr>
                  <w:tcW w:w="3682" w:type="pct"/>
                  <w:vAlign w:val="center"/>
                </w:tcPr>
                <w:p>
                  <w:pPr>
                    <w:spacing w:line="240" w:lineRule="auto"/>
                    <w:jc w:val="center"/>
                    <w:rPr>
                      <w:rFonts w:hint="default"/>
                      <w:color w:val="auto"/>
                      <w:sz w:val="21"/>
                      <w:highlight w:val="none"/>
                      <w:vertAlign w:val="baseline"/>
                      <w:lang w:val="en-US" w:eastAsia="zh-CN"/>
                    </w:rPr>
                  </w:pPr>
                  <w:r>
                    <w:rPr>
                      <w:rFonts w:hint="eastAsia"/>
                      <w:color w:val="auto"/>
                      <w:sz w:val="21"/>
                      <w:highlight w:val="none"/>
                      <w:lang w:eastAsia="zh-CN"/>
                    </w:rPr>
                    <w:t>位于厂房</w:t>
                  </w:r>
                  <w:r>
                    <w:rPr>
                      <w:rFonts w:hint="eastAsia"/>
                      <w:color w:val="auto"/>
                      <w:sz w:val="21"/>
                      <w:highlight w:val="none"/>
                      <w:lang w:val="en-US" w:eastAsia="zh-CN"/>
                    </w:rPr>
                    <w:t>1F</w:t>
                  </w:r>
                  <w:r>
                    <w:rPr>
                      <w:rFonts w:hint="eastAsia"/>
                      <w:color w:val="auto"/>
                      <w:sz w:val="21"/>
                      <w:highlight w:val="none"/>
                      <w:lang w:eastAsia="zh-CN"/>
                    </w:rPr>
                    <w:t>南侧，面积约</w:t>
                  </w:r>
                  <w:r>
                    <w:rPr>
                      <w:rFonts w:hint="eastAsia"/>
                      <w:color w:val="auto"/>
                      <w:sz w:val="21"/>
                      <w:highlight w:val="none"/>
                      <w:lang w:val="en-US" w:eastAsia="zh-CN"/>
                    </w:rPr>
                    <w:t>20</w:t>
                  </w:r>
                  <w:r>
                    <w:rPr>
                      <w:color w:val="auto"/>
                      <w:sz w:val="21"/>
                      <w:highlight w:val="none"/>
                    </w:rPr>
                    <w:t>m</w:t>
                  </w:r>
                  <w:r>
                    <w:rPr>
                      <w:color w:val="auto"/>
                      <w:sz w:val="21"/>
                      <w:highlight w:val="none"/>
                      <w:vertAlign w:val="superscript"/>
                    </w:rPr>
                    <w:t>2</w:t>
                  </w:r>
                  <w:r>
                    <w:rPr>
                      <w:rFonts w:hint="eastAsia"/>
                      <w:color w:val="auto"/>
                      <w:sz w:val="21"/>
                      <w:highlight w:val="none"/>
                      <w:lang w:eastAsia="zh-CN"/>
                    </w:rPr>
                    <w:t>，设置</w:t>
                  </w:r>
                  <w:r>
                    <w:rPr>
                      <w:rFonts w:hint="eastAsia"/>
                      <w:color w:val="auto"/>
                      <w:sz w:val="21"/>
                      <w:highlight w:val="none"/>
                      <w:lang w:val="en-US" w:eastAsia="zh-CN"/>
                    </w:rPr>
                    <w:t>1</w:t>
                  </w:r>
                  <w:r>
                    <w:rPr>
                      <w:rFonts w:hint="eastAsia"/>
                      <w:color w:val="auto"/>
                      <w:sz w:val="21"/>
                      <w:highlight w:val="none"/>
                      <w:lang w:eastAsia="zh-CN"/>
                    </w:rPr>
                    <w:t>台</w:t>
                  </w:r>
                  <w:r>
                    <w:rPr>
                      <w:rFonts w:hint="eastAsia" w:cs="Times New Roman"/>
                      <w:color w:val="auto"/>
                      <w:kern w:val="0"/>
                      <w:sz w:val="21"/>
                      <w:szCs w:val="21"/>
                      <w:highlight w:val="none"/>
                      <w:lang w:val="en-US" w:eastAsia="zh-CN" w:bidi="ar"/>
                    </w:rPr>
                    <w:t>自动磨刀机，</w:t>
                  </w:r>
                  <w:r>
                    <w:rPr>
                      <w:rFonts w:hint="eastAsia"/>
                      <w:color w:val="auto"/>
                      <w:sz w:val="21"/>
                      <w:highlight w:val="none"/>
                      <w:lang w:eastAsia="zh-CN"/>
                    </w:rPr>
                    <w:t>用于刀片打磨。</w:t>
                  </w:r>
                </w:p>
              </w:tc>
              <w:tc>
                <w:tcPr>
                  <w:tcW w:w="396" w:type="pct"/>
                  <w:vAlign w:val="center"/>
                </w:tcPr>
                <w:p>
                  <w:pPr>
                    <w:spacing w:line="240" w:lineRule="auto"/>
                    <w:jc w:val="center"/>
                    <w:rPr>
                      <w:rFonts w:hint="eastAsia" w:eastAsia="宋体"/>
                      <w:color w:val="auto"/>
                      <w:sz w:val="21"/>
                      <w:highlight w:val="none"/>
                      <w:lang w:eastAsia="zh-CN"/>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restart"/>
                  <w:vAlign w:val="center"/>
                </w:tcPr>
                <w:p>
                  <w:pPr>
                    <w:spacing w:line="240" w:lineRule="auto"/>
                    <w:jc w:val="center"/>
                    <w:rPr>
                      <w:color w:val="auto"/>
                      <w:sz w:val="21"/>
                      <w:highlight w:val="none"/>
                    </w:rPr>
                  </w:pPr>
                  <w:r>
                    <w:rPr>
                      <w:color w:val="auto"/>
                      <w:sz w:val="21"/>
                      <w:highlight w:val="none"/>
                    </w:rPr>
                    <w:t>公用工程</w:t>
                  </w:r>
                </w:p>
              </w:tc>
              <w:tc>
                <w:tcPr>
                  <w:tcW w:w="663" w:type="pct"/>
                  <w:vAlign w:val="center"/>
                </w:tcPr>
                <w:p>
                  <w:pPr>
                    <w:spacing w:line="240" w:lineRule="auto"/>
                    <w:jc w:val="center"/>
                    <w:rPr>
                      <w:color w:val="auto"/>
                      <w:sz w:val="21"/>
                      <w:highlight w:val="none"/>
                    </w:rPr>
                  </w:pPr>
                  <w:r>
                    <w:rPr>
                      <w:color w:val="auto"/>
                      <w:sz w:val="21"/>
                      <w:highlight w:val="none"/>
                    </w:rPr>
                    <w:t>供水</w:t>
                  </w:r>
                </w:p>
              </w:tc>
              <w:tc>
                <w:tcPr>
                  <w:tcW w:w="3682" w:type="pct"/>
                  <w:vAlign w:val="center"/>
                </w:tcPr>
                <w:p>
                  <w:pPr>
                    <w:spacing w:line="240" w:lineRule="auto"/>
                    <w:jc w:val="center"/>
                    <w:rPr>
                      <w:rFonts w:hint="eastAsia" w:eastAsia="宋体"/>
                      <w:color w:val="auto"/>
                      <w:sz w:val="21"/>
                      <w:highlight w:val="none"/>
                      <w:lang w:eastAsia="zh-CN"/>
                    </w:rPr>
                  </w:pPr>
                  <w:r>
                    <w:rPr>
                      <w:color w:val="auto"/>
                      <w:sz w:val="21"/>
                      <w:highlight w:val="none"/>
                    </w:rPr>
                    <w:t>水源</w:t>
                  </w:r>
                  <w:r>
                    <w:rPr>
                      <w:rFonts w:hint="eastAsia"/>
                      <w:color w:val="auto"/>
                      <w:sz w:val="21"/>
                      <w:highlight w:val="none"/>
                      <w:lang w:val="en-US" w:eastAsia="zh-CN"/>
                    </w:rPr>
                    <w:t>依托园区</w:t>
                  </w:r>
                  <w:r>
                    <w:rPr>
                      <w:color w:val="auto"/>
                      <w:sz w:val="21"/>
                      <w:highlight w:val="none"/>
                    </w:rPr>
                    <w:t>供给</w:t>
                  </w:r>
                  <w:r>
                    <w:rPr>
                      <w:rFonts w:hint="eastAsia"/>
                      <w:color w:val="auto"/>
                      <w:sz w:val="21"/>
                      <w:highlight w:val="none"/>
                      <w:lang w:eastAsia="zh-CN"/>
                    </w:rPr>
                    <w:t>。</w:t>
                  </w:r>
                </w:p>
              </w:tc>
              <w:tc>
                <w:tcPr>
                  <w:tcW w:w="396" w:type="pct"/>
                  <w:vAlign w:val="center"/>
                </w:tcPr>
                <w:p>
                  <w:pPr>
                    <w:spacing w:line="240" w:lineRule="auto"/>
                    <w:jc w:val="center"/>
                    <w:rPr>
                      <w:rFonts w:hint="eastAsia" w:eastAsia="宋体"/>
                      <w:color w:val="auto"/>
                      <w:sz w:val="21"/>
                      <w:highlight w:val="none"/>
                      <w:lang w:val="en-US" w:eastAsia="zh-CN"/>
                    </w:rPr>
                  </w:pPr>
                  <w:r>
                    <w:rPr>
                      <w:rFonts w:hint="eastAsia"/>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color w:val="auto"/>
                      <w:sz w:val="21"/>
                      <w:highlight w:val="none"/>
                    </w:rPr>
                  </w:pPr>
                  <w:r>
                    <w:rPr>
                      <w:color w:val="auto"/>
                      <w:sz w:val="21"/>
                      <w:highlight w:val="none"/>
                    </w:rPr>
                    <w:t>供电</w:t>
                  </w:r>
                </w:p>
              </w:tc>
              <w:tc>
                <w:tcPr>
                  <w:tcW w:w="3682" w:type="pct"/>
                  <w:vAlign w:val="center"/>
                </w:tcPr>
                <w:p>
                  <w:pPr>
                    <w:spacing w:line="240" w:lineRule="auto"/>
                    <w:jc w:val="center"/>
                    <w:rPr>
                      <w:rFonts w:hint="eastAsia" w:eastAsia="宋体"/>
                      <w:color w:val="auto"/>
                      <w:sz w:val="21"/>
                      <w:highlight w:val="none"/>
                      <w:lang w:eastAsia="zh-CN"/>
                    </w:rPr>
                  </w:pPr>
                  <w:r>
                    <w:rPr>
                      <w:color w:val="auto"/>
                      <w:sz w:val="21"/>
                      <w:highlight w:val="none"/>
                    </w:rPr>
                    <w:t>供电依托园区设施</w:t>
                  </w:r>
                  <w:r>
                    <w:rPr>
                      <w:rFonts w:hint="eastAsia"/>
                      <w:color w:val="auto"/>
                      <w:sz w:val="21"/>
                      <w:highlight w:val="none"/>
                      <w:lang w:eastAsia="zh-CN"/>
                    </w:rPr>
                    <w:t>。</w:t>
                  </w:r>
                </w:p>
              </w:tc>
              <w:tc>
                <w:tcPr>
                  <w:tcW w:w="396" w:type="pct"/>
                  <w:vAlign w:val="center"/>
                </w:tcPr>
                <w:p>
                  <w:pPr>
                    <w:spacing w:line="240" w:lineRule="auto"/>
                    <w:jc w:val="center"/>
                    <w:rPr>
                      <w:rFonts w:hint="default" w:eastAsia="宋体"/>
                      <w:color w:val="auto"/>
                      <w:sz w:val="21"/>
                      <w:highlight w:val="none"/>
                      <w:lang w:val="en-US" w:eastAsia="zh-CN"/>
                    </w:rPr>
                  </w:pPr>
                  <w:r>
                    <w:rPr>
                      <w:rFonts w:hint="eastAsia"/>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color w:val="auto"/>
                      <w:sz w:val="21"/>
                      <w:highlight w:val="none"/>
                    </w:rPr>
                  </w:pPr>
                  <w:r>
                    <w:rPr>
                      <w:color w:val="auto"/>
                      <w:sz w:val="21"/>
                      <w:highlight w:val="none"/>
                    </w:rPr>
                    <w:t>排水</w:t>
                  </w:r>
                </w:p>
              </w:tc>
              <w:tc>
                <w:tcPr>
                  <w:tcW w:w="3682" w:type="pct"/>
                  <w:vAlign w:val="center"/>
                </w:tcPr>
                <w:p>
                  <w:pPr>
                    <w:spacing w:line="240" w:lineRule="auto"/>
                    <w:jc w:val="center"/>
                    <w:rPr>
                      <w:color w:val="auto"/>
                      <w:sz w:val="21"/>
                      <w:highlight w:val="none"/>
                    </w:rPr>
                  </w:pPr>
                  <w:r>
                    <w:rPr>
                      <w:rFonts w:hint="eastAsia"/>
                      <w:color w:val="auto"/>
                      <w:sz w:val="21"/>
                      <w:highlight w:val="none"/>
                    </w:rPr>
                    <w:t>拟建项目厂区采用雨污分流制</w:t>
                  </w:r>
                  <w:r>
                    <w:rPr>
                      <w:rFonts w:hint="eastAsia"/>
                      <w:color w:val="auto"/>
                      <w:sz w:val="21"/>
                      <w:highlight w:val="none"/>
                      <w:lang w:eastAsia="zh-CN"/>
                    </w:rPr>
                    <w:t>，雨水排入市政雨水管网</w:t>
                  </w:r>
                  <w:r>
                    <w:rPr>
                      <w:rFonts w:hint="eastAsia"/>
                      <w:color w:val="auto"/>
                      <w:sz w:val="21"/>
                      <w:highlight w:val="none"/>
                    </w:rPr>
                    <w:t>。</w:t>
                  </w:r>
                  <w:r>
                    <w:rPr>
                      <w:rFonts w:hint="eastAsia"/>
                      <w:color w:val="auto"/>
                      <w:sz w:val="21"/>
                    </w:rPr>
                    <w:t>项目冷却水循环使用，每半年排放一次</w:t>
                  </w:r>
                  <w:r>
                    <w:rPr>
                      <w:rFonts w:hint="eastAsia"/>
                      <w:color w:val="auto"/>
                      <w:sz w:val="21"/>
                      <w:lang w:eastAsia="zh-CN"/>
                    </w:rPr>
                    <w:t>；项目食堂废水、地面清洁废水经自建隔油池处理后与生活污水、冷却循环废水</w:t>
                  </w:r>
                  <w:r>
                    <w:rPr>
                      <w:rFonts w:hint="eastAsia"/>
                      <w:color w:val="auto"/>
                      <w:sz w:val="21"/>
                    </w:rPr>
                    <w:t>一同</w:t>
                  </w:r>
                  <w:r>
                    <w:rPr>
                      <w:rFonts w:hint="eastAsia"/>
                      <w:color w:val="auto"/>
                      <w:sz w:val="21"/>
                      <w:lang w:eastAsia="zh-CN"/>
                    </w:rPr>
                    <w:t>通过</w:t>
                  </w:r>
                  <w:r>
                    <w:rPr>
                      <w:rFonts w:hint="eastAsia"/>
                      <w:color w:val="auto"/>
                      <w:sz w:val="21"/>
                    </w:rPr>
                    <w:t>生化池处理达到《污水综合排放标准》（GB8978-1996）三级标准</w:t>
                  </w:r>
                  <w:r>
                    <w:rPr>
                      <w:rFonts w:hint="eastAsia"/>
                      <w:color w:val="auto"/>
                      <w:sz w:val="21"/>
                      <w:lang w:eastAsia="zh-CN"/>
                    </w:rPr>
                    <w:t>（</w:t>
                  </w:r>
                  <w:r>
                    <w:rPr>
                      <w:rFonts w:hint="eastAsia"/>
                      <w:color w:val="auto"/>
                      <w:sz w:val="21"/>
                      <w:lang w:val="en-US" w:eastAsia="zh-CN"/>
                    </w:rPr>
                    <w:t>氨氮、TP、TN参照污水排入城镇下水道水质标准》（GB/T31962-2015）B级标准）</w:t>
                  </w:r>
                  <w:r>
                    <w:rPr>
                      <w:rFonts w:hint="eastAsia"/>
                      <w:color w:val="auto"/>
                      <w:sz w:val="21"/>
                    </w:rPr>
                    <w:t>后</w:t>
                  </w:r>
                  <w:r>
                    <w:rPr>
                      <w:rFonts w:hint="eastAsia"/>
                      <w:color w:val="auto"/>
                      <w:sz w:val="21"/>
                      <w:lang w:eastAsia="zh-CN"/>
                    </w:rPr>
                    <w:t>，</w:t>
                  </w:r>
                  <w:r>
                    <w:rPr>
                      <w:rFonts w:hint="eastAsia"/>
                      <w:color w:val="auto"/>
                      <w:sz w:val="21"/>
                      <w:highlight w:val="none"/>
                    </w:rPr>
                    <w:t>经</w:t>
                  </w:r>
                  <w:r>
                    <w:rPr>
                      <w:rFonts w:hint="eastAsia"/>
                      <w:color w:val="auto"/>
                      <w:sz w:val="21"/>
                      <w:highlight w:val="none"/>
                      <w:lang w:eastAsia="zh-CN"/>
                    </w:rPr>
                    <w:t>市政</w:t>
                  </w:r>
                  <w:r>
                    <w:rPr>
                      <w:rFonts w:hint="eastAsia"/>
                      <w:color w:val="auto"/>
                      <w:sz w:val="21"/>
                      <w:highlight w:val="none"/>
                    </w:rPr>
                    <w:t>污水管网进入</w:t>
                  </w:r>
                  <w:r>
                    <w:rPr>
                      <w:rFonts w:hint="eastAsia"/>
                      <w:color w:val="auto"/>
                      <w:sz w:val="21"/>
                      <w:highlight w:val="none"/>
                      <w:lang w:eastAsia="zh-CN"/>
                    </w:rPr>
                    <w:t>东城污水处理厂</w:t>
                  </w:r>
                  <w:r>
                    <w:rPr>
                      <w:rFonts w:hint="eastAsia"/>
                      <w:color w:val="auto"/>
                      <w:sz w:val="21"/>
                      <w:highlight w:val="none"/>
                    </w:rPr>
                    <w:t>处理达到《城镇污水处理厂污染物排放标准》(GB18918-2002)</w:t>
                  </w:r>
                  <w:r>
                    <w:rPr>
                      <w:rFonts w:hint="eastAsia"/>
                      <w:color w:val="auto"/>
                      <w:sz w:val="21"/>
                      <w:highlight w:val="none"/>
                      <w:lang w:eastAsia="zh-CN"/>
                    </w:rPr>
                    <w:t>一级B</w:t>
                  </w:r>
                  <w:r>
                    <w:rPr>
                      <w:rFonts w:hint="eastAsia"/>
                      <w:color w:val="auto"/>
                      <w:sz w:val="21"/>
                      <w:highlight w:val="none"/>
                    </w:rPr>
                    <w:t>标准后排入建</w:t>
                  </w:r>
                  <w:r>
                    <w:rPr>
                      <w:rFonts w:hint="eastAsia"/>
                      <w:color w:val="auto"/>
                      <w:sz w:val="21"/>
                      <w:highlight w:val="none"/>
                      <w:lang w:eastAsia="zh-CN"/>
                    </w:rPr>
                    <w:t>淮远河</w:t>
                  </w:r>
                  <w:r>
                    <w:rPr>
                      <w:rFonts w:hint="eastAsia"/>
                      <w:color w:val="auto"/>
                      <w:sz w:val="21"/>
                      <w:highlight w:val="none"/>
                    </w:rPr>
                    <w:t>。</w:t>
                  </w:r>
                </w:p>
              </w:tc>
              <w:tc>
                <w:tcPr>
                  <w:tcW w:w="396" w:type="pct"/>
                  <w:vAlign w:val="center"/>
                </w:tcPr>
                <w:p>
                  <w:pPr>
                    <w:spacing w:line="240" w:lineRule="auto"/>
                    <w:jc w:val="center"/>
                    <w:rPr>
                      <w:color w:val="auto"/>
                      <w:sz w:val="21"/>
                      <w:highlight w:val="none"/>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rPr>
                  </w:pPr>
                  <w:r>
                    <w:rPr>
                      <w:rFonts w:hint="eastAsia"/>
                      <w:color w:val="auto"/>
                      <w:sz w:val="21"/>
                      <w:highlight w:val="none"/>
                    </w:rPr>
                    <w:t>车间</w:t>
                  </w:r>
                </w:p>
                <w:p>
                  <w:pPr>
                    <w:spacing w:line="240" w:lineRule="auto"/>
                    <w:jc w:val="center"/>
                    <w:rPr>
                      <w:color w:val="auto"/>
                      <w:sz w:val="21"/>
                      <w:highlight w:val="none"/>
                    </w:rPr>
                  </w:pPr>
                  <w:r>
                    <w:rPr>
                      <w:rFonts w:hint="eastAsia"/>
                      <w:color w:val="auto"/>
                      <w:sz w:val="21"/>
                      <w:highlight w:val="none"/>
                      <w:lang w:eastAsia="zh-CN"/>
                    </w:rPr>
                    <w:t>通</w:t>
                  </w:r>
                  <w:r>
                    <w:rPr>
                      <w:rFonts w:hint="eastAsia"/>
                      <w:color w:val="auto"/>
                      <w:sz w:val="21"/>
                      <w:highlight w:val="none"/>
                    </w:rPr>
                    <w:t>风</w:t>
                  </w:r>
                </w:p>
              </w:tc>
              <w:tc>
                <w:tcPr>
                  <w:tcW w:w="3682" w:type="pct"/>
                  <w:vAlign w:val="center"/>
                </w:tcPr>
                <w:p>
                  <w:pPr>
                    <w:spacing w:line="240" w:lineRule="auto"/>
                    <w:jc w:val="center"/>
                    <w:rPr>
                      <w:rFonts w:hint="eastAsia"/>
                      <w:color w:val="auto"/>
                      <w:sz w:val="21"/>
                      <w:highlight w:val="none"/>
                    </w:rPr>
                  </w:pPr>
                  <w:r>
                    <w:rPr>
                      <w:rFonts w:hint="eastAsia"/>
                      <w:color w:val="auto"/>
                      <w:sz w:val="21"/>
                      <w:highlight w:val="none"/>
                    </w:rPr>
                    <w:t>生产车间采用自然通风，保证车间空气流通。</w:t>
                  </w:r>
                </w:p>
              </w:tc>
              <w:tc>
                <w:tcPr>
                  <w:tcW w:w="396" w:type="pct"/>
                  <w:vAlign w:val="center"/>
                </w:tcPr>
                <w:p>
                  <w:pPr>
                    <w:spacing w:line="240" w:lineRule="auto"/>
                    <w:jc w:val="center"/>
                    <w:rPr>
                      <w:rFonts w:hint="eastAsia" w:eastAsia="宋体"/>
                      <w:color w:val="auto"/>
                      <w:sz w:val="21"/>
                      <w:highlight w:val="none"/>
                      <w:lang w:eastAsia="zh-CN"/>
                    </w:rPr>
                  </w:pPr>
                  <w:r>
                    <w:rPr>
                      <w:rFonts w:hint="eastAsia"/>
                      <w:color w:val="auto"/>
                      <w:sz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lang w:eastAsia="zh-CN"/>
                    </w:rPr>
                  </w:pPr>
                  <w:r>
                    <w:rPr>
                      <w:rFonts w:hint="eastAsia"/>
                      <w:color w:val="auto"/>
                      <w:sz w:val="21"/>
                    </w:rPr>
                    <w:t>冷却循环系统</w:t>
                  </w:r>
                </w:p>
              </w:tc>
              <w:tc>
                <w:tcPr>
                  <w:tcW w:w="3682" w:type="pct"/>
                  <w:vAlign w:val="center"/>
                </w:tcPr>
                <w:p>
                  <w:pPr>
                    <w:spacing w:line="240" w:lineRule="auto"/>
                    <w:jc w:val="center"/>
                    <w:rPr>
                      <w:rFonts w:hint="eastAsia" w:eastAsia="宋体"/>
                      <w:color w:val="auto"/>
                      <w:sz w:val="21"/>
                      <w:highlight w:val="none"/>
                      <w:lang w:val="en-US" w:eastAsia="zh-CN"/>
                    </w:rPr>
                  </w:pPr>
                  <w:r>
                    <w:rPr>
                      <w:rFonts w:hint="eastAsia"/>
                      <w:color w:val="auto"/>
                      <w:sz w:val="21"/>
                      <w:highlight w:val="none"/>
                      <w:lang w:eastAsia="zh-CN"/>
                    </w:rPr>
                    <w:t>位于厂房</w:t>
                  </w:r>
                  <w:r>
                    <w:rPr>
                      <w:rFonts w:hint="eastAsia"/>
                      <w:color w:val="auto"/>
                      <w:sz w:val="21"/>
                      <w:highlight w:val="none"/>
                      <w:lang w:val="en-US" w:eastAsia="zh-CN"/>
                    </w:rPr>
                    <w:t>2F，设置3套冷却循环系统。</w:t>
                  </w:r>
                  <w:r>
                    <w:rPr>
                      <w:rFonts w:hint="eastAsia" w:cs="Times New Roman"/>
                      <w:color w:val="auto"/>
                      <w:kern w:val="0"/>
                      <w:sz w:val="21"/>
                      <w:szCs w:val="21"/>
                      <w:highlight w:val="none"/>
                      <w:lang w:val="en-US" w:eastAsia="zh-CN" w:bidi="ar"/>
                    </w:rPr>
                    <w:t>冷却循环系统a位于</w:t>
                  </w:r>
                  <w:r>
                    <w:rPr>
                      <w:rFonts w:hint="eastAsia"/>
                      <w:color w:val="auto"/>
                      <w:sz w:val="21"/>
                      <w:highlight w:val="none"/>
                      <w:lang w:eastAsia="zh-CN"/>
                    </w:rPr>
                    <w:t>缠绕膜生产区</w:t>
                  </w:r>
                  <w:r>
                    <w:rPr>
                      <w:rFonts w:hint="eastAsia" w:cs="Times New Roman"/>
                      <w:color w:val="auto"/>
                      <w:kern w:val="0"/>
                      <w:sz w:val="21"/>
                      <w:szCs w:val="21"/>
                      <w:highlight w:val="none"/>
                      <w:lang w:val="en-US" w:eastAsia="zh-CN" w:bidi="ar"/>
                    </w:rPr>
                    <w:t>，</w:t>
                  </w:r>
                  <w:r>
                    <w:rPr>
                      <w:rFonts w:hint="eastAsia"/>
                      <w:color w:val="auto"/>
                      <w:kern w:val="0"/>
                      <w:sz w:val="21"/>
                      <w:szCs w:val="21"/>
                      <w:lang w:bidi="ar"/>
                    </w:rPr>
                    <w:t>冷却循环水池</w:t>
                  </w:r>
                  <w:r>
                    <w:rPr>
                      <w:rFonts w:hint="eastAsia"/>
                      <w:color w:val="auto"/>
                      <w:kern w:val="0"/>
                      <w:sz w:val="21"/>
                      <w:szCs w:val="21"/>
                      <w:lang w:val="en-US" w:eastAsia="zh-CN" w:bidi="ar"/>
                    </w:rPr>
                    <w:t>3</w:t>
                  </w:r>
                  <w:r>
                    <w:rPr>
                      <w:rFonts w:hint="eastAsia"/>
                      <w:color w:val="auto"/>
                      <w:kern w:val="0"/>
                      <w:sz w:val="21"/>
                      <w:szCs w:val="21"/>
                      <w:lang w:bidi="ar"/>
                    </w:rPr>
                    <w:t>m</w:t>
                  </w:r>
                  <w:r>
                    <w:rPr>
                      <w:rFonts w:hint="eastAsia"/>
                      <w:color w:val="auto"/>
                      <w:kern w:val="0"/>
                      <w:sz w:val="21"/>
                      <w:szCs w:val="21"/>
                      <w:vertAlign w:val="superscript"/>
                      <w:lang w:bidi="ar"/>
                    </w:rPr>
                    <w:t>3</w:t>
                  </w:r>
                  <w:r>
                    <w:rPr>
                      <w:rFonts w:hint="eastAsia"/>
                      <w:color w:val="auto"/>
                      <w:kern w:val="0"/>
                      <w:sz w:val="21"/>
                      <w:szCs w:val="21"/>
                      <w:lang w:bidi="ar"/>
                    </w:rPr>
                    <w:t>，冷却塔循环水频率</w:t>
                  </w:r>
                  <w:r>
                    <w:rPr>
                      <w:rFonts w:hint="eastAsia"/>
                      <w:color w:val="auto"/>
                      <w:kern w:val="0"/>
                      <w:sz w:val="21"/>
                      <w:szCs w:val="21"/>
                      <w:lang w:val="en-US" w:eastAsia="zh-CN" w:bidi="ar"/>
                    </w:rPr>
                    <w:t>20</w:t>
                  </w:r>
                  <w:r>
                    <w:rPr>
                      <w:rFonts w:hint="eastAsia"/>
                      <w:color w:val="auto"/>
                      <w:kern w:val="0"/>
                      <w:sz w:val="21"/>
                      <w:szCs w:val="21"/>
                      <w:lang w:bidi="ar"/>
                    </w:rPr>
                    <w:t>min/次</w:t>
                  </w:r>
                  <w:r>
                    <w:rPr>
                      <w:rFonts w:hint="eastAsia"/>
                      <w:color w:val="auto"/>
                      <w:kern w:val="0"/>
                      <w:sz w:val="21"/>
                      <w:szCs w:val="21"/>
                      <w:lang w:eastAsia="zh-CN" w:bidi="ar"/>
                    </w:rPr>
                    <w:t>；</w:t>
                  </w:r>
                  <w:r>
                    <w:rPr>
                      <w:rFonts w:hint="eastAsia" w:cs="Times New Roman"/>
                      <w:color w:val="auto"/>
                      <w:kern w:val="0"/>
                      <w:sz w:val="21"/>
                      <w:szCs w:val="21"/>
                      <w:highlight w:val="none"/>
                      <w:lang w:val="en-US" w:eastAsia="zh-CN" w:bidi="ar"/>
                    </w:rPr>
                    <w:t>冷却循环系统b、c位于</w:t>
                  </w:r>
                  <w:r>
                    <w:rPr>
                      <w:rFonts w:hint="eastAsia"/>
                      <w:color w:val="auto"/>
                      <w:sz w:val="21"/>
                      <w:highlight w:val="none"/>
                      <w:lang w:val="en-US" w:eastAsia="zh-CN"/>
                    </w:rPr>
                    <w:t>吹膜产品生产区</w:t>
                  </w:r>
                  <w:r>
                    <w:rPr>
                      <w:rFonts w:hint="eastAsia" w:cs="Times New Roman"/>
                      <w:color w:val="auto"/>
                      <w:kern w:val="0"/>
                      <w:sz w:val="21"/>
                      <w:szCs w:val="21"/>
                      <w:highlight w:val="none"/>
                      <w:lang w:val="en-US" w:eastAsia="zh-CN" w:bidi="ar"/>
                    </w:rPr>
                    <w:t>，</w:t>
                  </w:r>
                  <w:r>
                    <w:rPr>
                      <w:rFonts w:hint="eastAsia"/>
                      <w:color w:val="auto"/>
                      <w:kern w:val="0"/>
                      <w:sz w:val="21"/>
                      <w:szCs w:val="21"/>
                      <w:lang w:bidi="ar"/>
                    </w:rPr>
                    <w:t>冷却循环水池</w:t>
                  </w:r>
                  <w:r>
                    <w:rPr>
                      <w:rFonts w:hint="eastAsia"/>
                      <w:color w:val="auto"/>
                      <w:kern w:val="0"/>
                      <w:sz w:val="21"/>
                      <w:szCs w:val="21"/>
                      <w:lang w:eastAsia="zh-CN" w:bidi="ar"/>
                    </w:rPr>
                    <w:t>分别为</w:t>
                  </w:r>
                  <w:r>
                    <w:rPr>
                      <w:rFonts w:hint="eastAsia"/>
                      <w:color w:val="auto"/>
                      <w:kern w:val="0"/>
                      <w:sz w:val="21"/>
                      <w:szCs w:val="21"/>
                      <w:lang w:val="en-US" w:eastAsia="zh-CN" w:bidi="ar"/>
                    </w:rPr>
                    <w:t>1.8</w:t>
                  </w:r>
                  <w:r>
                    <w:rPr>
                      <w:rFonts w:hint="eastAsia"/>
                      <w:color w:val="auto"/>
                      <w:kern w:val="0"/>
                      <w:sz w:val="21"/>
                      <w:szCs w:val="21"/>
                      <w:lang w:bidi="ar"/>
                    </w:rPr>
                    <w:t>m</w:t>
                  </w:r>
                  <w:r>
                    <w:rPr>
                      <w:rFonts w:hint="eastAsia"/>
                      <w:color w:val="auto"/>
                      <w:kern w:val="0"/>
                      <w:sz w:val="21"/>
                      <w:szCs w:val="21"/>
                      <w:vertAlign w:val="superscript"/>
                      <w:lang w:bidi="ar"/>
                    </w:rPr>
                    <w:t>3</w:t>
                  </w:r>
                  <w:r>
                    <w:rPr>
                      <w:rFonts w:hint="eastAsia"/>
                      <w:color w:val="auto"/>
                      <w:kern w:val="0"/>
                      <w:sz w:val="21"/>
                      <w:szCs w:val="21"/>
                      <w:vertAlign w:val="baseline"/>
                      <w:lang w:eastAsia="zh-CN" w:bidi="ar"/>
                    </w:rPr>
                    <w:t>、</w:t>
                  </w:r>
                  <w:r>
                    <w:rPr>
                      <w:rFonts w:hint="eastAsia"/>
                      <w:color w:val="auto"/>
                      <w:kern w:val="0"/>
                      <w:sz w:val="21"/>
                      <w:szCs w:val="21"/>
                      <w:vertAlign w:val="baseline"/>
                      <w:lang w:val="en-US" w:eastAsia="zh-CN" w:bidi="ar"/>
                    </w:rPr>
                    <w:t>1.2m</w:t>
                  </w:r>
                  <w:r>
                    <w:rPr>
                      <w:rFonts w:hint="eastAsia"/>
                      <w:color w:val="auto"/>
                      <w:kern w:val="0"/>
                      <w:sz w:val="21"/>
                      <w:szCs w:val="21"/>
                      <w:vertAlign w:val="superscript"/>
                      <w:lang w:val="en-US" w:eastAsia="zh-CN" w:bidi="ar"/>
                    </w:rPr>
                    <w:t>3</w:t>
                  </w:r>
                  <w:r>
                    <w:rPr>
                      <w:rFonts w:hint="eastAsia"/>
                      <w:color w:val="auto"/>
                      <w:kern w:val="0"/>
                      <w:sz w:val="21"/>
                      <w:szCs w:val="21"/>
                      <w:lang w:bidi="ar"/>
                    </w:rPr>
                    <w:t>，冷却塔循环水频率</w:t>
                  </w:r>
                  <w:r>
                    <w:rPr>
                      <w:rFonts w:hint="eastAsia"/>
                      <w:color w:val="auto"/>
                      <w:kern w:val="0"/>
                      <w:sz w:val="21"/>
                      <w:szCs w:val="21"/>
                      <w:lang w:eastAsia="zh-CN" w:bidi="ar"/>
                    </w:rPr>
                    <w:t>均为</w:t>
                  </w:r>
                  <w:r>
                    <w:rPr>
                      <w:rFonts w:hint="eastAsia"/>
                      <w:color w:val="auto"/>
                      <w:kern w:val="0"/>
                      <w:sz w:val="21"/>
                      <w:szCs w:val="21"/>
                      <w:lang w:val="en-US" w:eastAsia="zh-CN" w:bidi="ar"/>
                    </w:rPr>
                    <w:t>20</w:t>
                  </w:r>
                  <w:r>
                    <w:rPr>
                      <w:rFonts w:hint="eastAsia"/>
                      <w:color w:val="auto"/>
                      <w:kern w:val="0"/>
                      <w:sz w:val="21"/>
                      <w:szCs w:val="21"/>
                      <w:lang w:bidi="ar"/>
                    </w:rPr>
                    <w:t>min/次</w:t>
                  </w:r>
                  <w:r>
                    <w:rPr>
                      <w:rFonts w:hint="eastAsia"/>
                      <w:color w:val="auto"/>
                      <w:kern w:val="0"/>
                      <w:sz w:val="21"/>
                      <w:szCs w:val="21"/>
                      <w:lang w:eastAsia="zh-CN" w:bidi="ar"/>
                    </w:rPr>
                    <w:t>。</w:t>
                  </w:r>
                </w:p>
              </w:tc>
              <w:tc>
                <w:tcPr>
                  <w:tcW w:w="396" w:type="pct"/>
                  <w:vAlign w:val="center"/>
                </w:tcPr>
                <w:p>
                  <w:pPr>
                    <w:spacing w:line="240" w:lineRule="auto"/>
                    <w:jc w:val="center"/>
                    <w:rPr>
                      <w:rFonts w:hint="eastAsia"/>
                      <w:color w:val="auto"/>
                      <w:sz w:val="21"/>
                      <w:highlight w:val="none"/>
                      <w:lang w:eastAsia="zh-CN"/>
                    </w:rPr>
                  </w:pPr>
                  <w:r>
                    <w:rPr>
                      <w:rFonts w:hint="eastAsia"/>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lang w:eastAsia="zh-CN"/>
                    </w:rPr>
                  </w:pPr>
                  <w:r>
                    <w:rPr>
                      <w:rFonts w:hint="eastAsia"/>
                      <w:color w:val="auto"/>
                      <w:sz w:val="21"/>
                      <w:highlight w:val="none"/>
                      <w:lang w:eastAsia="zh-CN"/>
                    </w:rPr>
                    <w:t>空压</w:t>
                  </w:r>
                </w:p>
                <w:p>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系统</w:t>
                  </w:r>
                </w:p>
              </w:tc>
              <w:tc>
                <w:tcPr>
                  <w:tcW w:w="3682" w:type="pct"/>
                  <w:vAlign w:val="center"/>
                </w:tcPr>
                <w:p>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空压机房位于2F厂房外东南侧，</w:t>
                  </w:r>
                  <w:r>
                    <w:rPr>
                      <w:rFonts w:hint="eastAsia"/>
                      <w:color w:val="auto"/>
                      <w:sz w:val="21"/>
                      <w:highlight w:val="none"/>
                      <w:lang w:eastAsia="zh-CN"/>
                    </w:rPr>
                    <w:t>面积约</w:t>
                  </w:r>
                  <w:r>
                    <w:rPr>
                      <w:rFonts w:hint="eastAsia"/>
                      <w:color w:val="auto"/>
                      <w:sz w:val="21"/>
                      <w:highlight w:val="none"/>
                      <w:lang w:val="en-US" w:eastAsia="zh-CN"/>
                    </w:rPr>
                    <w:t>10</w:t>
                  </w:r>
                  <w:r>
                    <w:rPr>
                      <w:color w:val="auto"/>
                      <w:sz w:val="21"/>
                      <w:highlight w:val="none"/>
                    </w:rPr>
                    <w:t>m</w:t>
                  </w:r>
                  <w:r>
                    <w:rPr>
                      <w:color w:val="auto"/>
                      <w:sz w:val="21"/>
                      <w:highlight w:val="none"/>
                      <w:vertAlign w:val="superscript"/>
                    </w:rPr>
                    <w:t>2</w:t>
                  </w:r>
                  <w:r>
                    <w:rPr>
                      <w:rFonts w:hint="eastAsia"/>
                      <w:color w:val="auto"/>
                      <w:sz w:val="21"/>
                      <w:highlight w:val="none"/>
                      <w:lang w:eastAsia="zh-CN"/>
                    </w:rPr>
                    <w:t>，设置</w:t>
                  </w:r>
                  <w:r>
                    <w:rPr>
                      <w:rFonts w:hint="eastAsia"/>
                      <w:color w:val="auto"/>
                      <w:sz w:val="21"/>
                      <w:highlight w:val="none"/>
                      <w:lang w:val="en-US" w:eastAsia="zh-CN"/>
                    </w:rPr>
                    <w:t>1</w:t>
                  </w:r>
                  <w:r>
                    <w:rPr>
                      <w:rFonts w:hint="eastAsia"/>
                      <w:color w:val="auto"/>
                      <w:sz w:val="21"/>
                      <w:highlight w:val="none"/>
                      <w:lang w:eastAsia="zh-CN"/>
                    </w:rPr>
                    <w:t>台</w:t>
                  </w:r>
                  <w:r>
                    <w:rPr>
                      <w:rFonts w:hint="eastAsia" w:cs="Times New Roman"/>
                      <w:color w:val="auto"/>
                      <w:kern w:val="0"/>
                      <w:sz w:val="21"/>
                      <w:szCs w:val="21"/>
                      <w:highlight w:val="none"/>
                      <w:lang w:val="en-US" w:eastAsia="zh-CN" w:bidi="ar"/>
                    </w:rPr>
                    <w:t>空压机，用于提供动力。</w:t>
                  </w:r>
                </w:p>
              </w:tc>
              <w:tc>
                <w:tcPr>
                  <w:tcW w:w="396" w:type="pct"/>
                  <w:vAlign w:val="center"/>
                </w:tcPr>
                <w:p>
                  <w:pPr>
                    <w:spacing w:line="240" w:lineRule="auto"/>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restart"/>
                  <w:vAlign w:val="center"/>
                </w:tcPr>
                <w:p>
                  <w:pPr>
                    <w:spacing w:line="240" w:lineRule="auto"/>
                    <w:jc w:val="center"/>
                    <w:rPr>
                      <w:color w:val="auto"/>
                      <w:sz w:val="21"/>
                      <w:highlight w:val="none"/>
                    </w:rPr>
                  </w:pPr>
                  <w:r>
                    <w:rPr>
                      <w:color w:val="auto"/>
                      <w:sz w:val="21"/>
                      <w:highlight w:val="none"/>
                    </w:rPr>
                    <w:t>储运工程</w:t>
                  </w:r>
                </w:p>
              </w:tc>
              <w:tc>
                <w:tcPr>
                  <w:tcW w:w="663" w:type="pct"/>
                  <w:vAlign w:val="center"/>
                </w:tcPr>
                <w:p>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eastAsia="zh-CN"/>
                    </w:rPr>
                    <w:t>原辅料区</w:t>
                  </w:r>
                </w:p>
              </w:tc>
              <w:tc>
                <w:tcPr>
                  <w:tcW w:w="3682" w:type="pct"/>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位于厂房1F、2F西侧，1F原辅料区面积300m</w:t>
                  </w:r>
                  <w:r>
                    <w:rPr>
                      <w:rFonts w:hint="eastAsia" w:cs="Times New Roman"/>
                      <w:color w:val="auto"/>
                      <w:kern w:val="2"/>
                      <w:sz w:val="21"/>
                      <w:szCs w:val="24"/>
                      <w:highlight w:val="none"/>
                      <w:vertAlign w:val="superscript"/>
                      <w:lang w:val="en-US" w:eastAsia="zh-CN" w:bidi="ar-SA"/>
                    </w:rPr>
                    <w:t>2</w:t>
                  </w:r>
                  <w:r>
                    <w:rPr>
                      <w:rFonts w:hint="eastAsia" w:cs="Times New Roman"/>
                      <w:color w:val="auto"/>
                      <w:kern w:val="2"/>
                      <w:sz w:val="21"/>
                      <w:szCs w:val="24"/>
                      <w:highlight w:val="none"/>
                      <w:lang w:val="en-US" w:eastAsia="zh-CN" w:bidi="ar-SA"/>
                    </w:rPr>
                    <w:t>，用于存放包装用品半成品；2F原辅料区面积300m</w:t>
                  </w:r>
                  <w:r>
                    <w:rPr>
                      <w:rFonts w:hint="eastAsia" w:cs="Times New Roman"/>
                      <w:color w:val="auto"/>
                      <w:kern w:val="2"/>
                      <w:sz w:val="21"/>
                      <w:szCs w:val="24"/>
                      <w:highlight w:val="none"/>
                      <w:vertAlign w:val="superscript"/>
                      <w:lang w:val="en-US" w:eastAsia="zh-CN" w:bidi="ar-SA"/>
                    </w:rPr>
                    <w:t>2</w:t>
                  </w:r>
                  <w:r>
                    <w:rPr>
                      <w:rFonts w:hint="eastAsia" w:cs="Times New Roman"/>
                      <w:color w:val="auto"/>
                      <w:kern w:val="2"/>
                      <w:sz w:val="21"/>
                      <w:szCs w:val="24"/>
                      <w:highlight w:val="none"/>
                      <w:lang w:val="en-US" w:eastAsia="zh-CN" w:bidi="ar-SA"/>
                    </w:rPr>
                    <w:t>，用于存放PP、PE、缠绕膜半成品、白纸、茶板纸等。</w:t>
                  </w:r>
                </w:p>
              </w:tc>
              <w:tc>
                <w:tcPr>
                  <w:tcW w:w="396" w:type="pct"/>
                  <w:vAlign w:val="center"/>
                </w:tcPr>
                <w:p>
                  <w:pPr>
                    <w:spacing w:line="240" w:lineRule="auto"/>
                    <w:jc w:val="center"/>
                    <w:rPr>
                      <w:rFonts w:ascii="Times New Roman" w:hAnsi="Times New Roman" w:eastAsia="宋体" w:cs="Times New Roman"/>
                      <w:color w:val="auto"/>
                      <w:kern w:val="2"/>
                      <w:sz w:val="21"/>
                      <w:szCs w:val="24"/>
                      <w:highlight w:val="none"/>
                      <w:lang w:val="en-US" w:eastAsia="zh-CN" w:bidi="ar-SA"/>
                    </w:rPr>
                  </w:pPr>
                  <w:r>
                    <w:rPr>
                      <w:rFonts w:hint="eastAsia"/>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 w:val="21"/>
                      <w:highlight w:val="none"/>
                      <w:lang w:eastAsia="zh-CN"/>
                    </w:rPr>
                    <w:t>化学品库</w:t>
                  </w:r>
                </w:p>
              </w:tc>
              <w:tc>
                <w:tcPr>
                  <w:tcW w:w="3682" w:type="pct"/>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位于厂房2F东南侧，面积10m</w:t>
                  </w:r>
                  <w:r>
                    <w:rPr>
                      <w:rFonts w:hint="eastAsia" w:cs="Times New Roman"/>
                      <w:color w:val="auto"/>
                      <w:kern w:val="2"/>
                      <w:sz w:val="21"/>
                      <w:szCs w:val="24"/>
                      <w:highlight w:val="none"/>
                      <w:vertAlign w:val="superscript"/>
                      <w:lang w:val="en-US" w:eastAsia="zh-CN" w:bidi="ar-SA"/>
                    </w:rPr>
                    <w:t>2</w:t>
                  </w:r>
                  <w:r>
                    <w:rPr>
                      <w:rFonts w:hint="eastAsia" w:cs="Times New Roman"/>
                      <w:color w:val="auto"/>
                      <w:kern w:val="2"/>
                      <w:sz w:val="21"/>
                      <w:szCs w:val="24"/>
                      <w:highlight w:val="none"/>
                      <w:lang w:val="en-US" w:eastAsia="zh-CN" w:bidi="ar-SA"/>
                    </w:rPr>
                    <w:t>，用于存放白乳胶、润滑油等。</w:t>
                  </w:r>
                </w:p>
              </w:tc>
              <w:tc>
                <w:tcPr>
                  <w:tcW w:w="396" w:type="pct"/>
                  <w:vAlign w:val="center"/>
                </w:tcPr>
                <w:p>
                  <w:pPr>
                    <w:spacing w:line="240" w:lineRule="auto"/>
                    <w:jc w:val="center"/>
                    <w:rPr>
                      <w:rFonts w:ascii="Times New Roman" w:hAnsi="Times New Roman" w:eastAsia="宋体" w:cs="Times New Roman"/>
                      <w:color w:val="auto"/>
                      <w:kern w:val="2"/>
                      <w:sz w:val="21"/>
                      <w:szCs w:val="24"/>
                      <w:highlight w:val="none"/>
                      <w:lang w:val="en-US" w:eastAsia="zh-CN" w:bidi="ar-SA"/>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lang w:eastAsia="zh-CN"/>
                    </w:rPr>
                  </w:pPr>
                  <w:r>
                    <w:rPr>
                      <w:rFonts w:hint="eastAsia"/>
                      <w:color w:val="auto"/>
                      <w:sz w:val="21"/>
                      <w:highlight w:val="none"/>
                      <w:lang w:eastAsia="zh-CN"/>
                    </w:rPr>
                    <w:t>物料间</w:t>
                  </w:r>
                </w:p>
              </w:tc>
              <w:tc>
                <w:tcPr>
                  <w:tcW w:w="3682" w:type="pct"/>
                  <w:vAlign w:val="center"/>
                </w:tcPr>
                <w:p>
                  <w:pPr>
                    <w:spacing w:line="240" w:lineRule="auto"/>
                    <w:jc w:val="center"/>
                    <w:rPr>
                      <w:rFonts w:hint="default"/>
                      <w:color w:val="auto"/>
                      <w:sz w:val="21"/>
                      <w:highlight w:val="none"/>
                      <w:lang w:val="en-US" w:eastAsia="zh-CN"/>
                    </w:rPr>
                  </w:pPr>
                  <w:r>
                    <w:rPr>
                      <w:rFonts w:hint="eastAsia"/>
                      <w:color w:val="auto"/>
                      <w:sz w:val="21"/>
                      <w:highlight w:val="none"/>
                      <w:lang w:eastAsia="zh-CN"/>
                    </w:rPr>
                    <w:t>位于厂房</w:t>
                  </w:r>
                  <w:r>
                    <w:rPr>
                      <w:rFonts w:hint="eastAsia"/>
                      <w:color w:val="auto"/>
                      <w:sz w:val="21"/>
                      <w:highlight w:val="none"/>
                      <w:lang w:val="en-US" w:eastAsia="zh-CN"/>
                    </w:rPr>
                    <w:t>2F</w:t>
                  </w:r>
                  <w:r>
                    <w:rPr>
                      <w:rFonts w:hint="eastAsia" w:cs="Times New Roman"/>
                      <w:color w:val="auto"/>
                      <w:kern w:val="2"/>
                      <w:sz w:val="21"/>
                      <w:szCs w:val="24"/>
                      <w:highlight w:val="none"/>
                      <w:lang w:val="en-US" w:eastAsia="zh-CN" w:bidi="ar-SA"/>
                    </w:rPr>
                    <w:t>东南侧</w:t>
                  </w:r>
                  <w:r>
                    <w:rPr>
                      <w:rFonts w:hint="eastAsia"/>
                      <w:color w:val="auto"/>
                      <w:sz w:val="21"/>
                      <w:highlight w:val="none"/>
                      <w:lang w:val="en-US" w:eastAsia="zh-CN"/>
                    </w:rPr>
                    <w:t>，面积30m</w:t>
                  </w:r>
                  <w:r>
                    <w:rPr>
                      <w:rFonts w:hint="eastAsia"/>
                      <w:color w:val="auto"/>
                      <w:sz w:val="21"/>
                      <w:highlight w:val="none"/>
                      <w:vertAlign w:val="superscript"/>
                      <w:lang w:val="en-US" w:eastAsia="zh-CN"/>
                    </w:rPr>
                    <w:t>2</w:t>
                  </w:r>
                  <w:r>
                    <w:rPr>
                      <w:rFonts w:hint="eastAsia"/>
                      <w:color w:val="auto"/>
                      <w:sz w:val="21"/>
                      <w:highlight w:val="none"/>
                      <w:lang w:val="en-US" w:eastAsia="zh-CN"/>
                    </w:rPr>
                    <w:t>，用于存放纸箱等。</w:t>
                  </w:r>
                </w:p>
              </w:tc>
              <w:tc>
                <w:tcPr>
                  <w:tcW w:w="396" w:type="pct"/>
                  <w:vAlign w:val="center"/>
                </w:tcPr>
                <w:p>
                  <w:pPr>
                    <w:spacing w:line="240" w:lineRule="auto"/>
                    <w:jc w:val="center"/>
                    <w:rPr>
                      <w:rFonts w:hint="eastAsia" w:eastAsia="宋体"/>
                      <w:color w:val="auto"/>
                      <w:sz w:val="21"/>
                      <w:highlight w:val="none"/>
                      <w:lang w:eastAsia="zh-CN"/>
                    </w:rPr>
                  </w:pPr>
                  <w:r>
                    <w:rPr>
                      <w:rFonts w:hint="eastAsia"/>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rFonts w:hint="eastAsia"/>
                      <w:color w:val="auto"/>
                      <w:sz w:val="21"/>
                      <w:highlight w:val="none"/>
                      <w:lang w:eastAsia="zh-CN"/>
                    </w:rPr>
                  </w:pPr>
                  <w:r>
                    <w:rPr>
                      <w:rFonts w:hint="eastAsia"/>
                      <w:color w:val="auto"/>
                      <w:sz w:val="21"/>
                      <w:highlight w:val="none"/>
                      <w:lang w:eastAsia="zh-CN"/>
                    </w:rPr>
                    <w:t>成品区</w:t>
                  </w:r>
                </w:p>
              </w:tc>
              <w:tc>
                <w:tcPr>
                  <w:tcW w:w="3682" w:type="pct"/>
                  <w:vAlign w:val="center"/>
                </w:tcPr>
                <w:p>
                  <w:pPr>
                    <w:spacing w:line="240" w:lineRule="auto"/>
                    <w:jc w:val="center"/>
                    <w:rPr>
                      <w:rFonts w:hint="eastAsia"/>
                      <w:color w:val="auto"/>
                      <w:sz w:val="21"/>
                      <w:highlight w:val="none"/>
                      <w:lang w:eastAsia="zh-CN"/>
                    </w:rPr>
                  </w:pPr>
                  <w:r>
                    <w:rPr>
                      <w:rFonts w:hint="eastAsia"/>
                      <w:color w:val="auto"/>
                      <w:sz w:val="21"/>
                      <w:highlight w:val="none"/>
                      <w:lang w:eastAsia="zh-CN"/>
                    </w:rPr>
                    <w:t>位于</w:t>
                  </w:r>
                  <w:r>
                    <w:rPr>
                      <w:rFonts w:hint="eastAsia" w:cs="Times New Roman"/>
                      <w:color w:val="auto"/>
                      <w:kern w:val="2"/>
                      <w:sz w:val="21"/>
                      <w:szCs w:val="24"/>
                      <w:highlight w:val="none"/>
                      <w:lang w:val="en-US" w:eastAsia="zh-CN" w:bidi="ar-SA"/>
                    </w:rPr>
                    <w:t>厂房1F、2F东侧，1F成品区面积300m</w:t>
                  </w:r>
                  <w:r>
                    <w:rPr>
                      <w:rFonts w:hint="eastAsia" w:cs="Times New Roman"/>
                      <w:color w:val="auto"/>
                      <w:kern w:val="2"/>
                      <w:sz w:val="21"/>
                      <w:szCs w:val="24"/>
                      <w:highlight w:val="none"/>
                      <w:vertAlign w:val="superscript"/>
                      <w:lang w:val="en-US" w:eastAsia="zh-CN" w:bidi="ar-SA"/>
                    </w:rPr>
                    <w:t>2</w:t>
                  </w:r>
                  <w:r>
                    <w:rPr>
                      <w:rFonts w:hint="eastAsia" w:cs="Times New Roman"/>
                      <w:color w:val="auto"/>
                      <w:kern w:val="2"/>
                      <w:sz w:val="21"/>
                      <w:szCs w:val="24"/>
                      <w:highlight w:val="none"/>
                      <w:lang w:val="en-US" w:eastAsia="zh-CN" w:bidi="ar-SA"/>
                    </w:rPr>
                    <w:t>，用于存放包装用品成品；2F成品区面积300m</w:t>
                  </w:r>
                  <w:r>
                    <w:rPr>
                      <w:rFonts w:hint="eastAsia" w:cs="Times New Roman"/>
                      <w:color w:val="auto"/>
                      <w:kern w:val="2"/>
                      <w:sz w:val="21"/>
                      <w:szCs w:val="24"/>
                      <w:highlight w:val="none"/>
                      <w:vertAlign w:val="superscript"/>
                      <w:lang w:val="en-US" w:eastAsia="zh-CN" w:bidi="ar-SA"/>
                    </w:rPr>
                    <w:t>2</w:t>
                  </w:r>
                  <w:r>
                    <w:rPr>
                      <w:rFonts w:hint="eastAsia" w:cs="Times New Roman"/>
                      <w:color w:val="auto"/>
                      <w:kern w:val="2"/>
                      <w:sz w:val="21"/>
                      <w:szCs w:val="24"/>
                      <w:highlight w:val="none"/>
                      <w:lang w:val="en-US" w:eastAsia="zh-CN" w:bidi="ar-SA"/>
                    </w:rPr>
                    <w:t>，用于存放缠绕膜、吹膜产品成品。</w:t>
                  </w:r>
                </w:p>
              </w:tc>
              <w:tc>
                <w:tcPr>
                  <w:tcW w:w="396" w:type="pct"/>
                  <w:vAlign w:val="center"/>
                </w:tcPr>
                <w:p>
                  <w:pPr>
                    <w:spacing w:line="240" w:lineRule="auto"/>
                    <w:jc w:val="center"/>
                    <w:rPr>
                      <w:rFonts w:hint="eastAsia" w:eastAsia="宋体"/>
                      <w:color w:val="auto"/>
                      <w:sz w:val="21"/>
                      <w:highlight w:val="none"/>
                      <w:lang w:eastAsia="zh-CN"/>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restart"/>
                  <w:vAlign w:val="center"/>
                </w:tcPr>
                <w:p>
                  <w:pPr>
                    <w:spacing w:line="240" w:lineRule="auto"/>
                    <w:jc w:val="center"/>
                    <w:rPr>
                      <w:color w:val="auto"/>
                      <w:sz w:val="21"/>
                      <w:highlight w:val="none"/>
                    </w:rPr>
                  </w:pPr>
                  <w:r>
                    <w:rPr>
                      <w:color w:val="auto"/>
                      <w:sz w:val="21"/>
                      <w:highlight w:val="none"/>
                    </w:rPr>
                    <w:t>环保工程</w:t>
                  </w:r>
                </w:p>
              </w:tc>
              <w:tc>
                <w:tcPr>
                  <w:tcW w:w="663" w:type="pct"/>
                  <w:vMerge w:val="restart"/>
                  <w:vAlign w:val="center"/>
                </w:tcPr>
                <w:p>
                  <w:pPr>
                    <w:spacing w:line="240" w:lineRule="auto"/>
                    <w:jc w:val="center"/>
                    <w:rPr>
                      <w:rFonts w:hint="eastAsia" w:eastAsia="宋体"/>
                      <w:color w:val="auto"/>
                      <w:sz w:val="21"/>
                      <w:highlight w:val="none"/>
                      <w:lang w:val="en-US" w:eastAsia="zh-CN"/>
                    </w:rPr>
                  </w:pPr>
                  <w:r>
                    <w:rPr>
                      <w:rFonts w:hint="eastAsia"/>
                      <w:color w:val="auto"/>
                      <w:sz w:val="21"/>
                      <w:highlight w:val="none"/>
                      <w:lang w:val="en-US" w:eastAsia="zh-CN"/>
                    </w:rPr>
                    <w:t>废气</w:t>
                  </w:r>
                </w:p>
              </w:tc>
              <w:tc>
                <w:tcPr>
                  <w:tcW w:w="3682" w:type="pct"/>
                  <w:vAlign w:val="center"/>
                </w:tcPr>
                <w:p>
                  <w:pPr>
                    <w:spacing w:line="240" w:lineRule="auto"/>
                    <w:jc w:val="center"/>
                    <w:rPr>
                      <w:rFonts w:hint="default"/>
                      <w:color w:val="auto"/>
                      <w:sz w:val="21"/>
                      <w:highlight w:val="none"/>
                      <w:lang w:val="en-US" w:eastAsia="zh-CN"/>
                    </w:rPr>
                  </w:pPr>
                  <w:r>
                    <w:rPr>
                      <w:rFonts w:hint="eastAsia"/>
                      <w:color w:val="auto"/>
                      <w:sz w:val="21"/>
                      <w:highlight w:val="none"/>
                      <w:lang w:val="en-US" w:eastAsia="zh-CN"/>
                    </w:rPr>
                    <w:t>项目卷管过程产生的胶粘废气经集气罩收集后通过“活性炭吸附”处理后通过15m高排气筒DA001排放。</w:t>
                  </w:r>
                </w:p>
              </w:tc>
              <w:tc>
                <w:tcPr>
                  <w:tcW w:w="396" w:type="pct"/>
                  <w:vAlign w:val="center"/>
                </w:tcPr>
                <w:p>
                  <w:pPr>
                    <w:spacing w:line="240" w:lineRule="auto"/>
                    <w:jc w:val="center"/>
                    <w:rPr>
                      <w:rFonts w:hint="eastAsia" w:eastAsia="宋体"/>
                      <w:color w:val="auto"/>
                      <w:sz w:val="21"/>
                      <w:highlight w:val="none"/>
                      <w:lang w:val="en-US" w:eastAsia="zh-CN"/>
                    </w:rPr>
                  </w:pPr>
                  <w:r>
                    <w:rPr>
                      <w:rFonts w:hint="eastAsia"/>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Merge w:val="continue"/>
                  <w:vAlign w:val="center"/>
                </w:tcPr>
                <w:p>
                  <w:pPr>
                    <w:spacing w:line="240" w:lineRule="auto"/>
                    <w:jc w:val="center"/>
                    <w:rPr>
                      <w:rFonts w:hint="eastAsia"/>
                      <w:color w:val="auto"/>
                      <w:sz w:val="21"/>
                      <w:highlight w:val="none"/>
                      <w:lang w:val="en-US" w:eastAsia="zh-CN"/>
                    </w:rPr>
                  </w:pPr>
                </w:p>
              </w:tc>
              <w:tc>
                <w:tcPr>
                  <w:tcW w:w="3682" w:type="pct"/>
                  <w:vAlign w:val="center"/>
                </w:tcPr>
                <w:p>
                  <w:pPr>
                    <w:spacing w:line="240" w:lineRule="auto"/>
                    <w:jc w:val="center"/>
                    <w:rPr>
                      <w:rFonts w:hint="default"/>
                      <w:color w:val="auto"/>
                      <w:sz w:val="21"/>
                      <w:highlight w:val="none"/>
                      <w:lang w:val="en-US" w:eastAsia="zh-CN"/>
                    </w:rPr>
                  </w:pPr>
                  <w:r>
                    <w:rPr>
                      <w:rFonts w:hint="eastAsia"/>
                      <w:color w:val="auto"/>
                      <w:sz w:val="21"/>
                      <w:highlight w:val="none"/>
                      <w:lang w:val="en-US" w:eastAsia="zh-CN"/>
                    </w:rPr>
                    <w:t>项目流延废气、</w:t>
                  </w:r>
                  <w:r>
                    <w:rPr>
                      <w:rFonts w:hint="default"/>
                      <w:color w:val="auto"/>
                      <w:sz w:val="21"/>
                      <w:highlight w:val="none"/>
                      <w:lang w:val="en-US" w:eastAsia="zh-CN"/>
                    </w:rPr>
                    <w:t>吹膜废气</w:t>
                  </w:r>
                  <w:r>
                    <w:rPr>
                      <w:rFonts w:hint="eastAsia"/>
                      <w:color w:val="auto"/>
                      <w:sz w:val="21"/>
                      <w:highlight w:val="none"/>
                      <w:lang w:val="en-US" w:eastAsia="zh-CN"/>
                    </w:rPr>
                    <w:t>经集气罩收集后通过“二级活性炭吸附”处理后通过15m高排气筒DA002排放。</w:t>
                  </w:r>
                </w:p>
              </w:tc>
              <w:tc>
                <w:tcPr>
                  <w:tcW w:w="396" w:type="pct"/>
                  <w:vAlign w:val="center"/>
                </w:tcPr>
                <w:p>
                  <w:pPr>
                    <w:spacing w:line="240" w:lineRule="auto"/>
                    <w:jc w:val="center"/>
                    <w:rPr>
                      <w:rFonts w:hint="eastAsia"/>
                      <w:color w:val="auto"/>
                      <w:sz w:val="21"/>
                      <w:highlight w:val="none"/>
                      <w:lang w:val="en-US" w:eastAsia="zh-CN"/>
                    </w:rPr>
                  </w:pPr>
                  <w:r>
                    <w:rPr>
                      <w:rFonts w:hint="eastAsia"/>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Merge w:val="continue"/>
                  <w:vAlign w:val="center"/>
                </w:tcPr>
                <w:p>
                  <w:pPr>
                    <w:spacing w:line="240" w:lineRule="auto"/>
                    <w:jc w:val="center"/>
                    <w:rPr>
                      <w:rFonts w:hint="eastAsia"/>
                      <w:color w:val="auto"/>
                      <w:sz w:val="21"/>
                      <w:highlight w:val="none"/>
                      <w:lang w:val="en-US" w:eastAsia="zh-CN"/>
                    </w:rPr>
                  </w:pPr>
                </w:p>
              </w:tc>
              <w:tc>
                <w:tcPr>
                  <w:tcW w:w="3682" w:type="pct"/>
                  <w:vAlign w:val="center"/>
                </w:tcPr>
                <w:p>
                  <w:pPr>
                    <w:spacing w:line="240" w:lineRule="auto"/>
                    <w:jc w:val="center"/>
                    <w:rPr>
                      <w:rFonts w:hint="default"/>
                      <w:color w:val="auto"/>
                      <w:sz w:val="21"/>
                      <w:highlight w:val="none"/>
                      <w:lang w:val="en-US" w:eastAsia="zh-CN"/>
                    </w:rPr>
                  </w:pPr>
                  <w:r>
                    <w:rPr>
                      <w:rFonts w:hint="eastAsia"/>
                      <w:color w:val="auto"/>
                      <w:sz w:val="21"/>
                      <w:highlight w:val="none"/>
                      <w:lang w:val="en-US" w:eastAsia="zh-CN"/>
                    </w:rPr>
                    <w:t>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p>
              </w:tc>
              <w:tc>
                <w:tcPr>
                  <w:tcW w:w="396" w:type="pct"/>
                  <w:vAlign w:val="center"/>
                </w:tcPr>
                <w:p>
                  <w:pPr>
                    <w:spacing w:line="240" w:lineRule="auto"/>
                    <w:jc w:val="center"/>
                    <w:rPr>
                      <w:rFonts w:hint="eastAsia"/>
                      <w:color w:val="auto"/>
                      <w:sz w:val="21"/>
                      <w:highlight w:val="none"/>
                      <w:lang w:val="en-US" w:eastAsia="zh-CN"/>
                    </w:rPr>
                  </w:pPr>
                  <w:r>
                    <w:rPr>
                      <w:rFonts w:hint="eastAsia"/>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Merge w:val="continue"/>
                  <w:vAlign w:val="center"/>
                </w:tcPr>
                <w:p>
                  <w:pPr>
                    <w:spacing w:line="240" w:lineRule="auto"/>
                    <w:jc w:val="center"/>
                    <w:rPr>
                      <w:rFonts w:hint="eastAsia"/>
                      <w:color w:val="auto"/>
                      <w:sz w:val="21"/>
                      <w:highlight w:val="none"/>
                      <w:lang w:val="en-US" w:eastAsia="zh-CN"/>
                    </w:rPr>
                  </w:pPr>
                </w:p>
              </w:tc>
              <w:tc>
                <w:tcPr>
                  <w:tcW w:w="3682" w:type="pct"/>
                  <w:vAlign w:val="center"/>
                </w:tcPr>
                <w:p>
                  <w:pPr>
                    <w:spacing w:line="240" w:lineRule="auto"/>
                    <w:jc w:val="center"/>
                    <w:rPr>
                      <w:rFonts w:hint="default"/>
                      <w:color w:val="auto"/>
                      <w:sz w:val="21"/>
                      <w:highlight w:val="none"/>
                      <w:lang w:val="en-US" w:eastAsia="zh-CN"/>
                    </w:rPr>
                  </w:pPr>
                  <w:r>
                    <w:rPr>
                      <w:rFonts w:hint="default" w:ascii="Times New Roman" w:hAnsi="Times New Roman" w:cs="Times New Roman"/>
                      <w:color w:val="auto"/>
                      <w:w w:val="100"/>
                      <w:kern w:val="2"/>
                      <w:sz w:val="21"/>
                      <w:szCs w:val="21"/>
                      <w:lang w:val="en-US" w:eastAsia="zh-CN" w:bidi="ar-SA"/>
                    </w:rPr>
                    <w:t>在灶头上方设集气罩，安装台油烟净化器，集气罩收集的</w:t>
                  </w:r>
                  <w:r>
                    <w:rPr>
                      <w:rFonts w:hint="eastAsia" w:cs="Times New Roman"/>
                      <w:color w:val="auto"/>
                      <w:w w:val="100"/>
                      <w:kern w:val="2"/>
                      <w:sz w:val="21"/>
                      <w:szCs w:val="21"/>
                      <w:lang w:val="en-US" w:eastAsia="zh-CN" w:bidi="ar-SA"/>
                    </w:rPr>
                    <w:t>食堂废气</w:t>
                  </w:r>
                  <w:r>
                    <w:rPr>
                      <w:rFonts w:hint="default" w:ascii="Times New Roman" w:hAnsi="Times New Roman" w:cs="Times New Roman"/>
                      <w:color w:val="auto"/>
                      <w:w w:val="100"/>
                      <w:kern w:val="2"/>
                      <w:sz w:val="21"/>
                      <w:szCs w:val="21"/>
                      <w:lang w:val="en-US" w:eastAsia="zh-CN" w:bidi="ar-SA"/>
                    </w:rPr>
                    <w:t>经引风机引入油烟净化器处理后引至DA004排气筒</w:t>
                  </w:r>
                  <w:r>
                    <w:rPr>
                      <w:rFonts w:hint="eastAsia" w:ascii="Times New Roman" w:hAnsi="Times New Roman" w:cs="Times New Roman"/>
                      <w:color w:val="auto"/>
                      <w:w w:val="100"/>
                      <w:kern w:val="2"/>
                      <w:sz w:val="21"/>
                      <w:szCs w:val="21"/>
                      <w:lang w:val="en-US" w:eastAsia="zh-CN" w:bidi="ar-SA"/>
                    </w:rPr>
                    <w:t>15m</w:t>
                  </w:r>
                  <w:r>
                    <w:rPr>
                      <w:rFonts w:hint="default" w:ascii="Times New Roman" w:hAnsi="Times New Roman" w:cs="Times New Roman"/>
                      <w:color w:val="auto"/>
                      <w:w w:val="100"/>
                      <w:kern w:val="2"/>
                      <w:sz w:val="21"/>
                      <w:szCs w:val="21"/>
                      <w:lang w:val="en-US" w:eastAsia="zh-CN" w:bidi="ar-SA"/>
                    </w:rPr>
                    <w:t>排放</w:t>
                  </w:r>
                  <w:r>
                    <w:rPr>
                      <w:rFonts w:hint="eastAsia"/>
                      <w:color w:val="auto"/>
                      <w:sz w:val="21"/>
                      <w:highlight w:val="none"/>
                      <w:lang w:val="en-US" w:eastAsia="zh-CN"/>
                    </w:rPr>
                    <w:t>。</w:t>
                  </w:r>
                </w:p>
              </w:tc>
              <w:tc>
                <w:tcPr>
                  <w:tcW w:w="396" w:type="pct"/>
                  <w:vAlign w:val="center"/>
                </w:tcPr>
                <w:p>
                  <w:pPr>
                    <w:spacing w:line="240" w:lineRule="auto"/>
                    <w:jc w:val="center"/>
                    <w:rPr>
                      <w:rFonts w:hint="eastAsia"/>
                      <w:color w:val="auto"/>
                      <w:sz w:val="21"/>
                      <w:highlight w:val="none"/>
                      <w:lang w:val="en-US" w:eastAsia="zh-CN"/>
                    </w:rPr>
                  </w:pPr>
                  <w:r>
                    <w:rPr>
                      <w:rFonts w:hint="eastAsia"/>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Merge w:val="continue"/>
                  <w:vAlign w:val="center"/>
                </w:tcPr>
                <w:p>
                  <w:pPr>
                    <w:spacing w:line="240" w:lineRule="auto"/>
                    <w:jc w:val="center"/>
                    <w:rPr>
                      <w:rFonts w:hint="eastAsia"/>
                      <w:color w:val="auto"/>
                      <w:sz w:val="21"/>
                      <w:highlight w:val="none"/>
                      <w:lang w:val="en-US" w:eastAsia="zh-CN"/>
                    </w:rPr>
                  </w:pPr>
                </w:p>
              </w:tc>
              <w:tc>
                <w:tcPr>
                  <w:tcW w:w="3682" w:type="pct"/>
                  <w:vAlign w:val="center"/>
                </w:tcPr>
                <w:p>
                  <w:pPr>
                    <w:spacing w:line="240" w:lineRule="auto"/>
                    <w:jc w:val="center"/>
                    <w:rPr>
                      <w:rFonts w:hint="default"/>
                      <w:color w:val="auto"/>
                      <w:sz w:val="21"/>
                      <w:highlight w:val="none"/>
                      <w:lang w:val="en-US" w:eastAsia="zh-CN"/>
                    </w:rPr>
                  </w:pPr>
                  <w:r>
                    <w:rPr>
                      <w:rFonts w:hint="default"/>
                      <w:color w:val="auto"/>
                      <w:sz w:val="21"/>
                      <w:highlight w:val="none"/>
                      <w:lang w:val="en-US" w:eastAsia="zh-CN"/>
                    </w:rPr>
                    <w:t>在生化池顶部设置专用管道，生化池废气通过专用管道引至屋顶排放</w:t>
                  </w:r>
                  <w:r>
                    <w:rPr>
                      <w:rFonts w:hint="eastAsia"/>
                      <w:color w:val="auto"/>
                      <w:sz w:val="21"/>
                      <w:highlight w:val="none"/>
                      <w:lang w:val="en-US" w:eastAsia="zh-CN"/>
                    </w:rPr>
                    <w:t>；其余未收集的废气以无组织形式排放，加强车间通风。</w:t>
                  </w:r>
                </w:p>
              </w:tc>
              <w:tc>
                <w:tcPr>
                  <w:tcW w:w="396" w:type="pct"/>
                  <w:vAlign w:val="center"/>
                </w:tcPr>
                <w:p>
                  <w:pPr>
                    <w:spacing w:line="240" w:lineRule="auto"/>
                    <w:jc w:val="center"/>
                    <w:rPr>
                      <w:rFonts w:hint="eastAsia"/>
                      <w:color w:val="auto"/>
                      <w:sz w:val="21"/>
                      <w:highlight w:val="none"/>
                      <w:lang w:val="en-US" w:eastAsia="zh-CN"/>
                    </w:rPr>
                  </w:pPr>
                  <w:r>
                    <w:rPr>
                      <w:rFonts w:hint="eastAsia"/>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color w:val="auto"/>
                      <w:sz w:val="21"/>
                      <w:szCs w:val="21"/>
                      <w:highlight w:val="none"/>
                    </w:rPr>
                  </w:pPr>
                  <w:r>
                    <w:rPr>
                      <w:color w:val="auto"/>
                      <w:sz w:val="21"/>
                      <w:szCs w:val="21"/>
                      <w:highlight w:val="none"/>
                    </w:rPr>
                    <w:t>废水</w:t>
                  </w:r>
                </w:p>
              </w:tc>
              <w:tc>
                <w:tcPr>
                  <w:tcW w:w="3682" w:type="pct"/>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项目自建隔油池、生化池位于厂房外东南侧，处理能力分别为5m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/d、30m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/d，生化池采取厌氧工艺。项目废水水质较简单，采用的废水处理工艺能够处理后达标排放，且项目隔油池、生化池的日处理能力能够满足接纳项目废水排放</w:t>
                  </w:r>
                  <w:r>
                    <w:rPr>
                      <w:rFonts w:hint="eastAsia" w:ascii="Times New Roman" w:hAnsi="Times New Roman" w:cs="Times New Roman"/>
                      <w:color w:val="auto"/>
                      <w:sz w:val="21"/>
                      <w:szCs w:val="21"/>
                      <w:lang w:val="en-US" w:eastAsia="zh-CN"/>
                    </w:rPr>
                    <w:t>。</w:t>
                  </w:r>
                </w:p>
              </w:tc>
              <w:tc>
                <w:tcPr>
                  <w:tcW w:w="396" w:type="pct"/>
                  <w:vAlign w:val="center"/>
                </w:tcPr>
                <w:p>
                  <w:pPr>
                    <w:spacing w:line="240" w:lineRule="auto"/>
                    <w:jc w:val="center"/>
                    <w:rPr>
                      <w:rFonts w:hint="default"/>
                      <w:color w:val="auto"/>
                      <w:sz w:val="21"/>
                      <w:highlight w:val="none"/>
                      <w:lang w:val="en-US"/>
                    </w:rPr>
                  </w:pPr>
                  <w:r>
                    <w:rPr>
                      <w:rFonts w:hint="eastAsia"/>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color w:val="auto"/>
                      <w:sz w:val="21"/>
                      <w:highlight w:val="none"/>
                    </w:rPr>
                  </w:pPr>
                  <w:r>
                    <w:rPr>
                      <w:color w:val="auto"/>
                      <w:sz w:val="21"/>
                      <w:highlight w:val="none"/>
                    </w:rPr>
                    <w:t>噪声</w:t>
                  </w:r>
                </w:p>
              </w:tc>
              <w:tc>
                <w:tcPr>
                  <w:tcW w:w="3682" w:type="pct"/>
                  <w:vAlign w:val="center"/>
                </w:tcPr>
                <w:p>
                  <w:pPr>
                    <w:spacing w:line="240" w:lineRule="auto"/>
                    <w:jc w:val="center"/>
                    <w:rPr>
                      <w:rFonts w:hint="eastAsia" w:eastAsia="宋体"/>
                      <w:color w:val="auto"/>
                      <w:sz w:val="21"/>
                      <w:highlight w:val="none"/>
                      <w:lang w:eastAsia="zh-CN"/>
                    </w:rPr>
                  </w:pPr>
                  <w:r>
                    <w:rPr>
                      <w:rFonts w:hint="eastAsia"/>
                      <w:color w:val="auto"/>
                      <w:sz w:val="21"/>
                      <w:szCs w:val="21"/>
                      <w:highlight w:val="none"/>
                    </w:rPr>
                    <w:t>厂房内设备选用</w:t>
                  </w:r>
                  <w:r>
                    <w:rPr>
                      <w:color w:val="auto"/>
                      <w:sz w:val="21"/>
                      <w:szCs w:val="21"/>
                      <w:highlight w:val="none"/>
                    </w:rPr>
                    <w:t>低噪设备、基础减震、建筑隔声</w:t>
                  </w:r>
                  <w:r>
                    <w:rPr>
                      <w:rFonts w:hint="eastAsia"/>
                      <w:color w:val="auto"/>
                      <w:sz w:val="21"/>
                      <w:szCs w:val="21"/>
                      <w:highlight w:val="none"/>
                      <w:lang w:eastAsia="zh-CN"/>
                    </w:rPr>
                    <w:t>、室内风机在减振的基础上增加隔声罩，室外风机在减振的基础上增加隔声罩</w:t>
                  </w:r>
                  <w:r>
                    <w:rPr>
                      <w:rFonts w:hint="eastAsia"/>
                      <w:color w:val="auto"/>
                      <w:sz w:val="21"/>
                      <w:szCs w:val="21"/>
                      <w:highlight w:val="none"/>
                      <w:lang w:val="en-US" w:eastAsia="zh-CN"/>
                    </w:rPr>
                    <w:t>和消声器</w:t>
                  </w:r>
                  <w:r>
                    <w:rPr>
                      <w:rFonts w:hint="eastAsia"/>
                      <w:color w:val="auto"/>
                      <w:sz w:val="21"/>
                      <w:szCs w:val="21"/>
                      <w:highlight w:val="none"/>
                      <w:lang w:eastAsia="zh-CN"/>
                    </w:rPr>
                    <w:t>等措施</w:t>
                  </w:r>
                  <w:r>
                    <w:rPr>
                      <w:rFonts w:hint="eastAsia"/>
                      <w:color w:val="auto"/>
                      <w:sz w:val="21"/>
                      <w:szCs w:val="21"/>
                      <w:highlight w:val="none"/>
                    </w:rPr>
                    <w:t>进行降噪</w:t>
                  </w:r>
                  <w:r>
                    <w:rPr>
                      <w:rFonts w:hint="eastAsia"/>
                      <w:color w:val="auto"/>
                      <w:sz w:val="21"/>
                      <w:szCs w:val="21"/>
                      <w:highlight w:val="none"/>
                      <w:lang w:eastAsia="zh-CN"/>
                    </w:rPr>
                    <w:t>。</w:t>
                  </w:r>
                </w:p>
              </w:tc>
              <w:tc>
                <w:tcPr>
                  <w:tcW w:w="396" w:type="pct"/>
                  <w:vAlign w:val="center"/>
                </w:tcPr>
                <w:p>
                  <w:pPr>
                    <w:spacing w:line="240" w:lineRule="auto"/>
                    <w:jc w:val="center"/>
                    <w:rPr>
                      <w:color w:val="auto"/>
                      <w:sz w:val="21"/>
                      <w:highlight w:val="none"/>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color w:val="auto"/>
                      <w:sz w:val="21"/>
                      <w:highlight w:val="none"/>
                    </w:rPr>
                  </w:pPr>
                  <w:r>
                    <w:rPr>
                      <w:color w:val="auto"/>
                      <w:sz w:val="21"/>
                      <w:highlight w:val="none"/>
                    </w:rPr>
                    <w:t>地下水及土壤</w:t>
                  </w:r>
                </w:p>
              </w:tc>
              <w:tc>
                <w:tcPr>
                  <w:tcW w:w="3682" w:type="pct"/>
                  <w:vAlign w:val="center"/>
                </w:tcPr>
                <w:p>
                  <w:pPr>
                    <w:keepNext w:val="0"/>
                    <w:keepLines w:val="0"/>
                    <w:widowControl/>
                    <w:suppressLineNumbers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在项目危废暂存间、化学品库、空压机房设置托盘等设施，防止物料、危险废物跑、冒、滴、漏，包装桶采取密闭结构，针对空压机等管道阀门、弯头等容易出现跑冒滴漏处也应设置托盘，将污染物泄漏的环境风险事故降低到最低程度。</w:t>
                  </w:r>
                  <w:r>
                    <w:rPr>
                      <w:color w:val="auto"/>
                      <w:sz w:val="21"/>
                      <w:szCs w:val="21"/>
                    </w:rPr>
                    <w:t>根据厂区各生产功能单元可能泄漏至地面区域的污染物性质和生产单元的构筑方式、构筑材料，将厂区划分为重点防渗区、一般防渗区和简单防渗区及非防渗区：重点防渗区：</w:t>
                  </w:r>
                  <w:r>
                    <w:rPr>
                      <w:rFonts w:hint="eastAsia"/>
                      <w:color w:val="auto"/>
                      <w:sz w:val="21"/>
                      <w:szCs w:val="21"/>
                      <w:highlight w:val="none"/>
                    </w:rPr>
                    <w:t>危废暂存间、化学品库、空压机房</w:t>
                  </w:r>
                  <w:r>
                    <w:rPr>
                      <w:color w:val="auto"/>
                      <w:sz w:val="21"/>
                      <w:szCs w:val="21"/>
                    </w:rPr>
                    <w:t>为重点防渗区。重点防渗区的防渗性能要求不低6.0m厚渗透系数为1.0×10</w:t>
                  </w:r>
                  <w:r>
                    <w:rPr>
                      <w:color w:val="auto"/>
                      <w:sz w:val="21"/>
                      <w:szCs w:val="21"/>
                      <w:vertAlign w:val="superscript"/>
                    </w:rPr>
                    <w:t>-7</w:t>
                  </w:r>
                  <w:r>
                    <w:rPr>
                      <w:color w:val="auto"/>
                      <w:sz w:val="21"/>
                      <w:szCs w:val="21"/>
                    </w:rPr>
                    <w:t>cm/s的黏土层防渗性能，并采取防腐措施，危险废物暂存间按</w:t>
                  </w:r>
                  <w:r>
                    <w:rPr>
                      <w:rFonts w:hint="eastAsia"/>
                      <w:color w:val="auto"/>
                      <w:sz w:val="21"/>
                      <w:szCs w:val="21"/>
                      <w:lang w:eastAsia="zh-CN"/>
                    </w:rPr>
                    <w:t>《危险废物贮存污染控制标准》（GB18597—2023）</w:t>
                  </w:r>
                  <w:r>
                    <w:rPr>
                      <w:rFonts w:hint="eastAsia"/>
                      <w:color w:val="auto"/>
                      <w:sz w:val="21"/>
                      <w:szCs w:val="21"/>
                    </w:rPr>
                    <w:t>，</w:t>
                  </w:r>
                  <w:r>
                    <w:rPr>
                      <w:rFonts w:hint="eastAsia"/>
                      <w:color w:val="auto"/>
                      <w:sz w:val="21"/>
                      <w:szCs w:val="21"/>
                      <w:lang w:val="en-US" w:eastAsia="zh-CN"/>
                    </w:rPr>
                    <w:t>防渗层为至少</w:t>
                  </w:r>
                  <w:r>
                    <w:rPr>
                      <w:rFonts w:hint="default"/>
                      <w:color w:val="auto"/>
                      <w:sz w:val="21"/>
                      <w:szCs w:val="21"/>
                      <w:lang w:val="en-US" w:eastAsia="zh-CN"/>
                    </w:rPr>
                    <w:t>1 m</w:t>
                  </w:r>
                  <w:r>
                    <w:rPr>
                      <w:rFonts w:hint="eastAsia"/>
                      <w:color w:val="auto"/>
                      <w:sz w:val="21"/>
                      <w:szCs w:val="21"/>
                      <w:lang w:val="en-US" w:eastAsia="zh-CN"/>
                    </w:rPr>
                    <w:t>厚黏土层（渗透系数不大于</w:t>
                  </w:r>
                  <w:r>
                    <w:rPr>
                      <w:rFonts w:hint="default"/>
                      <w:color w:val="auto"/>
                      <w:sz w:val="21"/>
                      <w:szCs w:val="21"/>
                      <w:lang w:val="en-US" w:eastAsia="zh-CN"/>
                    </w:rPr>
                    <w:t>10</w:t>
                  </w:r>
                  <w:r>
                    <w:rPr>
                      <w:rFonts w:hint="default"/>
                      <w:color w:val="auto"/>
                      <w:sz w:val="21"/>
                      <w:szCs w:val="21"/>
                      <w:vertAlign w:val="superscript"/>
                      <w:lang w:val="en-US" w:eastAsia="zh-CN"/>
                    </w:rPr>
                    <w:t>-7</w:t>
                  </w:r>
                  <w:r>
                    <w:rPr>
                      <w:rFonts w:hint="default"/>
                      <w:color w:val="auto"/>
                      <w:sz w:val="21"/>
                      <w:szCs w:val="21"/>
                      <w:lang w:val="en-US" w:eastAsia="zh-CN"/>
                    </w:rPr>
                    <w:t xml:space="preserve"> cm/s</w:t>
                  </w:r>
                  <w:r>
                    <w:rPr>
                      <w:rFonts w:hint="eastAsia"/>
                      <w:color w:val="auto"/>
                      <w:sz w:val="21"/>
                      <w:szCs w:val="21"/>
                      <w:lang w:val="en-US" w:eastAsia="zh-CN"/>
                    </w:rPr>
                    <w:t>），或至少</w:t>
                  </w:r>
                  <w:r>
                    <w:rPr>
                      <w:rFonts w:hint="default"/>
                      <w:color w:val="auto"/>
                      <w:sz w:val="21"/>
                      <w:szCs w:val="21"/>
                      <w:lang w:val="en-US" w:eastAsia="zh-CN"/>
                    </w:rPr>
                    <w:t>2mm</w:t>
                  </w:r>
                  <w:r>
                    <w:rPr>
                      <w:rFonts w:hint="eastAsia"/>
                      <w:color w:val="auto"/>
                      <w:sz w:val="21"/>
                      <w:szCs w:val="21"/>
                      <w:lang w:val="en-US" w:eastAsia="zh-CN"/>
                    </w:rPr>
                    <w:t>厚高密度聚乙烯膜等人工防渗材料（渗透系数不大于</w:t>
                  </w:r>
                  <w:r>
                    <w:rPr>
                      <w:rFonts w:hint="default"/>
                      <w:color w:val="auto"/>
                      <w:sz w:val="21"/>
                      <w:szCs w:val="21"/>
                      <w:lang w:val="en-US" w:eastAsia="zh-CN"/>
                    </w:rPr>
                    <w:t>10</w:t>
                  </w:r>
                  <w:r>
                    <w:rPr>
                      <w:rFonts w:hint="default"/>
                      <w:color w:val="auto"/>
                      <w:sz w:val="21"/>
                      <w:szCs w:val="21"/>
                      <w:vertAlign w:val="superscript"/>
                      <w:lang w:val="en-US" w:eastAsia="zh-CN"/>
                    </w:rPr>
                    <w:t xml:space="preserve"> -10</w:t>
                  </w:r>
                  <w:r>
                    <w:rPr>
                      <w:rFonts w:hint="default"/>
                      <w:color w:val="auto"/>
                      <w:sz w:val="21"/>
                      <w:szCs w:val="21"/>
                      <w:lang w:val="en-US" w:eastAsia="zh-CN"/>
                    </w:rPr>
                    <w:t>cm/s</w:t>
                  </w:r>
                  <w:r>
                    <w:rPr>
                      <w:rFonts w:hint="eastAsia"/>
                      <w:color w:val="auto"/>
                      <w:sz w:val="21"/>
                      <w:szCs w:val="21"/>
                      <w:lang w:val="en-US" w:eastAsia="zh-CN"/>
                    </w:rPr>
                    <w:t>）</w:t>
                  </w:r>
                  <w:r>
                    <w:rPr>
                      <w:rFonts w:hint="eastAsia"/>
                      <w:color w:val="auto"/>
                      <w:sz w:val="21"/>
                      <w:szCs w:val="21"/>
                    </w:rPr>
                    <w:t>。</w:t>
                  </w:r>
                  <w:r>
                    <w:rPr>
                      <w:color w:val="auto"/>
                      <w:sz w:val="21"/>
                      <w:szCs w:val="21"/>
                    </w:rPr>
                    <w:t>一般防渗区：拟建项目一般固废暂存间</w:t>
                  </w:r>
                  <w:r>
                    <w:rPr>
                      <w:rFonts w:hint="eastAsia"/>
                      <w:color w:val="auto"/>
                      <w:sz w:val="21"/>
                      <w:szCs w:val="21"/>
                    </w:rPr>
                    <w:t>及</w:t>
                  </w:r>
                  <w:r>
                    <w:rPr>
                      <w:color w:val="auto"/>
                      <w:sz w:val="21"/>
                      <w:szCs w:val="21"/>
                    </w:rPr>
                    <w:t>其他</w:t>
                  </w:r>
                  <w:r>
                    <w:rPr>
                      <w:rFonts w:hint="eastAsia"/>
                      <w:color w:val="auto"/>
                      <w:sz w:val="21"/>
                      <w:szCs w:val="21"/>
                    </w:rPr>
                    <w:t>生产</w:t>
                  </w:r>
                  <w:r>
                    <w:rPr>
                      <w:color w:val="auto"/>
                      <w:sz w:val="21"/>
                      <w:szCs w:val="21"/>
                    </w:rPr>
                    <w:t>区域为一般防渗区。一般污染防渗区的防渗性能要求不低1.5m厚渗透系数为1.0×10</w:t>
                  </w:r>
                  <w:r>
                    <w:rPr>
                      <w:color w:val="auto"/>
                      <w:sz w:val="21"/>
                      <w:szCs w:val="21"/>
                      <w:vertAlign w:val="superscript"/>
                    </w:rPr>
                    <w:t>-7</w:t>
                  </w:r>
                  <w:r>
                    <w:rPr>
                      <w:color w:val="auto"/>
                      <w:sz w:val="21"/>
                      <w:szCs w:val="21"/>
                    </w:rPr>
                    <w:t>cm/s的黏土层防渗性能。简单防渗区：</w:t>
                  </w:r>
                  <w:r>
                    <w:rPr>
                      <w:rFonts w:hint="eastAsia"/>
                      <w:color w:val="auto"/>
                      <w:sz w:val="21"/>
                      <w:szCs w:val="21"/>
                      <w:lang w:eastAsia="zh-CN"/>
                    </w:rPr>
                    <w:t>综合楼、过道</w:t>
                  </w:r>
                  <w:r>
                    <w:rPr>
                      <w:rFonts w:hint="eastAsia"/>
                      <w:color w:val="auto"/>
                      <w:sz w:val="21"/>
                      <w:szCs w:val="21"/>
                    </w:rPr>
                    <w:t>等</w:t>
                  </w:r>
                  <w:r>
                    <w:rPr>
                      <w:color w:val="auto"/>
                      <w:sz w:val="21"/>
                      <w:szCs w:val="21"/>
                    </w:rPr>
                    <w:t>其他区域做简单防渗。</w:t>
                  </w:r>
                  <w:r>
                    <w:rPr>
                      <w:rFonts w:hint="eastAsia"/>
                      <w:color w:val="auto"/>
                      <w:sz w:val="21"/>
                      <w:szCs w:val="21"/>
                    </w:rPr>
                    <w:t>相关部门对设备设施检查、维护，要制定严格的检修标准、周期和考核标准，落实责任人，检查、维修人员要按照相关标准认真执行，定检后要验收，并做好记录。项目危险废物不得与其他垃圾混存，必须委托具有危险废物处理资质的单位进行回收处置，禁止私自处理。</w:t>
                  </w:r>
                </w:p>
              </w:tc>
              <w:tc>
                <w:tcPr>
                  <w:tcW w:w="396" w:type="pct"/>
                  <w:vAlign w:val="center"/>
                </w:tcPr>
                <w:p>
                  <w:pPr>
                    <w:spacing w:line="240" w:lineRule="auto"/>
                    <w:jc w:val="center"/>
                    <w:rPr>
                      <w:color w:val="auto"/>
                      <w:sz w:val="21"/>
                      <w:highlight w:val="none"/>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7" w:type="pct"/>
                  <w:vMerge w:val="continue"/>
                  <w:vAlign w:val="center"/>
                </w:tcPr>
                <w:p>
                  <w:pPr>
                    <w:spacing w:line="240" w:lineRule="auto"/>
                    <w:jc w:val="center"/>
                    <w:rPr>
                      <w:color w:val="auto"/>
                      <w:sz w:val="21"/>
                      <w:highlight w:val="none"/>
                    </w:rPr>
                  </w:pPr>
                </w:p>
              </w:tc>
              <w:tc>
                <w:tcPr>
                  <w:tcW w:w="663" w:type="pct"/>
                  <w:vAlign w:val="center"/>
                </w:tcPr>
                <w:p>
                  <w:pPr>
                    <w:spacing w:line="240" w:lineRule="auto"/>
                    <w:jc w:val="center"/>
                    <w:rPr>
                      <w:color w:val="auto"/>
                      <w:sz w:val="21"/>
                      <w:highlight w:val="none"/>
                    </w:rPr>
                  </w:pPr>
                  <w:r>
                    <w:rPr>
                      <w:rFonts w:hint="eastAsia"/>
                      <w:color w:val="auto"/>
                      <w:sz w:val="21"/>
                      <w:highlight w:val="none"/>
                    </w:rPr>
                    <w:t>环境</w:t>
                  </w:r>
                  <w:r>
                    <w:rPr>
                      <w:color w:val="auto"/>
                      <w:sz w:val="21"/>
                      <w:highlight w:val="none"/>
                    </w:rPr>
                    <w:t>风险</w:t>
                  </w:r>
                </w:p>
              </w:tc>
              <w:tc>
                <w:tcPr>
                  <w:tcW w:w="3682" w:type="pct"/>
                  <w:vAlign w:val="center"/>
                </w:tcPr>
                <w:p>
                  <w:pPr>
                    <w:pStyle w:val="84"/>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①危废暂存间做重点防渗处理；防渗性能参照《危险废物贮存污染控制标准》（GB18597—2023）。危废暂存间内部根据危险废物类分开存放，危废暂存间危废下方设置托盘，危废暂存间内应设置截流设施；</w:t>
                  </w:r>
                </w:p>
                <w:p>
                  <w:pPr>
                    <w:pStyle w:val="84"/>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②</w:t>
                  </w:r>
                  <w:r>
                    <w:rPr>
                      <w:rFonts w:hint="eastAsia"/>
                      <w:color w:val="auto"/>
                      <w:sz w:val="21"/>
                      <w:szCs w:val="21"/>
                      <w:highlight w:val="none"/>
                    </w:rPr>
                    <w:t>危废暂存间、化学品库、空压机房</w:t>
                  </w:r>
                  <w:r>
                    <w:rPr>
                      <w:color w:val="auto"/>
                      <w:sz w:val="21"/>
                      <w:szCs w:val="21"/>
                    </w:rPr>
                    <w:t>为重点防渗区。重点防渗区的防渗性能要求不低6.0m厚渗透系数为1.0×10</w:t>
                  </w:r>
                  <w:r>
                    <w:rPr>
                      <w:color w:val="auto"/>
                      <w:sz w:val="21"/>
                      <w:szCs w:val="21"/>
                      <w:vertAlign w:val="superscript"/>
                    </w:rPr>
                    <w:t>-7</w:t>
                  </w:r>
                  <w:r>
                    <w:rPr>
                      <w:color w:val="auto"/>
                      <w:sz w:val="21"/>
                      <w:szCs w:val="21"/>
                    </w:rPr>
                    <w:t>cm/s的黏土层防渗性能，并采取防腐措施，危险废物暂存间按</w:t>
                  </w:r>
                  <w:r>
                    <w:rPr>
                      <w:rFonts w:hint="eastAsia"/>
                      <w:color w:val="auto"/>
                      <w:sz w:val="21"/>
                      <w:szCs w:val="21"/>
                      <w:lang w:eastAsia="zh-CN"/>
                    </w:rPr>
                    <w:t>《危险废物贮存污染控制标准》（GB18597—2023）</w:t>
                  </w:r>
                  <w:r>
                    <w:rPr>
                      <w:rFonts w:hint="eastAsia"/>
                      <w:color w:val="auto"/>
                      <w:sz w:val="21"/>
                      <w:szCs w:val="21"/>
                    </w:rPr>
                    <w:t>，</w:t>
                  </w:r>
                  <w:r>
                    <w:rPr>
                      <w:rFonts w:hint="eastAsia"/>
                      <w:color w:val="auto"/>
                      <w:sz w:val="21"/>
                      <w:szCs w:val="21"/>
                      <w:lang w:val="en-US" w:eastAsia="zh-CN"/>
                    </w:rPr>
                    <w:t>防渗层为至少</w:t>
                  </w:r>
                  <w:r>
                    <w:rPr>
                      <w:rFonts w:hint="default"/>
                      <w:color w:val="auto"/>
                      <w:sz w:val="21"/>
                      <w:szCs w:val="21"/>
                      <w:lang w:val="en-US" w:eastAsia="zh-CN"/>
                    </w:rPr>
                    <w:t>1 m</w:t>
                  </w:r>
                  <w:r>
                    <w:rPr>
                      <w:rFonts w:hint="eastAsia"/>
                      <w:color w:val="auto"/>
                      <w:sz w:val="21"/>
                      <w:szCs w:val="21"/>
                      <w:lang w:val="en-US" w:eastAsia="zh-CN"/>
                    </w:rPr>
                    <w:t>厚黏土层（渗透系数不大于</w:t>
                  </w:r>
                  <w:r>
                    <w:rPr>
                      <w:rFonts w:hint="default"/>
                      <w:color w:val="auto"/>
                      <w:sz w:val="21"/>
                      <w:szCs w:val="21"/>
                      <w:lang w:val="en-US" w:eastAsia="zh-CN"/>
                    </w:rPr>
                    <w:t>10</w:t>
                  </w:r>
                  <w:r>
                    <w:rPr>
                      <w:rFonts w:hint="default"/>
                      <w:color w:val="auto"/>
                      <w:sz w:val="21"/>
                      <w:szCs w:val="21"/>
                      <w:vertAlign w:val="superscript"/>
                      <w:lang w:val="en-US" w:eastAsia="zh-CN"/>
                    </w:rPr>
                    <w:t>-7</w:t>
                  </w:r>
                  <w:r>
                    <w:rPr>
                      <w:rFonts w:hint="default"/>
                      <w:color w:val="auto"/>
                      <w:sz w:val="21"/>
                      <w:szCs w:val="21"/>
                      <w:lang w:val="en-US" w:eastAsia="zh-CN"/>
                    </w:rPr>
                    <w:t xml:space="preserve"> cm/s</w:t>
                  </w:r>
                  <w:r>
                    <w:rPr>
                      <w:rFonts w:hint="eastAsia"/>
                      <w:color w:val="auto"/>
                      <w:sz w:val="21"/>
                      <w:szCs w:val="21"/>
                      <w:lang w:val="en-US" w:eastAsia="zh-CN"/>
                    </w:rPr>
                    <w:t>），或至少</w:t>
                  </w:r>
                  <w:r>
                    <w:rPr>
                      <w:rFonts w:hint="default"/>
                      <w:color w:val="auto"/>
                      <w:sz w:val="21"/>
                      <w:szCs w:val="21"/>
                      <w:lang w:val="en-US" w:eastAsia="zh-CN"/>
                    </w:rPr>
                    <w:t>2mm</w:t>
                  </w:r>
                  <w:r>
                    <w:rPr>
                      <w:rFonts w:hint="eastAsia"/>
                      <w:color w:val="auto"/>
                      <w:sz w:val="21"/>
                      <w:szCs w:val="21"/>
                      <w:lang w:val="en-US" w:eastAsia="zh-CN"/>
                    </w:rPr>
                    <w:t>厚高密度聚乙烯膜等人工防渗材料（渗透系数不大于</w:t>
                  </w:r>
                  <w:r>
                    <w:rPr>
                      <w:rFonts w:hint="default"/>
                      <w:color w:val="auto"/>
                      <w:sz w:val="21"/>
                      <w:szCs w:val="21"/>
                      <w:lang w:val="en-US" w:eastAsia="zh-CN"/>
                    </w:rPr>
                    <w:t>10</w:t>
                  </w:r>
                  <w:r>
                    <w:rPr>
                      <w:rFonts w:hint="default"/>
                      <w:color w:val="auto"/>
                      <w:sz w:val="21"/>
                      <w:szCs w:val="21"/>
                      <w:vertAlign w:val="superscript"/>
                      <w:lang w:val="en-US" w:eastAsia="zh-CN"/>
                    </w:rPr>
                    <w:t xml:space="preserve"> -10</w:t>
                  </w:r>
                  <w:r>
                    <w:rPr>
                      <w:rFonts w:hint="default"/>
                      <w:color w:val="auto"/>
                      <w:sz w:val="21"/>
                      <w:szCs w:val="21"/>
                      <w:lang w:val="en-US" w:eastAsia="zh-CN"/>
                    </w:rPr>
                    <w:t>cm/s</w:t>
                  </w:r>
                  <w:r>
                    <w:rPr>
                      <w:rFonts w:hint="eastAsia"/>
                      <w:color w:val="auto"/>
                      <w:sz w:val="21"/>
                      <w:szCs w:val="21"/>
                      <w:lang w:val="en-US" w:eastAsia="zh-CN"/>
                    </w:rPr>
                    <w:t>）</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在物料下方设置托盘，防止其泄漏；在不同物料间增加隔断，分区存放，并在周边张贴禁止火源的标志，四周禁止有火源。</w:t>
                  </w:r>
                </w:p>
                <w:p>
                  <w:pPr>
                    <w:pStyle w:val="84"/>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③设置环保管理机构，建立有环境保护管理制度，定期组织综合应急演练，编制有突发环境事件风险评估和应急预案。</w:t>
                  </w:r>
                </w:p>
              </w:tc>
              <w:tc>
                <w:tcPr>
                  <w:tcW w:w="396" w:type="pct"/>
                  <w:vAlign w:val="center"/>
                </w:tcPr>
                <w:p>
                  <w:pPr>
                    <w:spacing w:line="240" w:lineRule="auto"/>
                    <w:jc w:val="center"/>
                    <w:rPr>
                      <w:color w:val="auto"/>
                      <w:sz w:val="21"/>
                      <w:highlight w:val="none"/>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57" w:type="pct"/>
                  <w:vMerge w:val="continue"/>
                  <w:vAlign w:val="center"/>
                </w:tcPr>
                <w:p>
                  <w:pPr>
                    <w:spacing w:line="240" w:lineRule="auto"/>
                    <w:jc w:val="center"/>
                    <w:rPr>
                      <w:color w:val="auto"/>
                      <w:sz w:val="21"/>
                      <w:highlight w:val="yellow"/>
                    </w:rPr>
                  </w:pPr>
                </w:p>
              </w:tc>
              <w:tc>
                <w:tcPr>
                  <w:tcW w:w="663" w:type="pct"/>
                  <w:vMerge w:val="restart"/>
                  <w:vAlign w:val="center"/>
                </w:tcPr>
                <w:p>
                  <w:pPr>
                    <w:spacing w:line="240" w:lineRule="auto"/>
                    <w:jc w:val="center"/>
                    <w:rPr>
                      <w:color w:val="auto"/>
                      <w:sz w:val="21"/>
                      <w:highlight w:val="none"/>
                    </w:rPr>
                  </w:pPr>
                  <w:r>
                    <w:rPr>
                      <w:color w:val="auto"/>
                      <w:sz w:val="21"/>
                      <w:highlight w:val="none"/>
                    </w:rPr>
                    <w:t>固体</w:t>
                  </w:r>
                </w:p>
                <w:p>
                  <w:pPr>
                    <w:spacing w:line="240" w:lineRule="auto"/>
                    <w:jc w:val="center"/>
                    <w:rPr>
                      <w:color w:val="auto"/>
                      <w:sz w:val="21"/>
                      <w:highlight w:val="none"/>
                    </w:rPr>
                  </w:pPr>
                  <w:r>
                    <w:rPr>
                      <w:color w:val="auto"/>
                      <w:sz w:val="21"/>
                      <w:highlight w:val="none"/>
                    </w:rPr>
                    <w:t>废物</w:t>
                  </w:r>
                </w:p>
              </w:tc>
              <w:tc>
                <w:tcPr>
                  <w:tcW w:w="3682" w:type="pct"/>
                  <w:vAlign w:val="center"/>
                </w:tcPr>
                <w:p>
                  <w:pPr>
                    <w:spacing w:line="240" w:lineRule="auto"/>
                    <w:jc w:val="center"/>
                    <w:rPr>
                      <w:color w:val="auto"/>
                      <w:sz w:val="21"/>
                      <w:highlight w:val="none"/>
                    </w:rPr>
                  </w:pPr>
                  <w:r>
                    <w:rPr>
                      <w:rFonts w:hint="default"/>
                      <w:color w:val="auto"/>
                      <w:sz w:val="21"/>
                      <w:szCs w:val="21"/>
                      <w:highlight w:val="none"/>
                    </w:rPr>
                    <w:t>一般工业固废暂存</w:t>
                  </w:r>
                  <w:r>
                    <w:rPr>
                      <w:rFonts w:hint="default"/>
                      <w:color w:val="auto"/>
                      <w:sz w:val="21"/>
                      <w:szCs w:val="21"/>
                      <w:highlight w:val="none"/>
                      <w:lang w:eastAsia="zh-CN"/>
                    </w:rPr>
                    <w:t>区</w:t>
                  </w:r>
                  <w:r>
                    <w:rPr>
                      <w:rFonts w:hint="default"/>
                      <w:color w:val="auto"/>
                      <w:sz w:val="21"/>
                      <w:szCs w:val="21"/>
                      <w:highlight w:val="none"/>
                    </w:rPr>
                    <w:t>位于</w:t>
                  </w:r>
                  <w:r>
                    <w:rPr>
                      <w:rFonts w:hint="default"/>
                      <w:color w:val="auto"/>
                      <w:sz w:val="21"/>
                      <w:szCs w:val="21"/>
                      <w:highlight w:val="none"/>
                      <w:lang w:eastAsia="zh-CN"/>
                    </w:rPr>
                    <w:t>厂房</w:t>
                  </w:r>
                  <w:r>
                    <w:rPr>
                      <w:rFonts w:hint="eastAsia"/>
                      <w:color w:val="auto"/>
                      <w:sz w:val="21"/>
                      <w:szCs w:val="21"/>
                      <w:highlight w:val="none"/>
                      <w:lang w:val="en-US" w:eastAsia="zh-CN"/>
                    </w:rPr>
                    <w:t>2F</w:t>
                  </w:r>
                  <w:r>
                    <w:rPr>
                      <w:rFonts w:hint="eastAsia"/>
                      <w:color w:val="auto"/>
                      <w:sz w:val="21"/>
                      <w:szCs w:val="21"/>
                      <w:highlight w:val="none"/>
                      <w:lang w:eastAsia="zh-CN"/>
                    </w:rPr>
                    <w:t>南侧</w:t>
                  </w:r>
                  <w:r>
                    <w:rPr>
                      <w:rFonts w:hint="default"/>
                      <w:color w:val="auto"/>
                      <w:sz w:val="21"/>
                      <w:szCs w:val="21"/>
                      <w:highlight w:val="none"/>
                    </w:rPr>
                    <w:t>，面积</w:t>
                  </w:r>
                  <w:r>
                    <w:rPr>
                      <w:rFonts w:hint="eastAsia"/>
                      <w:color w:val="auto"/>
                      <w:sz w:val="21"/>
                      <w:szCs w:val="21"/>
                      <w:highlight w:val="none"/>
                      <w:lang w:val="en-US" w:eastAsia="zh-CN"/>
                    </w:rPr>
                    <w:t>60</w:t>
                  </w:r>
                  <w:r>
                    <w:rPr>
                      <w:rFonts w:hint="default"/>
                      <w:color w:val="auto"/>
                      <w:sz w:val="21"/>
                      <w:szCs w:val="21"/>
                      <w:highlight w:val="none"/>
                    </w:rPr>
                    <w:t>m</w:t>
                  </w:r>
                  <w:r>
                    <w:rPr>
                      <w:rFonts w:hint="default"/>
                      <w:color w:val="auto"/>
                      <w:sz w:val="21"/>
                      <w:szCs w:val="21"/>
                      <w:highlight w:val="none"/>
                      <w:vertAlign w:val="superscript"/>
                    </w:rPr>
                    <w:t>2</w:t>
                  </w:r>
                  <w:r>
                    <w:rPr>
                      <w:rFonts w:hint="default"/>
                      <w:color w:val="auto"/>
                      <w:sz w:val="21"/>
                      <w:szCs w:val="21"/>
                      <w:highlight w:val="none"/>
                    </w:rPr>
                    <w:t>，</w:t>
                  </w:r>
                  <w:r>
                    <w:rPr>
                      <w:rFonts w:hint="eastAsia"/>
                      <w:color w:val="auto"/>
                      <w:sz w:val="21"/>
                      <w:szCs w:val="21"/>
                      <w:highlight w:val="none"/>
                      <w:lang w:eastAsia="zh-CN"/>
                    </w:rPr>
                    <w:t>暂存要为边角料</w:t>
                  </w:r>
                  <w:r>
                    <w:rPr>
                      <w:rFonts w:hint="default"/>
                      <w:color w:val="auto"/>
                      <w:sz w:val="21"/>
                      <w:szCs w:val="21"/>
                      <w:highlight w:val="none"/>
                      <w:lang w:eastAsia="zh-CN"/>
                    </w:rPr>
                    <w:t>。</w:t>
                  </w:r>
                  <w:r>
                    <w:rPr>
                      <w:rFonts w:hint="eastAsia"/>
                      <w:color w:val="auto"/>
                      <w:sz w:val="21"/>
                      <w:szCs w:val="21"/>
                      <w:highlight w:val="none"/>
                      <w:lang w:eastAsia="zh-CN"/>
                    </w:rPr>
                    <w:t>一般工业固废暂存区贮存过程应该满足相应防渗、防雨淋、防扬尘等环保要求；一般工业固废执行《一般固体废物分类与代码》（GB/T39198-2020）。</w:t>
                  </w:r>
                </w:p>
              </w:tc>
              <w:tc>
                <w:tcPr>
                  <w:tcW w:w="396" w:type="pct"/>
                  <w:vMerge w:val="restart"/>
                  <w:vAlign w:val="center"/>
                </w:tcPr>
                <w:p>
                  <w:pPr>
                    <w:spacing w:line="240" w:lineRule="auto"/>
                    <w:jc w:val="center"/>
                    <w:rPr>
                      <w:color w:val="auto"/>
                      <w:sz w:val="21"/>
                      <w:highlight w:val="none"/>
                    </w:rPr>
                  </w:pPr>
                  <w:r>
                    <w:rPr>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57" w:type="pct"/>
                  <w:vMerge w:val="continue"/>
                  <w:vAlign w:val="center"/>
                </w:tcPr>
                <w:p>
                  <w:pPr>
                    <w:spacing w:line="240" w:lineRule="auto"/>
                    <w:jc w:val="center"/>
                    <w:rPr>
                      <w:color w:val="auto"/>
                    </w:rPr>
                  </w:pPr>
                </w:p>
              </w:tc>
              <w:tc>
                <w:tcPr>
                  <w:tcW w:w="663" w:type="pct"/>
                  <w:vMerge w:val="continue"/>
                  <w:vAlign w:val="center"/>
                </w:tcPr>
                <w:p>
                  <w:pPr>
                    <w:spacing w:line="240" w:lineRule="auto"/>
                    <w:jc w:val="center"/>
                    <w:rPr>
                      <w:color w:val="auto"/>
                    </w:rPr>
                  </w:pPr>
                </w:p>
              </w:tc>
              <w:tc>
                <w:tcPr>
                  <w:tcW w:w="3682" w:type="pct"/>
                  <w:vAlign w:val="center"/>
                </w:tcPr>
                <w:p>
                  <w:pPr>
                    <w:spacing w:line="240" w:lineRule="auto"/>
                    <w:jc w:val="center"/>
                    <w:rPr>
                      <w:color w:val="auto"/>
                      <w:sz w:val="21"/>
                      <w:highlight w:val="none"/>
                    </w:rPr>
                  </w:pPr>
                  <w:r>
                    <w:rPr>
                      <w:rFonts w:hint="default"/>
                      <w:color w:val="auto"/>
                      <w:sz w:val="21"/>
                      <w:szCs w:val="21"/>
                      <w:highlight w:val="none"/>
                      <w:lang w:val="en-US" w:eastAsia="zh-CN"/>
                    </w:rPr>
                    <w:t>危废暂存间</w:t>
                  </w:r>
                  <w:r>
                    <w:rPr>
                      <w:rFonts w:hint="default"/>
                      <w:color w:val="auto"/>
                      <w:sz w:val="21"/>
                      <w:szCs w:val="21"/>
                      <w:highlight w:val="none"/>
                      <w:lang w:eastAsia="zh-CN"/>
                    </w:rPr>
                    <w:t>厂房</w:t>
                  </w:r>
                  <w:r>
                    <w:rPr>
                      <w:rFonts w:hint="eastAsia"/>
                      <w:color w:val="auto"/>
                      <w:sz w:val="21"/>
                      <w:szCs w:val="21"/>
                      <w:highlight w:val="none"/>
                      <w:lang w:val="en-US" w:eastAsia="zh-CN"/>
                    </w:rPr>
                    <w:t>2F</w:t>
                  </w:r>
                  <w:r>
                    <w:rPr>
                      <w:rFonts w:hint="eastAsia" w:cs="Times New Roman"/>
                      <w:color w:val="auto"/>
                      <w:kern w:val="2"/>
                      <w:sz w:val="21"/>
                      <w:szCs w:val="24"/>
                      <w:highlight w:val="none"/>
                      <w:lang w:val="en-US" w:eastAsia="zh-CN" w:bidi="ar-SA"/>
                    </w:rPr>
                    <w:t>东南侧</w:t>
                  </w:r>
                  <w:r>
                    <w:rPr>
                      <w:rFonts w:hint="default"/>
                      <w:color w:val="auto"/>
                      <w:sz w:val="21"/>
                      <w:szCs w:val="21"/>
                      <w:highlight w:val="none"/>
                    </w:rPr>
                    <w:t>，面积</w:t>
                  </w:r>
                  <w:r>
                    <w:rPr>
                      <w:rFonts w:hint="eastAsia"/>
                      <w:color w:val="auto"/>
                      <w:sz w:val="21"/>
                      <w:szCs w:val="21"/>
                      <w:highlight w:val="none"/>
                      <w:lang w:val="en-US" w:eastAsia="zh-CN"/>
                    </w:rPr>
                    <w:t>10</w:t>
                  </w:r>
                  <w:r>
                    <w:rPr>
                      <w:rFonts w:hint="default"/>
                      <w:color w:val="auto"/>
                      <w:sz w:val="21"/>
                      <w:szCs w:val="21"/>
                      <w:highlight w:val="none"/>
                    </w:rPr>
                    <w:t>m</w:t>
                  </w:r>
                  <w:r>
                    <w:rPr>
                      <w:rFonts w:hint="default"/>
                      <w:color w:val="auto"/>
                      <w:sz w:val="21"/>
                      <w:szCs w:val="21"/>
                      <w:highlight w:val="none"/>
                      <w:vertAlign w:val="superscript"/>
                    </w:rPr>
                    <w:t>2</w:t>
                  </w:r>
                  <w:r>
                    <w:rPr>
                      <w:rFonts w:hint="default"/>
                      <w:color w:val="auto"/>
                      <w:sz w:val="21"/>
                      <w:szCs w:val="21"/>
                      <w:highlight w:val="none"/>
                      <w:lang w:eastAsia="zh-CN"/>
                    </w:rPr>
                    <w:t>，</w:t>
                  </w:r>
                  <w:r>
                    <w:rPr>
                      <w:rFonts w:hint="default"/>
                      <w:color w:val="auto"/>
                      <w:sz w:val="21"/>
                      <w:szCs w:val="21"/>
                      <w:highlight w:val="none"/>
                    </w:rPr>
                    <w:t>暂存废润滑油、废含油棉纱手套、废润滑油桶</w:t>
                  </w:r>
                  <w:r>
                    <w:rPr>
                      <w:rFonts w:hint="eastAsia"/>
                      <w:color w:val="auto"/>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bidi="ar"/>
                    </w:rPr>
                    <w:t>废活性炭</w:t>
                  </w:r>
                  <w:r>
                    <w:rPr>
                      <w:rFonts w:hint="eastAsia" w:cs="Times New Roman"/>
                      <w:color w:val="auto"/>
                      <w:kern w:val="0"/>
                      <w:sz w:val="21"/>
                      <w:szCs w:val="21"/>
                      <w:highlight w:val="none"/>
                      <w:lang w:val="en-US" w:eastAsia="zh-CN" w:bidi="ar"/>
                    </w:rPr>
                    <w:t>、空压机含油废液、废胶桶</w:t>
                  </w:r>
                  <w:r>
                    <w:rPr>
                      <w:rFonts w:hint="default"/>
                      <w:color w:val="auto"/>
                      <w:sz w:val="21"/>
                      <w:szCs w:val="21"/>
                      <w:highlight w:val="none"/>
                      <w:lang w:eastAsia="zh-CN"/>
                    </w:rPr>
                    <w:t>；危险废物</w:t>
                  </w:r>
                  <w:r>
                    <w:rPr>
                      <w:rFonts w:hint="default"/>
                      <w:color w:val="auto"/>
                      <w:sz w:val="21"/>
                      <w:szCs w:val="21"/>
                      <w:highlight w:val="none"/>
                    </w:rPr>
                    <w:t>定期交有危废处理资质的单位转运、处理；危废间满足</w:t>
                  </w:r>
                  <w:r>
                    <w:rPr>
                      <w:rFonts w:hint="eastAsia"/>
                      <w:color w:val="auto"/>
                      <w:sz w:val="21"/>
                      <w:szCs w:val="21"/>
                      <w:highlight w:val="none"/>
                    </w:rPr>
                    <w:t>《危险废物贮存污染控制标准》</w:t>
                  </w:r>
                  <w:r>
                    <w:rPr>
                      <w:rFonts w:hint="default"/>
                      <w:color w:val="auto"/>
                      <w:sz w:val="21"/>
                      <w:szCs w:val="21"/>
                      <w:highlight w:val="none"/>
                    </w:rPr>
                    <w:t>（GB18597-20</w:t>
                  </w:r>
                  <w:r>
                    <w:rPr>
                      <w:rFonts w:hint="eastAsia"/>
                      <w:color w:val="auto"/>
                      <w:sz w:val="21"/>
                      <w:szCs w:val="21"/>
                      <w:highlight w:val="none"/>
                      <w:lang w:val="en-US" w:eastAsia="zh-CN"/>
                    </w:rPr>
                    <w:t>23</w:t>
                  </w:r>
                  <w:r>
                    <w:rPr>
                      <w:rFonts w:hint="default"/>
                      <w:color w:val="auto"/>
                      <w:sz w:val="21"/>
                      <w:szCs w:val="21"/>
                      <w:highlight w:val="none"/>
                    </w:rPr>
                    <w:t>）要求，危废暂存间应按要求采取“四防”措施，配置托盘，与有危废处理资质单位签订危废处置合同，执行《危险废物转移管理办法》中转移申报及转移联单相关规定。</w:t>
                  </w:r>
                </w:p>
              </w:tc>
              <w:tc>
                <w:tcPr>
                  <w:tcW w:w="396" w:type="pct"/>
                  <w:vMerge w:val="continue"/>
                  <w:vAlign w:val="center"/>
                </w:tcPr>
                <w:p>
                  <w:pPr>
                    <w:spacing w:line="240" w:lineRule="auto"/>
                    <w:jc w:val="center"/>
                    <w:rPr>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57" w:type="pct"/>
                  <w:vMerge w:val="continue"/>
                  <w:vAlign w:val="center"/>
                </w:tcPr>
                <w:p>
                  <w:pPr>
                    <w:spacing w:line="240" w:lineRule="auto"/>
                    <w:jc w:val="center"/>
                    <w:rPr>
                      <w:color w:val="auto"/>
                      <w:sz w:val="21"/>
                      <w:highlight w:val="none"/>
                    </w:rPr>
                  </w:pPr>
                </w:p>
              </w:tc>
              <w:tc>
                <w:tcPr>
                  <w:tcW w:w="663" w:type="pct"/>
                  <w:vMerge w:val="continue"/>
                  <w:vAlign w:val="center"/>
                </w:tcPr>
                <w:p>
                  <w:pPr>
                    <w:spacing w:line="240" w:lineRule="auto"/>
                    <w:jc w:val="center"/>
                    <w:rPr>
                      <w:color w:val="auto"/>
                      <w:sz w:val="21"/>
                      <w:highlight w:val="none"/>
                    </w:rPr>
                  </w:pPr>
                </w:p>
              </w:tc>
              <w:tc>
                <w:tcPr>
                  <w:tcW w:w="3682" w:type="pct"/>
                  <w:vAlign w:val="center"/>
                </w:tcPr>
                <w:p>
                  <w:pPr>
                    <w:spacing w:line="240" w:lineRule="auto"/>
                    <w:jc w:val="center"/>
                    <w:rPr>
                      <w:color w:val="auto"/>
                      <w:sz w:val="21"/>
                      <w:highlight w:val="none"/>
                    </w:rPr>
                  </w:pPr>
                  <w:r>
                    <w:rPr>
                      <w:rFonts w:hint="default"/>
                      <w:color w:val="auto"/>
                      <w:sz w:val="21"/>
                      <w:szCs w:val="21"/>
                      <w:highlight w:val="none"/>
                    </w:rPr>
                    <w:t>生活垃圾收集后交环卫清运。</w:t>
                  </w:r>
                </w:p>
              </w:tc>
              <w:tc>
                <w:tcPr>
                  <w:tcW w:w="396" w:type="pct"/>
                  <w:vMerge w:val="continue"/>
                  <w:vAlign w:val="center"/>
                </w:tcPr>
                <w:p>
                  <w:pPr>
                    <w:spacing w:line="240" w:lineRule="auto"/>
                    <w:jc w:val="center"/>
                    <w:rPr>
                      <w:color w:val="auto"/>
                      <w:sz w:val="21"/>
                      <w:highlight w:val="none"/>
                    </w:rPr>
                  </w:pPr>
                </w:p>
              </w:tc>
            </w:tr>
          </w:tbl>
          <w:p>
            <w:pPr>
              <w:pStyle w:val="66"/>
              <w:spacing w:line="312" w:lineRule="auto"/>
              <w:ind w:firstLine="0" w:firstLineChars="0"/>
              <w:rPr>
                <w:rFonts w:hint="default" w:eastAsia="宋体" w:cs="Times New Roman"/>
                <w:color w:val="auto"/>
                <w:sz w:val="24"/>
                <w:szCs w:val="24"/>
                <w:lang w:val="en-US" w:eastAsia="zh-CN"/>
              </w:rPr>
            </w:pPr>
            <w:r>
              <w:rPr>
                <w:rFonts w:hint="eastAsia"/>
                <w:b/>
                <w:bCs/>
                <w:color w:val="auto"/>
                <w:sz w:val="24"/>
                <w:szCs w:val="24"/>
                <w:lang w:val="en-US" w:eastAsia="zh-CN"/>
              </w:rPr>
              <w:t>2.2产品方案</w:t>
            </w:r>
          </w:p>
          <w:p>
            <w:pPr>
              <w:pStyle w:val="39"/>
              <w:adjustRightInd/>
              <w:snapToGrid/>
              <w:spacing w:before="0" w:after="0" w:line="240" w:lineRule="auto"/>
              <w:ind w:right="0"/>
              <w:rPr>
                <w:b w:val="0"/>
                <w:bCs/>
                <w:color w:val="auto"/>
              </w:rPr>
            </w:pPr>
            <w:r>
              <w:rPr>
                <w:b w:val="0"/>
                <w:bCs/>
                <w:color w:val="auto"/>
              </w:rPr>
              <w:t>表2.</w:t>
            </w:r>
            <w:r>
              <w:rPr>
                <w:rFonts w:hint="eastAsia"/>
                <w:b w:val="0"/>
                <w:bCs/>
                <w:color w:val="auto"/>
                <w:lang w:val="en-US" w:eastAsia="zh-CN"/>
              </w:rPr>
              <w:t>2</w:t>
            </w:r>
            <w:r>
              <w:rPr>
                <w:b w:val="0"/>
                <w:bCs/>
                <w:color w:val="auto"/>
              </w:rPr>
              <w:t>-1 项目产品方案一览表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037"/>
              <w:gridCol w:w="1308"/>
              <w:gridCol w:w="739"/>
              <w:gridCol w:w="2"/>
              <w:gridCol w:w="741"/>
              <w:gridCol w:w="1887"/>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Align w:val="center"/>
                </w:tcPr>
                <w:p>
                  <w:pPr>
                    <w:spacing w:line="240" w:lineRule="auto"/>
                    <w:jc w:val="center"/>
                    <w:rPr>
                      <w:rFonts w:hint="eastAsia" w:eastAsia="宋体"/>
                      <w:color w:val="auto"/>
                      <w:sz w:val="21"/>
                      <w:szCs w:val="21"/>
                      <w:vertAlign w:val="baseline"/>
                      <w:lang w:eastAsia="zh-CN"/>
                    </w:rPr>
                  </w:pPr>
                  <w:r>
                    <w:rPr>
                      <w:rFonts w:hint="eastAsia"/>
                      <w:color w:val="auto"/>
                      <w:sz w:val="21"/>
                      <w:szCs w:val="21"/>
                      <w:vertAlign w:val="baseline"/>
                      <w:lang w:eastAsia="zh-CN"/>
                    </w:rPr>
                    <w:t>序号</w:t>
                  </w:r>
                </w:p>
              </w:tc>
              <w:tc>
                <w:tcPr>
                  <w:tcW w:w="1426" w:type="pct"/>
                  <w:gridSpan w:val="2"/>
                  <w:vAlign w:val="center"/>
                </w:tcPr>
                <w:p>
                  <w:p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eastAsia="zh-CN"/>
                    </w:rPr>
                    <w:t>产品名称</w:t>
                  </w:r>
                </w:p>
              </w:tc>
              <w:tc>
                <w:tcPr>
                  <w:tcW w:w="900" w:type="pct"/>
                  <w:gridSpan w:val="3"/>
                  <w:vAlign w:val="center"/>
                </w:tcPr>
                <w:p>
                  <w:pPr>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年产量（</w:t>
                  </w:r>
                  <w:r>
                    <w:rPr>
                      <w:rFonts w:hint="eastAsia"/>
                      <w:color w:val="auto"/>
                      <w:sz w:val="21"/>
                      <w:szCs w:val="21"/>
                      <w:vertAlign w:val="baseline"/>
                      <w:lang w:val="en-US" w:eastAsia="zh-CN"/>
                    </w:rPr>
                    <w:t>t</w:t>
                  </w:r>
                  <w:r>
                    <w:rPr>
                      <w:rFonts w:hint="eastAsia"/>
                      <w:color w:val="auto"/>
                      <w:sz w:val="21"/>
                      <w:szCs w:val="21"/>
                      <w:vertAlign w:val="baseline"/>
                      <w:lang w:eastAsia="zh-CN"/>
                    </w:rPr>
                    <w:t>）</w:t>
                  </w:r>
                </w:p>
              </w:tc>
              <w:tc>
                <w:tcPr>
                  <w:tcW w:w="1147" w:type="pct"/>
                  <w:vAlign w:val="center"/>
                </w:tcPr>
                <w:p>
                  <w:pPr>
                    <w:spacing w:line="240" w:lineRule="auto"/>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eastAsia="zh-CN"/>
                    </w:rPr>
                    <w:t>宽度规格</w:t>
                  </w:r>
                  <w:r>
                    <w:rPr>
                      <w:rFonts w:hint="eastAsia"/>
                      <w:color w:val="auto"/>
                      <w:sz w:val="21"/>
                      <w:szCs w:val="21"/>
                      <w:vertAlign w:val="baseline"/>
                      <w:lang w:val="en-US" w:eastAsia="zh-CN"/>
                    </w:rPr>
                    <w:t>cm</w:t>
                  </w:r>
                </w:p>
              </w:tc>
              <w:tc>
                <w:tcPr>
                  <w:tcW w:w="1164"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对应原料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restart"/>
                  <w:vAlign w:val="center"/>
                </w:tcPr>
                <w:p>
                  <w:pPr>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631" w:type="pct"/>
                  <w:vMerge w:val="restart"/>
                  <w:vAlign w:val="center"/>
                </w:tcPr>
                <w:p>
                  <w:pPr>
                    <w:spacing w:line="240" w:lineRule="auto"/>
                    <w:jc w:val="center"/>
                    <w:rPr>
                      <w:rFonts w:hint="default" w:eastAsia="宋体"/>
                      <w:color w:val="auto"/>
                      <w:sz w:val="21"/>
                      <w:szCs w:val="21"/>
                      <w:vertAlign w:val="baseline"/>
                      <w:lang w:val="en-US" w:eastAsia="zh-CN"/>
                    </w:rPr>
                  </w:pPr>
                  <w:r>
                    <w:rPr>
                      <w:rFonts w:hint="default" w:eastAsia="宋体"/>
                      <w:color w:val="auto"/>
                      <w:sz w:val="21"/>
                      <w:szCs w:val="21"/>
                      <w:vertAlign w:val="baseline"/>
                      <w:lang w:val="en-US" w:eastAsia="zh-CN"/>
                    </w:rPr>
                    <w:t>包装用品</w:t>
                  </w:r>
                </w:p>
              </w:tc>
              <w:tc>
                <w:tcPr>
                  <w:tcW w:w="795" w:type="pct"/>
                  <w:vMerge w:val="restart"/>
                  <w:vAlign w:val="center"/>
                </w:tcPr>
                <w:p>
                  <w:pPr>
                    <w:spacing w:line="240" w:lineRule="auto"/>
                    <w:jc w:val="center"/>
                    <w:rPr>
                      <w:rFonts w:hint="default" w:eastAsia="宋体"/>
                      <w:color w:val="auto"/>
                      <w:sz w:val="21"/>
                      <w:szCs w:val="21"/>
                      <w:vertAlign w:val="baseline"/>
                      <w:lang w:val="en-US" w:eastAsia="zh-CN"/>
                    </w:rPr>
                  </w:pPr>
                  <w:r>
                    <w:rPr>
                      <w:rFonts w:hint="default" w:eastAsia="宋体"/>
                      <w:color w:val="auto"/>
                      <w:sz w:val="21"/>
                      <w:szCs w:val="21"/>
                      <w:vertAlign w:val="baseline"/>
                      <w:lang w:val="en-US" w:eastAsia="zh-CN"/>
                    </w:rPr>
                    <w:t>封口</w:t>
                  </w:r>
                  <w:r>
                    <w:rPr>
                      <w:rFonts w:hint="default"/>
                      <w:color w:val="auto"/>
                      <w:sz w:val="21"/>
                      <w:szCs w:val="21"/>
                      <w:vertAlign w:val="baseline"/>
                      <w:lang w:val="en-US" w:eastAsia="zh-CN"/>
                    </w:rPr>
                    <w:t>胶带</w:t>
                  </w:r>
                </w:p>
              </w:tc>
              <w:tc>
                <w:tcPr>
                  <w:tcW w:w="449" w:type="pct"/>
                  <w:vMerge w:val="restart"/>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900</w:t>
                  </w:r>
                </w:p>
              </w:tc>
              <w:tc>
                <w:tcPr>
                  <w:tcW w:w="451" w:type="pct"/>
                  <w:gridSpan w:val="2"/>
                  <w:vAlign w:val="center"/>
                </w:tcPr>
                <w:p>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650</w:t>
                  </w:r>
                </w:p>
              </w:tc>
              <w:tc>
                <w:tcPr>
                  <w:tcW w:w="1147" w:type="pct"/>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5.5~18.0</w:t>
                  </w:r>
                </w:p>
              </w:tc>
              <w:tc>
                <w:tcPr>
                  <w:tcW w:w="1164" w:type="pct"/>
                  <w:vMerge w:val="restart"/>
                  <w:vAlign w:val="center"/>
                </w:tcPr>
                <w:p>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1174.406t/a包装用品半成品、50t/a纸芯（茶板纸、白纸、白乳胶）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361" w:type="pct"/>
                  <w:vMerge w:val="continue"/>
                  <w:vAlign w:val="center"/>
                </w:tcPr>
                <w:p>
                  <w:pPr>
                    <w:spacing w:line="240" w:lineRule="auto"/>
                    <w:jc w:val="center"/>
                    <w:rPr>
                      <w:color w:val="auto"/>
                    </w:rPr>
                  </w:pPr>
                </w:p>
              </w:tc>
              <w:tc>
                <w:tcPr>
                  <w:tcW w:w="631" w:type="pct"/>
                  <w:vMerge w:val="continue"/>
                  <w:vAlign w:val="center"/>
                </w:tcPr>
                <w:p>
                  <w:pPr>
                    <w:spacing w:line="240" w:lineRule="auto"/>
                    <w:jc w:val="center"/>
                    <w:rPr>
                      <w:color w:val="auto"/>
                    </w:rPr>
                  </w:pPr>
                </w:p>
              </w:tc>
              <w:tc>
                <w:tcPr>
                  <w:tcW w:w="795" w:type="pct"/>
                  <w:vMerge w:val="continue"/>
                  <w:vAlign w:val="center"/>
                </w:tcPr>
                <w:p>
                  <w:pPr>
                    <w:spacing w:line="240" w:lineRule="auto"/>
                    <w:jc w:val="center"/>
                    <w:rPr>
                      <w:color w:val="auto"/>
                    </w:rPr>
                  </w:pPr>
                </w:p>
              </w:tc>
              <w:tc>
                <w:tcPr>
                  <w:tcW w:w="449" w:type="pct"/>
                  <w:vMerge w:val="continue"/>
                  <w:vAlign w:val="center"/>
                </w:tcPr>
                <w:p>
                  <w:pPr>
                    <w:spacing w:line="240" w:lineRule="auto"/>
                    <w:jc w:val="center"/>
                    <w:rPr>
                      <w:color w:val="auto"/>
                    </w:rPr>
                  </w:pPr>
                </w:p>
              </w:tc>
              <w:tc>
                <w:tcPr>
                  <w:tcW w:w="451" w:type="pct"/>
                  <w:gridSpan w:val="2"/>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250</w:t>
                  </w:r>
                </w:p>
              </w:tc>
              <w:tc>
                <w:tcPr>
                  <w:tcW w:w="1147" w:type="pct"/>
                  <w:vAlign w:val="center"/>
                </w:tcPr>
                <w:p>
                  <w:pPr>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18.0~28.0</w:t>
                  </w:r>
                </w:p>
              </w:tc>
              <w:tc>
                <w:tcPr>
                  <w:tcW w:w="1164" w:type="pct"/>
                  <w:vMerge w:val="continue"/>
                  <w:vAlign w:val="center"/>
                </w:tcPr>
                <w:p>
                  <w:pPr>
                    <w:spacing w:line="240" w:lineRule="auto"/>
                    <w:jc w:val="center"/>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continue"/>
                  <w:vAlign w:val="center"/>
                </w:tcPr>
                <w:p>
                  <w:pPr>
                    <w:spacing w:line="240" w:lineRule="auto"/>
                    <w:jc w:val="center"/>
                    <w:rPr>
                      <w:rFonts w:hint="default"/>
                      <w:color w:val="auto"/>
                      <w:sz w:val="21"/>
                      <w:szCs w:val="21"/>
                      <w:vertAlign w:val="baseline"/>
                      <w:lang w:val="en-US" w:eastAsia="zh-CN"/>
                    </w:rPr>
                  </w:pPr>
                </w:p>
              </w:tc>
              <w:tc>
                <w:tcPr>
                  <w:tcW w:w="631" w:type="pct"/>
                  <w:vMerge w:val="continue"/>
                  <w:vAlign w:val="center"/>
                </w:tcPr>
                <w:p>
                  <w:pPr>
                    <w:spacing w:line="240" w:lineRule="auto"/>
                    <w:jc w:val="center"/>
                    <w:rPr>
                      <w:rFonts w:hint="default"/>
                      <w:color w:val="auto"/>
                      <w:sz w:val="21"/>
                      <w:szCs w:val="21"/>
                      <w:vertAlign w:val="baseline"/>
                      <w:lang w:val="en-US" w:eastAsia="zh-CN"/>
                    </w:rPr>
                  </w:pPr>
                </w:p>
              </w:tc>
              <w:tc>
                <w:tcPr>
                  <w:tcW w:w="795" w:type="pct"/>
                  <w:vAlign w:val="center"/>
                </w:tcPr>
                <w:p>
                  <w:pPr>
                    <w:spacing w:line="240" w:lineRule="auto"/>
                    <w:jc w:val="center"/>
                    <w:rPr>
                      <w:rFonts w:hint="default"/>
                      <w:color w:val="auto"/>
                      <w:sz w:val="21"/>
                      <w:szCs w:val="21"/>
                      <w:vertAlign w:val="baseline"/>
                      <w:lang w:val="en-US" w:eastAsia="zh-CN"/>
                    </w:rPr>
                  </w:pPr>
                  <w:r>
                    <w:rPr>
                      <w:rFonts w:hint="default"/>
                      <w:color w:val="auto"/>
                      <w:sz w:val="21"/>
                      <w:szCs w:val="21"/>
                      <w:vertAlign w:val="baseline"/>
                      <w:lang w:val="en-US" w:eastAsia="zh-CN"/>
                    </w:rPr>
                    <w:t>双面胶带</w:t>
                  </w:r>
                </w:p>
              </w:tc>
              <w:tc>
                <w:tcPr>
                  <w:tcW w:w="900" w:type="pct"/>
                  <w:gridSpan w:val="3"/>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200</w:t>
                  </w:r>
                </w:p>
              </w:tc>
              <w:tc>
                <w:tcPr>
                  <w:tcW w:w="1147" w:type="pct"/>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1.0~4.0</w:t>
                  </w:r>
                </w:p>
              </w:tc>
              <w:tc>
                <w:tcPr>
                  <w:tcW w:w="1164" w:type="pct"/>
                  <w:vMerge w:val="continue"/>
                  <w:vAlign w:val="center"/>
                </w:tcPr>
                <w:p>
                  <w:pPr>
                    <w:spacing w:line="240" w:lineRule="auto"/>
                    <w:jc w:val="center"/>
                    <w:rPr>
                      <w:rFonts w:hint="eastAsia"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vAlign w:val="center"/>
                </w:tcPr>
                <w:p>
                  <w:pPr>
                    <w:spacing w:line="240" w:lineRule="auto"/>
                    <w:jc w:val="center"/>
                    <w:rPr>
                      <w:rFonts w:hint="default"/>
                      <w:color w:val="auto"/>
                      <w:sz w:val="21"/>
                      <w:szCs w:val="21"/>
                      <w:vertAlign w:val="baseline"/>
                      <w:lang w:val="en-US" w:eastAsia="zh-CN"/>
                    </w:rPr>
                  </w:pPr>
                </w:p>
              </w:tc>
              <w:tc>
                <w:tcPr>
                  <w:tcW w:w="631" w:type="pct"/>
                  <w:vMerge w:val="continue"/>
                  <w:vAlign w:val="center"/>
                </w:tcPr>
                <w:p>
                  <w:pPr>
                    <w:spacing w:line="240" w:lineRule="auto"/>
                    <w:jc w:val="center"/>
                    <w:rPr>
                      <w:rFonts w:hint="default" w:eastAsia="宋体"/>
                      <w:color w:val="auto"/>
                      <w:sz w:val="21"/>
                      <w:szCs w:val="21"/>
                      <w:vertAlign w:val="baseline"/>
                      <w:lang w:val="en-US" w:eastAsia="zh-CN"/>
                    </w:rPr>
                  </w:pPr>
                </w:p>
              </w:tc>
              <w:tc>
                <w:tcPr>
                  <w:tcW w:w="795" w:type="pct"/>
                  <w:vAlign w:val="center"/>
                </w:tcPr>
                <w:p>
                  <w:pPr>
                    <w:spacing w:line="240" w:lineRule="auto"/>
                    <w:jc w:val="center"/>
                    <w:rPr>
                      <w:rFonts w:hint="default"/>
                      <w:color w:val="auto"/>
                      <w:sz w:val="21"/>
                      <w:szCs w:val="21"/>
                      <w:vertAlign w:val="baseline"/>
                      <w:lang w:val="en-US" w:eastAsia="zh-CN"/>
                    </w:rPr>
                  </w:pPr>
                  <w:r>
                    <w:rPr>
                      <w:rFonts w:hint="default"/>
                      <w:color w:val="auto"/>
                      <w:sz w:val="21"/>
                      <w:szCs w:val="21"/>
                      <w:vertAlign w:val="baseline"/>
                      <w:lang w:val="en-US" w:eastAsia="zh-CN"/>
                    </w:rPr>
                    <w:t>防水胶带</w:t>
                  </w:r>
                </w:p>
              </w:tc>
              <w:tc>
                <w:tcPr>
                  <w:tcW w:w="900" w:type="pct"/>
                  <w:gridSpan w:val="3"/>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w:t>
                  </w:r>
                </w:p>
              </w:tc>
              <w:tc>
                <w:tcPr>
                  <w:tcW w:w="1147" w:type="pct"/>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3.0~4.0</w:t>
                  </w:r>
                </w:p>
              </w:tc>
              <w:tc>
                <w:tcPr>
                  <w:tcW w:w="1164" w:type="pct"/>
                  <w:vMerge w:val="continue"/>
                  <w:vAlign w:val="center"/>
                </w:tcPr>
                <w:p>
                  <w:pPr>
                    <w:spacing w:line="240" w:lineRule="auto"/>
                    <w:jc w:val="center"/>
                    <w:rPr>
                      <w:rFonts w:hint="eastAsia"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continue"/>
                  <w:vAlign w:val="center"/>
                </w:tcPr>
                <w:p>
                  <w:pPr>
                    <w:spacing w:line="240" w:lineRule="auto"/>
                    <w:jc w:val="center"/>
                    <w:rPr>
                      <w:rFonts w:hint="default"/>
                      <w:color w:val="auto"/>
                      <w:sz w:val="21"/>
                      <w:szCs w:val="21"/>
                      <w:vertAlign w:val="baseline"/>
                      <w:lang w:val="en-US" w:eastAsia="zh-CN"/>
                    </w:rPr>
                  </w:pPr>
                </w:p>
              </w:tc>
              <w:tc>
                <w:tcPr>
                  <w:tcW w:w="631" w:type="pct"/>
                  <w:vMerge w:val="continue"/>
                  <w:vAlign w:val="center"/>
                </w:tcPr>
                <w:p>
                  <w:pPr>
                    <w:spacing w:line="240" w:lineRule="auto"/>
                    <w:jc w:val="center"/>
                    <w:rPr>
                      <w:rFonts w:hint="eastAsia"/>
                      <w:color w:val="auto"/>
                      <w:sz w:val="21"/>
                      <w:szCs w:val="21"/>
                      <w:vertAlign w:val="baseline"/>
                      <w:lang w:val="en-US" w:eastAsia="zh-CN"/>
                    </w:rPr>
                  </w:pPr>
                </w:p>
              </w:tc>
              <w:tc>
                <w:tcPr>
                  <w:tcW w:w="795" w:type="pct"/>
                  <w:vMerge w:val="restart"/>
                  <w:vAlign w:val="center"/>
                </w:tcPr>
                <w:p>
                  <w:pPr>
                    <w:spacing w:line="240" w:lineRule="auto"/>
                    <w:jc w:val="center"/>
                    <w:rPr>
                      <w:rFonts w:hint="default"/>
                      <w:color w:val="auto"/>
                      <w:sz w:val="21"/>
                      <w:szCs w:val="21"/>
                      <w:vertAlign w:val="baseline"/>
                      <w:lang w:val="en-US" w:eastAsia="zh-CN"/>
                    </w:rPr>
                  </w:pPr>
                  <w:r>
                    <w:rPr>
                      <w:rFonts w:hint="default"/>
                      <w:color w:val="auto"/>
                      <w:sz w:val="21"/>
                      <w:szCs w:val="21"/>
                      <w:vertAlign w:val="baseline"/>
                      <w:lang w:val="en-US" w:eastAsia="zh-CN"/>
                    </w:rPr>
                    <w:t>美纹纸</w:t>
                  </w:r>
                </w:p>
              </w:tc>
              <w:tc>
                <w:tcPr>
                  <w:tcW w:w="449" w:type="pct"/>
                  <w:vMerge w:val="restart"/>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w:t>
                  </w:r>
                </w:p>
              </w:tc>
              <w:tc>
                <w:tcPr>
                  <w:tcW w:w="451" w:type="pct"/>
                  <w:gridSpan w:val="2"/>
                  <w:vAlign w:val="center"/>
                </w:tcPr>
                <w:p>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w:t>
                  </w:r>
                </w:p>
              </w:tc>
              <w:tc>
                <w:tcPr>
                  <w:tcW w:w="1147" w:type="pct"/>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1.0~18.0</w:t>
                  </w:r>
                </w:p>
              </w:tc>
              <w:tc>
                <w:tcPr>
                  <w:tcW w:w="1164" w:type="pct"/>
                  <w:vMerge w:val="continue"/>
                  <w:vAlign w:val="center"/>
                </w:tcPr>
                <w:p>
                  <w:pPr>
                    <w:spacing w:line="240" w:lineRule="auto"/>
                    <w:jc w:val="center"/>
                    <w:rPr>
                      <w:rFonts w:hint="eastAsia"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continue"/>
                  <w:vAlign w:val="center"/>
                </w:tcPr>
                <w:p>
                  <w:pPr>
                    <w:spacing w:line="240" w:lineRule="auto"/>
                    <w:jc w:val="center"/>
                    <w:rPr>
                      <w:rFonts w:hint="default"/>
                      <w:color w:val="auto"/>
                      <w:sz w:val="21"/>
                      <w:szCs w:val="21"/>
                      <w:vertAlign w:val="baseline"/>
                      <w:lang w:val="en-US" w:eastAsia="zh-CN"/>
                    </w:rPr>
                  </w:pPr>
                </w:p>
              </w:tc>
              <w:tc>
                <w:tcPr>
                  <w:tcW w:w="631" w:type="pct"/>
                  <w:vMerge w:val="continue"/>
                  <w:vAlign w:val="center"/>
                </w:tcPr>
                <w:p>
                  <w:pPr>
                    <w:spacing w:line="240" w:lineRule="auto"/>
                    <w:jc w:val="center"/>
                    <w:rPr>
                      <w:rFonts w:hint="eastAsia"/>
                      <w:color w:val="auto"/>
                      <w:sz w:val="21"/>
                      <w:szCs w:val="21"/>
                      <w:vertAlign w:val="baseline"/>
                      <w:lang w:val="en-US" w:eastAsia="zh-CN"/>
                    </w:rPr>
                  </w:pPr>
                </w:p>
              </w:tc>
              <w:tc>
                <w:tcPr>
                  <w:tcW w:w="795" w:type="pct"/>
                  <w:vMerge w:val="continue"/>
                  <w:vAlign w:val="center"/>
                </w:tcPr>
                <w:p>
                  <w:pPr>
                    <w:spacing w:line="240" w:lineRule="auto"/>
                    <w:jc w:val="center"/>
                    <w:rPr>
                      <w:rFonts w:hint="default"/>
                      <w:color w:val="auto"/>
                      <w:sz w:val="21"/>
                      <w:szCs w:val="21"/>
                      <w:vertAlign w:val="baseline"/>
                      <w:lang w:val="en-US" w:eastAsia="zh-CN"/>
                    </w:rPr>
                  </w:pPr>
                </w:p>
              </w:tc>
              <w:tc>
                <w:tcPr>
                  <w:tcW w:w="449" w:type="pct"/>
                  <w:vMerge w:val="continue"/>
                  <w:vAlign w:val="center"/>
                </w:tcPr>
                <w:p>
                  <w:pPr>
                    <w:spacing w:line="240" w:lineRule="auto"/>
                    <w:jc w:val="center"/>
                    <w:rPr>
                      <w:rFonts w:hint="eastAsia" w:cs="Times New Roman"/>
                      <w:color w:val="auto"/>
                      <w:sz w:val="21"/>
                      <w:szCs w:val="21"/>
                      <w:highlight w:val="none"/>
                      <w:vertAlign w:val="baseline"/>
                      <w:lang w:val="en-US" w:eastAsia="zh-CN"/>
                    </w:rPr>
                  </w:pPr>
                </w:p>
              </w:tc>
              <w:tc>
                <w:tcPr>
                  <w:tcW w:w="451" w:type="pct"/>
                  <w:gridSpan w:val="2"/>
                  <w:vAlign w:val="center"/>
                </w:tcPr>
                <w:p>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1147" w:type="pct"/>
                  <w:vAlign w:val="center"/>
                </w:tcPr>
                <w:p>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18.0~48.0</w:t>
                  </w:r>
                </w:p>
              </w:tc>
              <w:tc>
                <w:tcPr>
                  <w:tcW w:w="1164" w:type="pct"/>
                  <w:vMerge w:val="continue"/>
                  <w:vAlign w:val="center"/>
                </w:tcPr>
                <w:p>
                  <w:pPr>
                    <w:spacing w:line="240" w:lineRule="auto"/>
                    <w:jc w:val="center"/>
                    <w:rPr>
                      <w:rFonts w:hint="eastAsia"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continue"/>
                  <w:vAlign w:val="center"/>
                </w:tcPr>
                <w:p>
                  <w:pPr>
                    <w:spacing w:line="240" w:lineRule="auto"/>
                    <w:jc w:val="center"/>
                    <w:rPr>
                      <w:rFonts w:hint="eastAsia"/>
                      <w:color w:val="auto"/>
                      <w:sz w:val="21"/>
                      <w:szCs w:val="21"/>
                      <w:vertAlign w:val="baseline"/>
                      <w:lang w:val="en-US" w:eastAsia="zh-CN"/>
                    </w:rPr>
                  </w:pPr>
                </w:p>
              </w:tc>
              <w:tc>
                <w:tcPr>
                  <w:tcW w:w="631" w:type="pct"/>
                  <w:vMerge w:val="continue"/>
                  <w:vAlign w:val="center"/>
                </w:tcPr>
                <w:p>
                  <w:pPr>
                    <w:spacing w:line="240" w:lineRule="auto"/>
                    <w:jc w:val="center"/>
                    <w:rPr>
                      <w:rFonts w:hint="eastAsia"/>
                      <w:color w:val="auto"/>
                      <w:sz w:val="21"/>
                      <w:szCs w:val="21"/>
                      <w:vertAlign w:val="baseline"/>
                      <w:lang w:val="en-US" w:eastAsia="zh-CN"/>
                    </w:rPr>
                  </w:pPr>
                </w:p>
              </w:tc>
              <w:tc>
                <w:tcPr>
                  <w:tcW w:w="795"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分色带</w:t>
                  </w:r>
                </w:p>
              </w:tc>
              <w:tc>
                <w:tcPr>
                  <w:tcW w:w="900" w:type="pct"/>
                  <w:gridSpan w:val="3"/>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w:t>
                  </w:r>
                </w:p>
              </w:tc>
              <w:tc>
                <w:tcPr>
                  <w:tcW w:w="1147" w:type="pct"/>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1.0~3.0</w:t>
                  </w:r>
                </w:p>
              </w:tc>
              <w:tc>
                <w:tcPr>
                  <w:tcW w:w="1164" w:type="pct"/>
                  <w:vMerge w:val="continue"/>
                  <w:vAlign w:val="center"/>
                </w:tcPr>
                <w:p>
                  <w:pPr>
                    <w:spacing w:line="240" w:lineRule="auto"/>
                    <w:jc w:val="center"/>
                    <w:rPr>
                      <w:rFonts w:hint="eastAsia"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restar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1426" w:type="pct"/>
                  <w:gridSpan w:val="2"/>
                  <w:vMerge w:val="restar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缠绕膜</w:t>
                  </w:r>
                </w:p>
              </w:tc>
              <w:tc>
                <w:tcPr>
                  <w:tcW w:w="450" w:type="pct"/>
                  <w:gridSpan w:val="2"/>
                  <w:vMerge w:val="restart"/>
                  <w:vAlign w:val="center"/>
                </w:tcPr>
                <w:p>
                  <w:pPr>
                    <w:spacing w:line="240" w:lineRule="auto"/>
                    <w:jc w:val="center"/>
                    <w:rPr>
                      <w:rFonts w:hint="default"/>
                      <w:color w:val="auto"/>
                      <w:sz w:val="21"/>
                      <w:szCs w:val="21"/>
                      <w:vertAlign w:val="baseline"/>
                      <w:lang w:val="en-US" w:eastAsia="zh-CN"/>
                    </w:rPr>
                  </w:pPr>
                  <w:r>
                    <w:rPr>
                      <w:rFonts w:hint="default"/>
                      <w:color w:val="auto"/>
                      <w:sz w:val="21"/>
                      <w:szCs w:val="21"/>
                      <w:vertAlign w:val="baseline"/>
                      <w:lang w:val="en-US" w:eastAsia="zh-CN"/>
                    </w:rPr>
                    <w:t>17500</w:t>
                  </w:r>
                </w:p>
              </w:tc>
              <w:tc>
                <w:tcPr>
                  <w:tcW w:w="450"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16000</w:t>
                  </w:r>
                </w:p>
              </w:tc>
              <w:tc>
                <w:tcPr>
                  <w:tcW w:w="1147" w:type="pct"/>
                  <w:vAlign w:val="center"/>
                </w:tcPr>
                <w:p>
                  <w:pPr>
                    <w:spacing w:line="240" w:lineRule="auto"/>
                    <w:jc w:val="center"/>
                    <w:rPr>
                      <w:rFonts w:hint="default"/>
                      <w:color w:val="auto"/>
                      <w:sz w:val="21"/>
                      <w:szCs w:val="21"/>
                      <w:vertAlign w:val="baseline"/>
                      <w:lang w:val="en-US" w:eastAsia="zh-CN"/>
                    </w:rPr>
                  </w:pPr>
                  <w:r>
                    <w:rPr>
                      <w:rFonts w:hint="eastAsia" w:cs="Times New Roman"/>
                      <w:color w:val="auto"/>
                      <w:sz w:val="21"/>
                      <w:szCs w:val="21"/>
                      <w:highlight w:val="none"/>
                      <w:vertAlign w:val="baseline"/>
                      <w:lang w:val="en-US" w:eastAsia="zh-CN"/>
                    </w:rPr>
                    <w:t>50.0~100.0</w:t>
                  </w:r>
                </w:p>
              </w:tc>
              <w:tc>
                <w:tcPr>
                  <w:tcW w:w="1164" w:type="pct"/>
                  <w:vAlign w:val="center"/>
                </w:tcPr>
                <w:p>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115984t/a缠绕膜半成品、16t/a缠绕膜芯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continue"/>
                  <w:vAlign w:val="center"/>
                </w:tcPr>
                <w:p>
                  <w:pPr>
                    <w:spacing w:line="240" w:lineRule="auto"/>
                    <w:jc w:val="center"/>
                    <w:rPr>
                      <w:rFonts w:hint="eastAsia"/>
                      <w:color w:val="auto"/>
                      <w:sz w:val="21"/>
                      <w:szCs w:val="21"/>
                      <w:vertAlign w:val="baseline"/>
                      <w:lang w:val="en-US" w:eastAsia="zh-CN"/>
                    </w:rPr>
                  </w:pPr>
                </w:p>
              </w:tc>
              <w:tc>
                <w:tcPr>
                  <w:tcW w:w="1426" w:type="pct"/>
                  <w:gridSpan w:val="2"/>
                  <w:vMerge w:val="continue"/>
                  <w:vAlign w:val="center"/>
                </w:tcPr>
                <w:p>
                  <w:pPr>
                    <w:spacing w:line="240" w:lineRule="auto"/>
                    <w:jc w:val="center"/>
                    <w:rPr>
                      <w:rFonts w:hint="eastAsia"/>
                      <w:color w:val="auto"/>
                      <w:sz w:val="21"/>
                      <w:szCs w:val="21"/>
                      <w:vertAlign w:val="baseline"/>
                      <w:lang w:val="en-US" w:eastAsia="zh-CN"/>
                    </w:rPr>
                  </w:pPr>
                </w:p>
              </w:tc>
              <w:tc>
                <w:tcPr>
                  <w:tcW w:w="450" w:type="pct"/>
                  <w:gridSpan w:val="2"/>
                  <w:vMerge w:val="continue"/>
                  <w:vAlign w:val="center"/>
                </w:tcPr>
                <w:p>
                  <w:pPr>
                    <w:spacing w:line="240" w:lineRule="auto"/>
                    <w:jc w:val="center"/>
                    <w:rPr>
                      <w:rFonts w:hint="default"/>
                      <w:color w:val="auto"/>
                      <w:sz w:val="21"/>
                      <w:szCs w:val="21"/>
                      <w:vertAlign w:val="baseline"/>
                      <w:lang w:val="en-US" w:eastAsia="zh-CN"/>
                    </w:rPr>
                  </w:pPr>
                </w:p>
              </w:tc>
              <w:tc>
                <w:tcPr>
                  <w:tcW w:w="450"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1500</w:t>
                  </w:r>
                </w:p>
              </w:tc>
              <w:tc>
                <w:tcPr>
                  <w:tcW w:w="1147" w:type="pct"/>
                  <w:vAlign w:val="center"/>
                </w:tcPr>
                <w:p>
                  <w:pPr>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50.0</w:t>
                  </w:r>
                </w:p>
              </w:tc>
              <w:tc>
                <w:tcPr>
                  <w:tcW w:w="1164" w:type="pct"/>
                  <w:vAlign w:val="center"/>
                </w:tcPr>
                <w:p>
                  <w:pPr>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1502.25t/aPE、1.5t/a缠绕膜芯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restar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631" w:type="pct"/>
                  <w:vMerge w:val="restart"/>
                  <w:vAlign w:val="center"/>
                </w:tcPr>
                <w:p>
                  <w:pPr>
                    <w:spacing w:line="240" w:lineRule="auto"/>
                    <w:jc w:val="center"/>
                    <w:rPr>
                      <w:rFonts w:hint="eastAsia"/>
                      <w:color w:val="auto"/>
                      <w:sz w:val="21"/>
                      <w:szCs w:val="21"/>
                      <w:vertAlign w:val="baseline"/>
                      <w:lang w:val="en-US" w:eastAsia="zh-CN"/>
                    </w:rPr>
                  </w:pPr>
                  <w:r>
                    <w:rPr>
                      <w:rFonts w:hint="eastAsia"/>
                      <w:color w:val="auto"/>
                      <w:sz w:val="21"/>
                      <w:szCs w:val="21"/>
                      <w:vertAlign w:val="baseline"/>
                      <w:lang w:val="en-US" w:eastAsia="zh-CN"/>
                    </w:rPr>
                    <w:t>吹膜产品</w:t>
                  </w:r>
                </w:p>
              </w:tc>
              <w:tc>
                <w:tcPr>
                  <w:tcW w:w="795" w:type="pct"/>
                  <w:vAlign w:val="center"/>
                </w:tcPr>
                <w:p>
                  <w:pPr>
                    <w:spacing w:line="240" w:lineRule="auto"/>
                    <w:jc w:val="center"/>
                    <w:rPr>
                      <w:rFonts w:hint="default"/>
                      <w:color w:val="auto"/>
                      <w:sz w:val="21"/>
                      <w:szCs w:val="21"/>
                      <w:vertAlign w:val="baseline"/>
                      <w:lang w:val="en-US" w:eastAsia="zh-CN"/>
                    </w:rPr>
                  </w:pPr>
                  <w:r>
                    <w:rPr>
                      <w:rFonts w:hint="default"/>
                      <w:color w:val="auto"/>
                      <w:sz w:val="21"/>
                      <w:szCs w:val="21"/>
                      <w:vertAlign w:val="baseline"/>
                      <w:lang w:val="en-US" w:eastAsia="zh-CN"/>
                    </w:rPr>
                    <w:t>平口袋</w:t>
                  </w:r>
                </w:p>
              </w:tc>
              <w:tc>
                <w:tcPr>
                  <w:tcW w:w="900" w:type="pct"/>
                  <w:gridSpan w:val="3"/>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7000</w:t>
                  </w:r>
                </w:p>
              </w:tc>
              <w:tc>
                <w:tcPr>
                  <w:tcW w:w="1147"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40.0~70.0</w:t>
                  </w:r>
                </w:p>
              </w:tc>
              <w:tc>
                <w:tcPr>
                  <w:tcW w:w="1164"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7078.4</w:t>
                  </w:r>
                  <w:r>
                    <w:rPr>
                      <w:rFonts w:hint="eastAsia" w:cs="Times New Roman"/>
                      <w:color w:val="auto"/>
                      <w:sz w:val="21"/>
                      <w:szCs w:val="21"/>
                      <w:highlight w:val="none"/>
                      <w:vertAlign w:val="baseline"/>
                      <w:lang w:val="en-US" w:eastAsia="zh-CN"/>
                    </w:rPr>
                    <w:t>t/a</w:t>
                  </w:r>
                  <w:r>
                    <w:rPr>
                      <w:rFonts w:hint="eastAsia"/>
                      <w:color w:val="auto"/>
                      <w:sz w:val="21"/>
                      <w:szCs w:val="21"/>
                      <w:vertAlign w:val="baseline"/>
                      <w:lang w:val="en-US" w:eastAsia="zh-CN"/>
                    </w:rPr>
                    <w:t>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continue"/>
                  <w:vAlign w:val="center"/>
                </w:tcPr>
                <w:p>
                  <w:pPr>
                    <w:spacing w:line="240" w:lineRule="auto"/>
                    <w:jc w:val="center"/>
                    <w:rPr>
                      <w:rFonts w:hint="eastAsia"/>
                      <w:color w:val="auto"/>
                      <w:sz w:val="21"/>
                      <w:szCs w:val="21"/>
                      <w:vertAlign w:val="baseline"/>
                      <w:lang w:val="en-US" w:eastAsia="zh-CN"/>
                    </w:rPr>
                  </w:pPr>
                </w:p>
              </w:tc>
              <w:tc>
                <w:tcPr>
                  <w:tcW w:w="631" w:type="pct"/>
                  <w:vMerge w:val="continue"/>
                  <w:vAlign w:val="center"/>
                </w:tcPr>
                <w:p>
                  <w:pPr>
                    <w:spacing w:line="240" w:lineRule="auto"/>
                    <w:jc w:val="center"/>
                    <w:rPr>
                      <w:rFonts w:hint="eastAsia"/>
                      <w:color w:val="auto"/>
                      <w:sz w:val="21"/>
                      <w:szCs w:val="21"/>
                      <w:vertAlign w:val="baseline"/>
                      <w:lang w:val="en-US" w:eastAsia="zh-CN"/>
                    </w:rPr>
                  </w:pPr>
                </w:p>
              </w:tc>
              <w:tc>
                <w:tcPr>
                  <w:tcW w:w="795"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气柱膜</w:t>
                  </w:r>
                </w:p>
              </w:tc>
              <w:tc>
                <w:tcPr>
                  <w:tcW w:w="900" w:type="pct"/>
                  <w:gridSpan w:val="3"/>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3000</w:t>
                  </w:r>
                </w:p>
              </w:tc>
              <w:tc>
                <w:tcPr>
                  <w:tcW w:w="1147"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15.0~30.0</w:t>
                  </w:r>
                </w:p>
              </w:tc>
              <w:tc>
                <w:tcPr>
                  <w:tcW w:w="1164"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rPr>
                    <w:t>910.08</w:t>
                  </w:r>
                  <w:r>
                    <w:rPr>
                      <w:rFonts w:hint="eastAsia" w:cs="Times New Roman"/>
                      <w:color w:val="auto"/>
                      <w:sz w:val="21"/>
                      <w:szCs w:val="21"/>
                      <w:highlight w:val="none"/>
                      <w:vertAlign w:val="baseline"/>
                      <w:lang w:val="en-US" w:eastAsia="zh-CN"/>
                    </w:rPr>
                    <w:t>t/a</w:t>
                  </w:r>
                  <w:r>
                    <w:rPr>
                      <w:rFonts w:hint="eastAsia"/>
                      <w:color w:val="auto"/>
                      <w:sz w:val="21"/>
                      <w:szCs w:val="21"/>
                      <w:vertAlign w:val="baseline"/>
                      <w:lang w:val="en-US" w:eastAsia="zh-CN"/>
                    </w:rPr>
                    <w:t>PP、</w:t>
                  </w:r>
                  <w:r>
                    <w:rPr>
                      <w:rFonts w:hint="eastAsia"/>
                      <w:color w:val="auto"/>
                      <w:sz w:val="21"/>
                      <w:szCs w:val="21"/>
                    </w:rPr>
                    <w:t>2123.52</w:t>
                  </w:r>
                  <w:r>
                    <w:rPr>
                      <w:rFonts w:hint="eastAsia" w:cs="Times New Roman"/>
                      <w:color w:val="auto"/>
                      <w:sz w:val="21"/>
                      <w:szCs w:val="21"/>
                      <w:highlight w:val="none"/>
                      <w:vertAlign w:val="baseline"/>
                      <w:lang w:val="en-US" w:eastAsia="zh-CN"/>
                    </w:rPr>
                    <w:t>t/a</w:t>
                  </w:r>
                  <w:r>
                    <w:rPr>
                      <w:rFonts w:hint="eastAsia"/>
                      <w:color w:val="auto"/>
                      <w:sz w:val="21"/>
                      <w:szCs w:val="21"/>
                      <w:vertAlign w:val="baseline"/>
                      <w:lang w:val="en-US" w:eastAsia="zh-CN"/>
                    </w:rPr>
                    <w:t>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426" w:type="pct"/>
                  <w:gridSpan w:val="2"/>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纸芯（用于项目内部产品生产，不作为外部产品）</w:t>
                  </w:r>
                </w:p>
              </w:tc>
              <w:tc>
                <w:tcPr>
                  <w:tcW w:w="900" w:type="pct"/>
                  <w:gridSpan w:val="3"/>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50</w:t>
                  </w:r>
                </w:p>
              </w:tc>
              <w:tc>
                <w:tcPr>
                  <w:tcW w:w="1147" w:type="pct"/>
                  <w:vAlign w:val="center"/>
                </w:tcPr>
                <w:p>
                  <w:pPr>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1164" w:type="pct"/>
                  <w:vAlign w:val="center"/>
                </w:tcPr>
                <w:p>
                  <w:pPr>
                    <w:spacing w:line="240" w:lineRule="auto"/>
                    <w:jc w:val="center"/>
                    <w:rPr>
                      <w:rFonts w:hint="default"/>
                      <w:color w:val="auto"/>
                      <w:sz w:val="21"/>
                      <w:szCs w:val="21"/>
                      <w:vertAlign w:val="baseline"/>
                      <w:lang w:val="en-US" w:eastAsia="zh-CN"/>
                    </w:rPr>
                  </w:pPr>
                  <w:r>
                    <w:rPr>
                      <w:rFonts w:hint="eastAsia" w:cs="Times New Roman"/>
                      <w:color w:val="auto"/>
                      <w:sz w:val="21"/>
                      <w:szCs w:val="21"/>
                      <w:highlight w:val="none"/>
                      <w:vertAlign w:val="baseline"/>
                      <w:lang w:val="en-US" w:eastAsia="zh-CN"/>
                    </w:rPr>
                    <w:t>茶板纸36t/a、白纸12.8t/a、白乳胶1.2t/a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vAlign w:val="center"/>
                </w:tcPr>
                <w:p>
                  <w:pPr>
                    <w:spacing w:line="240" w:lineRule="auto"/>
                    <w:jc w:val="both"/>
                    <w:rPr>
                      <w:rFonts w:hint="eastAsia"/>
                      <w:color w:val="auto"/>
                      <w:sz w:val="21"/>
                      <w:szCs w:val="21"/>
                      <w:vertAlign w:val="baseline"/>
                      <w:lang w:val="en-US" w:eastAsia="zh-CN"/>
                    </w:rPr>
                  </w:pPr>
                  <w:r>
                    <w:rPr>
                      <w:rFonts w:hint="eastAsia"/>
                      <w:color w:val="auto"/>
                      <w:sz w:val="21"/>
                      <w:szCs w:val="21"/>
                      <w:vertAlign w:val="baseline"/>
                      <w:lang w:val="en-US" w:eastAsia="zh-CN"/>
                    </w:rPr>
                    <w:t>注：①包装产品生产过程仅涉及分切、切割等物理工序。②项目每年产品中，1500t缠绕膜生产通过流延机加工，16000t缠绕膜生产工艺仅为复卷、分切。</w:t>
                  </w:r>
                </w:p>
              </w:tc>
            </w:tr>
          </w:tbl>
          <w:p>
            <w:pPr>
              <w:jc w:val="left"/>
              <w:rPr>
                <w:b/>
                <w:bCs/>
                <w:color w:val="auto"/>
                <w:lang w:val="en-US" w:eastAsia="zh-CN"/>
              </w:rPr>
            </w:pPr>
            <w:r>
              <w:rPr>
                <w:b/>
                <w:bCs/>
                <w:color w:val="auto"/>
                <w:lang w:val="en-US" w:eastAsia="zh-CN"/>
              </w:rPr>
              <w:t>2.</w:t>
            </w:r>
            <w:r>
              <w:rPr>
                <w:rFonts w:hint="eastAsia"/>
                <w:b/>
                <w:bCs/>
                <w:color w:val="auto"/>
                <w:lang w:val="en-US" w:eastAsia="zh-CN"/>
              </w:rPr>
              <w:t>3</w:t>
            </w:r>
            <w:r>
              <w:rPr>
                <w:b/>
                <w:bCs/>
                <w:color w:val="auto"/>
                <w:lang w:val="en-US" w:eastAsia="zh-CN"/>
              </w:rPr>
              <w:t>主要设备</w:t>
            </w:r>
          </w:p>
          <w:p>
            <w:pPr>
              <w:ind w:firstLine="480" w:firstLineChars="200"/>
              <w:jc w:val="left"/>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通过核查《产业结构调整指导目录（2019年版）》、工信部《高耗能落后机电设备（产品）淘汰目录》（第一批</w:t>
            </w:r>
            <w:r>
              <w:rPr>
                <w:rFonts w:hint="default" w:ascii="Times New Roman" w:hAnsi="Times New Roman" w:cs="Times New Roman"/>
                <w:b w:val="0"/>
                <w:bCs w:val="0"/>
                <w:color w:val="auto"/>
                <w:lang w:val="en-US" w:eastAsia="zh-CN"/>
              </w:rPr>
              <w:t>~</w:t>
            </w:r>
            <w:r>
              <w:rPr>
                <w:rFonts w:hint="default" w:ascii="Times New Roman" w:hAnsi="Times New Roman" w:eastAsia="宋体" w:cs="Times New Roman"/>
                <w:b w:val="0"/>
                <w:bCs w:val="0"/>
                <w:color w:val="auto"/>
                <w:lang w:val="en-US" w:eastAsia="zh-CN"/>
              </w:rPr>
              <w:t>第四批）及工信部工产业[2010]第122号《部分工业行业淘汰落后生产工艺装备和产品指导目录（2010年本）》可知，项目设备均不属于国家禁止或明令淘汰的设备。</w:t>
            </w:r>
          </w:p>
          <w:p>
            <w:pPr>
              <w:ind w:firstLine="482" w:firstLineChars="200"/>
              <w:jc w:val="left"/>
              <w:rPr>
                <w:b/>
                <w:bCs/>
                <w:color w:val="auto"/>
                <w:lang w:val="en-US" w:eastAsia="zh-CN"/>
              </w:rPr>
            </w:pPr>
            <w:r>
              <w:rPr>
                <w:b/>
                <w:bCs/>
                <w:color w:val="auto"/>
                <w:lang w:val="en-US" w:eastAsia="zh-CN"/>
              </w:rPr>
              <w:t>2.</w:t>
            </w:r>
            <w:r>
              <w:rPr>
                <w:rFonts w:hint="eastAsia"/>
                <w:b/>
                <w:bCs/>
                <w:color w:val="auto"/>
                <w:lang w:val="en-US" w:eastAsia="zh-CN"/>
              </w:rPr>
              <w:t>3</w:t>
            </w:r>
            <w:r>
              <w:rPr>
                <w:b/>
                <w:bCs/>
                <w:color w:val="auto"/>
                <w:lang w:val="en-US" w:eastAsia="zh-CN"/>
              </w:rPr>
              <w:t>.1设备一览表</w:t>
            </w:r>
          </w:p>
          <w:p>
            <w:pPr>
              <w:tabs>
                <w:tab w:val="left" w:pos="2835"/>
              </w:tabs>
              <w:spacing w:line="240" w:lineRule="auto"/>
              <w:jc w:val="center"/>
              <w:rPr>
                <w:color w:val="auto"/>
              </w:rPr>
            </w:pPr>
            <w:r>
              <w:rPr>
                <w:color w:val="auto"/>
              </w:rPr>
              <w:t>表2.</w:t>
            </w:r>
            <w:r>
              <w:rPr>
                <w:rFonts w:hint="eastAsia"/>
                <w:color w:val="auto"/>
                <w:lang w:val="en-US" w:eastAsia="zh-CN"/>
              </w:rPr>
              <w:t>3</w:t>
            </w:r>
            <w:r>
              <w:rPr>
                <w:color w:val="auto"/>
              </w:rPr>
              <w:t>-1 项目主要设备一览表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346"/>
              <w:gridCol w:w="1180"/>
              <w:gridCol w:w="599"/>
              <w:gridCol w:w="479"/>
              <w:gridCol w:w="1366"/>
              <w:gridCol w:w="2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15" w:type="pct"/>
                  <w:vAlign w:val="center"/>
                </w:tcPr>
                <w:p>
                  <w:pPr>
                    <w:widowControl/>
                    <w:spacing w:line="240" w:lineRule="auto"/>
                    <w:jc w:val="center"/>
                    <w:textAlignment w:val="center"/>
                    <w:rPr>
                      <w:color w:val="auto"/>
                      <w:kern w:val="0"/>
                      <w:sz w:val="21"/>
                      <w:szCs w:val="21"/>
                      <w:highlight w:val="none"/>
                      <w:lang w:bidi="ar"/>
                    </w:rPr>
                  </w:pPr>
                  <w:r>
                    <w:rPr>
                      <w:rFonts w:hint="eastAsia"/>
                      <w:color w:val="auto"/>
                      <w:kern w:val="0"/>
                      <w:sz w:val="21"/>
                      <w:szCs w:val="21"/>
                      <w:highlight w:val="none"/>
                      <w:lang w:bidi="ar"/>
                    </w:rPr>
                    <w:t>序号</w:t>
                  </w:r>
                </w:p>
              </w:tc>
              <w:tc>
                <w:tcPr>
                  <w:tcW w:w="818" w:type="pct"/>
                  <w:vAlign w:val="center"/>
                </w:tcPr>
                <w:p>
                  <w:pPr>
                    <w:widowControl/>
                    <w:spacing w:line="240" w:lineRule="auto"/>
                    <w:jc w:val="center"/>
                    <w:textAlignment w:val="center"/>
                    <w:rPr>
                      <w:color w:val="auto"/>
                      <w:kern w:val="0"/>
                      <w:sz w:val="21"/>
                      <w:szCs w:val="21"/>
                      <w:highlight w:val="none"/>
                      <w:lang w:bidi="ar"/>
                    </w:rPr>
                  </w:pPr>
                  <w:r>
                    <w:rPr>
                      <w:rFonts w:hint="eastAsia"/>
                      <w:color w:val="auto"/>
                      <w:kern w:val="0"/>
                      <w:sz w:val="21"/>
                      <w:szCs w:val="21"/>
                      <w:highlight w:val="none"/>
                      <w:lang w:bidi="ar"/>
                    </w:rPr>
                    <w:t>设备名称</w:t>
                  </w:r>
                </w:p>
              </w:tc>
              <w:tc>
                <w:tcPr>
                  <w:tcW w:w="717" w:type="pct"/>
                  <w:vAlign w:val="center"/>
                </w:tcPr>
                <w:p>
                  <w:pPr>
                    <w:widowControl/>
                    <w:spacing w:line="240" w:lineRule="auto"/>
                    <w:jc w:val="center"/>
                    <w:textAlignment w:val="center"/>
                    <w:rPr>
                      <w:color w:val="auto"/>
                      <w:kern w:val="0"/>
                      <w:sz w:val="21"/>
                      <w:szCs w:val="21"/>
                      <w:highlight w:val="none"/>
                      <w:lang w:bidi="ar"/>
                    </w:rPr>
                  </w:pPr>
                  <w:r>
                    <w:rPr>
                      <w:rFonts w:hint="eastAsia"/>
                      <w:color w:val="auto"/>
                      <w:kern w:val="0"/>
                      <w:sz w:val="21"/>
                      <w:szCs w:val="21"/>
                      <w:highlight w:val="none"/>
                      <w:lang w:bidi="ar"/>
                    </w:rPr>
                    <w:t>规格型号</w:t>
                  </w:r>
                </w:p>
              </w:tc>
              <w:tc>
                <w:tcPr>
                  <w:tcW w:w="364" w:type="pct"/>
                  <w:vAlign w:val="center"/>
                </w:tcPr>
                <w:p>
                  <w:pPr>
                    <w:widowControl/>
                    <w:spacing w:line="240" w:lineRule="auto"/>
                    <w:jc w:val="center"/>
                    <w:textAlignment w:val="center"/>
                    <w:rPr>
                      <w:color w:val="auto"/>
                      <w:kern w:val="0"/>
                      <w:sz w:val="21"/>
                      <w:szCs w:val="21"/>
                      <w:highlight w:val="none"/>
                      <w:lang w:bidi="ar"/>
                    </w:rPr>
                  </w:pPr>
                  <w:r>
                    <w:rPr>
                      <w:rFonts w:hint="eastAsia"/>
                      <w:color w:val="auto"/>
                      <w:kern w:val="0"/>
                      <w:sz w:val="21"/>
                      <w:szCs w:val="21"/>
                      <w:highlight w:val="none"/>
                      <w:lang w:bidi="ar"/>
                    </w:rPr>
                    <w:t>单位</w:t>
                  </w:r>
                </w:p>
              </w:tc>
              <w:tc>
                <w:tcPr>
                  <w:tcW w:w="291" w:type="pct"/>
                  <w:vAlign w:val="center"/>
                </w:tcPr>
                <w:p>
                  <w:pPr>
                    <w:widowControl/>
                    <w:spacing w:line="240" w:lineRule="auto"/>
                    <w:jc w:val="center"/>
                    <w:textAlignment w:val="center"/>
                    <w:rPr>
                      <w:color w:val="auto"/>
                      <w:kern w:val="0"/>
                      <w:sz w:val="21"/>
                      <w:szCs w:val="21"/>
                      <w:highlight w:val="none"/>
                      <w:lang w:bidi="ar"/>
                    </w:rPr>
                  </w:pPr>
                  <w:r>
                    <w:rPr>
                      <w:rFonts w:hint="eastAsia"/>
                      <w:color w:val="auto"/>
                      <w:kern w:val="0"/>
                      <w:sz w:val="21"/>
                      <w:szCs w:val="21"/>
                      <w:highlight w:val="none"/>
                      <w:lang w:bidi="ar"/>
                    </w:rPr>
                    <w:t>数量</w:t>
                  </w:r>
                </w:p>
              </w:tc>
              <w:tc>
                <w:tcPr>
                  <w:tcW w:w="830" w:type="pct"/>
                  <w:vAlign w:val="center"/>
                </w:tcPr>
                <w:p>
                  <w:pPr>
                    <w:widowControl/>
                    <w:spacing w:line="240" w:lineRule="auto"/>
                    <w:jc w:val="center"/>
                    <w:textAlignment w:val="center"/>
                    <w:rPr>
                      <w:color w:val="auto"/>
                      <w:kern w:val="0"/>
                      <w:sz w:val="21"/>
                      <w:szCs w:val="21"/>
                      <w:highlight w:val="none"/>
                      <w:lang w:bidi="ar"/>
                    </w:rPr>
                  </w:pPr>
                  <w:r>
                    <w:rPr>
                      <w:rFonts w:hint="eastAsia"/>
                      <w:color w:val="auto"/>
                      <w:kern w:val="0"/>
                      <w:sz w:val="21"/>
                      <w:szCs w:val="21"/>
                      <w:highlight w:val="none"/>
                      <w:lang w:bidi="ar"/>
                    </w:rPr>
                    <w:t>工艺环节</w:t>
                  </w:r>
                </w:p>
              </w:tc>
              <w:tc>
                <w:tcPr>
                  <w:tcW w:w="1661" w:type="pct"/>
                  <w:vAlign w:val="center"/>
                </w:tcPr>
                <w:p>
                  <w:pPr>
                    <w:widowControl/>
                    <w:spacing w:line="240" w:lineRule="auto"/>
                    <w:jc w:val="center"/>
                    <w:textAlignment w:val="center"/>
                    <w:rPr>
                      <w:color w:val="auto"/>
                      <w:kern w:val="0"/>
                      <w:sz w:val="21"/>
                      <w:szCs w:val="21"/>
                      <w:highlight w:val="none"/>
                      <w:lang w:bidi="ar"/>
                    </w:rPr>
                  </w:pPr>
                  <w:r>
                    <w:rPr>
                      <w:rFonts w:hint="eastAsia"/>
                      <w:color w:val="auto"/>
                      <w:kern w:val="0"/>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vMerge w:val="restart"/>
                  <w:vAlign w:val="center"/>
                </w:tcPr>
                <w:p>
                  <w:pPr>
                    <w:widowControl/>
                    <w:spacing w:line="240" w:lineRule="auto"/>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818" w:type="pct"/>
                  <w:vMerge w:val="restar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分切机</w:t>
                  </w:r>
                </w:p>
              </w:tc>
              <w:tc>
                <w:tcPr>
                  <w:tcW w:w="71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200</w:t>
                  </w:r>
                </w:p>
              </w:tc>
              <w:tc>
                <w:tcPr>
                  <w:tcW w:w="364" w:type="pct"/>
                  <w:vAlign w:val="center"/>
                </w:tcPr>
                <w:p>
                  <w:pPr>
                    <w:widowControl/>
                    <w:spacing w:line="240" w:lineRule="auto"/>
                    <w:jc w:val="center"/>
                    <w:textAlignment w:val="center"/>
                    <w:rPr>
                      <w:rFonts w:hint="eastAsia" w:eastAsia="宋体"/>
                      <w:color w:val="auto"/>
                      <w:kern w:val="0"/>
                      <w:sz w:val="21"/>
                      <w:szCs w:val="21"/>
                      <w:highlight w:val="none"/>
                      <w:lang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20</w:t>
                  </w:r>
                </w:p>
              </w:tc>
              <w:tc>
                <w:tcPr>
                  <w:tcW w:w="830" w:type="pct"/>
                  <w:vAlign w:val="center"/>
                </w:tcPr>
                <w:p>
                  <w:pPr>
                    <w:widowControl/>
                    <w:spacing w:line="240" w:lineRule="auto"/>
                    <w:jc w:val="center"/>
                    <w:textAlignment w:val="center"/>
                    <w:rPr>
                      <w:rFonts w:hint="eastAsia" w:eastAsia="宋体"/>
                      <w:color w:val="auto"/>
                      <w:kern w:val="0"/>
                      <w:sz w:val="21"/>
                      <w:szCs w:val="21"/>
                      <w:highlight w:val="none"/>
                      <w:lang w:eastAsia="zh-CN" w:bidi="ar"/>
                    </w:rPr>
                  </w:pPr>
                  <w:r>
                    <w:rPr>
                      <w:rFonts w:hint="eastAsia"/>
                      <w:color w:val="auto"/>
                      <w:kern w:val="0"/>
                      <w:sz w:val="21"/>
                      <w:szCs w:val="21"/>
                      <w:highlight w:val="none"/>
                      <w:lang w:eastAsia="zh-CN" w:bidi="ar"/>
                    </w:rPr>
                    <w:t>分切</w:t>
                  </w:r>
                </w:p>
              </w:tc>
              <w:tc>
                <w:tcPr>
                  <w:tcW w:w="1661"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位于</w:t>
                  </w:r>
                  <w:r>
                    <w:rPr>
                      <w:rFonts w:hint="eastAsia"/>
                      <w:color w:val="auto"/>
                      <w:kern w:val="0"/>
                      <w:sz w:val="21"/>
                      <w:szCs w:val="21"/>
                      <w:highlight w:val="none"/>
                      <w:lang w:eastAsia="zh-CN" w:bidi="ar"/>
                    </w:rPr>
                    <w:t>包装用品生产区，用于</w:t>
                  </w:r>
                  <w:r>
                    <w:rPr>
                      <w:rFonts w:hint="eastAsia"/>
                      <w:color w:val="auto"/>
                      <w:kern w:val="0"/>
                      <w:sz w:val="21"/>
                      <w:szCs w:val="21"/>
                      <w:highlight w:val="none"/>
                      <w:lang w:val="en-US" w:eastAsia="zh-CN" w:bidi="ar"/>
                    </w:rPr>
                    <w:t>1.0~18.0cm包装用品（封口胶、双面胶、防水胶带、美纹纸、分色带）生产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c>
                <w:tcPr>
                  <w:tcW w:w="818" w:type="pct"/>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c>
                <w:tcPr>
                  <w:tcW w:w="71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1300</w:t>
                  </w:r>
                </w:p>
              </w:tc>
              <w:tc>
                <w:tcPr>
                  <w:tcW w:w="364"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台</w:t>
                  </w:r>
                </w:p>
              </w:tc>
              <w:tc>
                <w:tcPr>
                  <w:tcW w:w="291"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w:t>
                  </w:r>
                </w:p>
              </w:tc>
              <w:tc>
                <w:tcPr>
                  <w:tcW w:w="830" w:type="pct"/>
                  <w:vAlign w:val="center"/>
                </w:tcPr>
                <w:p>
                  <w:pPr>
                    <w:widowControl/>
                    <w:spacing w:line="240" w:lineRule="auto"/>
                    <w:jc w:val="center"/>
                    <w:textAlignment w:val="center"/>
                    <w:rPr>
                      <w:rFonts w:hint="eastAsia"/>
                      <w:color w:val="auto"/>
                      <w:kern w:val="0"/>
                      <w:sz w:val="21"/>
                      <w:szCs w:val="21"/>
                      <w:highlight w:val="none"/>
                      <w:lang w:eastAsia="zh-CN" w:bidi="ar"/>
                    </w:rPr>
                  </w:pPr>
                  <w:r>
                    <w:rPr>
                      <w:rFonts w:hint="eastAsia"/>
                      <w:color w:val="auto"/>
                      <w:kern w:val="0"/>
                      <w:sz w:val="21"/>
                      <w:szCs w:val="21"/>
                      <w:highlight w:val="none"/>
                      <w:lang w:eastAsia="zh-CN" w:bidi="ar"/>
                    </w:rPr>
                    <w:t>分切</w:t>
                  </w:r>
                </w:p>
              </w:tc>
              <w:tc>
                <w:tcPr>
                  <w:tcW w:w="1661"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位于缠绕膜生产区，用于缠绕膜生产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w:t>
                  </w:r>
                </w:p>
              </w:tc>
              <w:tc>
                <w:tcPr>
                  <w:tcW w:w="818"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复卷机（小）</w:t>
                  </w:r>
                </w:p>
              </w:tc>
              <w:tc>
                <w:tcPr>
                  <w:tcW w:w="71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22kg/h</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20</w:t>
                  </w:r>
                </w:p>
              </w:tc>
              <w:tc>
                <w:tcPr>
                  <w:tcW w:w="830"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复卷</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w:t>
                  </w:r>
                  <w:r>
                    <w:rPr>
                      <w:rFonts w:hint="eastAsia"/>
                      <w:color w:val="auto"/>
                      <w:kern w:val="0"/>
                      <w:sz w:val="21"/>
                      <w:szCs w:val="21"/>
                      <w:highlight w:val="none"/>
                      <w:lang w:eastAsia="zh-CN" w:bidi="ar"/>
                    </w:rPr>
                    <w:t>包装用品生产区，用于</w:t>
                  </w:r>
                  <w:r>
                    <w:rPr>
                      <w:rFonts w:hint="eastAsia"/>
                      <w:color w:val="auto"/>
                      <w:kern w:val="0"/>
                      <w:sz w:val="21"/>
                      <w:szCs w:val="21"/>
                      <w:highlight w:val="none"/>
                      <w:lang w:val="en-US" w:eastAsia="zh-CN" w:bidi="ar"/>
                    </w:rPr>
                    <w:t>1.0~18.0cm包装用品（封口胶、双面胶、防水胶带、美纹纸、分色带）生产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复卷机（中）</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30kg/h</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复卷</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w:t>
                  </w:r>
                  <w:r>
                    <w:rPr>
                      <w:rFonts w:hint="eastAsia"/>
                      <w:color w:val="auto"/>
                      <w:kern w:val="0"/>
                      <w:sz w:val="21"/>
                      <w:szCs w:val="21"/>
                      <w:highlight w:val="none"/>
                      <w:lang w:eastAsia="zh-CN" w:bidi="ar"/>
                    </w:rPr>
                    <w:t>包装用品生产区，用于</w:t>
                  </w:r>
                  <w:r>
                    <w:rPr>
                      <w:rFonts w:hint="eastAsia"/>
                      <w:color w:val="auto"/>
                      <w:kern w:val="0"/>
                      <w:sz w:val="21"/>
                      <w:szCs w:val="21"/>
                      <w:highlight w:val="none"/>
                      <w:lang w:val="en-US" w:eastAsia="zh-CN" w:bidi="ar"/>
                    </w:rPr>
                    <w:t>18.0~48.0cm包装用品（美纹纸、封口胶）</w:t>
                  </w:r>
                  <w:r>
                    <w:rPr>
                      <w:rFonts w:hint="eastAsia"/>
                      <w:color w:val="auto"/>
                      <w:kern w:val="0"/>
                      <w:sz w:val="21"/>
                      <w:szCs w:val="21"/>
                      <w:highlight w:val="none"/>
                      <w:lang w:eastAsia="zh-CN" w:bidi="ar"/>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w:t>
                  </w:r>
                </w:p>
              </w:tc>
              <w:tc>
                <w:tcPr>
                  <w:tcW w:w="818"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复卷机（大）</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300kg/h</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w:t>
                  </w:r>
                </w:p>
              </w:tc>
              <w:tc>
                <w:tcPr>
                  <w:tcW w:w="830"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复卷</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eastAsia="zh-CN" w:bidi="ar"/>
                    </w:rPr>
                    <w:t>50.0~100.0</w:t>
                  </w:r>
                  <w:r>
                    <w:rPr>
                      <w:rFonts w:hint="eastAsia"/>
                      <w:color w:val="auto"/>
                      <w:kern w:val="0"/>
                      <w:sz w:val="21"/>
                      <w:szCs w:val="21"/>
                      <w:highlight w:val="none"/>
                      <w:lang w:val="en-US" w:eastAsia="zh-CN" w:bidi="ar"/>
                    </w:rPr>
                    <w:t>cm</w:t>
                  </w:r>
                  <w:r>
                    <w:rPr>
                      <w:rFonts w:hint="eastAsia"/>
                      <w:color w:val="auto"/>
                      <w:kern w:val="0"/>
                      <w:sz w:val="21"/>
                      <w:szCs w:val="21"/>
                      <w:highlight w:val="none"/>
                      <w:lang w:eastAsia="zh-CN" w:bidi="ar"/>
                    </w:rPr>
                    <w:t>缠绕膜生产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自动切割机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切割</w:t>
                  </w:r>
                </w:p>
              </w:tc>
              <w:tc>
                <w:tcPr>
                  <w:tcW w:w="1661" w:type="pct"/>
                  <w:vAlign w:val="center"/>
                </w:tcPr>
                <w:p>
                  <w:pPr>
                    <w:widowControl/>
                    <w:spacing w:line="240" w:lineRule="auto"/>
                    <w:jc w:val="both"/>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w:t>
                  </w:r>
                  <w:r>
                    <w:rPr>
                      <w:rFonts w:hint="eastAsia"/>
                      <w:color w:val="auto"/>
                      <w:kern w:val="0"/>
                      <w:sz w:val="21"/>
                      <w:szCs w:val="21"/>
                      <w:highlight w:val="none"/>
                      <w:lang w:eastAsia="zh-CN" w:bidi="ar"/>
                    </w:rPr>
                    <w:t>包装用品生产区，用于</w:t>
                  </w:r>
                  <w:r>
                    <w:rPr>
                      <w:rFonts w:hint="eastAsia"/>
                      <w:color w:val="auto"/>
                      <w:kern w:val="0"/>
                      <w:sz w:val="21"/>
                      <w:szCs w:val="21"/>
                      <w:highlight w:val="none"/>
                      <w:lang w:val="en-US" w:eastAsia="zh-CN" w:bidi="ar"/>
                    </w:rPr>
                    <w:t>18.0~48.0cm包装用品（美纹纸、封口胶）</w:t>
                  </w:r>
                  <w:r>
                    <w:rPr>
                      <w:rFonts w:hint="eastAsia"/>
                      <w:color w:val="auto"/>
                      <w:kern w:val="0"/>
                      <w:sz w:val="21"/>
                      <w:szCs w:val="21"/>
                      <w:highlight w:val="none"/>
                      <w:lang w:eastAsia="zh-CN" w:bidi="ar"/>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卷管机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JL-150-4D</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卷管</w:t>
                  </w:r>
                </w:p>
              </w:tc>
              <w:tc>
                <w:tcPr>
                  <w:tcW w:w="1661" w:type="pct"/>
                  <w:vMerge w:val="restar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w:t>
                  </w:r>
                  <w:r>
                    <w:rPr>
                      <w:rFonts w:hint="eastAsia"/>
                      <w:color w:val="auto"/>
                      <w:kern w:val="0"/>
                      <w:sz w:val="21"/>
                      <w:szCs w:val="21"/>
                      <w:highlight w:val="none"/>
                      <w:lang w:eastAsia="zh-CN" w:bidi="ar"/>
                    </w:rPr>
                    <w:t>纸芯生产区，用于制造纸芯，纸芯用于产品生产，不外售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切管机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切管</w:t>
                  </w:r>
                </w:p>
              </w:tc>
              <w:tc>
                <w:tcPr>
                  <w:tcW w:w="1661" w:type="pct"/>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流延机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150kg/h</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流延</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位于缠绕膜生产区，用于缠绕膜生产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拌料机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eastAsia" w:cs="Times New Roman"/>
                      <w:color w:val="auto"/>
                      <w:kern w:val="0"/>
                      <w:sz w:val="21"/>
                      <w:szCs w:val="21"/>
                      <w:highlight w:val="none"/>
                      <w:lang w:val="en-US" w:eastAsia="zh-CN" w:bidi="ar"/>
                    </w:rPr>
                    <w:t>0.3T</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台</w:t>
                  </w:r>
                </w:p>
              </w:tc>
              <w:tc>
                <w:tcPr>
                  <w:tcW w:w="29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搅拌</w:t>
                  </w:r>
                </w:p>
              </w:tc>
              <w:tc>
                <w:tcPr>
                  <w:tcW w:w="1661" w:type="pct"/>
                  <w:vMerge w:val="restar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位于吹膜产品生产区，用于气柱膜搅拌、吹膜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气柱膜机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eastAsia" w:cs="Times New Roman"/>
                      <w:color w:val="auto"/>
                      <w:kern w:val="0"/>
                      <w:sz w:val="21"/>
                      <w:szCs w:val="21"/>
                      <w:highlight w:val="none"/>
                      <w:lang w:val="en-US" w:eastAsia="zh-CN" w:bidi="ar"/>
                    </w:rPr>
                    <w:t>270kg/h</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气柱膜吹膜</w:t>
                  </w:r>
                </w:p>
              </w:tc>
              <w:tc>
                <w:tcPr>
                  <w:tcW w:w="1661" w:type="pct"/>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11</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吹膜机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eastAsia" w:cs="Times New Roman"/>
                      <w:color w:val="auto"/>
                      <w:kern w:val="0"/>
                      <w:sz w:val="21"/>
                      <w:szCs w:val="21"/>
                      <w:highlight w:val="none"/>
                      <w:lang w:val="en-US" w:eastAsia="zh-CN" w:bidi="ar"/>
                    </w:rPr>
                    <w:t>360kg/h</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平口袋</w:t>
                  </w:r>
                  <w:r>
                    <w:rPr>
                      <w:rFonts w:hint="eastAsia" w:cs="Times New Roman"/>
                      <w:color w:val="auto"/>
                      <w:kern w:val="0"/>
                      <w:sz w:val="21"/>
                      <w:szCs w:val="21"/>
                      <w:highlight w:val="none"/>
                      <w:lang w:val="en-US" w:eastAsia="zh-CN" w:bidi="ar"/>
                    </w:rPr>
                    <w:t>吹膜</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位于吹膜产品生产区，用于平口袋吹膜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12</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制袋机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制袋</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位于吹膜产品生产区，用于平口袋、气柱膜制袋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13</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压扁机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20T</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边角料压缩</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w:t>
                  </w:r>
                  <w:r>
                    <w:rPr>
                      <w:rFonts w:hint="eastAsia"/>
                      <w:color w:val="auto"/>
                      <w:kern w:val="0"/>
                      <w:sz w:val="21"/>
                      <w:szCs w:val="21"/>
                      <w:highlight w:val="none"/>
                      <w:lang w:eastAsia="zh-CN" w:bidi="ar"/>
                    </w:rPr>
                    <w:t>包装用品生产区，用于压缩废边角料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14</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空压机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1661"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位于空压机房内，用于</w:t>
                  </w:r>
                  <w:r>
                    <w:rPr>
                      <w:rFonts w:hint="eastAsia" w:cs="Times New Roman"/>
                      <w:color w:val="auto"/>
                      <w:kern w:val="0"/>
                      <w:sz w:val="21"/>
                      <w:szCs w:val="21"/>
                      <w:highlight w:val="none"/>
                      <w:lang w:val="en-US" w:eastAsia="zh-CN" w:bidi="ar"/>
                    </w:rPr>
                    <w:t>提供空气动力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自动磨刀机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设备维修</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位于设备维修区，用于刀具打磨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16</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自动包装机</w:t>
                  </w:r>
                </w:p>
              </w:tc>
              <w:tc>
                <w:tcPr>
                  <w:tcW w:w="71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台</w:t>
                  </w:r>
                </w:p>
              </w:tc>
              <w:tc>
                <w:tcPr>
                  <w:tcW w:w="29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产品包装</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位于产品包装区，用于产品包装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17</w:t>
                  </w:r>
                </w:p>
              </w:tc>
              <w:tc>
                <w:tcPr>
                  <w:tcW w:w="818"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风机a</w:t>
                  </w:r>
                </w:p>
              </w:tc>
              <w:tc>
                <w:tcPr>
                  <w:tcW w:w="717"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2000</w:t>
                  </w:r>
                  <w:r>
                    <w:rPr>
                      <w:rFonts w:hint="default" w:ascii="Times New Roman" w:hAnsi="Times New Roman" w:eastAsia="宋体" w:cs="Times New Roman"/>
                      <w:color w:val="auto"/>
                      <w:spacing w:val="-3"/>
                      <w:sz w:val="21"/>
                      <w:szCs w:val="21"/>
                      <w:lang w:val="en-US" w:eastAsia="zh-CN"/>
                    </w:rPr>
                    <w:t>m</w:t>
                  </w:r>
                  <w:r>
                    <w:rPr>
                      <w:rFonts w:hint="default" w:ascii="Times New Roman" w:hAnsi="Times New Roman" w:eastAsia="宋体" w:cs="Times New Roman"/>
                      <w:color w:val="auto"/>
                      <w:spacing w:val="-3"/>
                      <w:sz w:val="21"/>
                      <w:szCs w:val="21"/>
                      <w:vertAlign w:val="superscript"/>
                      <w:lang w:val="en-US" w:eastAsia="zh-CN"/>
                    </w:rPr>
                    <w:t>3</w:t>
                  </w:r>
                  <w:r>
                    <w:rPr>
                      <w:rFonts w:hint="default" w:ascii="Times New Roman" w:hAnsi="Times New Roman" w:eastAsia="宋体" w:cs="Times New Roman"/>
                      <w:color w:val="auto"/>
                      <w:spacing w:val="-3"/>
                      <w:sz w:val="21"/>
                      <w:szCs w:val="21"/>
                      <w:lang w:val="en-US" w:eastAsia="zh-CN"/>
                    </w:rPr>
                    <w:t>/h</w:t>
                  </w:r>
                </w:p>
              </w:tc>
              <w:tc>
                <w:tcPr>
                  <w:tcW w:w="364"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台</w:t>
                  </w:r>
                </w:p>
              </w:tc>
              <w:tc>
                <w:tcPr>
                  <w:tcW w:w="291"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Merge w:val="restar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废气处理</w:t>
                  </w:r>
                </w:p>
              </w:tc>
              <w:tc>
                <w:tcPr>
                  <w:tcW w:w="1661"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位于纸芯生产区，用于胶粘废气处理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18</w:t>
                  </w:r>
                </w:p>
              </w:tc>
              <w:tc>
                <w:tcPr>
                  <w:tcW w:w="818"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风机b</w:t>
                  </w:r>
                </w:p>
              </w:tc>
              <w:tc>
                <w:tcPr>
                  <w:tcW w:w="717"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9200</w:t>
                  </w:r>
                  <w:r>
                    <w:rPr>
                      <w:rFonts w:hint="default" w:ascii="Times New Roman" w:hAnsi="Times New Roman" w:eastAsia="宋体" w:cs="Times New Roman"/>
                      <w:color w:val="auto"/>
                      <w:spacing w:val="-3"/>
                      <w:sz w:val="21"/>
                      <w:szCs w:val="21"/>
                      <w:lang w:val="en-US" w:eastAsia="zh-CN"/>
                    </w:rPr>
                    <w:t>m</w:t>
                  </w:r>
                  <w:r>
                    <w:rPr>
                      <w:rFonts w:hint="default" w:ascii="Times New Roman" w:hAnsi="Times New Roman" w:eastAsia="宋体" w:cs="Times New Roman"/>
                      <w:color w:val="auto"/>
                      <w:spacing w:val="-3"/>
                      <w:sz w:val="21"/>
                      <w:szCs w:val="21"/>
                      <w:vertAlign w:val="superscript"/>
                      <w:lang w:val="en-US" w:eastAsia="zh-CN"/>
                    </w:rPr>
                    <w:t>3</w:t>
                  </w:r>
                  <w:r>
                    <w:rPr>
                      <w:rFonts w:hint="default" w:ascii="Times New Roman" w:hAnsi="Times New Roman" w:eastAsia="宋体" w:cs="Times New Roman"/>
                      <w:color w:val="auto"/>
                      <w:spacing w:val="-3"/>
                      <w:sz w:val="21"/>
                      <w:szCs w:val="21"/>
                      <w:lang w:val="en-US" w:eastAsia="zh-CN"/>
                    </w:rPr>
                    <w:t>/h</w:t>
                  </w:r>
                </w:p>
              </w:tc>
              <w:tc>
                <w:tcPr>
                  <w:tcW w:w="364"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台</w:t>
                  </w:r>
                </w:p>
              </w:tc>
              <w:tc>
                <w:tcPr>
                  <w:tcW w:w="291"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Merge w:val="continue"/>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位于缠绕膜区，用于流延废气处理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19</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风机c</w:t>
                  </w:r>
                </w:p>
              </w:tc>
              <w:tc>
                <w:tcPr>
                  <w:tcW w:w="717"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8000</w:t>
                  </w:r>
                  <w:r>
                    <w:rPr>
                      <w:rFonts w:hint="default" w:ascii="Times New Roman" w:hAnsi="Times New Roman" w:eastAsia="宋体" w:cs="Times New Roman"/>
                      <w:color w:val="auto"/>
                      <w:spacing w:val="-3"/>
                      <w:sz w:val="21"/>
                      <w:szCs w:val="21"/>
                      <w:lang w:val="en-US" w:eastAsia="zh-CN"/>
                    </w:rPr>
                    <w:t>m</w:t>
                  </w:r>
                  <w:r>
                    <w:rPr>
                      <w:rFonts w:hint="default" w:ascii="Times New Roman" w:hAnsi="Times New Roman" w:eastAsia="宋体" w:cs="Times New Roman"/>
                      <w:color w:val="auto"/>
                      <w:spacing w:val="-3"/>
                      <w:sz w:val="21"/>
                      <w:szCs w:val="21"/>
                      <w:vertAlign w:val="superscript"/>
                      <w:lang w:val="en-US" w:eastAsia="zh-CN"/>
                    </w:rPr>
                    <w:t>3</w:t>
                  </w:r>
                  <w:r>
                    <w:rPr>
                      <w:rFonts w:hint="default" w:ascii="Times New Roman" w:hAnsi="Times New Roman" w:eastAsia="宋体" w:cs="Times New Roman"/>
                      <w:color w:val="auto"/>
                      <w:spacing w:val="-3"/>
                      <w:sz w:val="21"/>
                      <w:szCs w:val="21"/>
                      <w:lang w:val="en-US" w:eastAsia="zh-CN"/>
                    </w:rPr>
                    <w:t>/h</w:t>
                  </w:r>
                </w:p>
              </w:tc>
              <w:tc>
                <w:tcPr>
                  <w:tcW w:w="364"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台</w:t>
                  </w:r>
                </w:p>
              </w:tc>
              <w:tc>
                <w:tcPr>
                  <w:tcW w:w="291"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Merge w:val="continue"/>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位于吹膜区，用于吹膜废气处理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20</w:t>
                  </w:r>
                </w:p>
              </w:tc>
              <w:tc>
                <w:tcPr>
                  <w:tcW w:w="818"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风机d</w:t>
                  </w:r>
                </w:p>
              </w:tc>
              <w:tc>
                <w:tcPr>
                  <w:tcW w:w="717"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6000</w:t>
                  </w:r>
                  <w:r>
                    <w:rPr>
                      <w:rFonts w:hint="default" w:ascii="Times New Roman" w:hAnsi="Times New Roman" w:eastAsia="宋体" w:cs="Times New Roman"/>
                      <w:color w:val="auto"/>
                      <w:spacing w:val="-3"/>
                      <w:sz w:val="21"/>
                      <w:szCs w:val="21"/>
                      <w:lang w:val="en-US" w:eastAsia="zh-CN"/>
                    </w:rPr>
                    <w:t>m</w:t>
                  </w:r>
                  <w:r>
                    <w:rPr>
                      <w:rFonts w:hint="default" w:ascii="Times New Roman" w:hAnsi="Times New Roman" w:eastAsia="宋体" w:cs="Times New Roman"/>
                      <w:color w:val="auto"/>
                      <w:spacing w:val="-3"/>
                      <w:sz w:val="21"/>
                      <w:szCs w:val="21"/>
                      <w:vertAlign w:val="superscript"/>
                      <w:lang w:val="en-US" w:eastAsia="zh-CN"/>
                    </w:rPr>
                    <w:t>3</w:t>
                  </w:r>
                  <w:r>
                    <w:rPr>
                      <w:rFonts w:hint="default" w:ascii="Times New Roman" w:hAnsi="Times New Roman" w:eastAsia="宋体" w:cs="Times New Roman"/>
                      <w:color w:val="auto"/>
                      <w:spacing w:val="-3"/>
                      <w:sz w:val="21"/>
                      <w:szCs w:val="21"/>
                      <w:lang w:val="en-US" w:eastAsia="zh-CN"/>
                    </w:rPr>
                    <w:t>/h</w:t>
                  </w:r>
                </w:p>
              </w:tc>
              <w:tc>
                <w:tcPr>
                  <w:tcW w:w="364"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台</w:t>
                  </w:r>
                </w:p>
              </w:tc>
              <w:tc>
                <w:tcPr>
                  <w:tcW w:w="291"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Merge w:val="continue"/>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位于食堂，用于食堂废气处理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21</w:t>
                  </w:r>
                </w:p>
              </w:tc>
              <w:tc>
                <w:tcPr>
                  <w:tcW w:w="818"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风机e</w:t>
                  </w:r>
                </w:p>
              </w:tc>
              <w:tc>
                <w:tcPr>
                  <w:tcW w:w="717"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900</w:t>
                  </w:r>
                  <w:r>
                    <w:rPr>
                      <w:rFonts w:hint="default" w:ascii="Times New Roman" w:hAnsi="Times New Roman" w:eastAsia="宋体" w:cs="Times New Roman"/>
                      <w:color w:val="auto"/>
                      <w:spacing w:val="-3"/>
                      <w:sz w:val="21"/>
                      <w:szCs w:val="21"/>
                      <w:lang w:val="en-US" w:eastAsia="zh-CN"/>
                    </w:rPr>
                    <w:t>m</w:t>
                  </w:r>
                  <w:r>
                    <w:rPr>
                      <w:rFonts w:hint="default" w:ascii="Times New Roman" w:hAnsi="Times New Roman" w:eastAsia="宋体" w:cs="Times New Roman"/>
                      <w:color w:val="auto"/>
                      <w:spacing w:val="-3"/>
                      <w:sz w:val="21"/>
                      <w:szCs w:val="21"/>
                      <w:vertAlign w:val="superscript"/>
                      <w:lang w:val="en-US" w:eastAsia="zh-CN"/>
                    </w:rPr>
                    <w:t>3</w:t>
                  </w:r>
                  <w:r>
                    <w:rPr>
                      <w:rFonts w:hint="default" w:ascii="Times New Roman" w:hAnsi="Times New Roman" w:eastAsia="宋体" w:cs="Times New Roman"/>
                      <w:color w:val="auto"/>
                      <w:spacing w:val="-3"/>
                      <w:sz w:val="21"/>
                      <w:szCs w:val="21"/>
                      <w:lang w:val="en-US" w:eastAsia="zh-CN"/>
                    </w:rPr>
                    <w:t>/h</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台</w:t>
                  </w:r>
                </w:p>
              </w:tc>
              <w:tc>
                <w:tcPr>
                  <w:tcW w:w="29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Merge w:val="continue"/>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位于危废暂存间，用于危废间有机废气处理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22</w:t>
                  </w:r>
                </w:p>
              </w:tc>
              <w:tc>
                <w:tcPr>
                  <w:tcW w:w="818"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冷却循环系统a</w:t>
                  </w:r>
                </w:p>
              </w:tc>
              <w:tc>
                <w:tcPr>
                  <w:tcW w:w="717" w:type="pct"/>
                  <w:vAlign w:val="center"/>
                </w:tcPr>
                <w:p>
                  <w:pPr>
                    <w:widowControl/>
                    <w:spacing w:line="240" w:lineRule="auto"/>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 w:val="21"/>
                      <w:szCs w:val="21"/>
                      <w:lang w:bidi="ar"/>
                    </w:rPr>
                    <w:t>冷却循环水池</w:t>
                  </w:r>
                  <w:r>
                    <w:rPr>
                      <w:rFonts w:hint="eastAsia"/>
                      <w:color w:val="auto"/>
                      <w:kern w:val="0"/>
                      <w:sz w:val="21"/>
                      <w:szCs w:val="21"/>
                      <w:lang w:val="en-US" w:eastAsia="zh-CN" w:bidi="ar"/>
                    </w:rPr>
                    <w:t>3</w:t>
                  </w:r>
                  <w:r>
                    <w:rPr>
                      <w:rFonts w:hint="eastAsia"/>
                      <w:color w:val="auto"/>
                      <w:kern w:val="0"/>
                      <w:sz w:val="21"/>
                      <w:szCs w:val="21"/>
                      <w:lang w:bidi="ar"/>
                    </w:rPr>
                    <w:t>m</w:t>
                  </w:r>
                  <w:r>
                    <w:rPr>
                      <w:rFonts w:hint="eastAsia"/>
                      <w:color w:val="auto"/>
                      <w:kern w:val="0"/>
                      <w:sz w:val="21"/>
                      <w:szCs w:val="21"/>
                      <w:vertAlign w:val="superscript"/>
                      <w:lang w:bidi="ar"/>
                    </w:rPr>
                    <w:t>3</w:t>
                  </w:r>
                  <w:r>
                    <w:rPr>
                      <w:rFonts w:hint="eastAsia"/>
                      <w:color w:val="auto"/>
                      <w:kern w:val="0"/>
                      <w:sz w:val="21"/>
                      <w:szCs w:val="21"/>
                      <w:lang w:bidi="ar"/>
                    </w:rPr>
                    <w:t>，冷却塔循环水频率</w:t>
                  </w:r>
                  <w:r>
                    <w:rPr>
                      <w:rFonts w:hint="eastAsia"/>
                      <w:color w:val="auto"/>
                      <w:kern w:val="0"/>
                      <w:sz w:val="21"/>
                      <w:szCs w:val="21"/>
                      <w:lang w:val="en-US" w:eastAsia="zh-CN" w:bidi="ar"/>
                    </w:rPr>
                    <w:t>20</w:t>
                  </w:r>
                  <w:r>
                    <w:rPr>
                      <w:rFonts w:hint="eastAsia"/>
                      <w:color w:val="auto"/>
                      <w:kern w:val="0"/>
                      <w:sz w:val="21"/>
                      <w:szCs w:val="21"/>
                      <w:lang w:bidi="ar"/>
                    </w:rPr>
                    <w:t>min/次</w:t>
                  </w:r>
                </w:p>
              </w:tc>
              <w:tc>
                <w:tcPr>
                  <w:tcW w:w="364" w:type="pct"/>
                  <w:vAlign w:val="center"/>
                </w:tcPr>
                <w:p>
                  <w:pPr>
                    <w:widowControl/>
                    <w:spacing w:line="240" w:lineRule="auto"/>
                    <w:jc w:val="center"/>
                    <w:textAlignment w:val="center"/>
                    <w:rPr>
                      <w:rFonts w:hint="eastAsia"/>
                      <w:color w:val="auto"/>
                      <w:kern w:val="0"/>
                      <w:sz w:val="21"/>
                      <w:szCs w:val="21"/>
                      <w:highlight w:val="none"/>
                      <w:lang w:eastAsia="zh-CN" w:bidi="ar"/>
                    </w:rPr>
                  </w:pPr>
                  <w:r>
                    <w:rPr>
                      <w:rFonts w:hint="eastAsia"/>
                      <w:color w:val="auto"/>
                      <w:kern w:val="0"/>
                      <w:sz w:val="21"/>
                      <w:szCs w:val="21"/>
                      <w:highlight w:val="none"/>
                      <w:lang w:eastAsia="zh-CN" w:bidi="ar"/>
                    </w:rPr>
                    <w:t>套</w:t>
                  </w:r>
                </w:p>
              </w:tc>
              <w:tc>
                <w:tcPr>
                  <w:tcW w:w="291"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循环冷却</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位于缠绕膜区，用于流延后对物件间接冷却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23</w:t>
                  </w:r>
                </w:p>
              </w:tc>
              <w:tc>
                <w:tcPr>
                  <w:tcW w:w="818"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冷却循环系统b</w:t>
                  </w:r>
                </w:p>
              </w:tc>
              <w:tc>
                <w:tcPr>
                  <w:tcW w:w="71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yellow"/>
                      <w:lang w:val="en-US" w:eastAsia="zh-CN" w:bidi="ar"/>
                    </w:rPr>
                  </w:pPr>
                  <w:r>
                    <w:rPr>
                      <w:rFonts w:hint="eastAsia"/>
                      <w:color w:val="auto"/>
                      <w:kern w:val="0"/>
                      <w:sz w:val="21"/>
                      <w:szCs w:val="21"/>
                      <w:lang w:bidi="ar"/>
                    </w:rPr>
                    <w:t>冷却循环水池</w:t>
                  </w:r>
                  <w:r>
                    <w:rPr>
                      <w:rFonts w:hint="eastAsia"/>
                      <w:color w:val="auto"/>
                      <w:kern w:val="0"/>
                      <w:sz w:val="21"/>
                      <w:szCs w:val="21"/>
                      <w:lang w:val="en-US" w:eastAsia="zh-CN" w:bidi="ar"/>
                    </w:rPr>
                    <w:t>1.8</w:t>
                  </w:r>
                  <w:r>
                    <w:rPr>
                      <w:rFonts w:hint="eastAsia"/>
                      <w:color w:val="auto"/>
                      <w:kern w:val="0"/>
                      <w:sz w:val="21"/>
                      <w:szCs w:val="21"/>
                      <w:lang w:bidi="ar"/>
                    </w:rPr>
                    <w:t>m</w:t>
                  </w:r>
                  <w:r>
                    <w:rPr>
                      <w:rFonts w:hint="eastAsia"/>
                      <w:color w:val="auto"/>
                      <w:kern w:val="0"/>
                      <w:sz w:val="21"/>
                      <w:szCs w:val="21"/>
                      <w:vertAlign w:val="superscript"/>
                      <w:lang w:bidi="ar"/>
                    </w:rPr>
                    <w:t>3</w:t>
                  </w:r>
                  <w:r>
                    <w:rPr>
                      <w:rFonts w:hint="eastAsia"/>
                      <w:color w:val="auto"/>
                      <w:kern w:val="0"/>
                      <w:sz w:val="21"/>
                      <w:szCs w:val="21"/>
                      <w:lang w:bidi="ar"/>
                    </w:rPr>
                    <w:t>，冷却塔循环水频率</w:t>
                  </w:r>
                  <w:r>
                    <w:rPr>
                      <w:rFonts w:hint="eastAsia"/>
                      <w:color w:val="auto"/>
                      <w:kern w:val="0"/>
                      <w:sz w:val="21"/>
                      <w:szCs w:val="21"/>
                      <w:lang w:val="en-US" w:eastAsia="zh-CN" w:bidi="ar"/>
                    </w:rPr>
                    <w:t>20</w:t>
                  </w:r>
                  <w:r>
                    <w:rPr>
                      <w:rFonts w:hint="eastAsia"/>
                      <w:color w:val="auto"/>
                      <w:kern w:val="0"/>
                      <w:sz w:val="21"/>
                      <w:szCs w:val="21"/>
                      <w:lang w:bidi="ar"/>
                    </w:rPr>
                    <w:t>min/次</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套</w:t>
                  </w:r>
                </w:p>
              </w:tc>
              <w:tc>
                <w:tcPr>
                  <w:tcW w:w="29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循环冷却</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位于吹膜区，用于平口袋吹膜后对物件间接冷却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24</w:t>
                  </w:r>
                </w:p>
              </w:tc>
              <w:tc>
                <w:tcPr>
                  <w:tcW w:w="818"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冷却循环系统c</w:t>
                  </w:r>
                </w:p>
              </w:tc>
              <w:tc>
                <w:tcPr>
                  <w:tcW w:w="71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yellow"/>
                      <w:lang w:val="en-US" w:eastAsia="zh-CN" w:bidi="ar"/>
                    </w:rPr>
                  </w:pPr>
                  <w:r>
                    <w:rPr>
                      <w:rFonts w:hint="eastAsia"/>
                      <w:color w:val="auto"/>
                      <w:kern w:val="0"/>
                      <w:sz w:val="21"/>
                      <w:szCs w:val="21"/>
                      <w:lang w:bidi="ar"/>
                    </w:rPr>
                    <w:t>冷却循环水池</w:t>
                  </w:r>
                  <w:r>
                    <w:rPr>
                      <w:rFonts w:hint="eastAsia"/>
                      <w:color w:val="auto"/>
                      <w:kern w:val="0"/>
                      <w:sz w:val="21"/>
                      <w:szCs w:val="21"/>
                      <w:lang w:val="en-US" w:eastAsia="zh-CN" w:bidi="ar"/>
                    </w:rPr>
                    <w:t>1.2</w:t>
                  </w:r>
                  <w:r>
                    <w:rPr>
                      <w:rFonts w:hint="eastAsia"/>
                      <w:color w:val="auto"/>
                      <w:kern w:val="0"/>
                      <w:sz w:val="21"/>
                      <w:szCs w:val="21"/>
                      <w:lang w:bidi="ar"/>
                    </w:rPr>
                    <w:t>m</w:t>
                  </w:r>
                  <w:r>
                    <w:rPr>
                      <w:rFonts w:hint="eastAsia"/>
                      <w:color w:val="auto"/>
                      <w:kern w:val="0"/>
                      <w:sz w:val="21"/>
                      <w:szCs w:val="21"/>
                      <w:vertAlign w:val="superscript"/>
                      <w:lang w:bidi="ar"/>
                    </w:rPr>
                    <w:t>3</w:t>
                  </w:r>
                  <w:r>
                    <w:rPr>
                      <w:rFonts w:hint="eastAsia"/>
                      <w:color w:val="auto"/>
                      <w:kern w:val="0"/>
                      <w:sz w:val="21"/>
                      <w:szCs w:val="21"/>
                      <w:lang w:bidi="ar"/>
                    </w:rPr>
                    <w:t>，冷却塔循环水频率</w:t>
                  </w:r>
                  <w:r>
                    <w:rPr>
                      <w:rFonts w:hint="eastAsia"/>
                      <w:color w:val="auto"/>
                      <w:kern w:val="0"/>
                      <w:sz w:val="21"/>
                      <w:szCs w:val="21"/>
                      <w:lang w:val="en-US" w:eastAsia="zh-CN" w:bidi="ar"/>
                    </w:rPr>
                    <w:t>20</w:t>
                  </w:r>
                  <w:r>
                    <w:rPr>
                      <w:rFonts w:hint="eastAsia"/>
                      <w:color w:val="auto"/>
                      <w:kern w:val="0"/>
                      <w:sz w:val="21"/>
                      <w:szCs w:val="21"/>
                      <w:lang w:bidi="ar"/>
                    </w:rPr>
                    <w:t>min/次</w:t>
                  </w:r>
                </w:p>
              </w:tc>
              <w:tc>
                <w:tcPr>
                  <w:tcW w:w="364"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套</w:t>
                  </w:r>
                </w:p>
              </w:tc>
              <w:tc>
                <w:tcPr>
                  <w:tcW w:w="29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8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循环冷却</w:t>
                  </w:r>
                </w:p>
              </w:tc>
              <w:tc>
                <w:tcPr>
                  <w:tcW w:w="166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位于吹膜区，用于气柱膜吹膜后对物件间接冷却</w:t>
                  </w:r>
                </w:p>
              </w:tc>
            </w:tr>
          </w:tbl>
          <w:p>
            <w:pPr>
              <w:ind w:firstLine="482" w:firstLineChars="200"/>
              <w:jc w:val="left"/>
              <w:rPr>
                <w:b/>
                <w:bCs/>
                <w:color w:val="auto"/>
              </w:rPr>
            </w:pPr>
            <w:r>
              <w:rPr>
                <w:b/>
                <w:bCs/>
                <w:color w:val="auto"/>
              </w:rPr>
              <w:t>2.</w:t>
            </w:r>
            <w:r>
              <w:rPr>
                <w:rFonts w:hint="eastAsia"/>
                <w:b/>
                <w:bCs/>
                <w:color w:val="auto"/>
              </w:rPr>
              <w:t>3</w:t>
            </w:r>
            <w:r>
              <w:rPr>
                <w:b/>
                <w:bCs/>
                <w:color w:val="auto"/>
              </w:rPr>
              <w:t>.2 设备产能核算</w:t>
            </w:r>
          </w:p>
          <w:p>
            <w:pPr>
              <w:pStyle w:val="39"/>
              <w:adjustRightInd/>
              <w:snapToGrid/>
              <w:spacing w:before="0" w:after="0" w:line="360" w:lineRule="auto"/>
              <w:ind w:right="0" w:firstLine="480" w:firstLineChars="200"/>
              <w:jc w:val="both"/>
              <w:rPr>
                <w:b w:val="0"/>
                <w:bCs/>
                <w:color w:val="auto"/>
              </w:rPr>
            </w:pPr>
            <w:r>
              <w:rPr>
                <w:rFonts w:hint="eastAsia"/>
                <w:b w:val="0"/>
                <w:bCs/>
                <w:color w:val="auto"/>
              </w:rPr>
              <w:t>拟建项目营运期间</w:t>
            </w:r>
            <w:r>
              <w:rPr>
                <w:rFonts w:hint="eastAsia"/>
                <w:b w:val="0"/>
                <w:bCs/>
                <w:color w:val="auto"/>
                <w:lang w:eastAsia="zh-CN"/>
              </w:rPr>
              <w:t>流延机、复卷机（大）、复卷机（中）、复卷机（小）、气柱膜机、吹膜机</w:t>
            </w:r>
            <w:r>
              <w:rPr>
                <w:rFonts w:hint="eastAsia"/>
                <w:b w:val="0"/>
                <w:bCs/>
                <w:color w:val="auto"/>
              </w:rPr>
              <w:t>为项目产能控制环节</w:t>
            </w:r>
            <w:r>
              <w:rPr>
                <w:rFonts w:hint="eastAsia"/>
                <w:b w:val="0"/>
                <w:bCs/>
                <w:color w:val="auto"/>
                <w:lang w:eastAsia="zh-CN"/>
              </w:rPr>
              <w:t>，本次评价针对其进行设备产能核算，详见表</w:t>
            </w:r>
            <w:r>
              <w:rPr>
                <w:rFonts w:hint="eastAsia"/>
                <w:b w:val="0"/>
                <w:bCs/>
                <w:color w:val="auto"/>
                <w:lang w:val="en-US" w:eastAsia="zh-CN"/>
              </w:rPr>
              <w:t>2.3-2</w:t>
            </w:r>
            <w:r>
              <w:rPr>
                <w:b w:val="0"/>
                <w:bCs/>
                <w:color w:val="auto"/>
              </w:rPr>
              <w:t>。</w:t>
            </w:r>
          </w:p>
          <w:p>
            <w:pPr>
              <w:pStyle w:val="39"/>
              <w:adjustRightInd/>
              <w:snapToGrid/>
              <w:spacing w:before="0" w:after="0" w:line="240" w:lineRule="auto"/>
              <w:ind w:right="0"/>
              <w:rPr>
                <w:b w:val="0"/>
                <w:bCs/>
                <w:color w:val="auto"/>
              </w:rPr>
            </w:pPr>
            <w:r>
              <w:rPr>
                <w:b w:val="0"/>
                <w:bCs/>
                <w:color w:val="auto"/>
              </w:rPr>
              <w:t>表2.</w:t>
            </w:r>
            <w:r>
              <w:rPr>
                <w:rFonts w:hint="eastAsia"/>
                <w:b w:val="0"/>
                <w:bCs/>
                <w:color w:val="auto"/>
              </w:rPr>
              <w:t>3</w:t>
            </w:r>
            <w:r>
              <w:rPr>
                <w:b w:val="0"/>
                <w:bCs/>
                <w:color w:val="auto"/>
              </w:rPr>
              <w:t>-</w:t>
            </w:r>
            <w:r>
              <w:rPr>
                <w:rFonts w:hint="eastAsia"/>
                <w:b w:val="0"/>
                <w:bCs/>
                <w:color w:val="auto"/>
              </w:rPr>
              <w:t>2</w:t>
            </w:r>
            <w:r>
              <w:rPr>
                <w:b w:val="0"/>
                <w:bCs/>
                <w:color w:val="auto"/>
              </w:rPr>
              <w:t xml:space="preserve"> 设备产能核算一览表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260"/>
              <w:gridCol w:w="1262"/>
              <w:gridCol w:w="1130"/>
              <w:gridCol w:w="1050"/>
              <w:gridCol w:w="1308"/>
              <w:gridCol w:w="93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Align w:val="center"/>
                </w:tcPr>
                <w:p>
                  <w:pPr>
                    <w:widowControl/>
                    <w:spacing w:line="240" w:lineRule="auto"/>
                    <w:jc w:val="center"/>
                    <w:textAlignment w:val="center"/>
                    <w:rPr>
                      <w:color w:val="auto"/>
                      <w:kern w:val="0"/>
                      <w:sz w:val="21"/>
                      <w:szCs w:val="21"/>
                      <w:lang w:bidi="ar"/>
                    </w:rPr>
                  </w:pPr>
                  <w:r>
                    <w:rPr>
                      <w:rFonts w:hint="eastAsia"/>
                      <w:color w:val="auto"/>
                      <w:kern w:val="0"/>
                      <w:sz w:val="21"/>
                      <w:szCs w:val="21"/>
                      <w:lang w:bidi="ar"/>
                    </w:rPr>
                    <w:t>对应产品</w:t>
                  </w:r>
                </w:p>
              </w:tc>
              <w:tc>
                <w:tcPr>
                  <w:tcW w:w="766" w:type="pct"/>
                  <w:vAlign w:val="center"/>
                </w:tcPr>
                <w:p>
                  <w:pPr>
                    <w:widowControl/>
                    <w:spacing w:line="240" w:lineRule="auto"/>
                    <w:jc w:val="center"/>
                    <w:textAlignment w:val="center"/>
                    <w:rPr>
                      <w:color w:val="auto"/>
                      <w:kern w:val="0"/>
                      <w:sz w:val="21"/>
                      <w:szCs w:val="21"/>
                      <w:lang w:bidi="ar"/>
                    </w:rPr>
                  </w:pPr>
                  <w:r>
                    <w:rPr>
                      <w:rFonts w:hint="eastAsia"/>
                      <w:color w:val="auto"/>
                      <w:kern w:val="0"/>
                      <w:sz w:val="21"/>
                      <w:szCs w:val="21"/>
                      <w:lang w:bidi="ar"/>
                    </w:rPr>
                    <w:t>设备名称</w:t>
                  </w:r>
                </w:p>
              </w:tc>
              <w:tc>
                <w:tcPr>
                  <w:tcW w:w="767" w:type="pct"/>
                  <w:vAlign w:val="center"/>
                </w:tcPr>
                <w:p>
                  <w:pPr>
                    <w:widowControl/>
                    <w:spacing w:line="240" w:lineRule="auto"/>
                    <w:jc w:val="center"/>
                    <w:textAlignment w:val="center"/>
                    <w:rPr>
                      <w:color w:val="auto"/>
                      <w:kern w:val="0"/>
                      <w:sz w:val="21"/>
                      <w:szCs w:val="21"/>
                      <w:lang w:bidi="ar"/>
                    </w:rPr>
                  </w:pPr>
                  <w:r>
                    <w:rPr>
                      <w:rFonts w:hint="eastAsia"/>
                      <w:color w:val="auto"/>
                      <w:kern w:val="0"/>
                      <w:sz w:val="21"/>
                      <w:szCs w:val="21"/>
                      <w:lang w:eastAsia="zh-CN" w:bidi="ar"/>
                    </w:rPr>
                    <w:t>单台</w:t>
                  </w:r>
                  <w:r>
                    <w:rPr>
                      <w:rFonts w:hint="eastAsia"/>
                      <w:color w:val="auto"/>
                      <w:kern w:val="0"/>
                      <w:sz w:val="21"/>
                      <w:szCs w:val="21"/>
                      <w:lang w:bidi="ar"/>
                    </w:rPr>
                    <w:t>设计生产速度</w:t>
                  </w:r>
                </w:p>
                <w:p>
                  <w:pPr>
                    <w:widowControl/>
                    <w:spacing w:line="240" w:lineRule="auto"/>
                    <w:jc w:val="center"/>
                    <w:textAlignment w:val="center"/>
                    <w:rPr>
                      <w:color w:val="auto"/>
                      <w:kern w:val="0"/>
                      <w:sz w:val="21"/>
                      <w:szCs w:val="21"/>
                      <w:lang w:bidi="ar"/>
                    </w:rPr>
                  </w:pPr>
                  <w:r>
                    <w:rPr>
                      <w:rFonts w:hint="eastAsia"/>
                      <w:color w:val="auto"/>
                      <w:kern w:val="0"/>
                      <w:sz w:val="21"/>
                      <w:szCs w:val="21"/>
                      <w:lang w:bidi="ar"/>
                    </w:rPr>
                    <w:t>（kg/h）</w:t>
                  </w:r>
                </w:p>
              </w:tc>
              <w:tc>
                <w:tcPr>
                  <w:tcW w:w="687" w:type="pct"/>
                  <w:vAlign w:val="center"/>
                </w:tcPr>
                <w:p>
                  <w:pPr>
                    <w:widowControl/>
                    <w:spacing w:line="240" w:lineRule="auto"/>
                    <w:jc w:val="center"/>
                    <w:textAlignment w:val="center"/>
                    <w:rPr>
                      <w:rFonts w:hint="eastAsia" w:eastAsia="宋体"/>
                      <w:color w:val="auto"/>
                      <w:kern w:val="0"/>
                      <w:sz w:val="21"/>
                      <w:szCs w:val="21"/>
                      <w:lang w:eastAsia="zh-CN" w:bidi="ar"/>
                    </w:rPr>
                  </w:pPr>
                  <w:r>
                    <w:rPr>
                      <w:rFonts w:hint="eastAsia"/>
                      <w:color w:val="auto"/>
                      <w:kern w:val="0"/>
                      <w:sz w:val="21"/>
                      <w:szCs w:val="21"/>
                      <w:lang w:eastAsia="zh-CN" w:bidi="ar"/>
                    </w:rPr>
                    <w:t>设备数量（台）</w:t>
                  </w:r>
                </w:p>
              </w:tc>
              <w:tc>
                <w:tcPr>
                  <w:tcW w:w="638" w:type="pct"/>
                  <w:vAlign w:val="center"/>
                </w:tcPr>
                <w:p>
                  <w:pPr>
                    <w:widowControl/>
                    <w:spacing w:line="240" w:lineRule="auto"/>
                    <w:jc w:val="center"/>
                    <w:textAlignment w:val="center"/>
                    <w:rPr>
                      <w:color w:val="auto"/>
                      <w:kern w:val="0"/>
                      <w:sz w:val="21"/>
                      <w:szCs w:val="21"/>
                      <w:lang w:bidi="ar"/>
                    </w:rPr>
                  </w:pPr>
                  <w:r>
                    <w:rPr>
                      <w:rFonts w:hint="eastAsia"/>
                      <w:color w:val="auto"/>
                      <w:kern w:val="0"/>
                      <w:sz w:val="21"/>
                      <w:szCs w:val="21"/>
                      <w:lang w:bidi="ar"/>
                    </w:rPr>
                    <w:t>设计生产量（t/a）</w:t>
                  </w:r>
                </w:p>
              </w:tc>
              <w:tc>
                <w:tcPr>
                  <w:tcW w:w="795" w:type="pct"/>
                  <w:vAlign w:val="center"/>
                </w:tcPr>
                <w:p>
                  <w:pPr>
                    <w:widowControl/>
                    <w:spacing w:line="240" w:lineRule="auto"/>
                    <w:jc w:val="center"/>
                    <w:textAlignment w:val="center"/>
                    <w:rPr>
                      <w:color w:val="auto"/>
                      <w:kern w:val="0"/>
                      <w:sz w:val="21"/>
                      <w:szCs w:val="21"/>
                      <w:lang w:bidi="ar"/>
                    </w:rPr>
                  </w:pPr>
                  <w:r>
                    <w:rPr>
                      <w:rFonts w:hint="eastAsia"/>
                      <w:color w:val="auto"/>
                      <w:kern w:val="0"/>
                      <w:sz w:val="21"/>
                      <w:szCs w:val="21"/>
                      <w:lang w:bidi="ar"/>
                    </w:rPr>
                    <w:t>对应产品产量（t/a）</w:t>
                  </w:r>
                </w:p>
              </w:tc>
              <w:tc>
                <w:tcPr>
                  <w:tcW w:w="566" w:type="pct"/>
                  <w:vAlign w:val="center"/>
                </w:tcPr>
                <w:p>
                  <w:pPr>
                    <w:widowControl/>
                    <w:spacing w:line="240" w:lineRule="auto"/>
                    <w:jc w:val="center"/>
                    <w:textAlignment w:val="center"/>
                    <w:rPr>
                      <w:color w:val="auto"/>
                      <w:kern w:val="0"/>
                      <w:sz w:val="21"/>
                      <w:szCs w:val="21"/>
                      <w:lang w:bidi="ar"/>
                    </w:rPr>
                  </w:pPr>
                  <w:r>
                    <w:rPr>
                      <w:rFonts w:hint="eastAsia"/>
                      <w:color w:val="auto"/>
                      <w:kern w:val="0"/>
                      <w:sz w:val="21"/>
                      <w:szCs w:val="21"/>
                      <w:lang w:bidi="ar"/>
                    </w:rPr>
                    <w:t>产品计划产量与设计产能比值</w:t>
                  </w:r>
                </w:p>
              </w:tc>
              <w:tc>
                <w:tcPr>
                  <w:tcW w:w="401" w:type="pct"/>
                  <w:vAlign w:val="center"/>
                </w:tcPr>
                <w:p>
                  <w:pPr>
                    <w:widowControl/>
                    <w:spacing w:line="240" w:lineRule="auto"/>
                    <w:jc w:val="center"/>
                    <w:textAlignment w:val="center"/>
                    <w:rPr>
                      <w:color w:val="auto"/>
                      <w:kern w:val="0"/>
                      <w:sz w:val="21"/>
                      <w:szCs w:val="21"/>
                      <w:lang w:bidi="ar"/>
                    </w:rPr>
                  </w:pPr>
                  <w:r>
                    <w:rPr>
                      <w:rFonts w:hint="eastAsia"/>
                      <w:color w:val="auto"/>
                      <w:kern w:val="0"/>
                      <w:sz w:val="21"/>
                      <w:szCs w:val="21"/>
                      <w:lang w:bidi="ar"/>
                    </w:rPr>
                    <w:t>是否满足生产需求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vAlign w:val="center"/>
                </w:tcPr>
                <w:p>
                  <w:pPr>
                    <w:widowControl/>
                    <w:spacing w:line="240" w:lineRule="auto"/>
                    <w:jc w:val="center"/>
                    <w:textAlignment w:val="center"/>
                    <w:rPr>
                      <w:rFonts w:hint="eastAsia" w:eastAsia="宋体"/>
                      <w:color w:val="auto"/>
                      <w:kern w:val="0"/>
                      <w:sz w:val="21"/>
                      <w:szCs w:val="21"/>
                      <w:lang w:eastAsia="zh-CN" w:bidi="ar"/>
                    </w:rPr>
                  </w:pPr>
                  <w:r>
                    <w:rPr>
                      <w:rFonts w:hint="eastAsia"/>
                      <w:color w:val="auto"/>
                      <w:kern w:val="0"/>
                      <w:sz w:val="21"/>
                      <w:szCs w:val="21"/>
                      <w:lang w:eastAsia="zh-CN" w:bidi="ar"/>
                    </w:rPr>
                    <w:t>缠绕膜</w:t>
                  </w:r>
                </w:p>
              </w:tc>
              <w:tc>
                <w:tcPr>
                  <w:tcW w:w="766" w:type="pct"/>
                  <w:vAlign w:val="center"/>
                </w:tcPr>
                <w:p>
                  <w:pPr>
                    <w:widowControl/>
                    <w:spacing w:line="240" w:lineRule="auto"/>
                    <w:jc w:val="center"/>
                    <w:textAlignment w:val="center"/>
                    <w:rPr>
                      <w:rFonts w:hint="eastAsia"/>
                      <w:color w:val="auto"/>
                      <w:kern w:val="0"/>
                      <w:sz w:val="21"/>
                      <w:szCs w:val="21"/>
                      <w:lang w:bidi="ar"/>
                    </w:rPr>
                  </w:pPr>
                  <w:r>
                    <w:rPr>
                      <w:rFonts w:hint="eastAsia" w:cs="Times New Roman"/>
                      <w:color w:val="auto"/>
                      <w:kern w:val="0"/>
                      <w:sz w:val="21"/>
                      <w:szCs w:val="21"/>
                      <w:highlight w:val="none"/>
                      <w:lang w:val="en-US" w:eastAsia="zh-CN" w:bidi="ar"/>
                    </w:rPr>
                    <w:t>流延机</w:t>
                  </w:r>
                </w:p>
              </w:tc>
              <w:tc>
                <w:tcPr>
                  <w:tcW w:w="767"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150</w:t>
                  </w:r>
                </w:p>
              </w:tc>
              <w:tc>
                <w:tcPr>
                  <w:tcW w:w="687" w:type="pct"/>
                  <w:vAlign w:val="center"/>
                </w:tcPr>
                <w:p>
                  <w:pPr>
                    <w:widowControl/>
                    <w:spacing w:line="240" w:lineRule="auto"/>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5</w:t>
                  </w:r>
                </w:p>
              </w:tc>
              <w:tc>
                <w:tcPr>
                  <w:tcW w:w="638"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1800</w:t>
                  </w:r>
                </w:p>
              </w:tc>
              <w:tc>
                <w:tcPr>
                  <w:tcW w:w="795"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1500</w:t>
                  </w:r>
                </w:p>
              </w:tc>
              <w:tc>
                <w:tcPr>
                  <w:tcW w:w="566"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83.3%</w:t>
                  </w:r>
                  <w:r>
                    <w:rPr>
                      <w:rFonts w:hint="eastAsia" w:ascii="Times New Roman" w:hAnsi="Times New Roman" w:eastAsia="宋体" w:cs="Times New Roman"/>
                      <w:color w:val="auto"/>
                      <w:kern w:val="0"/>
                      <w:sz w:val="21"/>
                      <w:szCs w:val="21"/>
                      <w:lang w:val="en-US" w:eastAsia="zh-CN" w:bidi="ar"/>
                    </w:rPr>
                    <w:t xml:space="preserve"> </w:t>
                  </w:r>
                </w:p>
              </w:tc>
              <w:tc>
                <w:tcPr>
                  <w:tcW w:w="40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vAlign w:val="center"/>
                </w:tcPr>
                <w:p>
                  <w:pPr>
                    <w:widowControl/>
                    <w:spacing w:line="240" w:lineRule="auto"/>
                    <w:jc w:val="center"/>
                    <w:textAlignment w:val="center"/>
                    <w:rPr>
                      <w:color w:val="auto"/>
                      <w:kern w:val="0"/>
                      <w:sz w:val="21"/>
                      <w:szCs w:val="21"/>
                      <w:lang w:bidi="ar"/>
                    </w:rPr>
                  </w:pPr>
                </w:p>
              </w:tc>
              <w:tc>
                <w:tcPr>
                  <w:tcW w:w="766"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复卷机（大）</w:t>
                  </w:r>
                </w:p>
              </w:tc>
              <w:tc>
                <w:tcPr>
                  <w:tcW w:w="767"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500</w:t>
                  </w:r>
                </w:p>
              </w:tc>
              <w:tc>
                <w:tcPr>
                  <w:tcW w:w="687" w:type="pct"/>
                  <w:vAlign w:val="center"/>
                </w:tcPr>
                <w:p>
                  <w:pPr>
                    <w:widowControl/>
                    <w:spacing w:line="240" w:lineRule="auto"/>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5</w:t>
                  </w:r>
                </w:p>
              </w:tc>
              <w:tc>
                <w:tcPr>
                  <w:tcW w:w="638"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18000</w:t>
                  </w:r>
                </w:p>
              </w:tc>
              <w:tc>
                <w:tcPr>
                  <w:tcW w:w="795"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16000</w:t>
                  </w:r>
                </w:p>
              </w:tc>
              <w:tc>
                <w:tcPr>
                  <w:tcW w:w="5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88.9%</w:t>
                  </w:r>
                </w:p>
              </w:tc>
              <w:tc>
                <w:tcPr>
                  <w:tcW w:w="40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Align w:val="center"/>
                </w:tcPr>
                <w:p>
                  <w:pPr>
                    <w:widowControl/>
                    <w:spacing w:line="240" w:lineRule="auto"/>
                    <w:jc w:val="center"/>
                    <w:textAlignment w:val="center"/>
                    <w:rPr>
                      <w:rFonts w:hint="eastAsia" w:eastAsia="宋体"/>
                      <w:color w:val="auto"/>
                      <w:kern w:val="0"/>
                      <w:sz w:val="21"/>
                      <w:szCs w:val="21"/>
                      <w:lang w:eastAsia="zh-CN" w:bidi="ar"/>
                    </w:rPr>
                  </w:pPr>
                  <w:r>
                    <w:rPr>
                      <w:rFonts w:hint="eastAsia"/>
                      <w:color w:val="auto"/>
                      <w:kern w:val="0"/>
                      <w:sz w:val="21"/>
                      <w:szCs w:val="21"/>
                      <w:lang w:eastAsia="zh-CN" w:bidi="ar"/>
                    </w:rPr>
                    <w:t>气柱膜</w:t>
                  </w:r>
                </w:p>
              </w:tc>
              <w:tc>
                <w:tcPr>
                  <w:tcW w:w="7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气柱膜机</w:t>
                  </w:r>
                </w:p>
              </w:tc>
              <w:tc>
                <w:tcPr>
                  <w:tcW w:w="767"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350</w:t>
                  </w:r>
                </w:p>
              </w:tc>
              <w:tc>
                <w:tcPr>
                  <w:tcW w:w="687" w:type="pct"/>
                  <w:vAlign w:val="center"/>
                </w:tcPr>
                <w:p>
                  <w:pPr>
                    <w:widowControl/>
                    <w:spacing w:line="240" w:lineRule="auto"/>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2</w:t>
                  </w:r>
                </w:p>
              </w:tc>
              <w:tc>
                <w:tcPr>
                  <w:tcW w:w="638"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3360</w:t>
                  </w:r>
                </w:p>
              </w:tc>
              <w:tc>
                <w:tcPr>
                  <w:tcW w:w="795"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3000</w:t>
                  </w:r>
                </w:p>
              </w:tc>
              <w:tc>
                <w:tcPr>
                  <w:tcW w:w="5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89.3%</w:t>
                  </w:r>
                  <w:r>
                    <w:rPr>
                      <w:rFonts w:hint="eastAsia" w:ascii="Times New Roman" w:hAnsi="Times New Roman" w:eastAsia="宋体" w:cs="Times New Roman"/>
                      <w:color w:val="auto"/>
                      <w:kern w:val="0"/>
                      <w:sz w:val="21"/>
                      <w:szCs w:val="21"/>
                      <w:lang w:val="en-US" w:eastAsia="zh-CN" w:bidi="ar"/>
                    </w:rPr>
                    <w:t xml:space="preserve"> </w:t>
                  </w:r>
                </w:p>
              </w:tc>
              <w:tc>
                <w:tcPr>
                  <w:tcW w:w="40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Align w:val="center"/>
                </w:tcPr>
                <w:p>
                  <w:pPr>
                    <w:widowControl/>
                    <w:spacing w:line="240" w:lineRule="auto"/>
                    <w:jc w:val="center"/>
                    <w:textAlignment w:val="center"/>
                    <w:rPr>
                      <w:rFonts w:hint="eastAsia" w:eastAsia="宋体"/>
                      <w:color w:val="auto"/>
                      <w:kern w:val="0"/>
                      <w:sz w:val="21"/>
                      <w:szCs w:val="21"/>
                      <w:lang w:eastAsia="zh-CN" w:bidi="ar"/>
                    </w:rPr>
                  </w:pPr>
                  <w:r>
                    <w:rPr>
                      <w:rFonts w:hint="eastAsia"/>
                      <w:color w:val="auto"/>
                      <w:kern w:val="0"/>
                      <w:sz w:val="21"/>
                      <w:szCs w:val="21"/>
                      <w:lang w:eastAsia="zh-CN" w:bidi="ar"/>
                    </w:rPr>
                    <w:t>平口袋</w:t>
                  </w:r>
                </w:p>
              </w:tc>
              <w:tc>
                <w:tcPr>
                  <w:tcW w:w="7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吹膜机</w:t>
                  </w:r>
                </w:p>
              </w:tc>
              <w:tc>
                <w:tcPr>
                  <w:tcW w:w="767"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360</w:t>
                  </w:r>
                </w:p>
              </w:tc>
              <w:tc>
                <w:tcPr>
                  <w:tcW w:w="687" w:type="pct"/>
                  <w:vAlign w:val="center"/>
                </w:tcPr>
                <w:p>
                  <w:pPr>
                    <w:widowControl/>
                    <w:spacing w:line="240" w:lineRule="auto"/>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3</w:t>
                  </w:r>
                </w:p>
              </w:tc>
              <w:tc>
                <w:tcPr>
                  <w:tcW w:w="638"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7776</w:t>
                  </w:r>
                </w:p>
              </w:tc>
              <w:tc>
                <w:tcPr>
                  <w:tcW w:w="795"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7000</w:t>
                  </w:r>
                </w:p>
              </w:tc>
              <w:tc>
                <w:tcPr>
                  <w:tcW w:w="5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90.0</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 xml:space="preserve"> </w:t>
                  </w:r>
                </w:p>
              </w:tc>
              <w:tc>
                <w:tcPr>
                  <w:tcW w:w="40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vAlign w:val="center"/>
                </w:tcPr>
                <w:p>
                  <w:pPr>
                    <w:widowControl/>
                    <w:spacing w:line="240" w:lineRule="auto"/>
                    <w:jc w:val="center"/>
                    <w:textAlignment w:val="center"/>
                    <w:rPr>
                      <w:color w:val="auto"/>
                      <w:kern w:val="0"/>
                      <w:sz w:val="21"/>
                      <w:szCs w:val="21"/>
                      <w:lang w:bidi="ar"/>
                    </w:rPr>
                  </w:pPr>
                  <w:r>
                    <w:rPr>
                      <w:rFonts w:hint="eastAsia"/>
                      <w:color w:val="auto"/>
                      <w:kern w:val="0"/>
                      <w:sz w:val="21"/>
                      <w:szCs w:val="21"/>
                      <w:lang w:bidi="ar"/>
                    </w:rPr>
                    <w:t>包装用品</w:t>
                  </w:r>
                </w:p>
              </w:tc>
              <w:tc>
                <w:tcPr>
                  <w:tcW w:w="7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复卷机（小）</w:t>
                  </w:r>
                </w:p>
              </w:tc>
              <w:tc>
                <w:tcPr>
                  <w:tcW w:w="767"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22</w:t>
                  </w:r>
                </w:p>
              </w:tc>
              <w:tc>
                <w:tcPr>
                  <w:tcW w:w="687"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20</w:t>
                  </w:r>
                </w:p>
              </w:tc>
              <w:tc>
                <w:tcPr>
                  <w:tcW w:w="638"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1056</w:t>
                  </w:r>
                </w:p>
              </w:tc>
              <w:tc>
                <w:tcPr>
                  <w:tcW w:w="795"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945</w:t>
                  </w:r>
                </w:p>
              </w:tc>
              <w:tc>
                <w:tcPr>
                  <w:tcW w:w="5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89.5</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 xml:space="preserve"> </w:t>
                  </w:r>
                </w:p>
              </w:tc>
              <w:tc>
                <w:tcPr>
                  <w:tcW w:w="40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vAlign w:val="center"/>
                </w:tcPr>
                <w:p>
                  <w:pPr>
                    <w:widowControl/>
                    <w:spacing w:line="240" w:lineRule="auto"/>
                    <w:jc w:val="center"/>
                    <w:textAlignment w:val="center"/>
                    <w:rPr>
                      <w:color w:val="auto"/>
                      <w:kern w:val="0"/>
                      <w:sz w:val="21"/>
                      <w:szCs w:val="21"/>
                      <w:lang w:bidi="ar"/>
                    </w:rPr>
                  </w:pPr>
                </w:p>
              </w:tc>
              <w:tc>
                <w:tcPr>
                  <w:tcW w:w="7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复卷机（中）</w:t>
                  </w:r>
                </w:p>
              </w:tc>
              <w:tc>
                <w:tcPr>
                  <w:tcW w:w="767"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30</w:t>
                  </w:r>
                </w:p>
              </w:tc>
              <w:tc>
                <w:tcPr>
                  <w:tcW w:w="687" w:type="pct"/>
                  <w:vAlign w:val="center"/>
                </w:tcPr>
                <w:p>
                  <w:pPr>
                    <w:widowControl/>
                    <w:spacing w:line="240" w:lineRule="auto"/>
                    <w:jc w:val="center"/>
                    <w:textAlignment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4</w:t>
                  </w:r>
                </w:p>
              </w:tc>
              <w:tc>
                <w:tcPr>
                  <w:tcW w:w="638"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288</w:t>
                  </w:r>
                </w:p>
              </w:tc>
              <w:tc>
                <w:tcPr>
                  <w:tcW w:w="795" w:type="pct"/>
                  <w:vAlign w:val="center"/>
                </w:tcPr>
                <w:p>
                  <w:pPr>
                    <w:widowControl/>
                    <w:spacing w:line="240" w:lineRule="auto"/>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255</w:t>
                  </w:r>
                </w:p>
              </w:tc>
              <w:tc>
                <w:tcPr>
                  <w:tcW w:w="56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88.5</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 xml:space="preserve"> </w:t>
                  </w:r>
                </w:p>
              </w:tc>
              <w:tc>
                <w:tcPr>
                  <w:tcW w:w="40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bl>
          <w:p>
            <w:pPr>
              <w:jc w:val="left"/>
              <w:rPr>
                <w:rFonts w:hint="default"/>
                <w:b/>
                <w:bCs/>
                <w:color w:val="auto"/>
                <w:lang w:val="en-US" w:eastAsia="zh-CN"/>
              </w:rPr>
            </w:pPr>
            <w:r>
              <w:rPr>
                <w:b/>
                <w:bCs/>
                <w:color w:val="auto"/>
                <w:lang w:val="en-US" w:eastAsia="zh-CN"/>
              </w:rPr>
              <w:t>2.</w:t>
            </w:r>
            <w:r>
              <w:rPr>
                <w:rFonts w:hint="eastAsia"/>
                <w:b/>
                <w:bCs/>
                <w:color w:val="auto"/>
                <w:lang w:val="en-US" w:eastAsia="zh-CN"/>
              </w:rPr>
              <w:t>4</w:t>
            </w:r>
            <w:r>
              <w:rPr>
                <w:b/>
                <w:bCs/>
                <w:color w:val="auto"/>
                <w:lang w:val="en-US" w:eastAsia="zh-CN"/>
              </w:rPr>
              <w:t>主要原辅材料及能源年消耗数量</w:t>
            </w:r>
            <w:r>
              <w:rPr>
                <w:rFonts w:hint="eastAsia"/>
                <w:b/>
                <w:bCs/>
                <w:color w:val="auto"/>
                <w:lang w:val="en-US" w:eastAsia="zh-CN"/>
              </w:rPr>
              <w:t xml:space="preserve"> </w:t>
            </w:r>
          </w:p>
          <w:p>
            <w:pPr>
              <w:spacing w:line="240" w:lineRule="auto"/>
              <w:jc w:val="center"/>
              <w:rPr>
                <w:b w:val="0"/>
                <w:bCs w:val="0"/>
                <w:color w:val="auto"/>
                <w:highlight w:val="none"/>
                <w:lang w:val="en-US" w:eastAsia="zh-CN"/>
              </w:rPr>
            </w:pPr>
            <w:r>
              <w:rPr>
                <w:b w:val="0"/>
                <w:bCs w:val="0"/>
                <w:color w:val="auto"/>
                <w:highlight w:val="none"/>
                <w:lang w:val="en-US" w:eastAsia="zh-CN"/>
              </w:rPr>
              <w:t>表2.</w:t>
            </w:r>
            <w:r>
              <w:rPr>
                <w:rFonts w:hint="eastAsia"/>
                <w:b w:val="0"/>
                <w:bCs w:val="0"/>
                <w:color w:val="auto"/>
                <w:highlight w:val="none"/>
                <w:lang w:val="en-US" w:eastAsia="zh-CN"/>
              </w:rPr>
              <w:t>4</w:t>
            </w:r>
            <w:r>
              <w:rPr>
                <w:b w:val="0"/>
                <w:bCs w:val="0"/>
                <w:color w:val="auto"/>
                <w:highlight w:val="none"/>
                <w:lang w:val="en-US" w:eastAsia="zh-CN"/>
              </w:rPr>
              <w:t>-</w:t>
            </w:r>
            <w:r>
              <w:rPr>
                <w:rFonts w:hint="eastAsia"/>
                <w:b w:val="0"/>
                <w:bCs w:val="0"/>
                <w:color w:val="auto"/>
                <w:highlight w:val="none"/>
                <w:lang w:val="en-US" w:eastAsia="zh-CN"/>
              </w:rPr>
              <w:t>1</w:t>
            </w:r>
            <w:r>
              <w:rPr>
                <w:b w:val="0"/>
                <w:bCs w:val="0"/>
                <w:color w:val="auto"/>
                <w:highlight w:val="none"/>
                <w:lang w:val="en-US" w:eastAsia="zh-CN"/>
              </w:rPr>
              <w:t xml:space="preserve"> </w:t>
            </w:r>
            <w:r>
              <w:rPr>
                <w:rFonts w:hint="eastAsia"/>
                <w:b w:val="0"/>
                <w:bCs w:val="0"/>
                <w:color w:val="auto"/>
                <w:highlight w:val="none"/>
                <w:lang w:val="en-US" w:eastAsia="zh-CN"/>
              </w:rPr>
              <w:t>项目主要原辅材料消耗量</w:t>
            </w:r>
            <w:r>
              <w:rPr>
                <w:b w:val="0"/>
                <w:bCs w:val="0"/>
                <w:color w:val="auto"/>
                <w:highlight w:val="none"/>
                <w:lang w:val="en-US" w:eastAsia="zh-CN"/>
              </w:rPr>
              <w:t>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763"/>
              <w:gridCol w:w="1114"/>
              <w:gridCol w:w="1537"/>
              <w:gridCol w:w="1508"/>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2" w:type="pct"/>
                  <w:vAlign w:val="center"/>
                </w:tcPr>
                <w:p>
                  <w:pPr>
                    <w:snapToGrid w:val="0"/>
                    <w:spacing w:line="240" w:lineRule="auto"/>
                    <w:jc w:val="center"/>
                    <w:rPr>
                      <w:color w:val="auto"/>
                      <w:sz w:val="21"/>
                      <w:highlight w:val="none"/>
                    </w:rPr>
                  </w:pPr>
                  <w:r>
                    <w:rPr>
                      <w:color w:val="auto"/>
                      <w:sz w:val="21"/>
                      <w:szCs w:val="21"/>
                      <w:highlight w:val="none"/>
                    </w:rPr>
                    <w:t>序号</w:t>
                  </w:r>
                </w:p>
              </w:tc>
              <w:tc>
                <w:tcPr>
                  <w:tcW w:w="1071" w:type="pct"/>
                  <w:vAlign w:val="center"/>
                </w:tcPr>
                <w:p>
                  <w:pPr>
                    <w:snapToGrid w:val="0"/>
                    <w:spacing w:line="240" w:lineRule="auto"/>
                    <w:jc w:val="center"/>
                    <w:rPr>
                      <w:color w:val="auto"/>
                      <w:sz w:val="21"/>
                      <w:szCs w:val="21"/>
                      <w:highlight w:val="none"/>
                    </w:rPr>
                  </w:pPr>
                  <w:r>
                    <w:rPr>
                      <w:color w:val="auto"/>
                      <w:sz w:val="21"/>
                      <w:szCs w:val="21"/>
                      <w:highlight w:val="none"/>
                    </w:rPr>
                    <w:t>名称</w:t>
                  </w:r>
                </w:p>
              </w:tc>
              <w:tc>
                <w:tcPr>
                  <w:tcW w:w="677" w:type="pct"/>
                  <w:vAlign w:val="center"/>
                </w:tcPr>
                <w:p>
                  <w:pPr>
                    <w:snapToGrid w:val="0"/>
                    <w:spacing w:line="240" w:lineRule="auto"/>
                    <w:jc w:val="center"/>
                    <w:rPr>
                      <w:color w:val="auto"/>
                      <w:sz w:val="21"/>
                      <w:szCs w:val="21"/>
                      <w:highlight w:val="none"/>
                    </w:rPr>
                  </w:pPr>
                  <w:r>
                    <w:rPr>
                      <w:color w:val="auto"/>
                      <w:sz w:val="21"/>
                      <w:szCs w:val="21"/>
                      <w:highlight w:val="none"/>
                    </w:rPr>
                    <w:t>年消耗量</w:t>
                  </w:r>
                </w:p>
                <w:p>
                  <w:pPr>
                    <w:snapToGrid w:val="0"/>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t/a</w:t>
                  </w:r>
                  <w:r>
                    <w:rPr>
                      <w:rFonts w:hint="eastAsia"/>
                      <w:color w:val="auto"/>
                      <w:sz w:val="21"/>
                      <w:szCs w:val="21"/>
                      <w:highlight w:val="none"/>
                      <w:lang w:eastAsia="zh-CN"/>
                    </w:rPr>
                    <w:t>）</w:t>
                  </w:r>
                </w:p>
              </w:tc>
              <w:tc>
                <w:tcPr>
                  <w:tcW w:w="934" w:type="pct"/>
                  <w:vAlign w:val="center"/>
                </w:tcPr>
                <w:p>
                  <w:pPr>
                    <w:snapToGrid w:val="0"/>
                    <w:spacing w:line="240" w:lineRule="auto"/>
                    <w:jc w:val="center"/>
                    <w:rPr>
                      <w:rFonts w:hint="eastAsia" w:eastAsia="宋体"/>
                      <w:color w:val="auto"/>
                      <w:sz w:val="21"/>
                      <w:highlight w:val="none"/>
                      <w:lang w:eastAsia="zh-CN"/>
                    </w:rPr>
                  </w:pPr>
                  <w:r>
                    <w:rPr>
                      <w:rFonts w:hint="eastAsia"/>
                      <w:color w:val="auto"/>
                      <w:sz w:val="21"/>
                      <w:szCs w:val="21"/>
                      <w:highlight w:val="none"/>
                      <w:lang w:eastAsia="zh-CN"/>
                    </w:rPr>
                    <w:t>规格</w:t>
                  </w:r>
                </w:p>
              </w:tc>
              <w:tc>
                <w:tcPr>
                  <w:tcW w:w="916" w:type="pct"/>
                  <w:vAlign w:val="center"/>
                </w:tcPr>
                <w:p>
                  <w:pPr>
                    <w:snapToGrid w:val="0"/>
                    <w:spacing w:line="240" w:lineRule="auto"/>
                    <w:jc w:val="center"/>
                    <w:rPr>
                      <w:color w:val="auto"/>
                      <w:sz w:val="21"/>
                      <w:highlight w:val="none"/>
                    </w:rPr>
                  </w:pPr>
                  <w:r>
                    <w:rPr>
                      <w:color w:val="auto"/>
                      <w:sz w:val="21"/>
                      <w:szCs w:val="21"/>
                      <w:highlight w:val="none"/>
                    </w:rPr>
                    <w:t>最大储存量</w:t>
                  </w:r>
                  <w:r>
                    <w:rPr>
                      <w:rFonts w:hint="eastAsia"/>
                      <w:color w:val="auto"/>
                      <w:sz w:val="21"/>
                      <w:szCs w:val="21"/>
                      <w:highlight w:val="none"/>
                      <w:lang w:eastAsia="zh-CN"/>
                    </w:rPr>
                    <w:t>（</w:t>
                  </w:r>
                  <w:r>
                    <w:rPr>
                      <w:rFonts w:hint="eastAsia"/>
                      <w:color w:val="auto"/>
                      <w:sz w:val="21"/>
                      <w:szCs w:val="21"/>
                      <w:highlight w:val="none"/>
                      <w:lang w:val="en-US" w:eastAsia="zh-CN"/>
                    </w:rPr>
                    <w:t>t/a</w:t>
                  </w:r>
                  <w:r>
                    <w:rPr>
                      <w:rFonts w:hint="eastAsia"/>
                      <w:color w:val="auto"/>
                      <w:sz w:val="21"/>
                      <w:szCs w:val="21"/>
                      <w:highlight w:val="none"/>
                      <w:lang w:eastAsia="zh-CN"/>
                    </w:rPr>
                    <w:t>）</w:t>
                  </w:r>
                </w:p>
              </w:tc>
              <w:tc>
                <w:tcPr>
                  <w:tcW w:w="1117" w:type="pct"/>
                  <w:vAlign w:val="center"/>
                </w:tcPr>
                <w:p>
                  <w:pPr>
                    <w:snapToGrid w:val="0"/>
                    <w:spacing w:line="240" w:lineRule="auto"/>
                    <w:jc w:val="center"/>
                    <w:rPr>
                      <w:rFonts w:hint="eastAsia" w:eastAsia="宋体"/>
                      <w:color w:val="auto"/>
                      <w:sz w:val="21"/>
                      <w:highlight w:val="none"/>
                      <w:lang w:eastAsia="zh-CN"/>
                    </w:rPr>
                  </w:pPr>
                  <w:r>
                    <w:rPr>
                      <w:rFonts w:hint="eastAsia"/>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color w:val="auto"/>
                      <w:kern w:val="0"/>
                      <w:sz w:val="21"/>
                      <w:szCs w:val="21"/>
                      <w:highlight w:val="none"/>
                      <w:lang w:bidi="ar"/>
                    </w:rPr>
                  </w:pPr>
                  <w:r>
                    <w:rPr>
                      <w:color w:val="auto"/>
                      <w:kern w:val="0"/>
                      <w:sz w:val="21"/>
                      <w:szCs w:val="21"/>
                      <w:highlight w:val="none"/>
                      <w:lang w:bidi="ar"/>
                    </w:rPr>
                    <w:t>1</w:t>
                  </w:r>
                </w:p>
              </w:tc>
              <w:tc>
                <w:tcPr>
                  <w:tcW w:w="1071"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PP</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910.08</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25kg/袋</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100</w:t>
                  </w:r>
                </w:p>
              </w:tc>
              <w:tc>
                <w:tcPr>
                  <w:tcW w:w="1117" w:type="pct"/>
                  <w:vMerge w:val="restar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用于气柱膜生产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Merge w:val="restart"/>
                  <w:vAlign w:val="center"/>
                </w:tcPr>
                <w:p>
                  <w:pPr>
                    <w:widowControl/>
                    <w:spacing w:line="240" w:lineRule="auto"/>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w:t>
                  </w:r>
                </w:p>
              </w:tc>
              <w:tc>
                <w:tcPr>
                  <w:tcW w:w="1071" w:type="pct"/>
                  <w:vMerge w:val="restar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PE</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sz w:val="21"/>
                      <w:szCs w:val="21"/>
                      <w:lang w:val="en-US" w:eastAsia="zh-CN"/>
                    </w:rPr>
                    <w:t>2123.52</w:t>
                  </w:r>
                </w:p>
              </w:tc>
              <w:tc>
                <w:tcPr>
                  <w:tcW w:w="934"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25kg/袋</w:t>
                  </w:r>
                </w:p>
              </w:tc>
              <w:tc>
                <w:tcPr>
                  <w:tcW w:w="916" w:type="pct"/>
                  <w:vMerge w:val="restar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1000</w:t>
                  </w:r>
                </w:p>
              </w:tc>
              <w:tc>
                <w:tcPr>
                  <w:tcW w:w="1117" w:type="pct"/>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Merge w:val="continue"/>
                  <w:vAlign w:val="center"/>
                </w:tcPr>
                <w:p>
                  <w:pPr>
                    <w:widowControl/>
                    <w:spacing w:line="240" w:lineRule="auto"/>
                    <w:jc w:val="center"/>
                    <w:textAlignment w:val="center"/>
                    <w:rPr>
                      <w:rFonts w:hint="eastAsia" w:eastAsia="宋体"/>
                      <w:color w:val="auto"/>
                      <w:kern w:val="0"/>
                      <w:sz w:val="21"/>
                      <w:szCs w:val="21"/>
                      <w:highlight w:val="none"/>
                      <w:lang w:val="en-US" w:eastAsia="zh-CN" w:bidi="ar"/>
                    </w:rPr>
                  </w:pPr>
                </w:p>
              </w:tc>
              <w:tc>
                <w:tcPr>
                  <w:tcW w:w="1071" w:type="pct"/>
                  <w:vMerge w:val="continue"/>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1502.25</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25kg/袋</w:t>
                  </w:r>
                </w:p>
              </w:tc>
              <w:tc>
                <w:tcPr>
                  <w:tcW w:w="916" w:type="pct"/>
                  <w:vMerge w:val="continue"/>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p>
              </w:tc>
              <w:tc>
                <w:tcPr>
                  <w:tcW w:w="111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用于缠绕膜生产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c>
                <w:tcPr>
                  <w:tcW w:w="1071" w:type="pct"/>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sz w:val="21"/>
                      <w:szCs w:val="21"/>
                    </w:rPr>
                    <w:t>7078.4</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25kg/袋</w:t>
                  </w:r>
                </w:p>
              </w:tc>
              <w:tc>
                <w:tcPr>
                  <w:tcW w:w="916" w:type="pct"/>
                  <w:vMerge w:val="continue"/>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p>
              </w:tc>
              <w:tc>
                <w:tcPr>
                  <w:tcW w:w="111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平口袋生产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3</w:t>
                  </w:r>
                </w:p>
              </w:tc>
              <w:tc>
                <w:tcPr>
                  <w:tcW w:w="107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缠绕膜半成品</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115984</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200cm</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1000</w:t>
                  </w:r>
                </w:p>
              </w:tc>
              <w:tc>
                <w:tcPr>
                  <w:tcW w:w="1117"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用于缠绕膜生产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4</w:t>
                  </w:r>
                </w:p>
              </w:tc>
              <w:tc>
                <w:tcPr>
                  <w:tcW w:w="1071" w:type="pct"/>
                  <w:vAlign w:val="center"/>
                </w:tcPr>
                <w:p>
                  <w:pPr>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包装用品半成品</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1174.406</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28~55cm、55~97cm</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100</w:t>
                  </w:r>
                </w:p>
              </w:tc>
              <w:tc>
                <w:tcPr>
                  <w:tcW w:w="111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用于包装用品生产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w:t>
                  </w:r>
                </w:p>
              </w:tc>
              <w:tc>
                <w:tcPr>
                  <w:tcW w:w="1071"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白纸</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12.8</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3.2</w:t>
                  </w:r>
                </w:p>
              </w:tc>
              <w:tc>
                <w:tcPr>
                  <w:tcW w:w="1117" w:type="pct"/>
                  <w:vMerge w:val="restar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用于</w:t>
                  </w:r>
                  <w:r>
                    <w:rPr>
                      <w:rFonts w:hint="eastAsia"/>
                      <w:color w:val="auto"/>
                      <w:sz w:val="21"/>
                      <w:szCs w:val="21"/>
                    </w:rPr>
                    <w:t>包装产品纸芯生产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p>
              </w:tc>
              <w:tc>
                <w:tcPr>
                  <w:tcW w:w="1071" w:type="pct"/>
                  <w:vAlign w:val="center"/>
                </w:tcPr>
                <w:p>
                  <w:pPr>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茶板纸</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36</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6</w:t>
                  </w:r>
                </w:p>
              </w:tc>
              <w:tc>
                <w:tcPr>
                  <w:tcW w:w="1117" w:type="pct"/>
                  <w:vMerge w:val="continue"/>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w:t>
                  </w:r>
                </w:p>
              </w:tc>
              <w:tc>
                <w:tcPr>
                  <w:tcW w:w="1071"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白乳胶</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1.2</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20kg/桶</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0.2</w:t>
                  </w:r>
                </w:p>
              </w:tc>
              <w:tc>
                <w:tcPr>
                  <w:tcW w:w="1117" w:type="pct"/>
                  <w:vMerge w:val="continue"/>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w:t>
                  </w:r>
                </w:p>
              </w:tc>
              <w:tc>
                <w:tcPr>
                  <w:tcW w:w="107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缠绕膜芯</w:t>
                  </w:r>
                </w:p>
              </w:tc>
              <w:tc>
                <w:tcPr>
                  <w:tcW w:w="67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17.5</w:t>
                  </w:r>
                </w:p>
              </w:tc>
              <w:tc>
                <w:tcPr>
                  <w:tcW w:w="934"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50.0~100.0cm</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3.5</w:t>
                  </w:r>
                </w:p>
              </w:tc>
              <w:tc>
                <w:tcPr>
                  <w:tcW w:w="111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作为缠绕膜膜芯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w:t>
                  </w:r>
                </w:p>
              </w:tc>
              <w:tc>
                <w:tcPr>
                  <w:tcW w:w="1071"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纸箱</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30</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w:t>
                  </w:r>
                </w:p>
              </w:tc>
              <w:tc>
                <w:tcPr>
                  <w:tcW w:w="111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用于包装成品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c>
                <w:tcPr>
                  <w:tcW w:w="1071"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润滑油</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0.5</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25kg/桶</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0.05</w:t>
                  </w:r>
                </w:p>
              </w:tc>
              <w:tc>
                <w:tcPr>
                  <w:tcW w:w="111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用于机械润滑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11</w:t>
                  </w:r>
                </w:p>
              </w:tc>
              <w:tc>
                <w:tcPr>
                  <w:tcW w:w="107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活性炭</w:t>
                  </w:r>
                </w:p>
              </w:tc>
              <w:tc>
                <w:tcPr>
                  <w:tcW w:w="67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37.4</w:t>
                  </w:r>
                </w:p>
              </w:tc>
              <w:tc>
                <w:tcPr>
                  <w:tcW w:w="934"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916"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3.2</w:t>
                  </w:r>
                </w:p>
              </w:tc>
              <w:tc>
                <w:tcPr>
                  <w:tcW w:w="1117" w:type="pct"/>
                  <w:vAlign w:val="center"/>
                </w:tcPr>
                <w:p>
                  <w:pPr>
                    <w:widowControl/>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用于废气吸附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12</w:t>
                  </w:r>
                </w:p>
              </w:tc>
              <w:tc>
                <w:tcPr>
                  <w:tcW w:w="107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新鲜水</w:t>
                  </w:r>
                </w:p>
              </w:tc>
              <w:tc>
                <w:tcPr>
                  <w:tcW w:w="1611" w:type="pct"/>
                  <w:gridSpan w:val="2"/>
                  <w:vAlign w:val="center"/>
                </w:tcPr>
                <w:p>
                  <w:pPr>
                    <w:widowControl/>
                    <w:spacing w:line="240" w:lineRule="auto"/>
                    <w:jc w:val="center"/>
                    <w:textAlignment w:val="center"/>
                    <w:rPr>
                      <w:rFonts w:hint="eastAsia"/>
                      <w:color w:val="auto"/>
                      <w:kern w:val="0"/>
                      <w:sz w:val="21"/>
                      <w:szCs w:val="21"/>
                      <w:highlight w:val="none"/>
                      <w:lang w:bidi="ar"/>
                    </w:rPr>
                  </w:pPr>
                  <w:r>
                    <w:rPr>
                      <w:rFonts w:hint="default" w:ascii="Times New Roman" w:hAnsi="Times New Roman" w:eastAsia="宋体" w:cs="Times New Roman"/>
                      <w:color w:val="auto"/>
                      <w:sz w:val="21"/>
                      <w:szCs w:val="21"/>
                      <w:highlight w:val="none"/>
                      <w:lang w:eastAsia="zh-CN"/>
                    </w:rPr>
                    <w:t>5153.896m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/a</w:t>
                  </w:r>
                </w:p>
              </w:tc>
              <w:tc>
                <w:tcPr>
                  <w:tcW w:w="91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bidi="ar"/>
                    </w:rPr>
                    <w:t>市政水管供应</w:t>
                  </w:r>
                </w:p>
              </w:tc>
              <w:tc>
                <w:tcPr>
                  <w:tcW w:w="1117" w:type="pct"/>
                  <w:vAlign w:val="center"/>
                </w:tcPr>
                <w:p>
                  <w:pPr>
                    <w:widowControl/>
                    <w:spacing w:line="240" w:lineRule="auto"/>
                    <w:jc w:val="center"/>
                    <w:textAlignment w:val="center"/>
                    <w:rPr>
                      <w:rFonts w:hint="eastAsia" w:eastAsia="宋体"/>
                      <w:color w:val="auto"/>
                      <w:kern w:val="0"/>
                      <w:sz w:val="21"/>
                      <w:szCs w:val="21"/>
                      <w:highlight w:val="none"/>
                      <w:lang w:eastAsia="zh-CN" w:bidi="ar"/>
                    </w:rPr>
                  </w:pPr>
                  <w:r>
                    <w:rPr>
                      <w:rFonts w:hint="eastAsia"/>
                      <w:color w:val="auto"/>
                      <w:kern w:val="0"/>
                      <w:sz w:val="21"/>
                      <w:szCs w:val="21"/>
                      <w:highlight w:val="none"/>
                      <w:lang w:eastAsia="zh-CN" w:bidi="ar"/>
                    </w:rPr>
                    <w:t>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13</w:t>
                  </w:r>
                </w:p>
              </w:tc>
              <w:tc>
                <w:tcPr>
                  <w:tcW w:w="107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eastAsia="zh-CN" w:bidi="ar"/>
                    </w:rPr>
                    <w:t>电</w:t>
                  </w:r>
                </w:p>
              </w:tc>
              <w:tc>
                <w:tcPr>
                  <w:tcW w:w="1611" w:type="pct"/>
                  <w:gridSpan w:val="2"/>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30万</w:t>
                  </w:r>
                  <w:r>
                    <w:rPr>
                      <w:rFonts w:hint="default" w:ascii="Times New Roman" w:hAnsi="Times New Roman" w:eastAsia="宋体" w:cs="Times New Roman"/>
                      <w:color w:val="auto"/>
                      <w:sz w:val="21"/>
                      <w:szCs w:val="21"/>
                      <w:highlight w:val="none"/>
                      <w:lang w:val="en-US" w:eastAsia="zh-CN"/>
                    </w:rPr>
                    <w:t>kW·h</w:t>
                  </w:r>
                </w:p>
              </w:tc>
              <w:tc>
                <w:tcPr>
                  <w:tcW w:w="916"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bidi="ar"/>
                    </w:rPr>
                    <w:t>市政电网供应</w:t>
                  </w:r>
                </w:p>
              </w:tc>
              <w:tc>
                <w:tcPr>
                  <w:tcW w:w="1117" w:type="pct"/>
                  <w:vAlign w:val="center"/>
                </w:tcPr>
                <w:p>
                  <w:pPr>
                    <w:widowControl/>
                    <w:spacing w:line="240" w:lineRule="auto"/>
                    <w:jc w:val="center"/>
                    <w:textAlignment w:val="center"/>
                    <w:rPr>
                      <w:rFonts w:hint="eastAsia" w:eastAsia="宋体"/>
                      <w:color w:val="auto"/>
                      <w:kern w:val="0"/>
                      <w:sz w:val="21"/>
                      <w:szCs w:val="21"/>
                      <w:highlight w:val="none"/>
                      <w:lang w:eastAsia="zh-CN" w:bidi="ar"/>
                    </w:rPr>
                  </w:pPr>
                  <w:r>
                    <w:rPr>
                      <w:rFonts w:hint="eastAsia"/>
                      <w:color w:val="auto"/>
                      <w:kern w:val="0"/>
                      <w:sz w:val="21"/>
                      <w:szCs w:val="21"/>
                      <w:highlight w:val="none"/>
                      <w:lang w:eastAsia="zh-CN" w:bidi="ar"/>
                    </w:rPr>
                    <w:t>供电</w:t>
                  </w:r>
                </w:p>
              </w:tc>
            </w:tr>
          </w:tbl>
          <w:p>
            <w:pPr>
              <w:spacing w:line="240" w:lineRule="auto"/>
              <w:jc w:val="center"/>
              <w:rPr>
                <w:b w:val="0"/>
                <w:bCs w:val="0"/>
                <w:color w:val="auto"/>
                <w:highlight w:val="none"/>
                <w:lang w:val="en-US" w:eastAsia="zh-CN"/>
              </w:rPr>
            </w:pPr>
            <w:r>
              <w:rPr>
                <w:b w:val="0"/>
                <w:bCs w:val="0"/>
                <w:color w:val="auto"/>
                <w:highlight w:val="none"/>
                <w:lang w:val="en-US" w:eastAsia="zh-CN"/>
              </w:rPr>
              <w:t>表2.</w:t>
            </w:r>
            <w:r>
              <w:rPr>
                <w:rFonts w:hint="eastAsia"/>
                <w:b w:val="0"/>
                <w:bCs w:val="0"/>
                <w:color w:val="auto"/>
                <w:highlight w:val="none"/>
                <w:lang w:val="en-US" w:eastAsia="zh-CN"/>
              </w:rPr>
              <w:t>4</w:t>
            </w:r>
            <w:r>
              <w:rPr>
                <w:b w:val="0"/>
                <w:bCs w:val="0"/>
                <w:color w:val="auto"/>
                <w:highlight w:val="none"/>
                <w:lang w:val="en-US" w:eastAsia="zh-CN"/>
              </w:rPr>
              <w:t>-</w:t>
            </w:r>
            <w:r>
              <w:rPr>
                <w:rFonts w:hint="eastAsia"/>
                <w:b w:val="0"/>
                <w:bCs w:val="0"/>
                <w:color w:val="auto"/>
                <w:highlight w:val="none"/>
                <w:lang w:val="en-US" w:eastAsia="zh-CN"/>
              </w:rPr>
              <w:t>2</w:t>
            </w:r>
            <w:r>
              <w:rPr>
                <w:b w:val="0"/>
                <w:bCs w:val="0"/>
                <w:color w:val="auto"/>
                <w:highlight w:val="none"/>
                <w:lang w:val="en-US" w:eastAsia="zh-CN"/>
              </w:rPr>
              <w:t xml:space="preserve"> </w:t>
            </w:r>
            <w:r>
              <w:rPr>
                <w:rFonts w:hint="eastAsia"/>
                <w:b w:val="0"/>
                <w:bCs w:val="0"/>
                <w:color w:val="auto"/>
                <w:highlight w:val="none"/>
                <w:lang w:val="en-US" w:eastAsia="zh-CN"/>
              </w:rPr>
              <w:t>项目原辅料理化性质</w:t>
            </w:r>
            <w:r>
              <w:rPr>
                <w:b w:val="0"/>
                <w:bCs w:val="0"/>
                <w:color w:val="auto"/>
                <w:highlight w:val="none"/>
                <w:lang w:val="en-US" w:eastAsia="zh-CN"/>
              </w:rPr>
              <w:t>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755"/>
              <w:gridCol w:w="756"/>
              <w:gridCol w:w="1073"/>
              <w:gridCol w:w="1039"/>
              <w:gridCol w:w="3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序号</w:t>
                  </w:r>
                </w:p>
              </w:tc>
              <w:tc>
                <w:tcPr>
                  <w:tcW w:w="1511" w:type="dxa"/>
                  <w:gridSpan w:val="2"/>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物质名称</w:t>
                  </w:r>
                </w:p>
              </w:tc>
              <w:tc>
                <w:tcPr>
                  <w:tcW w:w="1073"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储存量</w:t>
                  </w:r>
                </w:p>
              </w:tc>
              <w:tc>
                <w:tcPr>
                  <w:tcW w:w="1039"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临界量</w:t>
                  </w:r>
                </w:p>
              </w:tc>
              <w:tc>
                <w:tcPr>
                  <w:tcW w:w="3956"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1511" w:type="dxa"/>
                  <w:gridSpan w:val="2"/>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润滑油</w:t>
                  </w:r>
                </w:p>
              </w:tc>
              <w:tc>
                <w:tcPr>
                  <w:tcW w:w="1073"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0.3</w:t>
                  </w:r>
                </w:p>
              </w:tc>
              <w:tc>
                <w:tcPr>
                  <w:tcW w:w="1039"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2500t</w:t>
                  </w:r>
                </w:p>
              </w:tc>
              <w:tc>
                <w:tcPr>
                  <w:tcW w:w="3956"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即保护机械及加工件的液体或半固体</w:t>
                  </w:r>
                  <w:r>
                    <w:rPr>
                      <w:rFonts w:hint="eastAsia" w:ascii="Times New Roman" w:hAnsi="Times New Roman" w:eastAsia="宋体" w:cs="Times New Roman"/>
                      <w:b w:val="0"/>
                      <w:bCs/>
                      <w:color w:val="auto"/>
                      <w:sz w:val="21"/>
                      <w:szCs w:val="21"/>
                      <w:lang w:val="en-US" w:eastAsia="zh-CN"/>
                    </w:rPr>
                    <w:t>油</w:t>
                  </w:r>
                  <w:r>
                    <w:rPr>
                      <w:rFonts w:hint="default" w:ascii="Times New Roman" w:hAnsi="Times New Roman" w:eastAsia="宋体" w:cs="Times New Roman"/>
                      <w:b w:val="0"/>
                      <w:bCs/>
                      <w:color w:val="auto"/>
                      <w:sz w:val="21"/>
                      <w:szCs w:val="21"/>
                      <w:lang w:val="en-US" w:eastAsia="zh-CN"/>
                    </w:rPr>
                    <w:t>，主要起润滑、辅助冷却、防锈、清洁、密封和缓冲等作用。CAS：8042-47-5，液体、无色，闪点＞93℃，蒸气压＜0.0001hPa（在-20℃-OECD测试），相对密度0.81~0.89g/cm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不溶于水，自燃温度为325~355℃润滑油由基础油和添加剂两部分组成。基础油是润滑油的主要成分，决定着润滑油的基本性质，添加剂则可弥补和改善基础油性能方面的不足，赋予某些新的性能，是润滑油的重要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restart"/>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755" w:type="dxa"/>
                  <w:vMerge w:val="restar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白乳胶</w:t>
                  </w:r>
                </w:p>
              </w:tc>
              <w:tc>
                <w:tcPr>
                  <w:tcW w:w="756" w:type="dxa"/>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水</w:t>
                  </w:r>
                </w:p>
              </w:tc>
              <w:tc>
                <w:tcPr>
                  <w:tcW w:w="1073"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0.14</w:t>
                  </w:r>
                </w:p>
              </w:tc>
              <w:tc>
                <w:tcPr>
                  <w:tcW w:w="1039"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3956"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根据白乳胶MSDS可知，水占白乳胶成分的70%。分子式：H</w:t>
                  </w:r>
                  <w:r>
                    <w:rPr>
                      <w:rFonts w:hint="eastAsia"/>
                      <w:color w:val="auto"/>
                      <w:kern w:val="0"/>
                      <w:sz w:val="21"/>
                      <w:szCs w:val="21"/>
                      <w:highlight w:val="none"/>
                      <w:vertAlign w:val="subscript"/>
                      <w:lang w:val="en-US" w:eastAsia="zh-CN" w:bidi="ar"/>
                    </w:rPr>
                    <w:t>2</w:t>
                  </w:r>
                  <w:r>
                    <w:rPr>
                      <w:rFonts w:hint="eastAsia"/>
                      <w:color w:val="auto"/>
                      <w:kern w:val="0"/>
                      <w:sz w:val="21"/>
                      <w:szCs w:val="21"/>
                      <w:highlight w:val="none"/>
                      <w:lang w:val="en-US" w:eastAsia="zh-CN" w:bidi="ar"/>
                    </w:rPr>
                    <w:t>O，不可燃，无色无味透明液体；沸点100℃、相对密度（水=1）：1.0，无毒。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9" w:type="dxa"/>
                  <w:vMerge w:val="continue"/>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rPr>
                  </w:pPr>
                </w:p>
              </w:tc>
              <w:tc>
                <w:tcPr>
                  <w:tcW w:w="755" w:type="dxa"/>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c>
                <w:tcPr>
                  <w:tcW w:w="756" w:type="dxa"/>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淀粉</w:t>
                  </w:r>
                </w:p>
              </w:tc>
              <w:tc>
                <w:tcPr>
                  <w:tcW w:w="1073"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0.026</w:t>
                  </w:r>
                </w:p>
              </w:tc>
              <w:tc>
                <w:tcPr>
                  <w:tcW w:w="1039"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3956" w:type="dxa"/>
                  <w:vAlign w:val="center"/>
                </w:tcPr>
                <w:p>
                  <w:pPr>
                    <w:widowControl/>
                    <w:spacing w:line="240" w:lineRule="auto"/>
                    <w:jc w:val="center"/>
                    <w:textAlignment w:val="center"/>
                    <w:rPr>
                      <w:rFonts w:hint="default"/>
                      <w:color w:val="auto"/>
                      <w:kern w:val="0"/>
                      <w:sz w:val="21"/>
                      <w:szCs w:val="21"/>
                      <w:highlight w:val="none"/>
                      <w:vertAlign w:val="baseline"/>
                      <w:lang w:val="en-US" w:eastAsia="zh-CN" w:bidi="ar"/>
                    </w:rPr>
                  </w:pPr>
                  <w:r>
                    <w:rPr>
                      <w:rFonts w:hint="eastAsia"/>
                      <w:color w:val="auto"/>
                      <w:kern w:val="0"/>
                      <w:sz w:val="21"/>
                      <w:szCs w:val="21"/>
                      <w:highlight w:val="none"/>
                      <w:lang w:val="en-US" w:eastAsia="zh-CN" w:bidi="ar"/>
                    </w:rPr>
                    <w:t>根据白乳胶MSDS可知，淀粉占白乳胶成分的13%。分子式：（C</w:t>
                  </w:r>
                  <w:r>
                    <w:rPr>
                      <w:rFonts w:hint="eastAsia"/>
                      <w:color w:val="auto"/>
                      <w:kern w:val="0"/>
                      <w:sz w:val="21"/>
                      <w:szCs w:val="21"/>
                      <w:highlight w:val="none"/>
                      <w:vertAlign w:val="subscript"/>
                      <w:lang w:val="en-US" w:eastAsia="zh-CN" w:bidi="ar"/>
                    </w:rPr>
                    <w:t>6</w:t>
                  </w:r>
                  <w:r>
                    <w:rPr>
                      <w:rFonts w:hint="eastAsia"/>
                      <w:color w:val="auto"/>
                      <w:kern w:val="0"/>
                      <w:sz w:val="21"/>
                      <w:szCs w:val="21"/>
                      <w:highlight w:val="none"/>
                      <w:lang w:val="en-US" w:eastAsia="zh-CN" w:bidi="ar"/>
                    </w:rPr>
                    <w:t>O</w:t>
                  </w:r>
                  <w:r>
                    <w:rPr>
                      <w:rFonts w:hint="eastAsia"/>
                      <w:color w:val="auto"/>
                      <w:kern w:val="0"/>
                      <w:sz w:val="21"/>
                      <w:szCs w:val="21"/>
                      <w:highlight w:val="none"/>
                      <w:vertAlign w:val="subscript"/>
                      <w:lang w:val="en-US" w:eastAsia="zh-CN" w:bidi="ar"/>
                    </w:rPr>
                    <w:t>10</w:t>
                  </w:r>
                  <w:r>
                    <w:rPr>
                      <w:rFonts w:hint="eastAsia"/>
                      <w:color w:val="auto"/>
                      <w:kern w:val="0"/>
                      <w:sz w:val="21"/>
                      <w:szCs w:val="21"/>
                      <w:highlight w:val="none"/>
                      <w:lang w:val="en-US" w:eastAsia="zh-CN" w:bidi="ar"/>
                    </w:rPr>
                    <w:t>H</w:t>
                  </w:r>
                  <w:r>
                    <w:rPr>
                      <w:rFonts w:hint="eastAsia"/>
                      <w:color w:val="auto"/>
                      <w:kern w:val="0"/>
                      <w:sz w:val="21"/>
                      <w:szCs w:val="21"/>
                      <w:highlight w:val="none"/>
                      <w:vertAlign w:val="subscript"/>
                      <w:lang w:val="en-US" w:eastAsia="zh-CN" w:bidi="ar"/>
                    </w:rPr>
                    <w:t>5</w:t>
                  </w:r>
                  <w:r>
                    <w:rPr>
                      <w:rFonts w:hint="eastAsia"/>
                      <w:color w:val="auto"/>
                      <w:kern w:val="0"/>
                      <w:sz w:val="21"/>
                      <w:szCs w:val="21"/>
                      <w:highlight w:val="none"/>
                      <w:lang w:val="en-US" w:eastAsia="zh-CN" w:bidi="ar"/>
                    </w:rPr>
                    <w:t>）</w:t>
                  </w:r>
                  <w:r>
                    <w:rPr>
                      <w:rFonts w:hint="eastAsia"/>
                      <w:color w:val="auto"/>
                      <w:kern w:val="0"/>
                      <w:sz w:val="21"/>
                      <w:szCs w:val="21"/>
                      <w:highlight w:val="none"/>
                      <w:vertAlign w:val="subscript"/>
                      <w:lang w:val="en-US" w:eastAsia="zh-CN" w:bidi="ar"/>
                    </w:rPr>
                    <w:t>n</w:t>
                  </w:r>
                  <w:r>
                    <w:rPr>
                      <w:rFonts w:hint="eastAsia"/>
                      <w:color w:val="auto"/>
                      <w:kern w:val="0"/>
                      <w:sz w:val="21"/>
                      <w:szCs w:val="21"/>
                      <w:highlight w:val="none"/>
                      <w:vertAlign w:val="baseline"/>
                      <w:lang w:val="en-US" w:eastAsia="zh-CN" w:bidi="ar"/>
                    </w:rPr>
                    <w:t>；CAS NO：09005-84-9；可燃，白色粉末或颗粒，略有气味，可溶于水，相对</w:t>
                  </w:r>
                  <w:r>
                    <w:rPr>
                      <w:rFonts w:hint="eastAsia"/>
                      <w:color w:val="auto"/>
                      <w:kern w:val="0"/>
                      <w:sz w:val="21"/>
                      <w:szCs w:val="21"/>
                      <w:highlight w:val="none"/>
                      <w:lang w:val="en-US" w:eastAsia="zh-CN" w:bidi="ar"/>
                    </w:rPr>
                    <w:t>（水=1）：1.499~1.513，无毒。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rPr>
                  </w:pPr>
                </w:p>
              </w:tc>
              <w:tc>
                <w:tcPr>
                  <w:tcW w:w="755" w:type="dxa"/>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c>
                <w:tcPr>
                  <w:tcW w:w="756" w:type="dxa"/>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聚乙酸乙烯酯乳液</w:t>
                  </w:r>
                </w:p>
              </w:tc>
              <w:tc>
                <w:tcPr>
                  <w:tcW w:w="1073"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0.026</w:t>
                  </w:r>
                </w:p>
              </w:tc>
              <w:tc>
                <w:tcPr>
                  <w:tcW w:w="1039"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3956"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根据白乳胶MSDS可知，聚乙酸乙烯酯乳液占白乳胶成分的13%。聚乙酸乙烯酯乳液是由乙酸乙烯酯作为反应单体在分散介质中经乳液聚合而制得的，通过查询乙酸乙烯酯MSDS可知，为无色透明液体，有水果香味，可溶于水；熔点为-93.2℃；沸点为71.8~73℃；</w:t>
                  </w:r>
                  <w:r>
                    <w:rPr>
                      <w:rFonts w:hint="eastAsia"/>
                      <w:color w:val="auto"/>
                      <w:kern w:val="0"/>
                      <w:sz w:val="21"/>
                      <w:szCs w:val="21"/>
                      <w:highlight w:val="none"/>
                      <w:vertAlign w:val="baseline"/>
                      <w:lang w:val="en-US" w:eastAsia="zh-CN" w:bidi="ar"/>
                    </w:rPr>
                    <w:t>相对</w:t>
                  </w:r>
                  <w:r>
                    <w:rPr>
                      <w:rFonts w:hint="eastAsia"/>
                      <w:color w:val="auto"/>
                      <w:kern w:val="0"/>
                      <w:sz w:val="21"/>
                      <w:szCs w:val="21"/>
                      <w:highlight w:val="none"/>
                      <w:lang w:val="en-US" w:eastAsia="zh-CN" w:bidi="ar"/>
                    </w:rPr>
                    <w:t>（水=1）：0.93；闪点-8℃；爆炸下限%（V/V）为2.6；急性毒性LD</w:t>
                  </w:r>
                  <w:r>
                    <w:rPr>
                      <w:rFonts w:hint="eastAsia"/>
                      <w:color w:val="auto"/>
                      <w:kern w:val="0"/>
                      <w:sz w:val="21"/>
                      <w:szCs w:val="21"/>
                      <w:highlight w:val="none"/>
                      <w:vertAlign w:val="subscript"/>
                      <w:lang w:val="en-US" w:eastAsia="zh-CN" w:bidi="ar"/>
                    </w:rPr>
                    <w:t>50</w:t>
                  </w:r>
                  <w:r>
                    <w:rPr>
                      <w:rFonts w:hint="eastAsia"/>
                      <w:color w:val="auto"/>
                      <w:kern w:val="0"/>
                      <w:sz w:val="21"/>
                      <w:szCs w:val="21"/>
                      <w:highlight w:val="none"/>
                      <w:lang w:val="en-US" w:eastAsia="zh-CN" w:bidi="ar"/>
                    </w:rPr>
                    <w:t>2900mg/kg，LC</w:t>
                  </w:r>
                  <w:r>
                    <w:rPr>
                      <w:rFonts w:hint="eastAsia"/>
                      <w:color w:val="auto"/>
                      <w:kern w:val="0"/>
                      <w:sz w:val="21"/>
                      <w:szCs w:val="21"/>
                      <w:highlight w:val="none"/>
                      <w:vertAlign w:val="subscript"/>
                      <w:lang w:val="en-US" w:eastAsia="zh-CN" w:bidi="ar"/>
                    </w:rPr>
                    <w:t>50</w:t>
                  </w:r>
                  <w:r>
                    <w:rPr>
                      <w:rFonts w:hint="eastAsia"/>
                      <w:color w:val="auto"/>
                      <w:kern w:val="0"/>
                      <w:sz w:val="21"/>
                      <w:szCs w:val="21"/>
                      <w:highlight w:val="none"/>
                      <w:lang w:val="en-US" w:eastAsia="zh-CN" w:bidi="ar"/>
                    </w:rPr>
                    <w:t>11.4mg/L（大鼠吸入）。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rPr>
                  </w:pPr>
                </w:p>
              </w:tc>
              <w:tc>
                <w:tcPr>
                  <w:tcW w:w="755" w:type="dxa"/>
                  <w:vMerge w:val="continue"/>
                  <w:vAlign w:val="center"/>
                </w:tcPr>
                <w:p>
                  <w:pPr>
                    <w:widowControl/>
                    <w:spacing w:line="240" w:lineRule="auto"/>
                    <w:jc w:val="center"/>
                    <w:textAlignment w:val="center"/>
                    <w:rPr>
                      <w:rFonts w:hint="eastAsia"/>
                      <w:color w:val="auto"/>
                      <w:kern w:val="0"/>
                      <w:sz w:val="21"/>
                      <w:szCs w:val="21"/>
                      <w:highlight w:val="none"/>
                      <w:lang w:val="en-US" w:eastAsia="zh-CN" w:bidi="ar"/>
                    </w:rPr>
                  </w:pPr>
                </w:p>
              </w:tc>
              <w:tc>
                <w:tcPr>
                  <w:tcW w:w="756" w:type="dxa"/>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聚乙烯醇</w:t>
                  </w:r>
                </w:p>
              </w:tc>
              <w:tc>
                <w:tcPr>
                  <w:tcW w:w="1073"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0.008</w:t>
                  </w:r>
                </w:p>
              </w:tc>
              <w:tc>
                <w:tcPr>
                  <w:tcW w:w="1039"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3956" w:type="dxa"/>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根据白乳胶MSDS可知，聚乙烯醇占白乳胶成分的4%。</w:t>
                  </w:r>
                  <w:r>
                    <w:rPr>
                      <w:rFonts w:hint="default"/>
                      <w:color w:val="auto"/>
                      <w:kern w:val="0"/>
                      <w:sz w:val="21"/>
                      <w:szCs w:val="21"/>
                      <w:highlight w:val="none"/>
                      <w:lang w:val="en-US" w:eastAsia="zh-CN" w:bidi="ar"/>
                    </w:rPr>
                    <w:t>CAS NO：</w:t>
                  </w:r>
                  <w:r>
                    <w:rPr>
                      <w:rFonts w:hint="eastAsia"/>
                      <w:color w:val="auto"/>
                      <w:kern w:val="0"/>
                      <w:sz w:val="21"/>
                      <w:szCs w:val="21"/>
                      <w:highlight w:val="none"/>
                      <w:lang w:val="en-US" w:eastAsia="zh-CN" w:bidi="ar"/>
                    </w:rPr>
                    <w:t>9002-89-5</w:t>
                  </w:r>
                  <w:r>
                    <w:rPr>
                      <w:rFonts w:hint="default"/>
                      <w:color w:val="auto"/>
                      <w:kern w:val="0"/>
                      <w:sz w:val="21"/>
                      <w:szCs w:val="21"/>
                      <w:highlight w:val="none"/>
                      <w:lang w:val="en-US" w:eastAsia="zh-CN" w:bidi="ar"/>
                    </w:rPr>
                    <w:t>，分子式：(C</w:t>
                  </w:r>
                  <w:r>
                    <w:rPr>
                      <w:rFonts w:hint="eastAsia"/>
                      <w:color w:val="auto"/>
                      <w:kern w:val="0"/>
                      <w:sz w:val="21"/>
                      <w:szCs w:val="21"/>
                      <w:highlight w:val="none"/>
                      <w:vertAlign w:val="subscript"/>
                      <w:lang w:val="en-US" w:eastAsia="zh-CN" w:bidi="ar"/>
                    </w:rPr>
                    <w:t>2</w:t>
                  </w:r>
                  <w:r>
                    <w:rPr>
                      <w:rFonts w:hint="default"/>
                      <w:color w:val="auto"/>
                      <w:kern w:val="0"/>
                      <w:sz w:val="21"/>
                      <w:szCs w:val="21"/>
                      <w:highlight w:val="none"/>
                      <w:lang w:val="en-US" w:eastAsia="zh-CN" w:bidi="ar"/>
                    </w:rPr>
                    <w:t>H</w:t>
                  </w:r>
                  <w:r>
                    <w:rPr>
                      <w:rFonts w:hint="eastAsia"/>
                      <w:color w:val="auto"/>
                      <w:kern w:val="0"/>
                      <w:sz w:val="21"/>
                      <w:szCs w:val="21"/>
                      <w:highlight w:val="none"/>
                      <w:vertAlign w:val="subscript"/>
                      <w:lang w:val="en-US" w:eastAsia="zh-CN" w:bidi="ar"/>
                    </w:rPr>
                    <w:t>4</w:t>
                  </w:r>
                  <w:r>
                    <w:rPr>
                      <w:rFonts w:hint="eastAsia"/>
                      <w:color w:val="auto"/>
                      <w:kern w:val="0"/>
                      <w:sz w:val="21"/>
                      <w:szCs w:val="21"/>
                      <w:highlight w:val="none"/>
                      <w:vertAlign w:val="baseline"/>
                      <w:lang w:val="en-US" w:eastAsia="zh-CN" w:bidi="ar"/>
                    </w:rPr>
                    <w:t>O</w:t>
                  </w:r>
                  <w:r>
                    <w:rPr>
                      <w:rFonts w:hint="default"/>
                      <w:color w:val="auto"/>
                      <w:kern w:val="0"/>
                      <w:sz w:val="21"/>
                      <w:szCs w:val="21"/>
                      <w:highlight w:val="none"/>
                      <w:lang w:val="en-US" w:eastAsia="zh-CN" w:bidi="ar"/>
                    </w:rPr>
                    <w:t>)n</w:t>
                  </w:r>
                  <w:r>
                    <w:rPr>
                      <w:rFonts w:hint="eastAsia"/>
                      <w:color w:val="auto"/>
                      <w:kern w:val="0"/>
                      <w:sz w:val="21"/>
                      <w:szCs w:val="21"/>
                      <w:highlight w:val="none"/>
                      <w:lang w:val="en-US" w:eastAsia="zh-CN" w:bidi="ar"/>
                    </w:rPr>
                    <w:t>；乳白色粉末，</w:t>
                  </w:r>
                  <w:r>
                    <w:rPr>
                      <w:rFonts w:hint="eastAsia"/>
                      <w:color w:val="auto"/>
                      <w:kern w:val="0"/>
                      <w:sz w:val="21"/>
                      <w:szCs w:val="21"/>
                      <w:highlight w:val="none"/>
                      <w:vertAlign w:val="baseline"/>
                      <w:lang w:val="en-US" w:eastAsia="zh-CN" w:bidi="ar"/>
                    </w:rPr>
                    <w:t>相对</w:t>
                  </w:r>
                  <w:r>
                    <w:rPr>
                      <w:rFonts w:hint="eastAsia"/>
                      <w:color w:val="auto"/>
                      <w:kern w:val="0"/>
                      <w:sz w:val="21"/>
                      <w:szCs w:val="21"/>
                      <w:highlight w:val="none"/>
                      <w:lang w:val="en-US" w:eastAsia="zh-CN" w:bidi="ar"/>
                    </w:rPr>
                    <w:t>（水=1）：1.31~1.34，不溶于石油醚，溶于水；自燃温度410℃，爆炸下限%（V/V）为125g/m</w:t>
                  </w:r>
                  <w:r>
                    <w:rPr>
                      <w:rFonts w:hint="eastAsia"/>
                      <w:color w:val="auto"/>
                      <w:kern w:val="0"/>
                      <w:sz w:val="21"/>
                      <w:szCs w:val="21"/>
                      <w:highlight w:val="none"/>
                      <w:vertAlign w:val="superscript"/>
                      <w:lang w:val="en-US" w:eastAsia="zh-CN" w:bidi="ar"/>
                    </w:rPr>
                    <w:t>3</w:t>
                  </w:r>
                  <w:r>
                    <w:rPr>
                      <w:rFonts w:hint="eastAsia"/>
                      <w:color w:val="auto"/>
                      <w:kern w:val="0"/>
                      <w:sz w:val="21"/>
                      <w:szCs w:val="21"/>
                      <w:highlight w:val="none"/>
                      <w:lang w:val="en-US" w:eastAsia="zh-CN" w:bidi="ar"/>
                    </w:rPr>
                    <w:t>；小鼠经口LC50：14270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p>
              </w:tc>
              <w:tc>
                <w:tcPr>
                  <w:tcW w:w="1511" w:type="dxa"/>
                  <w:gridSpan w:val="2"/>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PP</w:t>
                  </w:r>
                </w:p>
              </w:tc>
              <w:tc>
                <w:tcPr>
                  <w:tcW w:w="1073"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100</w:t>
                  </w:r>
                </w:p>
              </w:tc>
              <w:tc>
                <w:tcPr>
                  <w:tcW w:w="1039"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3956"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default"/>
                      <w:color w:val="auto"/>
                      <w:kern w:val="0"/>
                      <w:sz w:val="21"/>
                      <w:szCs w:val="21"/>
                      <w:highlight w:val="none"/>
                      <w:lang w:val="en-US" w:eastAsia="zh-CN" w:bidi="ar"/>
                    </w:rPr>
                    <w:t>CAS NO：9003-07-0，分子式：(C</w:t>
                  </w:r>
                  <w:r>
                    <w:rPr>
                      <w:rFonts w:hint="default"/>
                      <w:color w:val="auto"/>
                      <w:kern w:val="0"/>
                      <w:sz w:val="21"/>
                      <w:szCs w:val="21"/>
                      <w:highlight w:val="none"/>
                      <w:vertAlign w:val="subscript"/>
                      <w:lang w:val="en-US" w:eastAsia="zh-CN" w:bidi="ar"/>
                    </w:rPr>
                    <w:t>3</w:t>
                  </w:r>
                  <w:r>
                    <w:rPr>
                      <w:rFonts w:hint="default"/>
                      <w:color w:val="auto"/>
                      <w:kern w:val="0"/>
                      <w:sz w:val="21"/>
                      <w:szCs w:val="21"/>
                      <w:highlight w:val="none"/>
                      <w:lang w:val="en-US" w:eastAsia="zh-CN" w:bidi="ar"/>
                    </w:rPr>
                    <w:t>H</w:t>
                  </w:r>
                  <w:r>
                    <w:rPr>
                      <w:rFonts w:hint="default"/>
                      <w:color w:val="auto"/>
                      <w:kern w:val="0"/>
                      <w:sz w:val="21"/>
                      <w:szCs w:val="21"/>
                      <w:highlight w:val="none"/>
                      <w:vertAlign w:val="subscript"/>
                      <w:lang w:val="en-US" w:eastAsia="zh-CN" w:bidi="ar"/>
                    </w:rPr>
                    <w:t>8</w:t>
                  </w:r>
                  <w:r>
                    <w:rPr>
                      <w:rFonts w:hint="default"/>
                      <w:color w:val="auto"/>
                      <w:kern w:val="0"/>
                      <w:sz w:val="21"/>
                      <w:szCs w:val="21"/>
                      <w:highlight w:val="none"/>
                      <w:lang w:val="en-US" w:eastAsia="zh-CN" w:bidi="ar"/>
                    </w:rPr>
                    <w:t>)n，聚丙烯是由聚丙烯聚合而制得的一种热塑性树脂。无毒、无味，密度小，强度、刚度、硬度耐热性均较优，为结晶聚合物，颗粒状，密度为0.92g/cm</w:t>
                  </w:r>
                  <w:r>
                    <w:rPr>
                      <w:rFonts w:hint="default"/>
                      <w:color w:val="auto"/>
                      <w:kern w:val="0"/>
                      <w:sz w:val="21"/>
                      <w:szCs w:val="21"/>
                      <w:highlight w:val="none"/>
                      <w:vertAlign w:val="superscript"/>
                      <w:lang w:val="en-US" w:eastAsia="zh-CN" w:bidi="ar"/>
                    </w:rPr>
                    <w:t>3</w:t>
                  </w:r>
                  <w:r>
                    <w:rPr>
                      <w:rFonts w:hint="default"/>
                      <w:color w:val="auto"/>
                      <w:kern w:val="0"/>
                      <w:sz w:val="21"/>
                      <w:szCs w:val="21"/>
                      <w:highlight w:val="none"/>
                      <w:lang w:val="en-US" w:eastAsia="zh-CN" w:bidi="ar"/>
                    </w:rPr>
                    <w:t>。熔点约为160~175℃，熔融温度在240℃，热分解温度在350℃以上。不溶于水，溶于二甲基甲酰胺或硫氰酸盐等溶剂</w:t>
                  </w:r>
                  <w:r>
                    <w:rPr>
                      <w:rFonts w:hint="eastAsia"/>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pStyle w:val="7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w:t>
                  </w:r>
                </w:p>
              </w:tc>
              <w:tc>
                <w:tcPr>
                  <w:tcW w:w="1511" w:type="dxa"/>
                  <w:gridSpan w:val="2"/>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PE</w:t>
                  </w:r>
                </w:p>
              </w:tc>
              <w:tc>
                <w:tcPr>
                  <w:tcW w:w="1073"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1000</w:t>
                  </w:r>
                </w:p>
              </w:tc>
              <w:tc>
                <w:tcPr>
                  <w:tcW w:w="1039"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3956" w:type="dxa"/>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default"/>
                      <w:color w:val="auto"/>
                      <w:kern w:val="0"/>
                      <w:sz w:val="21"/>
                      <w:szCs w:val="21"/>
                      <w:highlight w:val="none"/>
                      <w:lang w:val="en-US" w:eastAsia="zh-CN" w:bidi="ar"/>
                    </w:rPr>
                    <w:t>CAS NO：9002-88-4，分子式：(C</w:t>
                  </w:r>
                  <w:r>
                    <w:rPr>
                      <w:rFonts w:hint="default"/>
                      <w:color w:val="auto"/>
                      <w:kern w:val="0"/>
                      <w:sz w:val="21"/>
                      <w:szCs w:val="21"/>
                      <w:highlight w:val="none"/>
                      <w:vertAlign w:val="subscript"/>
                      <w:lang w:val="en-US" w:eastAsia="zh-CN" w:bidi="ar"/>
                    </w:rPr>
                    <w:t>2</w:t>
                  </w:r>
                  <w:r>
                    <w:rPr>
                      <w:rFonts w:hint="default"/>
                      <w:color w:val="auto"/>
                      <w:kern w:val="0"/>
                      <w:sz w:val="21"/>
                      <w:szCs w:val="21"/>
                      <w:highlight w:val="none"/>
                      <w:lang w:val="en-US" w:eastAsia="zh-CN" w:bidi="ar"/>
                    </w:rPr>
                    <w:t>H</w:t>
                  </w:r>
                  <w:r>
                    <w:rPr>
                      <w:rFonts w:hint="default"/>
                      <w:color w:val="auto"/>
                      <w:kern w:val="0"/>
                      <w:sz w:val="21"/>
                      <w:szCs w:val="21"/>
                      <w:highlight w:val="none"/>
                      <w:vertAlign w:val="subscript"/>
                      <w:lang w:val="en-US" w:eastAsia="zh-CN" w:bidi="ar"/>
                    </w:rPr>
                    <w:t>4</w:t>
                  </w:r>
                  <w:r>
                    <w:rPr>
                      <w:rFonts w:hint="default"/>
                      <w:color w:val="auto"/>
                      <w:kern w:val="0"/>
                      <w:sz w:val="21"/>
                      <w:szCs w:val="21"/>
                      <w:highlight w:val="none"/>
                      <w:lang w:val="en-US" w:eastAsia="zh-CN" w:bidi="ar"/>
                    </w:rPr>
                    <w:t>)n，聚乙烯是五大合成树脂之一，无味、无臭、无毒、表面无光泽、乳白色蜡状颗粒，密度约0.92g/cm</w:t>
                  </w:r>
                  <w:r>
                    <w:rPr>
                      <w:rFonts w:hint="default"/>
                      <w:color w:val="auto"/>
                      <w:kern w:val="0"/>
                      <w:sz w:val="21"/>
                      <w:szCs w:val="21"/>
                      <w:highlight w:val="none"/>
                      <w:vertAlign w:val="superscript"/>
                      <w:lang w:val="en-US" w:eastAsia="zh-CN" w:bidi="ar"/>
                    </w:rPr>
                    <w:t>3</w:t>
                  </w:r>
                  <w:r>
                    <w:rPr>
                      <w:rFonts w:hint="default"/>
                      <w:color w:val="auto"/>
                      <w:kern w:val="0"/>
                      <w:sz w:val="21"/>
                      <w:szCs w:val="21"/>
                      <w:highlight w:val="none"/>
                      <w:lang w:val="en-US" w:eastAsia="zh-CN" w:bidi="ar"/>
                    </w:rPr>
                    <w:t>，熔点130℃～145℃。不溶于水，微溶于烃类等。能耐大多数酸碱的侵蚀，吸水性小，在低温时仍能保持柔软性，电绝缘性高。</w:t>
                  </w:r>
                </w:p>
              </w:tc>
            </w:tr>
          </w:tbl>
          <w:p>
            <w:pPr>
              <w:tabs>
                <w:tab w:val="left" w:pos="2835"/>
              </w:tabs>
              <w:spacing w:line="336" w:lineRule="auto"/>
              <w:rPr>
                <w:color w:val="auto"/>
              </w:rPr>
            </w:pPr>
            <w:r>
              <w:rPr>
                <w:b/>
                <w:color w:val="auto"/>
              </w:rPr>
              <w:t>2.</w:t>
            </w:r>
            <w:r>
              <w:rPr>
                <w:rFonts w:hint="eastAsia"/>
                <w:b/>
                <w:color w:val="auto"/>
                <w:lang w:val="en-US" w:eastAsia="zh-CN"/>
              </w:rPr>
              <w:t>5</w:t>
            </w:r>
            <w:r>
              <w:rPr>
                <w:b/>
                <w:color w:val="auto"/>
              </w:rPr>
              <w:t>劳动定员及工作制</w:t>
            </w:r>
          </w:p>
          <w:p>
            <w:pPr>
              <w:tabs>
                <w:tab w:val="left" w:pos="2835"/>
              </w:tabs>
              <w:ind w:firstLine="488" w:firstLineChars="200"/>
              <w:rPr>
                <w:b/>
                <w:color w:val="auto"/>
              </w:rPr>
            </w:pPr>
            <w:r>
              <w:rPr>
                <w:rFonts w:hint="eastAsia"/>
                <w:color w:val="auto"/>
                <w:spacing w:val="2"/>
                <w:lang w:eastAsia="zh-CN"/>
              </w:rPr>
              <w:t>拟建项目</w:t>
            </w:r>
            <w:r>
              <w:rPr>
                <w:color w:val="auto"/>
                <w:spacing w:val="2"/>
              </w:rPr>
              <w:t>劳动定员</w:t>
            </w:r>
            <w:r>
              <w:rPr>
                <w:rFonts w:hint="eastAsia"/>
                <w:color w:val="auto"/>
                <w:spacing w:val="2"/>
                <w:lang w:eastAsia="zh-CN"/>
              </w:rPr>
              <w:t>共</w:t>
            </w:r>
            <w:r>
              <w:rPr>
                <w:rFonts w:hint="eastAsia"/>
                <w:color w:val="auto"/>
                <w:spacing w:val="2"/>
                <w:lang w:val="en-US" w:eastAsia="zh-CN"/>
              </w:rPr>
              <w:t>50</w:t>
            </w:r>
            <w:r>
              <w:rPr>
                <w:color w:val="auto"/>
                <w:spacing w:val="2"/>
              </w:rPr>
              <w:t>人</w:t>
            </w:r>
            <w:r>
              <w:rPr>
                <w:rFonts w:hint="eastAsia"/>
                <w:color w:val="auto"/>
                <w:spacing w:val="2"/>
                <w:lang w:eastAsia="zh-CN"/>
              </w:rPr>
              <w:t>，提供</w:t>
            </w:r>
            <w:r>
              <w:rPr>
                <w:rFonts w:hint="eastAsia"/>
                <w:color w:val="auto"/>
                <w:spacing w:val="2"/>
              </w:rPr>
              <w:t>食宿</w:t>
            </w:r>
            <w:r>
              <w:rPr>
                <w:rFonts w:hint="eastAsia"/>
                <w:color w:val="auto"/>
                <w:spacing w:val="2"/>
                <w:lang w:eastAsia="zh-CN"/>
              </w:rPr>
              <w:t>。包装用品产品、</w:t>
            </w:r>
            <w:r>
              <w:rPr>
                <w:rFonts w:hint="eastAsia"/>
                <w:color w:val="auto"/>
                <w:spacing w:val="2"/>
                <w:lang w:val="en-US" w:eastAsia="zh-CN"/>
              </w:rPr>
              <w:t>缠绕膜（生产通过流延机加工）</w:t>
            </w:r>
            <w:r>
              <w:rPr>
                <w:rFonts w:hint="eastAsia"/>
                <w:color w:val="auto"/>
                <w:spacing w:val="2"/>
                <w:lang w:eastAsia="zh-CN"/>
              </w:rPr>
              <w:t>生产</w:t>
            </w:r>
            <w:r>
              <w:rPr>
                <w:color w:val="auto"/>
                <w:spacing w:val="2"/>
              </w:rPr>
              <w:t>实行</w:t>
            </w:r>
            <w:r>
              <w:rPr>
                <w:rFonts w:hint="eastAsia"/>
                <w:color w:val="auto"/>
                <w:spacing w:val="2"/>
                <w:lang w:val="en-US" w:eastAsia="zh-CN"/>
              </w:rPr>
              <w:t>1</w:t>
            </w:r>
            <w:r>
              <w:rPr>
                <w:color w:val="auto"/>
                <w:spacing w:val="2"/>
              </w:rPr>
              <w:t>班</w:t>
            </w:r>
            <w:r>
              <w:rPr>
                <w:rFonts w:hint="eastAsia"/>
                <w:color w:val="auto"/>
                <w:spacing w:val="2"/>
              </w:rPr>
              <w:t>制，每班</w:t>
            </w:r>
            <w:r>
              <w:rPr>
                <w:color w:val="auto"/>
                <w:spacing w:val="2"/>
              </w:rPr>
              <w:t>8</w:t>
            </w:r>
            <w:r>
              <w:rPr>
                <w:rFonts w:hint="eastAsia"/>
                <w:color w:val="auto"/>
                <w:spacing w:val="2"/>
                <w:lang w:val="en-US" w:eastAsia="zh-CN"/>
              </w:rPr>
              <w:t>h</w:t>
            </w:r>
            <w:r>
              <w:rPr>
                <w:rFonts w:hint="eastAsia"/>
                <w:color w:val="auto"/>
                <w:spacing w:val="2"/>
                <w:lang w:eastAsia="zh-CN"/>
              </w:rPr>
              <w:t>，</w:t>
            </w:r>
            <w:r>
              <w:rPr>
                <w:color w:val="auto"/>
                <w:spacing w:val="2"/>
              </w:rPr>
              <w:t>全年工作</w:t>
            </w:r>
            <w:r>
              <w:rPr>
                <w:rFonts w:hint="eastAsia"/>
                <w:color w:val="auto"/>
                <w:spacing w:val="2"/>
              </w:rPr>
              <w:t>300</w:t>
            </w:r>
            <w:r>
              <w:rPr>
                <w:rFonts w:hint="eastAsia"/>
                <w:color w:val="auto"/>
                <w:spacing w:val="2"/>
                <w:lang w:val="en-US" w:eastAsia="zh-CN"/>
              </w:rPr>
              <w:t>d</w:t>
            </w:r>
            <w:r>
              <w:rPr>
                <w:rFonts w:hint="eastAsia"/>
                <w:color w:val="auto"/>
                <w:spacing w:val="2"/>
                <w:lang w:eastAsia="zh-CN"/>
              </w:rPr>
              <w:t>，</w:t>
            </w:r>
            <w:r>
              <w:rPr>
                <w:rFonts w:hint="eastAsia"/>
                <w:color w:val="auto"/>
                <w:spacing w:val="2"/>
              </w:rPr>
              <w:t>夜间不生产</w:t>
            </w:r>
            <w:r>
              <w:rPr>
                <w:rFonts w:hint="eastAsia"/>
                <w:color w:val="auto"/>
                <w:spacing w:val="2"/>
                <w:lang w:eastAsia="zh-CN"/>
              </w:rPr>
              <w:t>；平口袋</w:t>
            </w:r>
            <w:r>
              <w:rPr>
                <w:rFonts w:hint="eastAsia"/>
                <w:color w:val="auto"/>
                <w:lang w:val="en-US" w:eastAsia="zh-CN"/>
              </w:rPr>
              <w:t>吹膜产品、缠绕膜（生产工艺仅为复卷、分切）生产实行3班制，每班8h，每天24h，</w:t>
            </w:r>
            <w:r>
              <w:rPr>
                <w:color w:val="auto"/>
                <w:spacing w:val="2"/>
              </w:rPr>
              <w:t>全年工作</w:t>
            </w:r>
            <w:r>
              <w:rPr>
                <w:rFonts w:hint="eastAsia"/>
                <w:color w:val="auto"/>
                <w:spacing w:val="2"/>
              </w:rPr>
              <w:t>300</w:t>
            </w:r>
            <w:r>
              <w:rPr>
                <w:rFonts w:hint="eastAsia"/>
                <w:color w:val="auto"/>
                <w:spacing w:val="2"/>
                <w:lang w:val="en-US" w:eastAsia="zh-CN"/>
              </w:rPr>
              <w:t>d</w:t>
            </w:r>
            <w:r>
              <w:rPr>
                <w:rFonts w:hint="eastAsia"/>
                <w:color w:val="auto"/>
                <w:spacing w:val="2"/>
                <w:lang w:eastAsia="zh-CN"/>
              </w:rPr>
              <w:t>；气柱膜产品生产实行</w:t>
            </w:r>
            <w:r>
              <w:rPr>
                <w:rFonts w:hint="eastAsia"/>
                <w:color w:val="auto"/>
                <w:spacing w:val="2"/>
                <w:lang w:val="en-US" w:eastAsia="zh-CN"/>
              </w:rPr>
              <w:t>2班制，</w:t>
            </w:r>
            <w:r>
              <w:rPr>
                <w:rFonts w:hint="eastAsia"/>
                <w:color w:val="auto"/>
                <w:lang w:val="en-US" w:eastAsia="zh-CN"/>
              </w:rPr>
              <w:t>每班8h，</w:t>
            </w:r>
            <w:r>
              <w:rPr>
                <w:rFonts w:hint="eastAsia"/>
                <w:color w:val="auto"/>
                <w:spacing w:val="2"/>
                <w:lang w:val="en-US" w:eastAsia="zh-CN"/>
              </w:rPr>
              <w:t>每天16h，全年工作300d</w:t>
            </w:r>
            <w:r>
              <w:rPr>
                <w:color w:val="auto"/>
                <w:spacing w:val="2"/>
              </w:rPr>
              <w:t>。</w:t>
            </w:r>
          </w:p>
          <w:p>
            <w:pPr>
              <w:spacing w:line="336" w:lineRule="auto"/>
              <w:rPr>
                <w:b/>
                <w:color w:val="auto"/>
              </w:rPr>
            </w:pPr>
            <w:r>
              <w:rPr>
                <w:b/>
                <w:color w:val="auto"/>
              </w:rPr>
              <w:t>2.</w:t>
            </w:r>
            <w:r>
              <w:rPr>
                <w:rFonts w:hint="eastAsia"/>
                <w:b/>
                <w:color w:val="auto"/>
                <w:lang w:val="en-US" w:eastAsia="zh-CN"/>
              </w:rPr>
              <w:t>6</w:t>
            </w:r>
            <w:r>
              <w:rPr>
                <w:b/>
                <w:color w:val="auto"/>
              </w:rPr>
              <w:t>用水情况及水平衡</w:t>
            </w:r>
          </w:p>
          <w:p>
            <w:pPr>
              <w:tabs>
                <w:tab w:val="left" w:pos="2835"/>
              </w:tabs>
              <w:ind w:firstLine="480" w:firstLineChars="200"/>
              <w:rPr>
                <w:color w:val="auto"/>
              </w:rPr>
            </w:pPr>
            <w:r>
              <w:rPr>
                <w:rFonts w:hint="eastAsia"/>
                <w:color w:val="auto"/>
                <w:lang w:eastAsia="zh-CN"/>
              </w:rPr>
              <w:t>拟建项目用水由市政给水管网提供，营运期用水主要为食堂用水、员工生活用水、地面清洁用水、冷却循环用水</w:t>
            </w:r>
            <w:r>
              <w:rPr>
                <w:color w:val="auto"/>
              </w:rPr>
              <w:t>。根据《建筑给水排水设计规范》</w:t>
            </w:r>
            <w:r>
              <w:rPr>
                <w:rFonts w:hint="eastAsia"/>
                <w:color w:val="auto"/>
              </w:rPr>
              <w:t>(GB 50015-2019)</w:t>
            </w:r>
            <w:r>
              <w:rPr>
                <w:color w:val="auto"/>
              </w:rPr>
              <w:t>、《关于重庆市城市经营及生活用水定额（试行）的通知》（渝市政委[2006]224号）和《重庆市水利局重庆市城市管理委员会关于印发重庆市城市生活用水定额（2017年修订版）的通知》（渝水[2018]66号），项目最大日用水量估算情况见表2.</w:t>
            </w:r>
            <w:r>
              <w:rPr>
                <w:rFonts w:hint="eastAsia"/>
                <w:color w:val="auto"/>
                <w:lang w:val="en-US" w:eastAsia="zh-CN"/>
              </w:rPr>
              <w:t>6</w:t>
            </w:r>
            <w:r>
              <w:rPr>
                <w:color w:val="auto"/>
              </w:rPr>
              <w:t>-1，水平衡图见图</w:t>
            </w:r>
            <w:r>
              <w:rPr>
                <w:rFonts w:hint="eastAsia"/>
                <w:color w:val="auto"/>
                <w:lang w:val="en-US" w:eastAsia="zh-CN"/>
              </w:rPr>
              <w:t>2.1</w:t>
            </w:r>
            <w:r>
              <w:rPr>
                <w:color w:val="auto"/>
              </w:rPr>
              <w:t>。</w:t>
            </w:r>
          </w:p>
          <w:p>
            <w:pPr>
              <w:pStyle w:val="99"/>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default" w:ascii="Times New Roman" w:hAnsi="Times New Roman" w:cs="Times New Roman"/>
                <w:color w:val="auto"/>
                <w:lang w:val="en-US" w:eastAsia="zh-CN"/>
              </w:rPr>
              <w:t>2.</w:t>
            </w:r>
            <w:r>
              <w:rPr>
                <w:rFonts w:hint="eastAsia" w:ascii="Times New Roman" w:cs="Times New Roman"/>
                <w:color w:val="auto"/>
                <w:lang w:val="en-US" w:eastAsia="zh-CN"/>
              </w:rPr>
              <w:t>6</w:t>
            </w:r>
            <w:r>
              <w:rPr>
                <w:rFonts w:hint="default" w:ascii="Times New Roman" w:hAnsi="Times New Roman" w:cs="Times New Roman"/>
                <w:color w:val="auto"/>
                <w:lang w:val="en-US" w:eastAsia="zh-CN"/>
              </w:rPr>
              <w:t>-1</w:t>
            </w:r>
            <w:r>
              <w:rPr>
                <w:rFonts w:hint="default" w:ascii="Times New Roman" w:hAnsi="Times New Roman" w:eastAsia="宋体" w:cs="Times New Roman"/>
                <w:color w:val="auto"/>
              </w:rPr>
              <w:t xml:space="preserve"> </w:t>
            </w:r>
            <w:r>
              <w:rPr>
                <w:rFonts w:hint="default" w:ascii="Times New Roman" w:hAnsi="Times New Roman" w:cs="Times New Roman"/>
                <w:color w:val="auto"/>
                <w:lang w:eastAsia="zh-CN"/>
              </w:rPr>
              <w:t>拟建</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水量估算一览表</w:t>
            </w:r>
          </w:p>
          <w:tbl>
            <w:tblPr>
              <w:tblStyle w:val="25"/>
              <w:tblW w:w="497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7"/>
              <w:gridCol w:w="1185"/>
              <w:gridCol w:w="1177"/>
              <w:gridCol w:w="1144"/>
              <w:gridCol w:w="809"/>
              <w:gridCol w:w="927"/>
              <w:gridCol w:w="1095"/>
              <w:gridCol w:w="932"/>
              <w:gridCol w:w="4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7" w:type="dxa"/>
                  <w:vMerge w:val="restart"/>
                  <w:vAlign w:val="center"/>
                </w:tcPr>
                <w:p>
                  <w:pPr>
                    <w:pStyle w:val="41"/>
                    <w:spacing w:line="240" w:lineRule="auto"/>
                    <w:jc w:val="center"/>
                    <w:rPr>
                      <w:color w:val="auto"/>
                    </w:rPr>
                  </w:pPr>
                  <w:r>
                    <w:rPr>
                      <w:color w:val="auto"/>
                    </w:rPr>
                    <w:t>序号</w:t>
                  </w:r>
                </w:p>
              </w:tc>
              <w:tc>
                <w:tcPr>
                  <w:tcW w:w="1185" w:type="dxa"/>
                  <w:vMerge w:val="restart"/>
                  <w:vAlign w:val="center"/>
                </w:tcPr>
                <w:p>
                  <w:pPr>
                    <w:pStyle w:val="41"/>
                    <w:spacing w:line="240" w:lineRule="auto"/>
                    <w:jc w:val="center"/>
                    <w:rPr>
                      <w:color w:val="auto"/>
                    </w:rPr>
                  </w:pPr>
                  <w:r>
                    <w:rPr>
                      <w:color w:val="auto"/>
                    </w:rPr>
                    <w:t>用水类别</w:t>
                  </w:r>
                </w:p>
              </w:tc>
              <w:tc>
                <w:tcPr>
                  <w:tcW w:w="1177" w:type="dxa"/>
                  <w:vMerge w:val="restart"/>
                  <w:vAlign w:val="center"/>
                </w:tcPr>
                <w:p>
                  <w:pPr>
                    <w:pStyle w:val="41"/>
                    <w:spacing w:line="240" w:lineRule="auto"/>
                    <w:jc w:val="center"/>
                    <w:rPr>
                      <w:color w:val="auto"/>
                    </w:rPr>
                  </w:pPr>
                  <w:r>
                    <w:rPr>
                      <w:color w:val="auto"/>
                    </w:rPr>
                    <w:t>用水标准</w:t>
                  </w:r>
                </w:p>
              </w:tc>
              <w:tc>
                <w:tcPr>
                  <w:tcW w:w="1144" w:type="dxa"/>
                  <w:vMerge w:val="restart"/>
                  <w:vAlign w:val="center"/>
                </w:tcPr>
                <w:p>
                  <w:pPr>
                    <w:pStyle w:val="41"/>
                    <w:spacing w:line="240" w:lineRule="auto"/>
                    <w:jc w:val="center"/>
                    <w:rPr>
                      <w:color w:val="auto"/>
                    </w:rPr>
                  </w:pPr>
                  <w:r>
                    <w:rPr>
                      <w:color w:val="auto"/>
                    </w:rPr>
                    <w:t>用水规模</w:t>
                  </w:r>
                </w:p>
              </w:tc>
              <w:tc>
                <w:tcPr>
                  <w:tcW w:w="1736" w:type="dxa"/>
                  <w:gridSpan w:val="2"/>
                  <w:vAlign w:val="center"/>
                </w:tcPr>
                <w:p>
                  <w:pPr>
                    <w:pStyle w:val="41"/>
                    <w:spacing w:line="240" w:lineRule="auto"/>
                    <w:jc w:val="center"/>
                    <w:rPr>
                      <w:color w:val="auto"/>
                    </w:rPr>
                  </w:pPr>
                  <w:r>
                    <w:rPr>
                      <w:color w:val="auto"/>
                    </w:rPr>
                    <w:t>最大用水量</w:t>
                  </w:r>
                </w:p>
              </w:tc>
              <w:tc>
                <w:tcPr>
                  <w:tcW w:w="2027" w:type="dxa"/>
                  <w:gridSpan w:val="2"/>
                  <w:vAlign w:val="center"/>
                </w:tcPr>
                <w:p>
                  <w:pPr>
                    <w:pStyle w:val="41"/>
                    <w:spacing w:line="240" w:lineRule="auto"/>
                    <w:jc w:val="center"/>
                    <w:rPr>
                      <w:color w:val="auto"/>
                    </w:rPr>
                  </w:pPr>
                  <w:r>
                    <w:rPr>
                      <w:color w:val="auto"/>
                    </w:rPr>
                    <w:t>最大排水量</w:t>
                  </w:r>
                </w:p>
              </w:tc>
              <w:tc>
                <w:tcPr>
                  <w:tcW w:w="466" w:type="dxa"/>
                  <w:vMerge w:val="restart"/>
                  <w:vAlign w:val="center"/>
                </w:tcPr>
                <w:p>
                  <w:pPr>
                    <w:pStyle w:val="41"/>
                    <w:spacing w:line="240" w:lineRule="auto"/>
                    <w:jc w:val="center"/>
                    <w:rPr>
                      <w:color w:val="auto"/>
                    </w:rPr>
                  </w:pPr>
                  <w:r>
                    <w:rPr>
                      <w:color w:val="auto"/>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pStyle w:val="41"/>
                    <w:spacing w:line="240" w:lineRule="auto"/>
                    <w:jc w:val="center"/>
                    <w:rPr>
                      <w:color w:val="auto"/>
                    </w:rPr>
                  </w:pPr>
                </w:p>
              </w:tc>
              <w:tc>
                <w:tcPr>
                  <w:tcW w:w="1185" w:type="dxa"/>
                  <w:vMerge w:val="continue"/>
                  <w:vAlign w:val="center"/>
                </w:tcPr>
                <w:p>
                  <w:pPr>
                    <w:pStyle w:val="41"/>
                    <w:spacing w:line="240" w:lineRule="auto"/>
                    <w:jc w:val="center"/>
                    <w:rPr>
                      <w:color w:val="auto"/>
                    </w:rPr>
                  </w:pPr>
                </w:p>
              </w:tc>
              <w:tc>
                <w:tcPr>
                  <w:tcW w:w="1177" w:type="dxa"/>
                  <w:vMerge w:val="continue"/>
                  <w:vAlign w:val="center"/>
                </w:tcPr>
                <w:p>
                  <w:pPr>
                    <w:pStyle w:val="41"/>
                    <w:spacing w:line="240" w:lineRule="auto"/>
                    <w:jc w:val="center"/>
                    <w:rPr>
                      <w:color w:val="auto"/>
                    </w:rPr>
                  </w:pPr>
                </w:p>
              </w:tc>
              <w:tc>
                <w:tcPr>
                  <w:tcW w:w="1144" w:type="dxa"/>
                  <w:vMerge w:val="continue"/>
                  <w:vAlign w:val="center"/>
                </w:tcPr>
                <w:p>
                  <w:pPr>
                    <w:pStyle w:val="41"/>
                    <w:spacing w:line="240" w:lineRule="auto"/>
                    <w:jc w:val="center"/>
                    <w:rPr>
                      <w:color w:val="auto"/>
                    </w:rPr>
                  </w:pPr>
                </w:p>
              </w:tc>
              <w:tc>
                <w:tcPr>
                  <w:tcW w:w="809" w:type="dxa"/>
                  <w:vAlign w:val="center"/>
                </w:tcPr>
                <w:p>
                  <w:pPr>
                    <w:pStyle w:val="41"/>
                    <w:spacing w:line="240" w:lineRule="auto"/>
                    <w:jc w:val="center"/>
                    <w:rPr>
                      <w:color w:val="auto"/>
                    </w:rPr>
                  </w:pPr>
                  <w:r>
                    <w:rPr>
                      <w:color w:val="auto"/>
                    </w:rPr>
                    <w:t>m</w:t>
                  </w:r>
                  <w:r>
                    <w:rPr>
                      <w:color w:val="auto"/>
                      <w:vertAlign w:val="superscript"/>
                    </w:rPr>
                    <w:t>3</w:t>
                  </w:r>
                  <w:r>
                    <w:rPr>
                      <w:color w:val="auto"/>
                    </w:rPr>
                    <w:t>/d</w:t>
                  </w:r>
                </w:p>
              </w:tc>
              <w:tc>
                <w:tcPr>
                  <w:tcW w:w="927" w:type="dxa"/>
                  <w:vAlign w:val="center"/>
                </w:tcPr>
                <w:p>
                  <w:pPr>
                    <w:pStyle w:val="41"/>
                    <w:spacing w:line="240" w:lineRule="auto"/>
                    <w:jc w:val="center"/>
                    <w:rPr>
                      <w:color w:val="auto"/>
                    </w:rPr>
                  </w:pPr>
                  <w:r>
                    <w:rPr>
                      <w:color w:val="auto"/>
                    </w:rPr>
                    <w:t>m</w:t>
                  </w:r>
                  <w:r>
                    <w:rPr>
                      <w:color w:val="auto"/>
                      <w:vertAlign w:val="superscript"/>
                    </w:rPr>
                    <w:t>3</w:t>
                  </w:r>
                  <w:r>
                    <w:rPr>
                      <w:color w:val="auto"/>
                    </w:rPr>
                    <w:t>/a</w:t>
                  </w:r>
                </w:p>
              </w:tc>
              <w:tc>
                <w:tcPr>
                  <w:tcW w:w="1095" w:type="dxa"/>
                  <w:vAlign w:val="center"/>
                </w:tcPr>
                <w:p>
                  <w:pPr>
                    <w:pStyle w:val="41"/>
                    <w:spacing w:line="240" w:lineRule="auto"/>
                    <w:jc w:val="center"/>
                    <w:rPr>
                      <w:color w:val="auto"/>
                    </w:rPr>
                  </w:pPr>
                  <w:r>
                    <w:rPr>
                      <w:color w:val="auto"/>
                    </w:rPr>
                    <w:t>m</w:t>
                  </w:r>
                  <w:r>
                    <w:rPr>
                      <w:color w:val="auto"/>
                      <w:vertAlign w:val="superscript"/>
                    </w:rPr>
                    <w:t>3</w:t>
                  </w:r>
                  <w:r>
                    <w:rPr>
                      <w:color w:val="auto"/>
                    </w:rPr>
                    <w:t>/d</w:t>
                  </w:r>
                </w:p>
              </w:tc>
              <w:tc>
                <w:tcPr>
                  <w:tcW w:w="932" w:type="dxa"/>
                  <w:vAlign w:val="center"/>
                </w:tcPr>
                <w:p>
                  <w:pPr>
                    <w:pStyle w:val="41"/>
                    <w:spacing w:line="240" w:lineRule="auto"/>
                    <w:jc w:val="center"/>
                    <w:rPr>
                      <w:color w:val="auto"/>
                    </w:rPr>
                  </w:pPr>
                  <w:r>
                    <w:rPr>
                      <w:color w:val="auto"/>
                    </w:rPr>
                    <w:t>m</w:t>
                  </w:r>
                  <w:r>
                    <w:rPr>
                      <w:color w:val="auto"/>
                      <w:vertAlign w:val="superscript"/>
                    </w:rPr>
                    <w:t>3</w:t>
                  </w:r>
                  <w:r>
                    <w:rPr>
                      <w:color w:val="auto"/>
                    </w:rPr>
                    <w:t>/a</w:t>
                  </w:r>
                </w:p>
              </w:tc>
              <w:tc>
                <w:tcPr>
                  <w:tcW w:w="466" w:type="dxa"/>
                  <w:vMerge w:val="continue"/>
                  <w:vAlign w:val="center"/>
                </w:tcPr>
                <w:p>
                  <w:pPr>
                    <w:pStyle w:val="41"/>
                    <w:spacing w:line="240" w:lineRule="auto"/>
                    <w:jc w:val="center"/>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7" w:type="dxa"/>
                  <w:tcBorders>
                    <w:bottom w:val="single" w:color="auto" w:sz="4" w:space="0"/>
                  </w:tcBorders>
                  <w:vAlign w:val="center"/>
                </w:tcPr>
                <w:p>
                  <w:pPr>
                    <w:pStyle w:val="41"/>
                    <w:spacing w:line="240" w:lineRule="auto"/>
                    <w:jc w:val="center"/>
                    <w:rPr>
                      <w:color w:val="auto"/>
                    </w:rPr>
                  </w:pPr>
                  <w:r>
                    <w:rPr>
                      <w:color w:val="auto"/>
                    </w:rPr>
                    <w:t>1</w:t>
                  </w:r>
                </w:p>
              </w:tc>
              <w:tc>
                <w:tcPr>
                  <w:tcW w:w="1185" w:type="dxa"/>
                  <w:tcBorders>
                    <w:bottom w:val="single" w:color="auto" w:sz="4" w:space="0"/>
                  </w:tcBorders>
                  <w:vAlign w:val="center"/>
                </w:tcPr>
                <w:p>
                  <w:pPr>
                    <w:pStyle w:val="41"/>
                    <w:spacing w:line="240" w:lineRule="auto"/>
                    <w:jc w:val="center"/>
                    <w:rPr>
                      <w:color w:val="auto"/>
                    </w:rPr>
                  </w:pPr>
                  <w:r>
                    <w:rPr>
                      <w:color w:val="auto"/>
                    </w:rPr>
                    <w:t>员工生活</w:t>
                  </w:r>
                </w:p>
              </w:tc>
              <w:tc>
                <w:tcPr>
                  <w:tcW w:w="1177" w:type="dxa"/>
                  <w:tcBorders>
                    <w:bottom w:val="single" w:color="auto" w:sz="4" w:space="0"/>
                    <w:right w:val="single" w:color="auto" w:sz="4" w:space="0"/>
                  </w:tcBorders>
                  <w:vAlign w:val="center"/>
                </w:tcPr>
                <w:p>
                  <w:pPr>
                    <w:pStyle w:val="41"/>
                    <w:spacing w:line="240" w:lineRule="auto"/>
                    <w:jc w:val="center"/>
                    <w:rPr>
                      <w:color w:val="auto"/>
                    </w:rPr>
                  </w:pPr>
                  <w:r>
                    <w:rPr>
                      <w:rFonts w:hint="eastAsia" w:cs="Times New Roman"/>
                      <w:color w:val="auto"/>
                      <w:lang w:val="en-US" w:eastAsia="zh-CN"/>
                    </w:rPr>
                    <w:t>职工住宿：150</w:t>
                  </w:r>
                  <w:r>
                    <w:rPr>
                      <w:rFonts w:hint="default" w:ascii="Times New Roman" w:hAnsi="Times New Roman" w:eastAsia="宋体" w:cs="Times New Roman"/>
                      <w:color w:val="auto"/>
                      <w:lang w:eastAsia="zh-CN"/>
                    </w:rPr>
                    <w:t>L/d·人</w:t>
                  </w:r>
                </w:p>
              </w:tc>
              <w:tc>
                <w:tcPr>
                  <w:tcW w:w="1144" w:type="dxa"/>
                  <w:tcBorders>
                    <w:left w:val="single" w:color="auto" w:sz="4" w:space="0"/>
                    <w:bottom w:val="single" w:color="auto" w:sz="4" w:space="0"/>
                  </w:tcBorders>
                  <w:vAlign w:val="center"/>
                </w:tcPr>
                <w:p>
                  <w:pPr>
                    <w:pStyle w:val="41"/>
                    <w:spacing w:line="240" w:lineRule="auto"/>
                    <w:jc w:val="center"/>
                    <w:rPr>
                      <w:color w:val="auto"/>
                    </w:rPr>
                  </w:pPr>
                  <w:r>
                    <w:rPr>
                      <w:rFonts w:hint="eastAsia"/>
                      <w:color w:val="auto"/>
                    </w:rPr>
                    <w:t>5</w:t>
                  </w:r>
                  <w:r>
                    <w:rPr>
                      <w:rFonts w:hint="eastAsia"/>
                      <w:color w:val="auto"/>
                      <w:lang w:val="en-US" w:eastAsia="zh-CN"/>
                    </w:rPr>
                    <w:t>0</w:t>
                  </w:r>
                  <w:r>
                    <w:rPr>
                      <w:color w:val="auto"/>
                    </w:rPr>
                    <w:t>人</w:t>
                  </w:r>
                </w:p>
              </w:tc>
              <w:tc>
                <w:tcPr>
                  <w:tcW w:w="809" w:type="dxa"/>
                  <w:tcBorders>
                    <w:bottom w:val="single" w:color="auto" w:sz="4" w:space="0"/>
                  </w:tcBorders>
                  <w:vAlign w:val="center"/>
                </w:tcPr>
                <w:p>
                  <w:pPr>
                    <w:pStyle w:val="41"/>
                    <w:spacing w:line="240" w:lineRule="auto"/>
                    <w:jc w:val="center"/>
                    <w:rPr>
                      <w:rFonts w:hint="default" w:eastAsia="宋体"/>
                      <w:color w:val="auto"/>
                      <w:lang w:val="en-US" w:eastAsia="zh-CN"/>
                    </w:rPr>
                  </w:pPr>
                  <w:r>
                    <w:rPr>
                      <w:rFonts w:hint="eastAsia"/>
                      <w:color w:val="auto"/>
                      <w:lang w:val="en-US" w:eastAsia="zh-CN"/>
                    </w:rPr>
                    <w:t>7.5</w:t>
                  </w:r>
                </w:p>
              </w:tc>
              <w:tc>
                <w:tcPr>
                  <w:tcW w:w="927" w:type="dxa"/>
                  <w:tcBorders>
                    <w:bottom w:val="single" w:color="auto" w:sz="4" w:space="0"/>
                  </w:tcBorders>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2250</w:t>
                  </w:r>
                </w:p>
              </w:tc>
              <w:tc>
                <w:tcPr>
                  <w:tcW w:w="1095" w:type="dxa"/>
                  <w:tcBorders>
                    <w:bottom w:val="single" w:color="auto" w:sz="4" w:space="0"/>
                  </w:tcBorders>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6.75</w:t>
                  </w:r>
                </w:p>
              </w:tc>
              <w:tc>
                <w:tcPr>
                  <w:tcW w:w="932" w:type="dxa"/>
                  <w:tcBorders>
                    <w:bottom w:val="single" w:color="auto" w:sz="4" w:space="0"/>
                  </w:tcBorders>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2025</w:t>
                  </w:r>
                </w:p>
              </w:tc>
              <w:tc>
                <w:tcPr>
                  <w:tcW w:w="466" w:type="dxa"/>
                  <w:vMerge w:val="restart"/>
                  <w:vAlign w:val="center"/>
                </w:tcPr>
                <w:p>
                  <w:pPr>
                    <w:pStyle w:val="41"/>
                    <w:spacing w:line="240" w:lineRule="auto"/>
                    <w:jc w:val="center"/>
                    <w:rPr>
                      <w:color w:val="auto"/>
                    </w:rPr>
                  </w:pPr>
                  <w:r>
                    <w:rPr>
                      <w:color w:val="auto"/>
                    </w:rPr>
                    <w:t>间歇产生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7" w:type="dxa"/>
                  <w:tcBorders>
                    <w:bottom w:val="single" w:color="auto" w:sz="4" w:space="0"/>
                  </w:tcBorders>
                  <w:vAlign w:val="center"/>
                </w:tcPr>
                <w:p>
                  <w:pPr>
                    <w:pStyle w:val="41"/>
                    <w:spacing w:line="240" w:lineRule="auto"/>
                    <w:jc w:val="center"/>
                    <w:rPr>
                      <w:rFonts w:hint="eastAsia" w:eastAsia="宋体"/>
                      <w:color w:val="auto"/>
                      <w:lang w:val="en-US" w:eastAsia="zh-CN"/>
                    </w:rPr>
                  </w:pPr>
                  <w:r>
                    <w:rPr>
                      <w:rFonts w:hint="eastAsia"/>
                      <w:color w:val="auto"/>
                      <w:lang w:val="en-US" w:eastAsia="zh-CN"/>
                    </w:rPr>
                    <w:t>2</w:t>
                  </w:r>
                </w:p>
              </w:tc>
              <w:tc>
                <w:tcPr>
                  <w:tcW w:w="1185" w:type="dxa"/>
                  <w:tcBorders>
                    <w:bottom w:val="single" w:color="auto" w:sz="4" w:space="0"/>
                  </w:tcBorders>
                  <w:vAlign w:val="center"/>
                </w:tcPr>
                <w:p>
                  <w:pPr>
                    <w:pStyle w:val="41"/>
                    <w:spacing w:line="240" w:lineRule="auto"/>
                    <w:jc w:val="center"/>
                    <w:rPr>
                      <w:rFonts w:hint="eastAsia" w:eastAsia="宋体"/>
                      <w:color w:val="auto"/>
                      <w:lang w:eastAsia="zh-CN"/>
                    </w:rPr>
                  </w:pPr>
                  <w:r>
                    <w:rPr>
                      <w:rFonts w:hint="eastAsia"/>
                      <w:color w:val="auto"/>
                      <w:lang w:eastAsia="zh-CN"/>
                    </w:rPr>
                    <w:t>食堂</w:t>
                  </w:r>
                </w:p>
              </w:tc>
              <w:tc>
                <w:tcPr>
                  <w:tcW w:w="1177" w:type="dxa"/>
                  <w:tcBorders>
                    <w:bottom w:val="single" w:color="auto" w:sz="4" w:space="0"/>
                    <w:right w:val="single" w:color="auto" w:sz="4" w:space="0"/>
                  </w:tcBorders>
                  <w:vAlign w:val="center"/>
                </w:tcPr>
                <w:p>
                  <w:pPr>
                    <w:pStyle w:val="41"/>
                    <w:spacing w:line="240" w:lineRule="auto"/>
                    <w:jc w:val="center"/>
                    <w:rPr>
                      <w:rFonts w:hint="eastAsia"/>
                      <w:color w:val="auto"/>
                    </w:rPr>
                  </w:pPr>
                  <w:r>
                    <w:rPr>
                      <w:rFonts w:hint="eastAsia" w:cs="Times New Roman"/>
                      <w:color w:val="auto"/>
                      <w:lang w:eastAsia="zh-CN"/>
                    </w:rPr>
                    <w:t>非营业食堂：</w:t>
                  </w:r>
                  <w:r>
                    <w:rPr>
                      <w:rFonts w:hint="eastAsia" w:cs="Times New Roman"/>
                      <w:color w:val="auto"/>
                      <w:lang w:val="en-US" w:eastAsia="zh-CN"/>
                    </w:rPr>
                    <w:t>25L/人·餐</w:t>
                  </w:r>
                </w:p>
              </w:tc>
              <w:tc>
                <w:tcPr>
                  <w:tcW w:w="1144" w:type="dxa"/>
                  <w:tcBorders>
                    <w:left w:val="single" w:color="auto" w:sz="4" w:space="0"/>
                    <w:bottom w:val="single" w:color="auto" w:sz="4" w:space="0"/>
                  </w:tcBorders>
                  <w:vAlign w:val="center"/>
                </w:tcPr>
                <w:p>
                  <w:pPr>
                    <w:pStyle w:val="41"/>
                    <w:spacing w:line="240" w:lineRule="auto"/>
                    <w:jc w:val="center"/>
                    <w:rPr>
                      <w:rFonts w:hint="eastAsia"/>
                      <w:color w:val="auto"/>
                    </w:rPr>
                  </w:pPr>
                  <w:r>
                    <w:rPr>
                      <w:rFonts w:hint="eastAsia"/>
                      <w:color w:val="auto"/>
                    </w:rPr>
                    <w:t>5</w:t>
                  </w:r>
                  <w:r>
                    <w:rPr>
                      <w:rFonts w:hint="eastAsia"/>
                      <w:color w:val="auto"/>
                      <w:lang w:val="en-US" w:eastAsia="zh-CN"/>
                    </w:rPr>
                    <w:t>0</w:t>
                  </w:r>
                  <w:r>
                    <w:rPr>
                      <w:color w:val="auto"/>
                    </w:rPr>
                    <w:t>人</w:t>
                  </w:r>
                </w:p>
              </w:tc>
              <w:tc>
                <w:tcPr>
                  <w:tcW w:w="809" w:type="dxa"/>
                  <w:tcBorders>
                    <w:bottom w:val="single" w:color="auto" w:sz="4" w:space="0"/>
                  </w:tcBorders>
                  <w:vAlign w:val="center"/>
                </w:tcPr>
                <w:p>
                  <w:pPr>
                    <w:pStyle w:val="41"/>
                    <w:spacing w:line="240" w:lineRule="auto"/>
                    <w:jc w:val="center"/>
                    <w:rPr>
                      <w:rFonts w:hint="default" w:eastAsia="宋体"/>
                      <w:color w:val="auto"/>
                      <w:lang w:val="en-US" w:eastAsia="zh-CN"/>
                    </w:rPr>
                  </w:pPr>
                  <w:r>
                    <w:rPr>
                      <w:rFonts w:hint="eastAsia"/>
                      <w:color w:val="auto"/>
                      <w:lang w:val="en-US" w:eastAsia="zh-CN"/>
                    </w:rPr>
                    <w:t>3.75</w:t>
                  </w:r>
                </w:p>
              </w:tc>
              <w:tc>
                <w:tcPr>
                  <w:tcW w:w="927" w:type="dxa"/>
                  <w:tcBorders>
                    <w:bottom w:val="single" w:color="auto" w:sz="4"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olor w:val="auto"/>
                      <w:lang w:val="en-US" w:eastAsia="zh-CN"/>
                    </w:rPr>
                    <w:t>1125</w:t>
                  </w:r>
                </w:p>
              </w:tc>
              <w:tc>
                <w:tcPr>
                  <w:tcW w:w="1095" w:type="dxa"/>
                  <w:tcBorders>
                    <w:bottom w:val="single" w:color="auto" w:sz="4"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3.38</w:t>
                  </w:r>
                </w:p>
              </w:tc>
              <w:tc>
                <w:tcPr>
                  <w:tcW w:w="932" w:type="dxa"/>
                  <w:tcBorders>
                    <w:bottom w:val="single" w:color="auto" w:sz="4"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1014</w:t>
                  </w:r>
                </w:p>
              </w:tc>
              <w:tc>
                <w:tcPr>
                  <w:tcW w:w="466" w:type="dxa"/>
                  <w:vMerge w:val="continue"/>
                  <w:vAlign w:val="center"/>
                </w:tcPr>
                <w:p>
                  <w:pPr>
                    <w:pStyle w:val="41"/>
                    <w:spacing w:line="240" w:lineRule="auto"/>
                    <w:jc w:val="center"/>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7" w:type="dxa"/>
                  <w:tcBorders>
                    <w:bottom w:val="single" w:color="auto" w:sz="4" w:space="0"/>
                  </w:tcBorders>
                  <w:vAlign w:val="center"/>
                </w:tcPr>
                <w:p>
                  <w:pPr>
                    <w:pStyle w:val="41"/>
                    <w:spacing w:line="240" w:lineRule="auto"/>
                    <w:jc w:val="center"/>
                    <w:rPr>
                      <w:rFonts w:hint="eastAsia" w:eastAsia="宋体"/>
                      <w:color w:val="auto"/>
                      <w:lang w:val="en-US" w:eastAsia="zh-CN"/>
                    </w:rPr>
                  </w:pPr>
                  <w:r>
                    <w:rPr>
                      <w:rFonts w:hint="eastAsia"/>
                      <w:color w:val="auto"/>
                      <w:lang w:val="en-US" w:eastAsia="zh-CN"/>
                    </w:rPr>
                    <w:t>3</w:t>
                  </w:r>
                </w:p>
              </w:tc>
              <w:tc>
                <w:tcPr>
                  <w:tcW w:w="1185" w:type="dxa"/>
                  <w:tcBorders>
                    <w:bottom w:val="single" w:color="auto" w:sz="4" w:space="0"/>
                  </w:tcBorders>
                  <w:vAlign w:val="center"/>
                </w:tcPr>
                <w:p>
                  <w:pPr>
                    <w:pStyle w:val="41"/>
                    <w:spacing w:line="240" w:lineRule="auto"/>
                    <w:jc w:val="center"/>
                    <w:rPr>
                      <w:rFonts w:hint="eastAsia" w:eastAsia="宋体"/>
                      <w:color w:val="auto"/>
                      <w:lang w:eastAsia="zh-CN"/>
                    </w:rPr>
                  </w:pPr>
                  <w:r>
                    <w:rPr>
                      <w:rFonts w:hint="eastAsia"/>
                      <w:color w:val="auto"/>
                      <w:lang w:eastAsia="zh-CN"/>
                    </w:rPr>
                    <w:t>地面清洁</w:t>
                  </w:r>
                </w:p>
              </w:tc>
              <w:tc>
                <w:tcPr>
                  <w:tcW w:w="1177" w:type="dxa"/>
                  <w:tcBorders>
                    <w:bottom w:val="single" w:color="auto" w:sz="4" w:space="0"/>
                    <w:right w:val="single" w:color="auto" w:sz="4" w:space="0"/>
                  </w:tcBorders>
                  <w:vAlign w:val="center"/>
                </w:tcPr>
                <w:p>
                  <w:pPr>
                    <w:pStyle w:val="41"/>
                    <w:spacing w:line="240" w:lineRule="auto"/>
                    <w:jc w:val="center"/>
                    <w:rPr>
                      <w:rFonts w:hint="eastAsia"/>
                      <w:color w:val="auto"/>
                    </w:rPr>
                  </w:pPr>
                  <w:r>
                    <w:rPr>
                      <w:rFonts w:hint="eastAsia"/>
                      <w:color w:val="auto"/>
                      <w:lang w:val="en-US" w:eastAsia="zh-CN"/>
                    </w:rPr>
                    <w:t>0.5</w:t>
                  </w:r>
                  <w:r>
                    <w:rPr>
                      <w:color w:val="auto"/>
                    </w:rPr>
                    <w:t>L/m</w:t>
                  </w:r>
                  <w:r>
                    <w:rPr>
                      <w:color w:val="auto"/>
                      <w:vertAlign w:val="superscript"/>
                    </w:rPr>
                    <w:t>2</w:t>
                  </w:r>
                  <w:r>
                    <w:rPr>
                      <w:color w:val="auto"/>
                    </w:rPr>
                    <w:t>·次</w:t>
                  </w:r>
                </w:p>
              </w:tc>
              <w:tc>
                <w:tcPr>
                  <w:tcW w:w="1144" w:type="dxa"/>
                  <w:tcBorders>
                    <w:left w:val="single" w:color="auto" w:sz="4" w:space="0"/>
                    <w:bottom w:val="single" w:color="auto" w:sz="4" w:space="0"/>
                  </w:tcBorders>
                  <w:vAlign w:val="center"/>
                </w:tcPr>
                <w:p>
                  <w:pPr>
                    <w:pStyle w:val="41"/>
                    <w:spacing w:line="240" w:lineRule="auto"/>
                    <w:jc w:val="center"/>
                    <w:rPr>
                      <w:rFonts w:hint="eastAsia"/>
                      <w:color w:val="auto"/>
                    </w:rPr>
                  </w:pPr>
                  <w:r>
                    <w:rPr>
                      <w:rFonts w:hint="eastAsia" w:cs="宋体"/>
                      <w:color w:val="auto"/>
                      <w:sz w:val="21"/>
                      <w:szCs w:val="21"/>
                      <w:highlight w:val="none"/>
                      <w:lang w:val="en-US" w:eastAsia="zh-CN"/>
                    </w:rPr>
                    <w:t>2095.8</w:t>
                  </w:r>
                  <w:r>
                    <w:rPr>
                      <w:color w:val="auto"/>
                      <w:sz w:val="21"/>
                      <w:szCs w:val="21"/>
                    </w:rPr>
                    <w:t>m</w:t>
                  </w:r>
                  <w:r>
                    <w:rPr>
                      <w:color w:val="auto"/>
                      <w:sz w:val="21"/>
                      <w:szCs w:val="21"/>
                      <w:vertAlign w:val="superscript"/>
                    </w:rPr>
                    <w:t>2</w:t>
                  </w:r>
                </w:p>
              </w:tc>
              <w:tc>
                <w:tcPr>
                  <w:tcW w:w="809" w:type="dxa"/>
                  <w:tcBorders>
                    <w:bottom w:val="single" w:color="auto" w:sz="4" w:space="0"/>
                  </w:tcBorders>
                  <w:vAlign w:val="center"/>
                </w:tcPr>
                <w:p>
                  <w:pPr>
                    <w:pStyle w:val="41"/>
                    <w:spacing w:line="240" w:lineRule="auto"/>
                    <w:jc w:val="center"/>
                    <w:rPr>
                      <w:rFonts w:hint="default" w:eastAsia="宋体"/>
                      <w:color w:val="auto"/>
                      <w:lang w:val="en-US" w:eastAsia="zh-CN"/>
                    </w:rPr>
                  </w:pPr>
                  <w:r>
                    <w:rPr>
                      <w:rFonts w:hint="eastAsia"/>
                      <w:color w:val="auto"/>
                      <w:lang w:val="en-US" w:eastAsia="zh-CN"/>
                    </w:rPr>
                    <w:t>1.05</w:t>
                  </w:r>
                </w:p>
              </w:tc>
              <w:tc>
                <w:tcPr>
                  <w:tcW w:w="927" w:type="dxa"/>
                  <w:tcBorders>
                    <w:bottom w:val="single" w:color="auto" w:sz="4"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63</w:t>
                  </w:r>
                </w:p>
              </w:tc>
              <w:tc>
                <w:tcPr>
                  <w:tcW w:w="1095" w:type="dxa"/>
                  <w:tcBorders>
                    <w:bottom w:val="single" w:color="auto" w:sz="4"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0.95</w:t>
                  </w:r>
                </w:p>
              </w:tc>
              <w:tc>
                <w:tcPr>
                  <w:tcW w:w="932" w:type="dxa"/>
                  <w:tcBorders>
                    <w:bottom w:val="single" w:color="auto" w:sz="4"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285</w:t>
                  </w:r>
                </w:p>
              </w:tc>
              <w:tc>
                <w:tcPr>
                  <w:tcW w:w="466" w:type="dxa"/>
                  <w:vMerge w:val="continue"/>
                  <w:vAlign w:val="center"/>
                </w:tcPr>
                <w:p>
                  <w:pPr>
                    <w:pStyle w:val="41"/>
                    <w:spacing w:line="240" w:lineRule="auto"/>
                    <w:jc w:val="center"/>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447" w:type="dxa"/>
                  <w:vMerge w:val="restart"/>
                  <w:tcBorders>
                    <w:top w:val="single" w:color="auto" w:sz="4" w:space="0"/>
                  </w:tcBorders>
                  <w:vAlign w:val="center"/>
                </w:tcPr>
                <w:p>
                  <w:pPr>
                    <w:pStyle w:val="41"/>
                    <w:spacing w:line="240" w:lineRule="auto"/>
                    <w:jc w:val="center"/>
                    <w:rPr>
                      <w:rFonts w:hint="eastAsia" w:eastAsia="宋体"/>
                      <w:color w:val="auto"/>
                      <w:lang w:eastAsia="zh-CN"/>
                    </w:rPr>
                  </w:pPr>
                  <w:r>
                    <w:rPr>
                      <w:rFonts w:hint="eastAsia"/>
                      <w:color w:val="auto"/>
                      <w:lang w:val="en-US" w:eastAsia="zh-CN"/>
                    </w:rPr>
                    <w:t>4</w:t>
                  </w:r>
                </w:p>
              </w:tc>
              <w:tc>
                <w:tcPr>
                  <w:tcW w:w="1185" w:type="dxa"/>
                  <w:vMerge w:val="restart"/>
                  <w:tcBorders>
                    <w:top w:val="single" w:color="auto" w:sz="4" w:space="0"/>
                  </w:tcBorders>
                  <w:vAlign w:val="center"/>
                </w:tcPr>
                <w:p>
                  <w:pPr>
                    <w:pStyle w:val="41"/>
                    <w:spacing w:line="240" w:lineRule="auto"/>
                    <w:jc w:val="center"/>
                    <w:rPr>
                      <w:rFonts w:hint="eastAsia" w:eastAsia="宋体"/>
                      <w:color w:val="auto"/>
                      <w:lang w:eastAsia="zh-CN"/>
                    </w:rPr>
                  </w:pPr>
                  <w:r>
                    <w:rPr>
                      <w:rFonts w:hint="eastAsia"/>
                      <w:color w:val="auto"/>
                    </w:rPr>
                    <w:t>冷却</w:t>
                  </w:r>
                  <w:r>
                    <w:rPr>
                      <w:rFonts w:hint="eastAsia"/>
                      <w:color w:val="auto"/>
                      <w:lang w:eastAsia="zh-CN"/>
                    </w:rPr>
                    <w:t>循环</w:t>
                  </w:r>
                </w:p>
              </w:tc>
              <w:tc>
                <w:tcPr>
                  <w:tcW w:w="2321" w:type="dxa"/>
                  <w:gridSpan w:val="2"/>
                  <w:tcBorders>
                    <w:top w:val="single" w:color="auto" w:sz="4" w:space="0"/>
                    <w:bottom w:val="single" w:color="auto" w:sz="4" w:space="0"/>
                  </w:tcBorders>
                  <w:vAlign w:val="center"/>
                </w:tcPr>
                <w:p>
                  <w:pPr>
                    <w:pStyle w:val="41"/>
                    <w:spacing w:line="240" w:lineRule="auto"/>
                    <w:jc w:val="center"/>
                    <w:rPr>
                      <w:color w:val="auto"/>
                    </w:rPr>
                  </w:pPr>
                  <w:r>
                    <w:rPr>
                      <w:color w:val="auto"/>
                    </w:rPr>
                    <w:t>循环冷却水系统损耗水量约占循环水量的</w:t>
                  </w:r>
                  <w:r>
                    <w:rPr>
                      <w:rFonts w:hint="eastAsia"/>
                      <w:color w:val="auto"/>
                    </w:rPr>
                    <w:t>3</w:t>
                  </w:r>
                  <w:r>
                    <w:rPr>
                      <w:color w:val="auto"/>
                    </w:rPr>
                    <w:t>%</w:t>
                  </w:r>
                </w:p>
              </w:tc>
              <w:tc>
                <w:tcPr>
                  <w:tcW w:w="809" w:type="dxa"/>
                  <w:tcBorders>
                    <w:top w:val="single" w:color="auto" w:sz="4" w:space="0"/>
                    <w:bottom w:val="single" w:color="auto" w:sz="4" w:space="0"/>
                  </w:tcBorders>
                  <w:vAlign w:val="center"/>
                </w:tcPr>
                <w:p>
                  <w:pPr>
                    <w:pStyle w:val="41"/>
                    <w:spacing w:line="240" w:lineRule="auto"/>
                    <w:jc w:val="center"/>
                    <w:rPr>
                      <w:rFonts w:hint="default" w:eastAsia="宋体"/>
                      <w:color w:val="auto"/>
                      <w:lang w:val="en-US" w:eastAsia="zh-CN"/>
                    </w:rPr>
                  </w:pPr>
                  <w:r>
                    <w:rPr>
                      <w:rFonts w:hint="eastAsia"/>
                      <w:color w:val="auto"/>
                      <w:lang w:val="en-US" w:eastAsia="zh-CN"/>
                    </w:rPr>
                    <w:t>7.78</w:t>
                  </w:r>
                </w:p>
              </w:tc>
              <w:tc>
                <w:tcPr>
                  <w:tcW w:w="927" w:type="dxa"/>
                  <w:tcBorders>
                    <w:top w:val="single" w:color="auto" w:sz="4" w:space="0"/>
                    <w:bottom w:val="single" w:color="auto" w:sz="4" w:space="0"/>
                  </w:tcBorders>
                  <w:vAlign w:val="center"/>
                </w:tcPr>
                <w:p>
                  <w:pPr>
                    <w:pStyle w:val="41"/>
                    <w:spacing w:line="240" w:lineRule="auto"/>
                    <w:jc w:val="center"/>
                    <w:rPr>
                      <w:rFonts w:hint="default" w:eastAsia="宋体"/>
                      <w:color w:val="auto"/>
                      <w:lang w:val="en-US" w:eastAsia="zh-CN"/>
                    </w:rPr>
                  </w:pPr>
                  <w:r>
                    <w:rPr>
                      <w:rFonts w:hint="eastAsia"/>
                      <w:color w:val="auto"/>
                      <w:lang w:val="en-US" w:eastAsia="zh-CN"/>
                    </w:rPr>
                    <w:t>2334</w:t>
                  </w:r>
                </w:p>
              </w:tc>
              <w:tc>
                <w:tcPr>
                  <w:tcW w:w="1095" w:type="dxa"/>
                  <w:tcBorders>
                    <w:top w:val="single" w:color="auto" w:sz="4" w:space="0"/>
                    <w:bottom w:val="single" w:color="auto" w:sz="4" w:space="0"/>
                  </w:tcBorders>
                  <w:vAlign w:val="center"/>
                </w:tcPr>
                <w:p>
                  <w:pPr>
                    <w:pStyle w:val="41"/>
                    <w:spacing w:line="240" w:lineRule="auto"/>
                    <w:jc w:val="center"/>
                    <w:rPr>
                      <w:rFonts w:hint="eastAsia" w:eastAsia="宋体"/>
                      <w:color w:val="auto"/>
                      <w:lang w:eastAsia="zh-CN"/>
                    </w:rPr>
                  </w:pPr>
                  <w:r>
                    <w:rPr>
                      <w:rFonts w:hint="eastAsia"/>
                      <w:color w:val="auto"/>
                      <w:lang w:val="en-US" w:eastAsia="zh-CN"/>
                    </w:rPr>
                    <w:t>0</w:t>
                  </w:r>
                </w:p>
              </w:tc>
              <w:tc>
                <w:tcPr>
                  <w:tcW w:w="932" w:type="dxa"/>
                  <w:tcBorders>
                    <w:top w:val="single" w:color="auto" w:sz="4" w:space="0"/>
                    <w:bottom w:val="single" w:color="auto" w:sz="4" w:space="0"/>
                  </w:tcBorders>
                  <w:vAlign w:val="center"/>
                </w:tcPr>
                <w:p>
                  <w:pPr>
                    <w:pStyle w:val="41"/>
                    <w:spacing w:line="240" w:lineRule="auto"/>
                    <w:jc w:val="center"/>
                    <w:rPr>
                      <w:rFonts w:hint="eastAsia" w:eastAsia="宋体"/>
                      <w:color w:val="auto"/>
                      <w:lang w:eastAsia="zh-CN"/>
                    </w:rPr>
                  </w:pPr>
                  <w:r>
                    <w:rPr>
                      <w:rFonts w:hint="eastAsia"/>
                      <w:color w:val="auto"/>
                      <w:lang w:val="en-US" w:eastAsia="zh-CN"/>
                    </w:rPr>
                    <w:t>0</w:t>
                  </w:r>
                </w:p>
              </w:tc>
              <w:tc>
                <w:tcPr>
                  <w:tcW w:w="466" w:type="dxa"/>
                  <w:vMerge w:val="continue"/>
                  <w:vAlign w:val="center"/>
                </w:tcPr>
                <w:p>
                  <w:pPr>
                    <w:pStyle w:val="41"/>
                    <w:spacing w:line="240" w:lineRule="auto"/>
                    <w:jc w:val="center"/>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7" w:type="dxa"/>
                  <w:vMerge w:val="continue"/>
                  <w:tcBorders>
                    <w:bottom w:val="single" w:color="auto" w:sz="4" w:space="0"/>
                  </w:tcBorders>
                  <w:vAlign w:val="center"/>
                </w:tcPr>
                <w:p>
                  <w:pPr>
                    <w:pStyle w:val="41"/>
                    <w:spacing w:line="240" w:lineRule="auto"/>
                    <w:jc w:val="center"/>
                    <w:rPr>
                      <w:color w:val="auto"/>
                    </w:rPr>
                  </w:pPr>
                </w:p>
              </w:tc>
              <w:tc>
                <w:tcPr>
                  <w:tcW w:w="1185" w:type="dxa"/>
                  <w:vMerge w:val="continue"/>
                  <w:tcBorders>
                    <w:bottom w:val="single" w:color="auto" w:sz="4" w:space="0"/>
                  </w:tcBorders>
                  <w:vAlign w:val="center"/>
                </w:tcPr>
                <w:p>
                  <w:pPr>
                    <w:pStyle w:val="41"/>
                    <w:spacing w:line="240" w:lineRule="auto"/>
                    <w:jc w:val="center"/>
                    <w:rPr>
                      <w:color w:val="auto"/>
                    </w:rPr>
                  </w:pPr>
                </w:p>
              </w:tc>
              <w:tc>
                <w:tcPr>
                  <w:tcW w:w="2321" w:type="dxa"/>
                  <w:gridSpan w:val="2"/>
                  <w:tcBorders>
                    <w:top w:val="single" w:color="auto" w:sz="4" w:space="0"/>
                    <w:bottom w:val="single" w:color="auto" w:sz="4" w:space="0"/>
                  </w:tcBorders>
                  <w:vAlign w:val="center"/>
                </w:tcPr>
                <w:p>
                  <w:pPr>
                    <w:pStyle w:val="41"/>
                    <w:spacing w:line="240" w:lineRule="auto"/>
                    <w:jc w:val="center"/>
                    <w:rPr>
                      <w:color w:val="auto"/>
                    </w:rPr>
                  </w:pPr>
                  <w:r>
                    <w:rPr>
                      <w:color w:val="auto"/>
                    </w:rPr>
                    <w:t>更换水</w:t>
                  </w:r>
                  <w:r>
                    <w:rPr>
                      <w:rFonts w:hint="eastAsia"/>
                      <w:color w:val="auto"/>
                      <w:lang w:val="en-US" w:eastAsia="zh-CN"/>
                    </w:rPr>
                    <w:t>6</w:t>
                  </w:r>
                  <w:r>
                    <w:rPr>
                      <w:color w:val="auto"/>
                    </w:rPr>
                    <w:t>m</w:t>
                  </w:r>
                  <w:r>
                    <w:rPr>
                      <w:color w:val="auto"/>
                      <w:vertAlign w:val="superscript"/>
                    </w:rPr>
                    <w:t>3</w:t>
                  </w:r>
                  <w:r>
                    <w:rPr>
                      <w:color w:val="auto"/>
                    </w:rPr>
                    <w:t>/次，半年一次</w:t>
                  </w:r>
                </w:p>
              </w:tc>
              <w:tc>
                <w:tcPr>
                  <w:tcW w:w="809" w:type="dxa"/>
                  <w:tcBorders>
                    <w:top w:val="single" w:color="auto" w:sz="4" w:space="0"/>
                    <w:bottom w:val="single" w:color="auto" w:sz="4" w:space="0"/>
                  </w:tcBorders>
                  <w:vAlign w:val="center"/>
                </w:tcPr>
                <w:p>
                  <w:pPr>
                    <w:pStyle w:val="41"/>
                    <w:spacing w:line="240" w:lineRule="auto"/>
                    <w:jc w:val="center"/>
                    <w:rPr>
                      <w:rFonts w:hint="eastAsia" w:eastAsia="宋体"/>
                      <w:color w:val="auto"/>
                      <w:lang w:val="en-US" w:eastAsia="zh-CN"/>
                    </w:rPr>
                  </w:pPr>
                  <w:r>
                    <w:rPr>
                      <w:rFonts w:hint="eastAsia"/>
                      <w:color w:val="auto"/>
                      <w:lang w:val="en-US" w:eastAsia="zh-CN"/>
                    </w:rPr>
                    <w:t>6</w:t>
                  </w:r>
                </w:p>
              </w:tc>
              <w:tc>
                <w:tcPr>
                  <w:tcW w:w="927" w:type="dxa"/>
                  <w:tcBorders>
                    <w:top w:val="single" w:color="auto" w:sz="4" w:space="0"/>
                    <w:bottom w:val="single" w:color="auto" w:sz="4" w:space="0"/>
                  </w:tcBorders>
                  <w:vAlign w:val="center"/>
                </w:tcPr>
                <w:p>
                  <w:pPr>
                    <w:pStyle w:val="41"/>
                    <w:spacing w:line="240" w:lineRule="auto"/>
                    <w:jc w:val="center"/>
                    <w:rPr>
                      <w:rFonts w:hint="default" w:eastAsia="宋体"/>
                      <w:color w:val="auto"/>
                      <w:lang w:val="en-US" w:eastAsia="zh-CN"/>
                    </w:rPr>
                  </w:pPr>
                  <w:r>
                    <w:rPr>
                      <w:rFonts w:hint="eastAsia"/>
                      <w:color w:val="auto"/>
                      <w:lang w:val="en-US" w:eastAsia="zh-CN"/>
                    </w:rPr>
                    <w:t>12</w:t>
                  </w:r>
                </w:p>
              </w:tc>
              <w:tc>
                <w:tcPr>
                  <w:tcW w:w="1095" w:type="dxa"/>
                  <w:tcBorders>
                    <w:top w:val="single" w:color="auto" w:sz="4" w:space="0"/>
                    <w:bottom w:val="single" w:color="auto" w:sz="4" w:space="0"/>
                  </w:tcBorders>
                  <w:vAlign w:val="center"/>
                </w:tcPr>
                <w:p>
                  <w:pPr>
                    <w:pStyle w:val="41"/>
                    <w:spacing w:line="240" w:lineRule="auto"/>
                    <w:jc w:val="center"/>
                    <w:rPr>
                      <w:rFonts w:ascii="Times New Roman" w:hAnsi="Times New Roman" w:eastAsia="宋体" w:cs="Times New Roman"/>
                      <w:color w:val="auto"/>
                      <w:w w:val="100"/>
                      <w:kern w:val="2"/>
                      <w:sz w:val="21"/>
                      <w:szCs w:val="20"/>
                      <w:lang w:val="en-US" w:eastAsia="zh-CN" w:bidi="ar-SA"/>
                    </w:rPr>
                  </w:pPr>
                  <w:r>
                    <w:rPr>
                      <w:rFonts w:hint="eastAsia"/>
                      <w:color w:val="auto"/>
                      <w:lang w:val="en-US" w:eastAsia="zh-CN"/>
                    </w:rPr>
                    <w:t>6</w:t>
                  </w:r>
                </w:p>
              </w:tc>
              <w:tc>
                <w:tcPr>
                  <w:tcW w:w="932" w:type="dxa"/>
                  <w:tcBorders>
                    <w:top w:val="single" w:color="auto" w:sz="4" w:space="0"/>
                    <w:bottom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color w:val="auto"/>
                      <w:lang w:val="en-US" w:eastAsia="zh-CN"/>
                    </w:rPr>
                    <w:t>12</w:t>
                  </w:r>
                </w:p>
              </w:tc>
              <w:tc>
                <w:tcPr>
                  <w:tcW w:w="466" w:type="dxa"/>
                  <w:vMerge w:val="continue"/>
                  <w:vAlign w:val="center"/>
                </w:tcPr>
                <w:p>
                  <w:pPr>
                    <w:pStyle w:val="41"/>
                    <w:spacing w:line="240" w:lineRule="auto"/>
                    <w:jc w:val="center"/>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3" w:type="dxa"/>
                  <w:gridSpan w:val="4"/>
                  <w:vAlign w:val="center"/>
                </w:tcPr>
                <w:p>
                  <w:pPr>
                    <w:pStyle w:val="41"/>
                    <w:spacing w:line="240" w:lineRule="auto"/>
                    <w:jc w:val="center"/>
                    <w:rPr>
                      <w:color w:val="auto"/>
                    </w:rPr>
                  </w:pPr>
                  <w:r>
                    <w:rPr>
                      <w:color w:val="auto"/>
                    </w:rPr>
                    <w:t>合计</w:t>
                  </w:r>
                </w:p>
              </w:tc>
              <w:tc>
                <w:tcPr>
                  <w:tcW w:w="809" w:type="dxa"/>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lang w:val="en-US" w:eastAsia="zh-CN"/>
                    </w:rPr>
                    <w:fldChar w:fldCharType="begin"/>
                  </w:r>
                  <w:r>
                    <w:rPr>
                      <w:rFonts w:hint="eastAsia"/>
                      <w:color w:val="auto"/>
                      <w:lang w:val="en-US" w:eastAsia="zh-CN"/>
                    </w:rPr>
                    <w:instrText xml:space="preserve"> = sum(A1:A5) \* MERGEFORMAT </w:instrText>
                  </w:r>
                  <w:r>
                    <w:rPr>
                      <w:rFonts w:hint="eastAsia"/>
                      <w:color w:val="auto"/>
                      <w:lang w:val="en-US" w:eastAsia="zh-CN"/>
                    </w:rPr>
                    <w:fldChar w:fldCharType="separate"/>
                  </w:r>
                  <w:r>
                    <w:rPr>
                      <w:rFonts w:hint="eastAsia"/>
                      <w:color w:val="auto"/>
                      <w:lang w:val="en-US" w:eastAsia="zh-CN"/>
                    </w:rPr>
                    <w:t>26.08</w:t>
                  </w:r>
                  <w:r>
                    <w:rPr>
                      <w:rFonts w:hint="eastAsia"/>
                      <w:color w:val="auto"/>
                      <w:lang w:val="en-US" w:eastAsia="zh-CN"/>
                    </w:rPr>
                    <w:fldChar w:fldCharType="end"/>
                  </w:r>
                </w:p>
              </w:tc>
              <w:tc>
                <w:tcPr>
                  <w:tcW w:w="927" w:type="dxa"/>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lang w:val="en-US" w:eastAsia="zh-CN"/>
                    </w:rPr>
                    <w:fldChar w:fldCharType="begin"/>
                  </w:r>
                  <w:r>
                    <w:rPr>
                      <w:rFonts w:hint="eastAsia"/>
                      <w:color w:val="auto"/>
                      <w:lang w:val="en-US" w:eastAsia="zh-CN"/>
                    </w:rPr>
                    <w:instrText xml:space="preserve"> = sum(B1:B5) \* MERGEFORMAT </w:instrText>
                  </w:r>
                  <w:r>
                    <w:rPr>
                      <w:rFonts w:hint="eastAsia"/>
                      <w:color w:val="auto"/>
                      <w:lang w:val="en-US" w:eastAsia="zh-CN"/>
                    </w:rPr>
                    <w:fldChar w:fldCharType="separate"/>
                  </w:r>
                  <w:r>
                    <w:rPr>
                      <w:rFonts w:hint="eastAsia"/>
                      <w:color w:val="auto"/>
                      <w:lang w:val="en-US" w:eastAsia="zh-CN"/>
                    </w:rPr>
                    <w:t>5784</w:t>
                  </w:r>
                  <w:r>
                    <w:rPr>
                      <w:rFonts w:hint="eastAsia"/>
                      <w:color w:val="auto"/>
                      <w:lang w:val="en-US" w:eastAsia="zh-CN"/>
                    </w:rPr>
                    <w:fldChar w:fldCharType="end"/>
                  </w:r>
                </w:p>
              </w:tc>
              <w:tc>
                <w:tcPr>
                  <w:tcW w:w="1095" w:type="dxa"/>
                  <w:tcBorders>
                    <w:top w:val="single" w:color="auto" w:sz="4" w:space="0"/>
                    <w:bottom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lang w:val="en-US" w:eastAsia="zh-CN"/>
                    </w:rPr>
                    <w:fldChar w:fldCharType="begin"/>
                  </w:r>
                  <w:r>
                    <w:rPr>
                      <w:rFonts w:hint="eastAsia"/>
                      <w:color w:val="auto"/>
                      <w:lang w:val="en-US" w:eastAsia="zh-CN"/>
                    </w:rPr>
                    <w:instrText xml:space="preserve"> = sum(C1:C5) \* MERGEFORMAT </w:instrText>
                  </w:r>
                  <w:r>
                    <w:rPr>
                      <w:rFonts w:hint="eastAsia"/>
                      <w:color w:val="auto"/>
                      <w:lang w:val="en-US" w:eastAsia="zh-CN"/>
                    </w:rPr>
                    <w:fldChar w:fldCharType="separate"/>
                  </w:r>
                  <w:r>
                    <w:rPr>
                      <w:rFonts w:hint="eastAsia"/>
                      <w:color w:val="auto"/>
                      <w:lang w:val="en-US" w:eastAsia="zh-CN"/>
                    </w:rPr>
                    <w:t>17.08</w:t>
                  </w:r>
                  <w:r>
                    <w:rPr>
                      <w:rFonts w:hint="eastAsia"/>
                      <w:color w:val="auto"/>
                      <w:lang w:val="en-US" w:eastAsia="zh-CN"/>
                    </w:rPr>
                    <w:fldChar w:fldCharType="end"/>
                  </w:r>
                </w:p>
              </w:tc>
              <w:tc>
                <w:tcPr>
                  <w:tcW w:w="932" w:type="dxa"/>
                  <w:tcBorders>
                    <w:top w:val="single" w:color="auto" w:sz="4" w:space="0"/>
                    <w:bottom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lang w:val="en-US" w:eastAsia="zh-CN"/>
                    </w:rPr>
                    <w:fldChar w:fldCharType="begin"/>
                  </w:r>
                  <w:r>
                    <w:rPr>
                      <w:rFonts w:hint="eastAsia"/>
                      <w:color w:val="auto"/>
                      <w:lang w:val="en-US" w:eastAsia="zh-CN"/>
                    </w:rPr>
                    <w:instrText xml:space="preserve"> = sum(D1:D5) \* MERGEFORMAT </w:instrText>
                  </w:r>
                  <w:r>
                    <w:rPr>
                      <w:rFonts w:hint="eastAsia"/>
                      <w:color w:val="auto"/>
                      <w:lang w:val="en-US" w:eastAsia="zh-CN"/>
                    </w:rPr>
                    <w:fldChar w:fldCharType="separate"/>
                  </w:r>
                  <w:r>
                    <w:rPr>
                      <w:rFonts w:hint="eastAsia"/>
                      <w:color w:val="auto"/>
                      <w:lang w:val="en-US" w:eastAsia="zh-CN"/>
                    </w:rPr>
                    <w:t>3336</w:t>
                  </w:r>
                  <w:r>
                    <w:rPr>
                      <w:rFonts w:hint="eastAsia"/>
                      <w:color w:val="auto"/>
                      <w:lang w:val="en-US" w:eastAsia="zh-CN"/>
                    </w:rPr>
                    <w:fldChar w:fldCharType="end"/>
                  </w:r>
                </w:p>
              </w:tc>
              <w:tc>
                <w:tcPr>
                  <w:tcW w:w="466" w:type="dxa"/>
                  <w:vMerge w:val="continue"/>
                  <w:vAlign w:val="center"/>
                </w:tcPr>
                <w:p>
                  <w:pPr>
                    <w:pStyle w:val="41"/>
                    <w:spacing w:line="240" w:lineRule="auto"/>
                    <w:jc w:val="center"/>
                    <w:rPr>
                      <w:color w:val="auto"/>
                    </w:rPr>
                  </w:pPr>
                </w:p>
              </w:tc>
            </w:tr>
          </w:tbl>
          <w:p>
            <w:pPr>
              <w:tabs>
                <w:tab w:val="left" w:pos="2835"/>
              </w:tabs>
              <w:spacing w:line="240" w:lineRule="auto"/>
              <w:ind w:left="838" w:leftChars="174" w:hanging="420" w:hangingChars="20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注：1、用水标准来源于《建筑给水排水设计规范》</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GB 50015-2019</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用水按每年</w:t>
            </w:r>
            <w:r>
              <w:rPr>
                <w:rFonts w:hint="eastAsia" w:cs="Times New Roman"/>
                <w:color w:val="auto"/>
                <w:sz w:val="21"/>
                <w:lang w:val="en-US" w:eastAsia="zh-CN"/>
              </w:rPr>
              <w:t>300</w:t>
            </w:r>
            <w:r>
              <w:rPr>
                <w:rFonts w:hint="default" w:ascii="Times New Roman" w:hAnsi="Times New Roman" w:eastAsia="宋体" w:cs="Times New Roman"/>
                <w:color w:val="auto"/>
                <w:sz w:val="21"/>
              </w:rPr>
              <w:t>天计算；排水量按用水量的90%计。</w:t>
            </w:r>
          </w:p>
          <w:p>
            <w:pPr>
              <w:tabs>
                <w:tab w:val="left" w:pos="2835"/>
              </w:tabs>
              <w:spacing w:line="240" w:lineRule="auto"/>
              <w:ind w:left="835" w:leftChars="348" w:firstLine="0" w:firstLineChars="0"/>
              <w:jc w:val="both"/>
              <w:rPr>
                <w:rFonts w:hint="default" w:ascii="Times New Roman" w:hAnsi="Times New Roman" w:eastAsia="宋体" w:cs="Times New Roman"/>
                <w:color w:val="auto"/>
                <w:sz w:val="21"/>
              </w:rPr>
            </w:pPr>
            <w:r>
              <w:rPr>
                <w:rFonts w:hint="eastAsia" w:ascii="Times New Roman" w:hAnsi="Times New Roman" w:cs="Times New Roman"/>
                <w:color w:val="auto"/>
                <w:sz w:val="21"/>
                <w:lang w:val="en-US" w:eastAsia="zh-CN"/>
              </w:rPr>
              <w:t>2、</w:t>
            </w:r>
            <w:r>
              <w:rPr>
                <w:rFonts w:hint="default" w:ascii="Times New Roman" w:hAnsi="Times New Roman" w:eastAsia="宋体" w:cs="Times New Roman"/>
                <w:color w:val="auto"/>
                <w:sz w:val="21"/>
              </w:rPr>
              <w:t>项目</w:t>
            </w:r>
            <w:r>
              <w:rPr>
                <w:rFonts w:hint="default" w:ascii="Times New Roman" w:hAnsi="Times New Roman" w:eastAsia="宋体" w:cs="Times New Roman"/>
                <w:color w:val="auto"/>
                <w:sz w:val="21"/>
                <w:lang w:eastAsia="zh-CN"/>
              </w:rPr>
              <w:t>用水、排水</w:t>
            </w:r>
            <w:r>
              <w:rPr>
                <w:rFonts w:hint="default" w:ascii="Times New Roman" w:hAnsi="Times New Roman" w:eastAsia="宋体" w:cs="Times New Roman"/>
                <w:color w:val="auto"/>
                <w:sz w:val="21"/>
                <w:lang w:val="en-US" w:eastAsia="zh-CN"/>
              </w:rPr>
              <w:t>当日最大产生量计算</w:t>
            </w:r>
            <w:r>
              <w:rPr>
                <w:rFonts w:hint="default" w:ascii="Times New Roman" w:hAnsi="Times New Roman" w:eastAsia="宋体" w:cs="Times New Roman"/>
                <w:color w:val="auto"/>
                <w:sz w:val="21"/>
              </w:rPr>
              <w:t>。</w:t>
            </w:r>
          </w:p>
          <w:p>
            <w:pPr>
              <w:tabs>
                <w:tab w:val="left" w:pos="2835"/>
              </w:tabs>
              <w:spacing w:line="240" w:lineRule="auto"/>
              <w:ind w:left="835" w:leftChars="348" w:firstLine="0" w:firstLineChars="0"/>
              <w:jc w:val="both"/>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3、</w:t>
            </w:r>
            <w:r>
              <w:rPr>
                <w:rFonts w:hint="default" w:ascii="Times New Roman" w:hAnsi="Times New Roman" w:eastAsia="宋体" w:cs="Times New Roman"/>
                <w:color w:val="auto"/>
                <w:sz w:val="21"/>
                <w:lang w:val="en-US" w:eastAsia="zh-CN"/>
              </w:rPr>
              <w:t>项目每</w:t>
            </w:r>
            <w:r>
              <w:rPr>
                <w:rFonts w:hint="eastAsia" w:cs="Times New Roman"/>
                <w:color w:val="auto"/>
                <w:sz w:val="21"/>
                <w:lang w:val="en-US" w:eastAsia="zh-CN"/>
              </w:rPr>
              <w:t>5</w:t>
            </w:r>
            <w:r>
              <w:rPr>
                <w:rFonts w:hint="default" w:ascii="Times New Roman" w:hAnsi="Times New Roman" w:eastAsia="宋体" w:cs="Times New Roman"/>
                <w:color w:val="auto"/>
                <w:sz w:val="21"/>
                <w:lang w:val="en-US" w:eastAsia="zh-CN"/>
              </w:rPr>
              <w:t>天进行一次地面清洁，一年共清洁</w:t>
            </w:r>
            <w:r>
              <w:rPr>
                <w:rFonts w:hint="eastAsia" w:cs="Times New Roman"/>
                <w:color w:val="auto"/>
                <w:sz w:val="21"/>
                <w:lang w:val="en-US" w:eastAsia="zh-CN"/>
              </w:rPr>
              <w:t>60</w:t>
            </w:r>
            <w:r>
              <w:rPr>
                <w:rFonts w:hint="default" w:ascii="Times New Roman" w:hAnsi="Times New Roman" w:eastAsia="宋体" w:cs="Times New Roman"/>
                <w:color w:val="auto"/>
                <w:sz w:val="21"/>
                <w:lang w:val="en-US" w:eastAsia="zh-CN"/>
              </w:rPr>
              <w:t>次。</w:t>
            </w:r>
          </w:p>
          <w:p>
            <w:pPr>
              <w:pStyle w:val="15"/>
              <w:ind w:firstLine="840" w:firstLineChars="400"/>
              <w:rPr>
                <w:rFonts w:hint="eastAsia" w:cs="Times New Roman"/>
                <w:color w:val="auto"/>
                <w:sz w:val="21"/>
                <w:lang w:val="en-US" w:eastAsia="zh-CN"/>
              </w:rPr>
            </w:pPr>
            <w:r>
              <w:rPr>
                <w:rFonts w:hint="eastAsia" w:cs="Times New Roman"/>
                <w:color w:val="auto"/>
                <w:sz w:val="21"/>
                <w:lang w:val="en-US" w:eastAsia="zh-CN"/>
              </w:rPr>
              <w:t>4、项目厂房采用干式清洁，不产生地面清洁废水；综合楼进行湿式清洁，面积为</w:t>
            </w:r>
            <w:r>
              <w:rPr>
                <w:rFonts w:hint="eastAsia" w:cs="宋体"/>
                <w:color w:val="auto"/>
                <w:sz w:val="21"/>
                <w:szCs w:val="21"/>
                <w:highlight w:val="none"/>
                <w:lang w:val="en-US" w:eastAsia="zh-CN"/>
              </w:rPr>
              <w:t>2095.8</w:t>
            </w:r>
            <w:r>
              <w:rPr>
                <w:color w:val="auto"/>
                <w:sz w:val="21"/>
                <w:szCs w:val="21"/>
              </w:rPr>
              <w:t>m</w:t>
            </w:r>
            <w:r>
              <w:rPr>
                <w:color w:val="auto"/>
                <w:sz w:val="21"/>
                <w:szCs w:val="21"/>
                <w:vertAlign w:val="superscript"/>
              </w:rPr>
              <w:t>2</w:t>
            </w:r>
            <w:r>
              <w:rPr>
                <w:rFonts w:hint="eastAsia" w:cs="Times New Roman"/>
                <w:color w:val="auto"/>
                <w:sz w:val="21"/>
                <w:lang w:val="en-US" w:eastAsia="zh-CN"/>
              </w:rPr>
              <w:t>。</w:t>
            </w:r>
          </w:p>
          <w:p>
            <w:pPr>
              <w:pStyle w:val="15"/>
              <w:ind w:firstLine="840" w:firstLineChars="400"/>
              <w:rPr>
                <w:rFonts w:hint="default" w:cs="Times New Roman"/>
                <w:color w:val="auto"/>
                <w:sz w:val="21"/>
                <w:lang w:val="en-US" w:eastAsia="zh-CN"/>
              </w:rPr>
            </w:pPr>
            <w:r>
              <w:rPr>
                <w:rFonts w:hint="eastAsia" w:cs="Times New Roman"/>
                <w:color w:val="auto"/>
                <w:sz w:val="21"/>
                <w:lang w:val="en-US" w:eastAsia="zh-CN"/>
              </w:rPr>
              <w:t>5、项目冷却循环系统a、b、c容积分别为3m</w:t>
            </w:r>
            <w:r>
              <w:rPr>
                <w:rFonts w:hint="eastAsia" w:cs="Times New Roman"/>
                <w:color w:val="auto"/>
                <w:sz w:val="21"/>
                <w:vertAlign w:val="superscript"/>
                <w:lang w:val="en-US" w:eastAsia="zh-CN"/>
              </w:rPr>
              <w:t>3</w:t>
            </w:r>
            <w:r>
              <w:rPr>
                <w:rFonts w:hint="eastAsia" w:cs="Times New Roman"/>
                <w:color w:val="auto"/>
                <w:sz w:val="21"/>
                <w:lang w:val="en-US" w:eastAsia="zh-CN"/>
              </w:rPr>
              <w:t>、1.8m</w:t>
            </w:r>
            <w:r>
              <w:rPr>
                <w:rFonts w:hint="eastAsia" w:cs="Times New Roman"/>
                <w:color w:val="auto"/>
                <w:sz w:val="21"/>
                <w:vertAlign w:val="superscript"/>
                <w:lang w:val="en-US" w:eastAsia="zh-CN"/>
              </w:rPr>
              <w:t>3</w:t>
            </w:r>
            <w:r>
              <w:rPr>
                <w:rFonts w:hint="eastAsia" w:cs="Times New Roman"/>
                <w:color w:val="auto"/>
                <w:sz w:val="21"/>
                <w:lang w:val="en-US" w:eastAsia="zh-CN"/>
              </w:rPr>
              <w:t>、1.2m</w:t>
            </w:r>
            <w:r>
              <w:rPr>
                <w:rFonts w:hint="eastAsia" w:cs="Times New Roman"/>
                <w:color w:val="auto"/>
                <w:sz w:val="21"/>
                <w:vertAlign w:val="superscript"/>
                <w:lang w:val="en-US" w:eastAsia="zh-CN"/>
              </w:rPr>
              <w:t>3</w:t>
            </w:r>
            <w:r>
              <w:rPr>
                <w:rFonts w:hint="eastAsia" w:cs="Times New Roman"/>
                <w:color w:val="auto"/>
                <w:sz w:val="21"/>
                <w:lang w:val="en-US" w:eastAsia="zh-CN"/>
              </w:rPr>
              <w:t>，</w:t>
            </w:r>
            <w:r>
              <w:rPr>
                <w:rFonts w:hint="eastAsia"/>
                <w:color w:val="auto"/>
                <w:kern w:val="0"/>
                <w:sz w:val="21"/>
                <w:szCs w:val="21"/>
                <w:lang w:bidi="ar"/>
              </w:rPr>
              <w:t>冷却塔循环水频率</w:t>
            </w:r>
            <w:r>
              <w:rPr>
                <w:rFonts w:hint="eastAsia"/>
                <w:color w:val="auto"/>
                <w:kern w:val="0"/>
                <w:sz w:val="21"/>
                <w:szCs w:val="21"/>
                <w:lang w:eastAsia="zh-CN" w:bidi="ar"/>
              </w:rPr>
              <w:t>均为</w:t>
            </w:r>
            <w:r>
              <w:rPr>
                <w:rFonts w:hint="eastAsia"/>
                <w:color w:val="auto"/>
                <w:kern w:val="0"/>
                <w:sz w:val="21"/>
                <w:szCs w:val="21"/>
                <w:lang w:val="en-US" w:eastAsia="zh-CN" w:bidi="ar"/>
              </w:rPr>
              <w:t>20</w:t>
            </w:r>
            <w:r>
              <w:rPr>
                <w:rFonts w:hint="eastAsia"/>
                <w:color w:val="auto"/>
                <w:kern w:val="0"/>
                <w:sz w:val="21"/>
                <w:szCs w:val="21"/>
                <w:lang w:bidi="ar"/>
              </w:rPr>
              <w:t>min/次</w:t>
            </w:r>
            <w:r>
              <w:rPr>
                <w:rFonts w:hint="eastAsia"/>
                <w:color w:val="auto"/>
                <w:kern w:val="0"/>
                <w:sz w:val="21"/>
                <w:szCs w:val="21"/>
                <w:lang w:eastAsia="zh-CN" w:bidi="ar"/>
              </w:rPr>
              <w:t>，则冷却循环水量分别为</w:t>
            </w:r>
            <w:r>
              <w:rPr>
                <w:rFonts w:hint="eastAsia"/>
                <w:color w:val="auto"/>
                <w:kern w:val="0"/>
                <w:sz w:val="21"/>
                <w:szCs w:val="21"/>
                <w:lang w:val="en-US" w:eastAsia="zh-CN" w:bidi="ar"/>
              </w:rPr>
              <w:t>9m</w:t>
            </w:r>
            <w:r>
              <w:rPr>
                <w:rFonts w:hint="eastAsia"/>
                <w:color w:val="auto"/>
                <w:kern w:val="0"/>
                <w:sz w:val="21"/>
                <w:szCs w:val="21"/>
                <w:vertAlign w:val="superscript"/>
                <w:lang w:val="en-US" w:eastAsia="zh-CN" w:bidi="ar"/>
              </w:rPr>
              <w:t>3</w:t>
            </w:r>
            <w:r>
              <w:rPr>
                <w:rFonts w:hint="eastAsia"/>
                <w:color w:val="auto"/>
                <w:kern w:val="0"/>
                <w:sz w:val="21"/>
                <w:szCs w:val="21"/>
                <w:lang w:val="en-US" w:eastAsia="zh-CN" w:bidi="ar"/>
              </w:rPr>
              <w:t>/h、5.4m</w:t>
            </w:r>
            <w:r>
              <w:rPr>
                <w:rFonts w:hint="eastAsia"/>
                <w:color w:val="auto"/>
                <w:kern w:val="0"/>
                <w:sz w:val="21"/>
                <w:szCs w:val="21"/>
                <w:vertAlign w:val="superscript"/>
                <w:lang w:val="en-US" w:eastAsia="zh-CN" w:bidi="ar"/>
              </w:rPr>
              <w:t>3</w:t>
            </w:r>
            <w:r>
              <w:rPr>
                <w:rFonts w:hint="eastAsia"/>
                <w:color w:val="auto"/>
                <w:kern w:val="0"/>
                <w:sz w:val="21"/>
                <w:szCs w:val="21"/>
                <w:lang w:val="en-US" w:eastAsia="zh-CN" w:bidi="ar"/>
              </w:rPr>
              <w:t>/h、3.6m</w:t>
            </w:r>
            <w:r>
              <w:rPr>
                <w:rFonts w:hint="eastAsia"/>
                <w:color w:val="auto"/>
                <w:kern w:val="0"/>
                <w:sz w:val="21"/>
                <w:szCs w:val="21"/>
                <w:vertAlign w:val="superscript"/>
                <w:lang w:val="en-US" w:eastAsia="zh-CN" w:bidi="ar"/>
              </w:rPr>
              <w:t>3</w:t>
            </w:r>
            <w:r>
              <w:rPr>
                <w:rFonts w:hint="eastAsia"/>
                <w:color w:val="auto"/>
                <w:kern w:val="0"/>
                <w:sz w:val="21"/>
                <w:szCs w:val="21"/>
                <w:lang w:val="en-US" w:eastAsia="zh-CN" w:bidi="ar"/>
              </w:rPr>
              <w:t>/h，冷却循环系统工作时长分别为8h、24h、16h，可计算出日冷却循环水量分别为72m</w:t>
            </w:r>
            <w:r>
              <w:rPr>
                <w:rFonts w:hint="eastAsia"/>
                <w:color w:val="auto"/>
                <w:kern w:val="0"/>
                <w:sz w:val="21"/>
                <w:szCs w:val="21"/>
                <w:vertAlign w:val="superscript"/>
                <w:lang w:val="en-US" w:eastAsia="zh-CN" w:bidi="ar"/>
              </w:rPr>
              <w:t>3</w:t>
            </w:r>
            <w:r>
              <w:rPr>
                <w:rFonts w:hint="eastAsia"/>
                <w:color w:val="auto"/>
                <w:kern w:val="0"/>
                <w:sz w:val="21"/>
                <w:szCs w:val="21"/>
                <w:lang w:val="en-US" w:eastAsia="zh-CN" w:bidi="ar"/>
              </w:rPr>
              <w:t>/d、129.6m</w:t>
            </w:r>
            <w:r>
              <w:rPr>
                <w:rFonts w:hint="eastAsia"/>
                <w:color w:val="auto"/>
                <w:kern w:val="0"/>
                <w:sz w:val="21"/>
                <w:szCs w:val="21"/>
                <w:vertAlign w:val="superscript"/>
                <w:lang w:val="en-US" w:eastAsia="zh-CN" w:bidi="ar"/>
              </w:rPr>
              <w:t>3</w:t>
            </w:r>
            <w:r>
              <w:rPr>
                <w:rFonts w:hint="eastAsia"/>
                <w:color w:val="auto"/>
                <w:kern w:val="0"/>
                <w:sz w:val="21"/>
                <w:szCs w:val="21"/>
                <w:lang w:val="en-US" w:eastAsia="zh-CN" w:bidi="ar"/>
              </w:rPr>
              <w:t>/d、57.6m</w:t>
            </w:r>
            <w:r>
              <w:rPr>
                <w:rFonts w:hint="eastAsia"/>
                <w:color w:val="auto"/>
                <w:kern w:val="0"/>
                <w:sz w:val="21"/>
                <w:szCs w:val="21"/>
                <w:vertAlign w:val="superscript"/>
                <w:lang w:val="en-US" w:eastAsia="zh-CN" w:bidi="ar"/>
              </w:rPr>
              <w:t>3</w:t>
            </w:r>
            <w:r>
              <w:rPr>
                <w:rFonts w:hint="eastAsia"/>
                <w:color w:val="auto"/>
                <w:kern w:val="0"/>
                <w:sz w:val="21"/>
                <w:szCs w:val="21"/>
                <w:lang w:val="en-US" w:eastAsia="zh-CN" w:bidi="ar"/>
              </w:rPr>
              <w:t>/d。循环冷却水系统损耗水量约占循环水量的3%，可计算出日损耗水量为7.78m</w:t>
            </w:r>
            <w:r>
              <w:rPr>
                <w:rFonts w:hint="eastAsia"/>
                <w:color w:val="auto"/>
                <w:kern w:val="0"/>
                <w:sz w:val="21"/>
                <w:szCs w:val="21"/>
                <w:vertAlign w:val="superscript"/>
                <w:lang w:val="en-US" w:eastAsia="zh-CN" w:bidi="ar"/>
              </w:rPr>
              <w:t>3</w:t>
            </w:r>
            <w:r>
              <w:rPr>
                <w:rFonts w:hint="eastAsia"/>
                <w:color w:val="auto"/>
                <w:kern w:val="0"/>
                <w:sz w:val="21"/>
                <w:szCs w:val="21"/>
                <w:lang w:val="en-US" w:eastAsia="zh-CN" w:bidi="ar"/>
              </w:rPr>
              <w:t>/d。</w:t>
            </w:r>
          </w:p>
          <w:p>
            <w:pPr>
              <w:pStyle w:val="15"/>
              <w:ind w:firstLine="840" w:firstLineChars="400"/>
              <w:rPr>
                <w:rFonts w:ascii="Times New Roman" w:hAnsi="Times New Roman" w:eastAsia="宋体" w:cs="Times New Roman"/>
                <w:color w:val="auto"/>
                <w:kern w:val="2"/>
                <w:sz w:val="21"/>
              </w:rPr>
            </w:pPr>
            <w:r>
              <w:rPr>
                <w:rFonts w:hint="eastAsia" w:cs="Times New Roman"/>
                <w:color w:val="auto"/>
                <w:sz w:val="21"/>
                <w:lang w:val="en-US" w:eastAsia="zh-CN"/>
              </w:rPr>
              <w:t>6、项目食堂每天提供3次餐食。</w:t>
            </w:r>
          </w:p>
          <w:p>
            <w:pPr>
              <w:tabs>
                <w:tab w:val="left" w:pos="2835"/>
              </w:tabs>
              <w:jc w:val="center"/>
              <w:rPr>
                <w:rFonts w:hint="eastAsia" w:eastAsia="宋体"/>
                <w:color w:val="auto"/>
                <w:lang w:eastAsia="zh-CN"/>
              </w:rPr>
            </w:pPr>
            <w:r>
              <w:rPr>
                <w:rFonts w:hint="eastAsia" w:eastAsia="宋体"/>
                <w:color w:val="auto"/>
                <w:lang w:eastAsia="zh-CN"/>
              </w:rPr>
              <w:drawing>
                <wp:inline distT="0" distB="0" distL="114300" distR="114300">
                  <wp:extent cx="5227320" cy="3966210"/>
                  <wp:effectExtent l="0" t="0" r="0" b="0"/>
                  <wp:docPr id="5" name="ECB019B1-382A-4266-B25C-5B523AA43C14-1" descr="C:/Users/67318/AppData/Local/Temp/wps.hXuxWw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67318/AppData/Local/Temp/wps.hXuxWwwps"/>
                          <pic:cNvPicPr>
                            <a:picLocks noChangeAspect="true"/>
                          </pic:cNvPicPr>
                        </pic:nvPicPr>
                        <pic:blipFill>
                          <a:blip r:embed="rId13"/>
                          <a:stretch>
                            <a:fillRect/>
                          </a:stretch>
                        </pic:blipFill>
                        <pic:spPr>
                          <a:xfrm>
                            <a:off x="0" y="0"/>
                            <a:ext cx="5227320" cy="3966210"/>
                          </a:xfrm>
                          <a:prstGeom prst="rect">
                            <a:avLst/>
                          </a:prstGeom>
                        </pic:spPr>
                      </pic:pic>
                    </a:graphicData>
                  </a:graphic>
                </wp:inline>
              </w:drawing>
            </w:r>
          </w:p>
          <w:p>
            <w:pPr>
              <w:tabs>
                <w:tab w:val="left" w:pos="2835"/>
              </w:tabs>
              <w:jc w:val="center"/>
              <w:rPr>
                <w:b/>
                <w:color w:val="auto"/>
              </w:rPr>
            </w:pPr>
            <w:r>
              <w:rPr>
                <w:rFonts w:hint="eastAsia"/>
                <w:b/>
                <w:color w:val="auto"/>
              </w:rPr>
              <w:t>图</w:t>
            </w:r>
            <w:r>
              <w:rPr>
                <w:rFonts w:hint="eastAsia"/>
                <w:b/>
                <w:color w:val="auto"/>
                <w:lang w:val="en-US" w:eastAsia="zh-CN"/>
              </w:rPr>
              <w:t>2.1</w:t>
            </w:r>
            <w:r>
              <w:rPr>
                <w:b/>
                <w:color w:val="auto"/>
              </w:rPr>
              <w:t xml:space="preserve"> 项目最大日</w:t>
            </w:r>
            <w:r>
              <w:rPr>
                <w:rFonts w:hint="eastAsia"/>
                <w:b/>
                <w:color w:val="auto"/>
                <w:lang w:eastAsia="zh-CN"/>
              </w:rPr>
              <w:t>用水、排水</w:t>
            </w:r>
            <w:r>
              <w:rPr>
                <w:b/>
                <w:color w:val="auto"/>
              </w:rPr>
              <w:t>平衡图 （m</w:t>
            </w:r>
            <w:r>
              <w:rPr>
                <w:b/>
                <w:color w:val="auto"/>
                <w:vertAlign w:val="superscript"/>
              </w:rPr>
              <w:t>3</w:t>
            </w:r>
            <w:r>
              <w:rPr>
                <w:b/>
                <w:color w:val="auto"/>
              </w:rPr>
              <w:t>/d）</w:t>
            </w:r>
          </w:p>
          <w:p>
            <w:pPr>
              <w:rPr>
                <w:b/>
                <w:color w:val="auto"/>
              </w:rPr>
            </w:pPr>
            <w:r>
              <w:rPr>
                <w:b/>
                <w:color w:val="auto"/>
              </w:rPr>
              <w:t>2.</w:t>
            </w:r>
            <w:r>
              <w:rPr>
                <w:rFonts w:hint="eastAsia"/>
                <w:b/>
                <w:color w:val="auto"/>
                <w:lang w:val="en-US" w:eastAsia="zh-CN"/>
              </w:rPr>
              <w:t>7</w:t>
            </w:r>
            <w:r>
              <w:rPr>
                <w:b/>
                <w:color w:val="auto"/>
              </w:rPr>
              <w:t>项目平面布置</w:t>
            </w:r>
          </w:p>
          <w:p>
            <w:pPr>
              <w:tabs>
                <w:tab w:val="left" w:pos="2835"/>
              </w:tabs>
              <w:ind w:firstLine="480" w:firstLineChars="200"/>
              <w:rPr>
                <w:rFonts w:hint="eastAsia"/>
                <w:color w:val="auto"/>
                <w:highlight w:val="none"/>
              </w:rPr>
            </w:pPr>
            <w:r>
              <w:rPr>
                <w:rFonts w:hint="eastAsia"/>
                <w:color w:val="auto"/>
                <w:highlight w:val="none"/>
                <w:lang w:eastAsia="zh-CN"/>
              </w:rPr>
              <w:t>拟建</w:t>
            </w:r>
            <w:r>
              <w:rPr>
                <w:color w:val="auto"/>
                <w:highlight w:val="none"/>
              </w:rPr>
              <w:t>项目位于</w:t>
            </w:r>
            <w:r>
              <w:rPr>
                <w:rFonts w:hint="eastAsia"/>
                <w:color w:val="auto"/>
                <w:highlight w:val="none"/>
              </w:rPr>
              <w:t>重庆市铜梁区铜合大道523号</w:t>
            </w:r>
            <w:r>
              <w:rPr>
                <w:color w:val="auto"/>
                <w:highlight w:val="none"/>
              </w:rPr>
              <w:t>，建筑面积为</w:t>
            </w:r>
            <w:r>
              <w:rPr>
                <w:rFonts w:hint="eastAsia"/>
                <w:color w:val="auto"/>
                <w:lang w:eastAsia="zh-CN"/>
              </w:rPr>
              <w:t>7495.8</w:t>
            </w:r>
            <w:r>
              <w:rPr>
                <w:rFonts w:hint="eastAsia"/>
                <w:color w:val="auto"/>
              </w:rPr>
              <w:t>m</w:t>
            </w:r>
            <w:r>
              <w:rPr>
                <w:rFonts w:hint="eastAsia"/>
                <w:color w:val="auto"/>
                <w:vertAlign w:val="superscript"/>
              </w:rPr>
              <w:t>2</w:t>
            </w:r>
            <w:r>
              <w:rPr>
                <w:color w:val="auto"/>
                <w:highlight w:val="none"/>
              </w:rPr>
              <w:t>。</w:t>
            </w:r>
            <w:r>
              <w:rPr>
                <w:rFonts w:hint="eastAsia"/>
                <w:color w:val="auto"/>
                <w:highlight w:val="none"/>
                <w:lang w:eastAsia="zh-CN"/>
              </w:rPr>
              <w:t>厂房</w:t>
            </w:r>
            <w:r>
              <w:rPr>
                <w:rFonts w:hint="eastAsia"/>
                <w:color w:val="auto"/>
                <w:highlight w:val="none"/>
                <w:lang w:val="en-US" w:eastAsia="zh-CN"/>
              </w:rPr>
              <w:t>1F</w:t>
            </w:r>
            <w:r>
              <w:rPr>
                <w:rFonts w:hint="eastAsia"/>
                <w:color w:val="auto"/>
                <w:highlight w:val="none"/>
                <w:lang w:eastAsia="zh-CN"/>
              </w:rPr>
              <w:t>布置包装用品生产区</w:t>
            </w:r>
            <w:r>
              <w:rPr>
                <w:rFonts w:hint="eastAsia"/>
                <w:color w:val="auto"/>
                <w:highlight w:val="none"/>
                <w:lang w:val="en-US" w:eastAsia="zh-CN"/>
              </w:rPr>
              <w:t>、产品包装区、设备维修区、</w:t>
            </w:r>
            <w:r>
              <w:rPr>
                <w:rFonts w:hint="eastAsia"/>
                <w:color w:val="auto"/>
                <w:highlight w:val="none"/>
              </w:rPr>
              <w:t>一般固废暂存区</w:t>
            </w:r>
            <w:r>
              <w:rPr>
                <w:rFonts w:hint="eastAsia"/>
                <w:color w:val="auto"/>
                <w:highlight w:val="none"/>
                <w:lang w:eastAsia="zh-CN"/>
              </w:rPr>
              <w:t>、原辅料区、成品区等；厂房</w:t>
            </w:r>
            <w:r>
              <w:rPr>
                <w:rFonts w:hint="eastAsia"/>
                <w:color w:val="auto"/>
                <w:highlight w:val="none"/>
                <w:lang w:val="en-US" w:eastAsia="zh-CN"/>
              </w:rPr>
              <w:t>2F布置缠绕膜生产区、吹膜产品生产区、纸芯生产区、</w:t>
            </w:r>
            <w:r>
              <w:rPr>
                <w:rFonts w:hint="eastAsia"/>
                <w:color w:val="auto"/>
                <w:highlight w:val="none"/>
              </w:rPr>
              <w:t>一般固废暂存区</w:t>
            </w:r>
            <w:r>
              <w:rPr>
                <w:rFonts w:hint="eastAsia"/>
                <w:color w:val="auto"/>
                <w:highlight w:val="none"/>
                <w:lang w:eastAsia="zh-CN"/>
              </w:rPr>
              <w:t>、原辅料区、成品区、危废暂存间、空压机房、冷却循环系统、化学品库、物料间等</w:t>
            </w:r>
            <w:r>
              <w:rPr>
                <w:color w:val="auto"/>
                <w:highlight w:val="none"/>
              </w:rPr>
              <w:t>。</w:t>
            </w:r>
            <w:r>
              <w:rPr>
                <w:rFonts w:hint="eastAsia"/>
                <w:color w:val="auto"/>
                <w:highlight w:val="none"/>
              </w:rPr>
              <w:t>厂房内布置符合工艺要求及物料要求，装卸方便，项目</w:t>
            </w:r>
            <w:r>
              <w:rPr>
                <w:rFonts w:hint="eastAsia"/>
                <w:color w:val="auto"/>
                <w:highlight w:val="none"/>
                <w:lang w:eastAsia="zh-CN"/>
              </w:rPr>
              <w:t>厂四周均为工业企业</w:t>
            </w:r>
            <w:r>
              <w:rPr>
                <w:rFonts w:hint="eastAsia"/>
                <w:color w:val="auto"/>
                <w:highlight w:val="none"/>
                <w:lang w:val="en-US" w:eastAsia="zh-CN"/>
              </w:rPr>
              <w:t>，厂</w:t>
            </w:r>
            <w:r>
              <w:rPr>
                <w:rFonts w:hint="default" w:ascii="Times New Roman" w:hAnsi="Times New Roman" w:eastAsia="宋体" w:cs="Times New Roman"/>
                <w:color w:val="auto"/>
                <w:sz w:val="24"/>
              </w:rPr>
              <w:t>房内布置符合工艺要求及物料要求，做到避免迂回，减少交叉，装卸运输方便</w:t>
            </w:r>
            <w:r>
              <w:rPr>
                <w:rFonts w:hint="eastAsia" w:ascii="Times New Roman" w:hAnsi="Times New Roman" w:cs="Times New Roman"/>
                <w:color w:val="auto"/>
                <w:sz w:val="24"/>
                <w:lang w:eastAsia="zh-CN"/>
              </w:rPr>
              <w:t>等</w:t>
            </w:r>
            <w:r>
              <w:rPr>
                <w:rFonts w:hint="default" w:ascii="Times New Roman" w:hAnsi="Times New Roman" w:eastAsia="宋体" w:cs="Times New Roman"/>
                <w:color w:val="auto"/>
                <w:sz w:val="24"/>
              </w:rPr>
              <w:t>，项目平面布置较为合理</w:t>
            </w:r>
            <w:r>
              <w:rPr>
                <w:rFonts w:hint="eastAsia"/>
                <w:color w:val="auto"/>
                <w:highlight w:val="none"/>
              </w:rPr>
              <w:t>。</w:t>
            </w: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ind w:firstLine="480" w:firstLineChars="200"/>
              <w:rPr>
                <w:rFonts w:hint="eastAsia"/>
                <w:color w:val="auto"/>
                <w:highlight w:val="none"/>
              </w:rPr>
            </w:pPr>
          </w:p>
          <w:p>
            <w:pPr>
              <w:tabs>
                <w:tab w:val="left" w:pos="2835"/>
              </w:tabs>
              <w:rPr>
                <w:rFonts w:hint="eastAsia" w:eastAsia="宋体"/>
                <w:bCs/>
                <w:color w:val="auto"/>
                <w:szCs w:val="21"/>
                <w:lang w:eastAsia="zh-CN"/>
              </w:rPr>
            </w:pPr>
          </w:p>
          <w:p>
            <w:pPr>
              <w:tabs>
                <w:tab w:val="left" w:pos="2835"/>
              </w:tabs>
              <w:rPr>
                <w:rFonts w:hint="eastAsia" w:eastAsia="宋体"/>
                <w:bCs/>
                <w:color w:val="auto"/>
                <w:szCs w:val="21"/>
                <w:lang w:eastAsia="zh-CN"/>
              </w:rPr>
            </w:pPr>
          </w:p>
          <w:p>
            <w:pPr>
              <w:tabs>
                <w:tab w:val="left" w:pos="2835"/>
              </w:tabs>
              <w:rPr>
                <w:rFonts w:hint="eastAsia" w:eastAsia="宋体"/>
                <w:bCs/>
                <w:color w:val="auto"/>
                <w:szCs w:val="21"/>
                <w:lang w:eastAsia="zh-CN"/>
              </w:rPr>
            </w:pPr>
          </w:p>
        </w:tc>
      </w:tr>
    </w:tbl>
    <w:p>
      <w:pPr>
        <w:pStyle w:val="20"/>
        <w:jc w:val="center"/>
        <w:rPr>
          <w:rFonts w:ascii="Times New Roman" w:hAnsi="Times New Roman"/>
          <w:snapToGrid w:val="0"/>
          <w:color w:val="auto"/>
          <w:sz w:val="36"/>
          <w:szCs w:val="36"/>
        </w:rPr>
        <w:sectPr>
          <w:pgSz w:w="11906" w:h="16838"/>
          <w:pgMar w:top="1701" w:right="1531" w:bottom="1701" w:left="1531" w:header="851" w:footer="851" w:gutter="0"/>
          <w:cols w:space="720" w:num="1"/>
          <w:docGrid w:linePitch="312" w:charSpace="0"/>
        </w:sectPr>
      </w:pPr>
    </w:p>
    <w:tbl>
      <w:tblPr>
        <w:tblStyle w:val="25"/>
        <w:tblW w:w="90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83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36" w:type="dxa"/>
            <w:vAlign w:val="center"/>
          </w:tcPr>
          <w:p>
            <w:pPr>
              <w:pStyle w:val="20"/>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 w:val="24"/>
                <w:szCs w:val="24"/>
              </w:rPr>
              <w:t>工艺流程和产排污环节</w:t>
            </w:r>
          </w:p>
        </w:tc>
        <w:tc>
          <w:tcPr>
            <w:tcW w:w="8304" w:type="dxa"/>
          </w:tcPr>
          <w:p>
            <w:pPr>
              <w:rPr>
                <w:b/>
                <w:color w:val="auto"/>
              </w:rPr>
            </w:pPr>
            <w:r>
              <w:rPr>
                <w:rFonts w:hint="eastAsia"/>
                <w:b/>
                <w:color w:val="auto"/>
              </w:rPr>
              <w:t>2.</w:t>
            </w:r>
            <w:r>
              <w:rPr>
                <w:rFonts w:hint="eastAsia"/>
                <w:b/>
                <w:color w:val="auto"/>
                <w:lang w:val="en-US" w:eastAsia="zh-CN"/>
              </w:rPr>
              <w:t>8</w:t>
            </w:r>
            <w:r>
              <w:rPr>
                <w:rFonts w:hint="eastAsia"/>
                <w:b/>
                <w:color w:val="auto"/>
              </w:rPr>
              <w:t>施工期期工艺流程及产污环节</w:t>
            </w:r>
          </w:p>
          <w:p>
            <w:pPr>
              <w:pStyle w:val="15"/>
              <w:spacing w:line="360" w:lineRule="auto"/>
              <w:ind w:firstLine="480"/>
              <w:rPr>
                <w:color w:val="auto"/>
                <w:sz w:val="24"/>
              </w:rPr>
            </w:pPr>
            <w:r>
              <w:rPr>
                <w:rFonts w:hint="eastAsia"/>
                <w:color w:val="auto"/>
                <w:sz w:val="24"/>
              </w:rPr>
              <w:t>拟建项目位于重庆市铜梁区铜合大道523号</w:t>
            </w:r>
            <w:r>
              <w:rPr>
                <w:rFonts w:hint="eastAsia"/>
                <w:color w:val="auto"/>
                <w:sz w:val="24"/>
                <w:lang w:eastAsia="zh-CN"/>
              </w:rPr>
              <w:t>进行</w:t>
            </w:r>
            <w:r>
              <w:rPr>
                <w:rFonts w:hint="eastAsia"/>
                <w:color w:val="auto"/>
                <w:sz w:val="24"/>
              </w:rPr>
              <w:t>生产，不涉及土建施工，仅需生产设备安装调试，施工期影响微弱，本次评价主要针对运营期进行影响分析。</w:t>
            </w:r>
          </w:p>
          <w:p>
            <w:pPr>
              <w:rPr>
                <w:b/>
                <w:color w:val="auto"/>
              </w:rPr>
            </w:pPr>
            <w:r>
              <w:rPr>
                <w:rFonts w:hint="eastAsia"/>
                <w:b/>
                <w:color w:val="auto"/>
              </w:rPr>
              <w:t>2.</w:t>
            </w:r>
            <w:r>
              <w:rPr>
                <w:rFonts w:hint="eastAsia"/>
                <w:b/>
                <w:color w:val="auto"/>
                <w:lang w:val="en-US" w:eastAsia="zh-CN"/>
              </w:rPr>
              <w:t>9</w:t>
            </w:r>
            <w:r>
              <w:rPr>
                <w:rFonts w:hint="eastAsia"/>
                <w:b/>
                <w:color w:val="auto"/>
              </w:rPr>
              <w:t>运营期工艺流程及产污环节</w:t>
            </w:r>
          </w:p>
          <w:p>
            <w:pPr>
              <w:ind w:firstLine="482" w:firstLineChars="200"/>
              <w:rPr>
                <w:b/>
                <w:bCs/>
                <w:color w:val="auto"/>
              </w:rPr>
            </w:pPr>
            <w:r>
              <w:rPr>
                <w:rFonts w:hint="eastAsia"/>
                <w:b/>
                <w:bCs/>
                <w:color w:val="auto"/>
              </w:rPr>
              <w:t>2.</w:t>
            </w:r>
            <w:r>
              <w:rPr>
                <w:rFonts w:hint="eastAsia"/>
                <w:b/>
                <w:bCs/>
                <w:color w:val="auto"/>
                <w:lang w:val="en-US" w:eastAsia="zh-CN"/>
              </w:rPr>
              <w:t>9</w:t>
            </w:r>
            <w:r>
              <w:rPr>
                <w:rFonts w:hint="eastAsia"/>
                <w:b/>
                <w:bCs/>
                <w:color w:val="auto"/>
              </w:rPr>
              <w:t>.1 生产工艺流程</w:t>
            </w:r>
          </w:p>
          <w:p>
            <w:pPr>
              <w:ind w:firstLine="480" w:firstLineChars="200"/>
              <w:rPr>
                <w:rFonts w:hint="default" w:ascii="Times New Roman" w:hAnsi="Times New Roman" w:cs="Times New Roman"/>
                <w:b/>
                <w:bCs/>
                <w:color w:val="auto"/>
              </w:rPr>
            </w:pPr>
            <w:r>
              <w:rPr>
                <w:rFonts w:hint="default" w:ascii="Times New Roman" w:hAnsi="Times New Roman" w:cs="Times New Roman"/>
                <w:color w:val="auto"/>
                <w:sz w:val="24"/>
                <w:szCs w:val="24"/>
                <w:lang w:eastAsia="zh-CN"/>
              </w:rPr>
              <w:t>拟建</w:t>
            </w:r>
            <w:r>
              <w:rPr>
                <w:rFonts w:hint="default" w:ascii="Times New Roman" w:hAnsi="Times New Roman" w:cs="Times New Roman"/>
                <w:color w:val="auto"/>
                <w:sz w:val="24"/>
                <w:szCs w:val="24"/>
              </w:rPr>
              <w:t>项目</w:t>
            </w:r>
            <w:r>
              <w:rPr>
                <w:rFonts w:hint="default" w:ascii="Times New Roman" w:hAnsi="Times New Roman" w:cs="Times New Roman"/>
                <w:color w:val="auto"/>
                <w:lang w:val="en-US" w:eastAsia="zh-CN"/>
              </w:rPr>
              <w:t>建成后年产1200t包装用品（其中包含封口胶带900t、双面胶带200t、防水胶带40t、美纹纸30t、分色带30t）、17500t缠绕膜、10000t吹膜产品（平口袋7000t、气柱膜3000t）</w:t>
            </w:r>
            <w:r>
              <w:rPr>
                <w:rFonts w:hint="default" w:ascii="Times New Roman" w:hAnsi="Times New Roman" w:cs="Times New Roman"/>
                <w:color w:val="auto"/>
              </w:rPr>
              <w:t>。</w:t>
            </w:r>
            <w:r>
              <w:rPr>
                <w:rFonts w:hint="default" w:ascii="Times New Roman" w:hAnsi="Times New Roman" w:cs="Times New Roman"/>
                <w:color w:val="auto"/>
                <w:lang w:eastAsia="zh-CN"/>
              </w:rPr>
              <w:t>拟建项目</w:t>
            </w:r>
            <w:r>
              <w:rPr>
                <w:rFonts w:hint="default" w:ascii="Times New Roman" w:hAnsi="Times New Roman" w:cs="Times New Roman"/>
                <w:color w:val="auto"/>
              </w:rPr>
              <w:t>生产工艺流程及产污环节见图2.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~图2.</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pPr>
              <w:pStyle w:val="36"/>
              <w:numPr>
                <w:ilvl w:val="0"/>
                <w:numId w:val="1"/>
              </w:numPr>
              <w:tabs>
                <w:tab w:val="left" w:pos="2880"/>
              </w:tabs>
              <w:spacing w:line="360" w:lineRule="auto"/>
              <w:ind w:firstLine="482" w:firstLineChars="200"/>
              <w:jc w:val="both"/>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纸芯生产工艺</w:t>
            </w:r>
          </w:p>
          <w:p>
            <w:pPr>
              <w:pStyle w:val="6"/>
              <w:numPr>
                <w:ilvl w:val="0"/>
                <w:numId w:val="0"/>
              </w:numPr>
              <w:spacing w:line="36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drawing>
                <wp:inline distT="0" distB="0" distL="114300" distR="114300">
                  <wp:extent cx="4764405" cy="3021965"/>
                  <wp:effectExtent l="0" t="0" r="0" b="0"/>
                  <wp:docPr id="2" name="ECB019B1-382A-4266-B25C-5B523AA43C14-2" descr="C:/Users/Administrator/AppData/Local/Temp/wps.ijJELa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ijJELawps"/>
                          <pic:cNvPicPr>
                            <a:picLocks noChangeAspect="true"/>
                          </pic:cNvPicPr>
                        </pic:nvPicPr>
                        <pic:blipFill>
                          <a:blip r:embed="rId14"/>
                          <a:stretch>
                            <a:fillRect/>
                          </a:stretch>
                        </pic:blipFill>
                        <pic:spPr>
                          <a:xfrm>
                            <a:off x="0" y="0"/>
                            <a:ext cx="4764405" cy="3021965"/>
                          </a:xfrm>
                          <a:prstGeom prst="rect">
                            <a:avLst/>
                          </a:prstGeom>
                        </pic:spPr>
                      </pic:pic>
                    </a:graphicData>
                  </a:graphic>
                </wp:inline>
              </w:drawing>
            </w:r>
          </w:p>
          <w:p>
            <w:pPr>
              <w:pStyle w:val="66"/>
              <w:spacing w:before="120" w:beforeLines="50" w:after="120" w:afterLines="50" w:line="240" w:lineRule="auto"/>
              <w:ind w:firstLine="0" w:firstLineChars="0"/>
              <w:jc w:val="center"/>
              <w:rPr>
                <w:rFonts w:hint="eastAsia"/>
                <w:color w:val="auto"/>
                <w:lang w:val="en-US" w:eastAsia="zh-CN"/>
              </w:rPr>
            </w:pPr>
            <w:r>
              <w:rPr>
                <w:rFonts w:hint="default" w:ascii="Times New Roman" w:hAnsi="Times New Roman" w:eastAsia="宋体" w:cs="Times New Roman"/>
                <w:b/>
                <w:color w:val="auto"/>
                <w:sz w:val="24"/>
                <w:szCs w:val="24"/>
              </w:rPr>
              <w:t>图2.</w:t>
            </w:r>
            <w:r>
              <w:rPr>
                <w:rFonts w:hint="default" w:ascii="Times New Roman" w:hAnsi="Times New Roman" w:eastAsia="宋体" w:cs="Times New Roman"/>
                <w:b/>
                <w:color w:val="auto"/>
                <w:sz w:val="24"/>
                <w:szCs w:val="24"/>
                <w:lang w:val="en-US" w:eastAsia="zh-CN"/>
              </w:rPr>
              <w:t xml:space="preserve">2 </w:t>
            </w:r>
            <w:r>
              <w:rPr>
                <w:rFonts w:hint="default" w:ascii="Times New Roman" w:hAnsi="Times New Roman" w:eastAsia="宋体" w:cs="Times New Roman"/>
                <w:b/>
                <w:color w:val="auto"/>
                <w:sz w:val="24"/>
                <w:szCs w:val="24"/>
              </w:rPr>
              <w:t>拟建项目</w:t>
            </w:r>
            <w:r>
              <w:rPr>
                <w:rFonts w:hint="eastAsia" w:cs="Times New Roman"/>
                <w:b/>
                <w:color w:val="auto"/>
                <w:sz w:val="24"/>
                <w:szCs w:val="24"/>
                <w:lang w:eastAsia="zh-CN"/>
              </w:rPr>
              <w:t>纸芯</w:t>
            </w:r>
            <w:r>
              <w:rPr>
                <w:rFonts w:hint="default" w:ascii="Times New Roman" w:hAnsi="Times New Roman" w:eastAsia="宋体" w:cs="Times New Roman"/>
                <w:b/>
                <w:color w:val="auto"/>
                <w:sz w:val="24"/>
                <w:szCs w:val="24"/>
              </w:rPr>
              <w:t>生产工艺流程及产污环节见图</w:t>
            </w:r>
          </w:p>
          <w:p>
            <w:pPr>
              <w:pStyle w:val="6"/>
              <w:numPr>
                <w:ilvl w:val="0"/>
                <w:numId w:val="0"/>
              </w:numPr>
              <w:spacing w:line="360" w:lineRule="auto"/>
              <w:ind w:firstLine="48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卷管</w:t>
            </w:r>
            <w:r>
              <w:rPr>
                <w:rFonts w:hint="eastAsia" w:cs="Times New Roman"/>
                <w:b/>
                <w:bCs/>
                <w:color w:val="auto"/>
                <w:kern w:val="2"/>
                <w:sz w:val="24"/>
                <w:szCs w:val="24"/>
                <w:lang w:val="en-US" w:eastAsia="zh-CN" w:bidi="ar-SA"/>
              </w:rPr>
              <w:t>：</w:t>
            </w:r>
            <w:r>
              <w:rPr>
                <w:rFonts w:hint="eastAsia" w:cs="Times New Roman"/>
                <w:color w:val="auto"/>
                <w:kern w:val="2"/>
                <w:sz w:val="24"/>
                <w:szCs w:val="24"/>
                <w:lang w:val="en-US" w:eastAsia="zh-CN" w:bidi="ar-SA"/>
              </w:rPr>
              <w:t>将茶板纸、白纸固定在卷管机相应位置，并将白乳胶倒入卷管机胶水箱内，设定好卷管参数后卷管机开始运行，机器运行时胶水箱处于密闭状态。卷管机将茶板纸卷成0.3cm~1cm厚的纸卷后，通过滚轮自动传送至白乳胶涂胶处进行上胶，另一端的白纸通过滚轮自动传送与上胶后的茶板纸对应粘黏。胶粘后的纸芯送至切管机进行下一步工序。卷管过程会产生胶粘废气G1、废胶桶S12、噪声N。</w:t>
            </w:r>
          </w:p>
          <w:p>
            <w:pPr>
              <w:spacing w:line="360" w:lineRule="auto"/>
              <w:ind w:firstLine="480"/>
              <w:rPr>
                <w:rFonts w:hint="default"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切管</w:t>
            </w:r>
            <w:r>
              <w:rPr>
                <w:rFonts w:hint="eastAsia" w:cs="Times New Roman"/>
                <w:b/>
                <w:bCs/>
                <w:color w:val="auto"/>
                <w:kern w:val="2"/>
                <w:sz w:val="24"/>
                <w:szCs w:val="24"/>
                <w:lang w:val="en-US" w:eastAsia="zh-CN" w:bidi="ar-SA"/>
              </w:rPr>
              <w:t>：</w:t>
            </w:r>
            <w:r>
              <w:rPr>
                <w:rFonts w:hint="eastAsia" w:cs="Times New Roman"/>
                <w:color w:val="auto"/>
                <w:kern w:val="2"/>
                <w:sz w:val="24"/>
                <w:szCs w:val="24"/>
                <w:lang w:val="en-US" w:eastAsia="zh-CN" w:bidi="ar-SA"/>
              </w:rPr>
              <w:t>人工将胶粘后的纸芯放置切管机传送位置，设置切管机的切管长度，利用切管机对其进行切管。切管过程会产生边角料（含胶渣）S1、噪声N。</w:t>
            </w:r>
          </w:p>
          <w:p>
            <w:pPr>
              <w:spacing w:line="360" w:lineRule="auto"/>
              <w:ind w:firstLine="480"/>
              <w:rPr>
                <w:rFonts w:hint="default" w:ascii="Times New Roman" w:hAnsi="Times New Roman" w:eastAsia="宋体" w:cs="Times New Roman"/>
                <w:color w:val="auto"/>
                <w:kern w:val="2"/>
                <w:sz w:val="24"/>
                <w:szCs w:val="24"/>
                <w:lang w:val="en-US" w:eastAsia="zh-CN" w:bidi="ar-SA"/>
              </w:rPr>
            </w:pPr>
            <w:r>
              <w:rPr>
                <w:rFonts w:hint="eastAsia" w:cs="Times New Roman"/>
                <w:b/>
                <w:bCs/>
                <w:color w:val="auto"/>
                <w:kern w:val="2"/>
                <w:sz w:val="24"/>
                <w:szCs w:val="24"/>
                <w:lang w:val="en-US" w:eastAsia="zh-CN" w:bidi="ar-SA"/>
              </w:rPr>
              <w:t>送至下一步工序：</w:t>
            </w:r>
            <w:r>
              <w:rPr>
                <w:rFonts w:hint="eastAsia" w:cs="Times New Roman"/>
                <w:color w:val="auto"/>
                <w:kern w:val="2"/>
                <w:sz w:val="24"/>
                <w:szCs w:val="24"/>
                <w:lang w:val="en-US" w:eastAsia="zh-CN" w:bidi="ar-SA"/>
              </w:rPr>
              <w:t>切管后纸芯作为原料，送往复卷机，对应产品规格进行下一步工序。纸芯用于项目内部生产，不作为产品外售。</w:t>
            </w:r>
          </w:p>
          <w:p>
            <w:pPr>
              <w:pStyle w:val="36"/>
              <w:tabs>
                <w:tab w:val="left" w:pos="2880"/>
              </w:tabs>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包装用品生产工艺流程</w:t>
            </w:r>
          </w:p>
          <w:p>
            <w:pPr>
              <w:pStyle w:val="66"/>
              <w:spacing w:before="120" w:beforeLines="50" w:after="120" w:afterLines="50" w:line="240" w:lineRule="auto"/>
              <w:ind w:firstLine="0" w:firstLineChars="0"/>
              <w:jc w:val="center"/>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eastAsia="zh-CN"/>
              </w:rPr>
              <w:drawing>
                <wp:inline distT="0" distB="0" distL="114300" distR="114300">
                  <wp:extent cx="3961130" cy="4502150"/>
                  <wp:effectExtent l="0" t="0" r="0" b="0"/>
                  <wp:docPr id="3" name="ECB019B1-382A-4266-B25C-5B523AA43C14-3" descr="C:/Users/Administrator/AppData/Local/Temp/wps.GdfHWR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Administrator/AppData/Local/Temp/wps.GdfHWRwps"/>
                          <pic:cNvPicPr>
                            <a:picLocks noChangeAspect="true"/>
                          </pic:cNvPicPr>
                        </pic:nvPicPr>
                        <pic:blipFill>
                          <a:blip r:embed="rId15"/>
                          <a:stretch>
                            <a:fillRect/>
                          </a:stretch>
                        </pic:blipFill>
                        <pic:spPr>
                          <a:xfrm>
                            <a:off x="0" y="0"/>
                            <a:ext cx="3961130" cy="4502150"/>
                          </a:xfrm>
                          <a:prstGeom prst="rect">
                            <a:avLst/>
                          </a:prstGeom>
                        </pic:spPr>
                      </pic:pic>
                    </a:graphicData>
                  </a:graphic>
                </wp:inline>
              </w:drawing>
            </w:r>
          </w:p>
          <w:p>
            <w:pPr>
              <w:pStyle w:val="66"/>
              <w:spacing w:before="120" w:beforeLines="50" w:after="120" w:afterLines="50" w:line="240" w:lineRule="auto"/>
              <w:ind w:firstLine="0" w:firstLineChars="0"/>
              <w:jc w:val="center"/>
              <w:rPr>
                <w:rFonts w:hint="default" w:ascii="Times New Roman" w:hAnsi="Times New Roman" w:eastAsia="宋体" w:cs="Times New Roman"/>
                <w:b/>
                <w:bCs w:val="0"/>
                <w:color w:val="auto"/>
                <w:sz w:val="24"/>
                <w:szCs w:val="24"/>
                <w:lang w:eastAsia="zh-CN"/>
              </w:rPr>
            </w:pPr>
            <w:r>
              <w:rPr>
                <w:rFonts w:hint="default" w:ascii="Times New Roman" w:hAnsi="Times New Roman" w:eastAsia="宋体" w:cs="Times New Roman"/>
                <w:b/>
                <w:color w:val="auto"/>
                <w:sz w:val="24"/>
                <w:szCs w:val="24"/>
              </w:rPr>
              <w:t>图2.</w:t>
            </w:r>
            <w:r>
              <w:rPr>
                <w:rFonts w:hint="eastAsia" w:cs="Times New Roman"/>
                <w:b/>
                <w:color w:val="auto"/>
                <w:sz w:val="24"/>
                <w:szCs w:val="24"/>
                <w:lang w:val="en-US" w:eastAsia="zh-CN"/>
              </w:rPr>
              <w:t>3</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拟建项目包装用品生产工艺流程及产污环节见图</w:t>
            </w:r>
          </w:p>
          <w:p>
            <w:pPr>
              <w:pStyle w:val="66"/>
              <w:tabs>
                <w:tab w:val="left" w:pos="3360"/>
              </w:tabs>
              <w:spacing w:line="360" w:lineRule="auto"/>
              <w:ind w:firstLine="482" w:firstLineChars="0"/>
              <w:jc w:val="both"/>
              <w:rPr>
                <w:rFonts w:hint="eastAsia" w:cs="Times New Roman"/>
                <w:color w:val="auto"/>
                <w:kern w:val="2"/>
                <w:sz w:val="24"/>
                <w:szCs w:val="24"/>
                <w:lang w:val="en-US" w:eastAsia="zh-CN" w:bidi="ar-SA"/>
              </w:rPr>
            </w:pPr>
            <w:r>
              <w:rPr>
                <w:rFonts w:hint="default" w:ascii="Times New Roman" w:hAnsi="Times New Roman" w:eastAsia="宋体" w:cs="Times New Roman"/>
                <w:b/>
                <w:bCs w:val="0"/>
                <w:color w:val="auto"/>
                <w:sz w:val="24"/>
                <w:szCs w:val="24"/>
                <w:highlight w:val="none"/>
                <w:lang w:eastAsia="zh-CN"/>
              </w:rPr>
              <w:t>复卷</w:t>
            </w:r>
            <w:r>
              <w:rPr>
                <w:rFonts w:hint="default" w:ascii="Times New Roman" w:hAnsi="Times New Roman" w:eastAsia="宋体" w:cs="Times New Roman"/>
                <w:b/>
                <w:bCs w:val="0"/>
                <w:color w:val="auto"/>
                <w:sz w:val="24"/>
                <w:szCs w:val="24"/>
                <w:highlight w:val="none"/>
              </w:rPr>
              <w:t>：</w:t>
            </w:r>
            <w:r>
              <w:rPr>
                <w:rFonts w:hint="eastAsia" w:cs="Times New Roman"/>
                <w:b w:val="0"/>
                <w:bCs/>
                <w:color w:val="auto"/>
                <w:sz w:val="24"/>
                <w:szCs w:val="24"/>
                <w:highlight w:val="none"/>
                <w:lang w:eastAsia="zh-CN"/>
              </w:rPr>
              <w:t>人工将纸芯插入复卷机（小），将</w:t>
            </w:r>
            <w:r>
              <w:rPr>
                <w:rFonts w:hint="eastAsia" w:cs="Times New Roman"/>
                <w:b w:val="0"/>
                <w:bCs/>
                <w:color w:val="auto"/>
                <w:sz w:val="24"/>
                <w:szCs w:val="24"/>
                <w:highlight w:val="none"/>
                <w:lang w:val="en-US" w:eastAsia="zh-CN"/>
              </w:rPr>
              <w:t>28</w:t>
            </w:r>
            <w:r>
              <w:rPr>
                <w:rFonts w:hint="eastAsia" w:cs="Times New Roman"/>
                <w:b w:val="0"/>
                <w:bCs/>
                <w:color w:val="auto"/>
                <w:sz w:val="24"/>
                <w:szCs w:val="24"/>
                <w:highlight w:val="none"/>
                <w:lang w:eastAsia="zh-CN"/>
              </w:rPr>
              <w:t>.0~</w:t>
            </w:r>
            <w:r>
              <w:rPr>
                <w:rFonts w:hint="eastAsia" w:cs="Times New Roman"/>
                <w:b w:val="0"/>
                <w:bCs/>
                <w:color w:val="auto"/>
                <w:sz w:val="24"/>
                <w:szCs w:val="24"/>
                <w:highlight w:val="none"/>
                <w:lang w:val="en-US" w:eastAsia="zh-CN"/>
              </w:rPr>
              <w:t>55</w:t>
            </w:r>
            <w:r>
              <w:rPr>
                <w:rFonts w:hint="eastAsia" w:cs="Times New Roman"/>
                <w:b w:val="0"/>
                <w:bCs/>
                <w:color w:val="auto"/>
                <w:sz w:val="24"/>
                <w:szCs w:val="24"/>
                <w:highlight w:val="none"/>
                <w:lang w:eastAsia="zh-CN"/>
              </w:rPr>
              <w:t>.0cm封口胶带半成品/双面胶胶带半成品/防水胶带半成品/美纹纸半成品/分色带半成品固定在复卷机（小）上，</w:t>
            </w:r>
            <w:r>
              <w:rPr>
                <w:rFonts w:hint="eastAsia" w:cs="Times New Roman"/>
                <w:color w:val="auto"/>
                <w:kern w:val="2"/>
                <w:sz w:val="24"/>
                <w:szCs w:val="24"/>
                <w:lang w:val="en-US" w:eastAsia="zh-CN" w:bidi="ar-SA"/>
              </w:rPr>
              <w:t>设定好复卷参数后复卷机开始运行。</w:t>
            </w:r>
            <w:r>
              <w:rPr>
                <w:rFonts w:hint="eastAsia" w:cs="Times New Roman"/>
                <w:b w:val="0"/>
                <w:bCs/>
                <w:color w:val="auto"/>
                <w:sz w:val="24"/>
                <w:szCs w:val="24"/>
                <w:highlight w:val="none"/>
                <w:lang w:val="en-US" w:eastAsia="zh-CN"/>
              </w:rPr>
              <w:t>28</w:t>
            </w:r>
            <w:r>
              <w:rPr>
                <w:rFonts w:hint="eastAsia" w:cs="Times New Roman"/>
                <w:b w:val="0"/>
                <w:bCs/>
                <w:color w:val="auto"/>
                <w:sz w:val="24"/>
                <w:szCs w:val="24"/>
                <w:highlight w:val="none"/>
                <w:lang w:eastAsia="zh-CN"/>
              </w:rPr>
              <w:t>.0~</w:t>
            </w:r>
            <w:r>
              <w:rPr>
                <w:rFonts w:hint="eastAsia" w:cs="Times New Roman"/>
                <w:b w:val="0"/>
                <w:bCs/>
                <w:color w:val="auto"/>
                <w:sz w:val="24"/>
                <w:szCs w:val="24"/>
                <w:highlight w:val="none"/>
                <w:lang w:val="en-US" w:eastAsia="zh-CN"/>
              </w:rPr>
              <w:t>55</w:t>
            </w:r>
            <w:r>
              <w:rPr>
                <w:rFonts w:hint="eastAsia" w:cs="Times New Roman"/>
                <w:b w:val="0"/>
                <w:bCs/>
                <w:color w:val="auto"/>
                <w:sz w:val="24"/>
                <w:szCs w:val="24"/>
                <w:highlight w:val="none"/>
                <w:lang w:eastAsia="zh-CN"/>
              </w:rPr>
              <w:t>.0cm封口胶带半成品/双面胶胶带半成品/防水胶带半成品/美纹纸半成品/分色带半成品</w:t>
            </w:r>
            <w:r>
              <w:rPr>
                <w:rFonts w:hint="eastAsia" w:cs="Times New Roman"/>
                <w:color w:val="auto"/>
                <w:kern w:val="2"/>
                <w:sz w:val="24"/>
                <w:szCs w:val="24"/>
                <w:lang w:val="en-US" w:eastAsia="zh-CN" w:bidi="ar-SA"/>
              </w:rPr>
              <w:t>通过滚轮自动传送复卷，根据产品规格复卷到0.8~5.5cm厚度自动切断，复卷后的半成品送至分切机，进行下一步工序。</w:t>
            </w:r>
          </w:p>
          <w:p>
            <w:pPr>
              <w:pStyle w:val="66"/>
              <w:tabs>
                <w:tab w:val="left" w:pos="3360"/>
              </w:tabs>
              <w:spacing w:line="360" w:lineRule="auto"/>
              <w:ind w:firstLine="482" w:firstLineChars="0"/>
              <w:jc w:val="both"/>
              <w:rPr>
                <w:rFonts w:hint="eastAsia" w:cs="Times New Roman"/>
                <w:color w:val="auto"/>
                <w:kern w:val="2"/>
                <w:sz w:val="24"/>
                <w:szCs w:val="24"/>
                <w:lang w:val="en-US" w:eastAsia="zh-CN" w:bidi="ar-SA"/>
              </w:rPr>
            </w:pPr>
            <w:r>
              <w:rPr>
                <w:rFonts w:hint="eastAsia" w:cs="Times New Roman"/>
                <w:b w:val="0"/>
                <w:bCs/>
                <w:color w:val="auto"/>
                <w:sz w:val="24"/>
                <w:szCs w:val="24"/>
                <w:highlight w:val="none"/>
                <w:lang w:eastAsia="zh-CN"/>
              </w:rPr>
              <w:t>人工将纸芯插入复卷机（中），将</w:t>
            </w:r>
            <w:r>
              <w:rPr>
                <w:rFonts w:hint="eastAsia" w:cs="Times New Roman"/>
                <w:b w:val="0"/>
                <w:bCs/>
                <w:color w:val="auto"/>
                <w:sz w:val="24"/>
                <w:szCs w:val="24"/>
                <w:highlight w:val="none"/>
                <w:lang w:val="en-US" w:eastAsia="zh-CN"/>
              </w:rPr>
              <w:t>55</w:t>
            </w:r>
            <w:r>
              <w:rPr>
                <w:rFonts w:hint="eastAsia" w:cs="Times New Roman"/>
                <w:b w:val="0"/>
                <w:bCs/>
                <w:color w:val="auto"/>
                <w:sz w:val="24"/>
                <w:szCs w:val="24"/>
                <w:highlight w:val="none"/>
                <w:lang w:eastAsia="zh-CN"/>
              </w:rPr>
              <w:t>.0~</w:t>
            </w:r>
            <w:r>
              <w:rPr>
                <w:rFonts w:hint="eastAsia" w:cs="Times New Roman"/>
                <w:b w:val="0"/>
                <w:bCs/>
                <w:color w:val="auto"/>
                <w:sz w:val="24"/>
                <w:szCs w:val="24"/>
                <w:highlight w:val="none"/>
                <w:lang w:val="en-US" w:eastAsia="zh-CN"/>
              </w:rPr>
              <w:t>97</w:t>
            </w:r>
            <w:r>
              <w:rPr>
                <w:rFonts w:hint="eastAsia" w:cs="Times New Roman"/>
                <w:b w:val="0"/>
                <w:bCs/>
                <w:color w:val="auto"/>
                <w:sz w:val="24"/>
                <w:szCs w:val="24"/>
                <w:highlight w:val="none"/>
                <w:lang w:eastAsia="zh-CN"/>
              </w:rPr>
              <w:t>.0cm封口胶带半成品/美纹纸半成品固定在复卷机（中）上，</w:t>
            </w:r>
            <w:r>
              <w:rPr>
                <w:rFonts w:hint="eastAsia" w:cs="Times New Roman"/>
                <w:color w:val="auto"/>
                <w:kern w:val="2"/>
                <w:sz w:val="24"/>
                <w:szCs w:val="24"/>
                <w:lang w:val="en-US" w:eastAsia="zh-CN" w:bidi="ar-SA"/>
              </w:rPr>
              <w:t>设定好复卷参数后复卷机开始运行。</w:t>
            </w:r>
            <w:r>
              <w:rPr>
                <w:rFonts w:hint="eastAsia" w:cs="Times New Roman"/>
                <w:b w:val="0"/>
                <w:bCs/>
                <w:color w:val="auto"/>
                <w:sz w:val="24"/>
                <w:szCs w:val="24"/>
                <w:highlight w:val="none"/>
                <w:lang w:val="en-US" w:eastAsia="zh-CN"/>
              </w:rPr>
              <w:t>55</w:t>
            </w:r>
            <w:r>
              <w:rPr>
                <w:rFonts w:hint="eastAsia" w:cs="Times New Roman"/>
                <w:b w:val="0"/>
                <w:bCs/>
                <w:color w:val="auto"/>
                <w:sz w:val="24"/>
                <w:szCs w:val="24"/>
                <w:highlight w:val="none"/>
                <w:lang w:eastAsia="zh-CN"/>
              </w:rPr>
              <w:t>.0~</w:t>
            </w:r>
            <w:r>
              <w:rPr>
                <w:rFonts w:hint="eastAsia" w:cs="Times New Roman"/>
                <w:b w:val="0"/>
                <w:bCs/>
                <w:color w:val="auto"/>
                <w:sz w:val="24"/>
                <w:szCs w:val="24"/>
                <w:highlight w:val="none"/>
                <w:lang w:val="en-US" w:eastAsia="zh-CN"/>
              </w:rPr>
              <w:t>97</w:t>
            </w:r>
            <w:r>
              <w:rPr>
                <w:rFonts w:hint="eastAsia" w:cs="Times New Roman"/>
                <w:b w:val="0"/>
                <w:bCs/>
                <w:color w:val="auto"/>
                <w:sz w:val="24"/>
                <w:szCs w:val="24"/>
                <w:highlight w:val="none"/>
                <w:lang w:eastAsia="zh-CN"/>
              </w:rPr>
              <w:t>.0cm封口胶带半成品/美纹纸半成品</w:t>
            </w:r>
            <w:r>
              <w:rPr>
                <w:rFonts w:hint="eastAsia" w:cs="Times New Roman"/>
                <w:color w:val="auto"/>
                <w:kern w:val="2"/>
                <w:sz w:val="24"/>
                <w:szCs w:val="24"/>
                <w:lang w:val="en-US" w:eastAsia="zh-CN" w:bidi="ar-SA"/>
              </w:rPr>
              <w:t>通过滚轮自动传送复卷，根据产品规格复卷到6.0~10.5cm厚度自动切断，复卷后的半成品送至自动切割机，进行下一步工序。</w:t>
            </w:r>
          </w:p>
          <w:p>
            <w:pPr>
              <w:pStyle w:val="66"/>
              <w:tabs>
                <w:tab w:val="left" w:pos="3360"/>
              </w:tabs>
              <w:spacing w:line="360" w:lineRule="auto"/>
              <w:ind w:firstLine="482" w:firstLineChars="0"/>
              <w:jc w:val="both"/>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复卷过程会产生噪声N。</w:t>
            </w:r>
          </w:p>
          <w:p>
            <w:pPr>
              <w:pStyle w:val="66"/>
              <w:tabs>
                <w:tab w:val="left" w:pos="3360"/>
              </w:tabs>
              <w:spacing w:line="360" w:lineRule="auto"/>
              <w:ind w:firstLine="482" w:firstLineChars="0"/>
              <w:jc w:val="both"/>
              <w:rPr>
                <w:rFonts w:hint="default" w:ascii="Times New Roman" w:hAnsi="Times New Roman" w:eastAsia="宋体" w:cs="Times New Roman"/>
                <w:b w:val="0"/>
                <w:bCs/>
                <w:color w:val="auto"/>
                <w:sz w:val="24"/>
                <w:szCs w:val="24"/>
                <w:highlight w:val="none"/>
                <w:lang w:val="en-US"/>
              </w:rPr>
            </w:pPr>
            <w:r>
              <w:rPr>
                <w:rFonts w:hint="default" w:ascii="Times New Roman" w:hAnsi="Times New Roman" w:eastAsia="宋体" w:cs="Times New Roman"/>
                <w:b/>
                <w:bCs w:val="0"/>
                <w:color w:val="auto"/>
                <w:sz w:val="24"/>
                <w:szCs w:val="24"/>
                <w:highlight w:val="none"/>
                <w:lang w:val="en-US" w:eastAsia="zh-CN"/>
              </w:rPr>
              <w:t>分切：</w:t>
            </w:r>
            <w:r>
              <w:rPr>
                <w:rFonts w:hint="eastAsia" w:cs="Times New Roman"/>
                <w:b w:val="0"/>
                <w:bCs/>
                <w:color w:val="auto"/>
                <w:sz w:val="24"/>
                <w:szCs w:val="24"/>
                <w:highlight w:val="none"/>
                <w:lang w:val="en-US" w:eastAsia="zh-CN"/>
              </w:rPr>
              <w:t>将复卷后的28</w:t>
            </w:r>
            <w:r>
              <w:rPr>
                <w:rFonts w:hint="eastAsia" w:cs="Times New Roman"/>
                <w:b w:val="0"/>
                <w:bCs/>
                <w:color w:val="auto"/>
                <w:sz w:val="24"/>
                <w:szCs w:val="24"/>
                <w:highlight w:val="none"/>
                <w:lang w:eastAsia="zh-CN"/>
              </w:rPr>
              <w:t>.0~</w:t>
            </w:r>
            <w:r>
              <w:rPr>
                <w:rFonts w:hint="eastAsia" w:cs="Times New Roman"/>
                <w:b w:val="0"/>
                <w:bCs/>
                <w:color w:val="auto"/>
                <w:sz w:val="24"/>
                <w:szCs w:val="24"/>
                <w:highlight w:val="none"/>
                <w:lang w:val="en-US" w:eastAsia="zh-CN"/>
              </w:rPr>
              <w:t>55</w:t>
            </w:r>
            <w:r>
              <w:rPr>
                <w:rFonts w:hint="eastAsia" w:cs="Times New Roman"/>
                <w:b w:val="0"/>
                <w:bCs/>
                <w:color w:val="auto"/>
                <w:sz w:val="24"/>
                <w:szCs w:val="24"/>
                <w:highlight w:val="none"/>
                <w:lang w:eastAsia="zh-CN"/>
              </w:rPr>
              <w:t>.0cm封口胶带半成品/双面胶胶带半成品/防水胶带半成品/美纹纸半成品/分色带半成品</w:t>
            </w:r>
            <w:r>
              <w:rPr>
                <w:rFonts w:hint="eastAsia" w:cs="Times New Roman"/>
                <w:color w:val="auto"/>
                <w:kern w:val="2"/>
                <w:sz w:val="24"/>
                <w:szCs w:val="24"/>
                <w:lang w:val="en-US" w:eastAsia="zh-CN" w:bidi="ar-SA"/>
              </w:rPr>
              <w:t>放置分切机传送位置，设置分切机的分切长度，利用分切机对其进行分切</w:t>
            </w:r>
            <w:r>
              <w:rPr>
                <w:rFonts w:hint="default"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分切过程会产生</w:t>
            </w:r>
            <w:r>
              <w:rPr>
                <w:rFonts w:hint="eastAsia" w:cs="Times New Roman"/>
                <w:color w:val="auto"/>
                <w:kern w:val="2"/>
                <w:sz w:val="24"/>
                <w:szCs w:val="24"/>
                <w:lang w:val="en-US" w:eastAsia="zh-CN" w:bidi="ar-SA"/>
              </w:rPr>
              <w:t>边角料S2，噪声N。</w:t>
            </w:r>
          </w:p>
          <w:p>
            <w:pPr>
              <w:pStyle w:val="66"/>
              <w:tabs>
                <w:tab w:val="left" w:pos="3360"/>
              </w:tabs>
              <w:spacing w:line="360" w:lineRule="auto"/>
              <w:ind w:firstLine="482" w:firstLineChars="0"/>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eastAsia="zh-CN"/>
              </w:rPr>
              <w:t>切割：</w:t>
            </w:r>
            <w:r>
              <w:rPr>
                <w:rFonts w:hint="eastAsia" w:cs="Times New Roman"/>
                <w:b w:val="0"/>
                <w:bCs/>
                <w:color w:val="auto"/>
                <w:sz w:val="24"/>
                <w:szCs w:val="24"/>
                <w:highlight w:val="none"/>
                <w:lang w:val="en-US" w:eastAsia="zh-CN"/>
              </w:rPr>
              <w:t>将55</w:t>
            </w:r>
            <w:r>
              <w:rPr>
                <w:rFonts w:hint="eastAsia" w:cs="Times New Roman"/>
                <w:b w:val="0"/>
                <w:bCs/>
                <w:color w:val="auto"/>
                <w:sz w:val="24"/>
                <w:szCs w:val="24"/>
                <w:highlight w:val="none"/>
                <w:lang w:eastAsia="zh-CN"/>
              </w:rPr>
              <w:t>.0~</w:t>
            </w:r>
            <w:r>
              <w:rPr>
                <w:rFonts w:hint="eastAsia" w:cs="Times New Roman"/>
                <w:b w:val="0"/>
                <w:bCs/>
                <w:color w:val="auto"/>
                <w:sz w:val="24"/>
                <w:szCs w:val="24"/>
                <w:highlight w:val="none"/>
                <w:lang w:val="en-US" w:eastAsia="zh-CN"/>
              </w:rPr>
              <w:t>97</w:t>
            </w:r>
            <w:r>
              <w:rPr>
                <w:rFonts w:hint="eastAsia" w:cs="Times New Roman"/>
                <w:b w:val="0"/>
                <w:bCs/>
                <w:color w:val="auto"/>
                <w:sz w:val="24"/>
                <w:szCs w:val="24"/>
                <w:highlight w:val="none"/>
                <w:lang w:eastAsia="zh-CN"/>
              </w:rPr>
              <w:t>.0cm封口胶带半成品/美纹纸半成品</w:t>
            </w:r>
            <w:r>
              <w:rPr>
                <w:rFonts w:hint="eastAsia" w:cs="Times New Roman"/>
                <w:color w:val="auto"/>
                <w:kern w:val="2"/>
                <w:sz w:val="24"/>
                <w:szCs w:val="24"/>
                <w:lang w:val="en-US" w:eastAsia="zh-CN" w:bidi="ar-SA"/>
              </w:rPr>
              <w:t>放置自动切割机传送位置，设置放置自动切割机的切割长度，利用放置自动切割机对其进行切割</w:t>
            </w:r>
            <w:r>
              <w:rPr>
                <w:rFonts w:hint="default"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切割过程会产生</w:t>
            </w:r>
            <w:r>
              <w:rPr>
                <w:rFonts w:hint="eastAsia" w:cs="Times New Roman"/>
                <w:color w:val="auto"/>
                <w:kern w:val="2"/>
                <w:sz w:val="24"/>
                <w:szCs w:val="24"/>
                <w:lang w:val="en-US" w:eastAsia="zh-CN" w:bidi="ar-SA"/>
              </w:rPr>
              <w:t>边角料S3，噪声N。</w:t>
            </w:r>
          </w:p>
          <w:p>
            <w:pPr>
              <w:pStyle w:val="6"/>
              <w:spacing w:line="360" w:lineRule="auto"/>
              <w:ind w:left="0" w:leftChars="0" w:firstLine="480" w:firstLineChars="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eastAsia="zh-CN"/>
              </w:rPr>
              <w:t>包装：</w:t>
            </w:r>
            <w:r>
              <w:rPr>
                <w:rFonts w:hint="eastAsia" w:cs="Times New Roman"/>
                <w:b w:val="0"/>
                <w:bCs/>
                <w:color w:val="auto"/>
                <w:sz w:val="24"/>
                <w:szCs w:val="24"/>
                <w:highlight w:val="none"/>
                <w:lang w:eastAsia="zh-CN"/>
              </w:rPr>
              <w:t>将分切</w:t>
            </w:r>
            <w:r>
              <w:rPr>
                <w:rFonts w:hint="eastAsia" w:cs="Times New Roman"/>
                <w:b w:val="0"/>
                <w:bCs/>
                <w:color w:val="auto"/>
                <w:sz w:val="24"/>
                <w:szCs w:val="24"/>
                <w:highlight w:val="none"/>
                <w:lang w:val="en-US" w:eastAsia="zh-CN"/>
              </w:rPr>
              <w:t>/切割好的包装用品成品放入纸箱内，送至自动包装机进行封箱包装。包装好的成品送至成品区，每箱成品规格为25kg。</w:t>
            </w:r>
          </w:p>
          <w:p>
            <w:pPr>
              <w:numPr>
                <w:ilvl w:val="0"/>
                <w:numId w:val="0"/>
              </w:numPr>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缠绕膜</w:t>
            </w:r>
            <w:r>
              <w:rPr>
                <w:rFonts w:hint="default" w:ascii="Times New Roman" w:hAnsi="Times New Roman" w:eastAsia="宋体" w:cs="Times New Roman"/>
                <w:b/>
                <w:bCs/>
                <w:color w:val="auto"/>
                <w:sz w:val="24"/>
                <w:szCs w:val="24"/>
                <w:lang w:val="en-US" w:eastAsia="zh-CN"/>
              </w:rPr>
              <w:t>生产工艺流程</w:t>
            </w:r>
          </w:p>
          <w:p>
            <w:pPr>
              <w:numPr>
                <w:ilvl w:val="0"/>
                <w:numId w:val="0"/>
              </w:numPr>
              <w:spacing w:line="360" w:lineRule="auto"/>
              <w:jc w:val="center"/>
              <w:rPr>
                <w:rFonts w:hint="eastAsia"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eastAsia="zh-CN"/>
              </w:rPr>
              <w:drawing>
                <wp:inline distT="0" distB="0" distL="114300" distR="114300">
                  <wp:extent cx="4561840" cy="4291965"/>
                  <wp:effectExtent l="0" t="0" r="0" b="0"/>
                  <wp:docPr id="8" name="ECB019B1-382A-4266-B25C-5B523AA43C14-4" descr="C:/Users/Administrator/AppData/Local/Temp/wps.qsbjwy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ECB019B1-382A-4266-B25C-5B523AA43C14-4" descr="C:/Users/Administrator/AppData/Local/Temp/wps.qsbjwywps"/>
                          <pic:cNvPicPr>
                            <a:picLocks noChangeAspect="true"/>
                          </pic:cNvPicPr>
                        </pic:nvPicPr>
                        <pic:blipFill>
                          <a:blip r:embed="rId16"/>
                          <a:stretch>
                            <a:fillRect/>
                          </a:stretch>
                        </pic:blipFill>
                        <pic:spPr>
                          <a:xfrm>
                            <a:off x="0" y="0"/>
                            <a:ext cx="4561840" cy="4291965"/>
                          </a:xfrm>
                          <a:prstGeom prst="rect">
                            <a:avLst/>
                          </a:prstGeom>
                        </pic:spPr>
                      </pic:pic>
                    </a:graphicData>
                  </a:graphic>
                </wp:inline>
              </w:drawing>
            </w:r>
          </w:p>
          <w:p>
            <w:pPr>
              <w:pStyle w:val="66"/>
              <w:spacing w:before="120" w:beforeLines="50" w:after="120" w:afterLines="50" w:line="240" w:lineRule="auto"/>
              <w:ind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图2.</w:t>
            </w:r>
            <w:r>
              <w:rPr>
                <w:rFonts w:hint="eastAsia"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拟建项目</w:t>
            </w:r>
            <w:r>
              <w:rPr>
                <w:rFonts w:hint="eastAsia" w:cs="Times New Roman"/>
                <w:b/>
                <w:bCs/>
                <w:color w:val="auto"/>
                <w:sz w:val="24"/>
                <w:szCs w:val="24"/>
                <w:lang w:val="en-US" w:eastAsia="zh-CN"/>
              </w:rPr>
              <w:t>缠绕膜</w:t>
            </w:r>
            <w:r>
              <w:rPr>
                <w:rFonts w:hint="default" w:ascii="Times New Roman" w:hAnsi="Times New Roman" w:eastAsia="宋体" w:cs="Times New Roman"/>
                <w:b/>
                <w:color w:val="auto"/>
                <w:sz w:val="24"/>
                <w:szCs w:val="24"/>
              </w:rPr>
              <w:t>生产工艺流程及产污环节见图</w:t>
            </w:r>
          </w:p>
          <w:p>
            <w:pPr>
              <w:pStyle w:val="66"/>
              <w:tabs>
                <w:tab w:val="left" w:pos="3360"/>
              </w:tabs>
              <w:spacing w:line="360" w:lineRule="auto"/>
              <w:ind w:firstLine="482" w:firstLineChars="0"/>
              <w:jc w:val="both"/>
              <w:rPr>
                <w:rFonts w:hint="eastAsia"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①1500t/a需流延加工的缠绕膜生产工艺</w:t>
            </w:r>
          </w:p>
          <w:p>
            <w:pPr>
              <w:pStyle w:val="66"/>
              <w:tabs>
                <w:tab w:val="left" w:pos="3360"/>
              </w:tabs>
              <w:spacing w:line="360" w:lineRule="auto"/>
              <w:ind w:firstLine="482" w:firstLineChars="0"/>
              <w:jc w:val="both"/>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流延、冷却、分切：将缠绕膜芯固定在流延机的一端，另一端加入PE，流延机开始运行。流延机投入的原料PE采用电加热，温度控制在230℃~250℃，熔融态的物料在辊筒表面冷却形成薄膜（宽50cm），收卷到厚度为6.0~10.5cm后，通过流延机自带的分切机进行切断，无边角料产生。项目冷却采取间接冷却方式，冷却水通过冷却循环系统送入流延机的辊筒，并循环使用，定期补水。其过程会产生冷却循环废水W1，每半年排放一次，另外还会产生流延废气G2、噪声N。</w:t>
            </w:r>
          </w:p>
          <w:p>
            <w:pPr>
              <w:pStyle w:val="66"/>
              <w:tabs>
                <w:tab w:val="left" w:pos="3360"/>
              </w:tabs>
              <w:spacing w:line="360" w:lineRule="auto"/>
              <w:ind w:firstLine="482" w:firstLineChars="0"/>
              <w:jc w:val="both"/>
              <w:rPr>
                <w:rFonts w:hint="eastAsia"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②16000t/a仅复卷、分切的缠绕膜生产工艺</w:t>
            </w:r>
          </w:p>
          <w:p>
            <w:pPr>
              <w:pStyle w:val="66"/>
              <w:tabs>
                <w:tab w:val="left" w:pos="3360"/>
              </w:tabs>
              <w:spacing w:line="360" w:lineRule="auto"/>
              <w:ind w:firstLine="482" w:firstLineChars="0"/>
              <w:jc w:val="both"/>
              <w:rPr>
                <w:rFonts w:hint="eastAsia" w:cs="Times New Roman"/>
                <w:color w:val="auto"/>
                <w:kern w:val="2"/>
                <w:sz w:val="24"/>
                <w:szCs w:val="24"/>
                <w:lang w:val="en-US" w:eastAsia="zh-CN" w:bidi="ar-SA"/>
              </w:rPr>
            </w:pPr>
            <w:r>
              <w:rPr>
                <w:rFonts w:hint="default" w:ascii="Times New Roman" w:hAnsi="Times New Roman" w:eastAsia="宋体" w:cs="Times New Roman"/>
                <w:b/>
                <w:bCs w:val="0"/>
                <w:color w:val="auto"/>
                <w:sz w:val="24"/>
                <w:szCs w:val="24"/>
                <w:highlight w:val="none"/>
                <w:lang w:eastAsia="zh-CN"/>
              </w:rPr>
              <w:t>复卷</w:t>
            </w:r>
            <w:r>
              <w:rPr>
                <w:rFonts w:hint="default" w:ascii="Times New Roman" w:hAnsi="Times New Roman" w:eastAsia="宋体" w:cs="Times New Roman"/>
                <w:b/>
                <w:bCs w:val="0"/>
                <w:color w:val="auto"/>
                <w:sz w:val="24"/>
                <w:szCs w:val="24"/>
                <w:highlight w:val="none"/>
              </w:rPr>
              <w:t>：</w:t>
            </w:r>
            <w:r>
              <w:rPr>
                <w:rFonts w:hint="eastAsia" w:cs="Times New Roman"/>
                <w:b w:val="0"/>
                <w:bCs/>
                <w:color w:val="auto"/>
                <w:sz w:val="24"/>
                <w:szCs w:val="24"/>
                <w:highlight w:val="none"/>
                <w:lang w:eastAsia="zh-CN"/>
              </w:rPr>
              <w:t>人工将缠绕膜芯插入复卷机（大），将</w:t>
            </w:r>
            <w:r>
              <w:rPr>
                <w:rFonts w:hint="eastAsia" w:cs="Times New Roman"/>
                <w:b w:val="0"/>
                <w:bCs/>
                <w:color w:val="auto"/>
                <w:sz w:val="24"/>
                <w:szCs w:val="24"/>
                <w:highlight w:val="none"/>
                <w:lang w:val="en-US" w:eastAsia="zh-CN"/>
              </w:rPr>
              <w:t>200</w:t>
            </w:r>
            <w:r>
              <w:rPr>
                <w:rFonts w:hint="eastAsia" w:cs="Times New Roman"/>
                <w:b w:val="0"/>
                <w:bCs/>
                <w:color w:val="auto"/>
                <w:sz w:val="24"/>
                <w:szCs w:val="24"/>
                <w:highlight w:val="none"/>
                <w:lang w:eastAsia="zh-CN"/>
              </w:rPr>
              <w:t>cm缠绕膜半成品固定在复卷机（大）上，</w:t>
            </w:r>
            <w:r>
              <w:rPr>
                <w:rFonts w:hint="eastAsia" w:cs="Times New Roman"/>
                <w:color w:val="auto"/>
                <w:kern w:val="2"/>
                <w:sz w:val="24"/>
                <w:szCs w:val="24"/>
                <w:lang w:val="en-US" w:eastAsia="zh-CN" w:bidi="ar-SA"/>
              </w:rPr>
              <w:t>设定好复卷参数后复卷机开始运行。</w:t>
            </w:r>
            <w:r>
              <w:rPr>
                <w:rFonts w:hint="eastAsia" w:cs="Times New Roman"/>
                <w:b w:val="0"/>
                <w:bCs/>
                <w:color w:val="auto"/>
                <w:sz w:val="24"/>
                <w:szCs w:val="24"/>
                <w:highlight w:val="none"/>
                <w:lang w:val="en-US" w:eastAsia="zh-CN"/>
              </w:rPr>
              <w:t>200</w:t>
            </w:r>
            <w:r>
              <w:rPr>
                <w:rFonts w:hint="eastAsia" w:cs="Times New Roman"/>
                <w:b w:val="0"/>
                <w:bCs/>
                <w:color w:val="auto"/>
                <w:sz w:val="24"/>
                <w:szCs w:val="24"/>
                <w:highlight w:val="none"/>
                <w:lang w:eastAsia="zh-CN"/>
              </w:rPr>
              <w:t>cm缠绕膜半成品品</w:t>
            </w:r>
            <w:r>
              <w:rPr>
                <w:rFonts w:hint="eastAsia" w:cs="Times New Roman"/>
                <w:color w:val="auto"/>
                <w:kern w:val="2"/>
                <w:sz w:val="24"/>
                <w:szCs w:val="24"/>
                <w:lang w:val="en-US" w:eastAsia="zh-CN" w:bidi="ar-SA"/>
              </w:rPr>
              <w:t>通过滚轮自动传送复卷，根据产品规格复卷到6.0~10.5cm厚度自动切断，复卷后的半成品送至分切机，进行下一步工序。复卷过程会产生噪声N。</w:t>
            </w:r>
          </w:p>
          <w:p>
            <w:pPr>
              <w:pStyle w:val="66"/>
              <w:tabs>
                <w:tab w:val="left" w:pos="3360"/>
              </w:tabs>
              <w:spacing w:line="360" w:lineRule="auto"/>
              <w:ind w:firstLine="482" w:firstLineChars="0"/>
              <w:jc w:val="both"/>
              <w:rPr>
                <w:rFonts w:hint="eastAsia" w:cs="Times New Roman"/>
                <w:color w:val="auto"/>
                <w:kern w:val="2"/>
                <w:sz w:val="24"/>
                <w:szCs w:val="24"/>
                <w:lang w:val="en-US" w:eastAsia="zh-CN" w:bidi="ar-SA"/>
              </w:rPr>
            </w:pPr>
            <w:r>
              <w:rPr>
                <w:rFonts w:hint="eastAsia" w:cs="Times New Roman"/>
                <w:b/>
                <w:bCs/>
                <w:color w:val="auto"/>
                <w:kern w:val="2"/>
                <w:sz w:val="24"/>
                <w:szCs w:val="24"/>
                <w:lang w:val="en-US" w:eastAsia="zh-CN" w:bidi="ar-SA"/>
              </w:rPr>
              <w:t>分切：</w:t>
            </w:r>
            <w:r>
              <w:rPr>
                <w:rFonts w:hint="eastAsia" w:cs="Times New Roman"/>
                <w:color w:val="auto"/>
                <w:kern w:val="2"/>
                <w:sz w:val="24"/>
                <w:szCs w:val="24"/>
                <w:lang w:val="en-US" w:eastAsia="zh-CN" w:bidi="ar-SA"/>
              </w:rPr>
              <w:t>将复卷后的200cm缠绕膜半成品放置分切机传送位置，设置分切机的分切长度，将缠绕膜分切成50.0~100.0cm缠绕膜成品。分切过程会产生边角料S11，噪声N。</w:t>
            </w:r>
          </w:p>
          <w:p>
            <w:pPr>
              <w:pStyle w:val="66"/>
              <w:tabs>
                <w:tab w:val="left" w:pos="3360"/>
              </w:tabs>
              <w:spacing w:line="360" w:lineRule="auto"/>
              <w:ind w:firstLine="482" w:firstLineChars="0"/>
              <w:jc w:val="both"/>
              <w:rPr>
                <w:rFonts w:hint="eastAsia"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③包装</w:t>
            </w:r>
          </w:p>
          <w:p>
            <w:pPr>
              <w:pStyle w:val="66"/>
              <w:tabs>
                <w:tab w:val="left" w:pos="3360"/>
              </w:tabs>
              <w:spacing w:line="360" w:lineRule="auto"/>
              <w:ind w:firstLine="482" w:firstLineChars="0"/>
              <w:jc w:val="both"/>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分切好的缠绕膜送至自动包装机使用纸箱进行封箱包装。包装好的成品送至成品区，每箱成品规格为40kg。</w:t>
            </w:r>
          </w:p>
          <w:p>
            <w:pPr>
              <w:pStyle w:val="66"/>
              <w:tabs>
                <w:tab w:val="left" w:pos="3360"/>
              </w:tabs>
              <w:spacing w:line="360" w:lineRule="auto"/>
              <w:ind w:firstLine="482" w:firstLineChars="0"/>
              <w:jc w:val="both"/>
              <w:rPr>
                <w:rFonts w:hint="eastAsia" w:ascii="Times New Roman" w:hAnsi="Times New Roman" w:eastAsia="宋体" w:cs="Times New Roman"/>
                <w:b/>
                <w:bCs w:val="0"/>
                <w:color w:val="auto"/>
                <w:sz w:val="24"/>
                <w:szCs w:val="24"/>
                <w:highlight w:val="none"/>
                <w:lang w:eastAsia="zh-CN"/>
              </w:rPr>
            </w:pPr>
            <w:r>
              <w:rPr>
                <w:rFonts w:hint="eastAsia" w:cs="Times New Roman"/>
                <w:b/>
                <w:bCs w:val="0"/>
                <w:color w:val="auto"/>
                <w:sz w:val="24"/>
                <w:szCs w:val="24"/>
                <w:highlight w:val="none"/>
                <w:lang w:val="en-US" w:eastAsia="zh-CN"/>
              </w:rPr>
              <w:t>（4）吹膜产品生产工艺流程</w:t>
            </w:r>
          </w:p>
          <w:p>
            <w:pPr>
              <w:pStyle w:val="33"/>
              <w:ind w:left="0" w:leftChars="0" w:firstLine="0" w:firstLineChars="0"/>
              <w:jc w:val="center"/>
              <w:rPr>
                <w:rFonts w:hint="eastAsia" w:cs="Times New Roman"/>
                <w:b/>
                <w:bCs w:val="0"/>
                <w:color w:val="auto"/>
                <w:sz w:val="24"/>
                <w:szCs w:val="24"/>
                <w:highlight w:val="none"/>
                <w:lang w:eastAsia="zh-CN"/>
              </w:rPr>
            </w:pPr>
            <w:r>
              <w:rPr>
                <w:rFonts w:hint="eastAsia" w:cs="Times New Roman"/>
                <w:b/>
                <w:bCs w:val="0"/>
                <w:color w:val="auto"/>
                <w:sz w:val="24"/>
                <w:szCs w:val="24"/>
                <w:highlight w:val="none"/>
                <w:lang w:eastAsia="zh-CN"/>
              </w:rPr>
              <w:drawing>
                <wp:inline distT="0" distB="0" distL="114300" distR="114300">
                  <wp:extent cx="4771390" cy="5115560"/>
                  <wp:effectExtent l="0" t="0" r="0" b="0"/>
                  <wp:docPr id="9" name="ECB019B1-382A-4266-B25C-5B523AA43C14-5" descr="C:/Users/Administrator/AppData/Local/Temp/wps.mmVXOk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ECB019B1-382A-4266-B25C-5B523AA43C14-5" descr="C:/Users/Administrator/AppData/Local/Temp/wps.mmVXOkwps"/>
                          <pic:cNvPicPr>
                            <a:picLocks noChangeAspect="true"/>
                          </pic:cNvPicPr>
                        </pic:nvPicPr>
                        <pic:blipFill>
                          <a:blip r:embed="rId17"/>
                          <a:stretch>
                            <a:fillRect/>
                          </a:stretch>
                        </pic:blipFill>
                        <pic:spPr>
                          <a:xfrm>
                            <a:off x="0" y="0"/>
                            <a:ext cx="4771390" cy="5115560"/>
                          </a:xfrm>
                          <a:prstGeom prst="rect">
                            <a:avLst/>
                          </a:prstGeom>
                        </pic:spPr>
                      </pic:pic>
                    </a:graphicData>
                  </a:graphic>
                </wp:inline>
              </w:drawing>
            </w:r>
          </w:p>
          <w:p>
            <w:pPr>
              <w:pStyle w:val="66"/>
              <w:spacing w:before="120" w:beforeLines="50" w:after="120" w:afterLines="50" w:line="240" w:lineRule="auto"/>
              <w:ind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图2.</w:t>
            </w:r>
            <w:r>
              <w:rPr>
                <w:rFonts w:hint="eastAsia" w:cs="Times New Roman"/>
                <w:b/>
                <w:color w:val="auto"/>
                <w:sz w:val="24"/>
                <w:szCs w:val="24"/>
                <w:lang w:val="en-US" w:eastAsia="zh-CN"/>
              </w:rPr>
              <w:t>5</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拟建项目</w:t>
            </w:r>
            <w:r>
              <w:rPr>
                <w:rFonts w:hint="eastAsia" w:cs="Times New Roman"/>
                <w:b/>
                <w:bCs/>
                <w:color w:val="auto"/>
                <w:sz w:val="24"/>
                <w:szCs w:val="24"/>
                <w:lang w:val="en-US" w:eastAsia="zh-CN"/>
              </w:rPr>
              <w:t>吹膜产品</w:t>
            </w:r>
            <w:r>
              <w:rPr>
                <w:rFonts w:hint="default" w:ascii="Times New Roman" w:hAnsi="Times New Roman" w:eastAsia="宋体" w:cs="Times New Roman"/>
                <w:b/>
                <w:color w:val="auto"/>
                <w:sz w:val="24"/>
                <w:szCs w:val="24"/>
              </w:rPr>
              <w:t>生产工艺流程及产污环节见图</w:t>
            </w:r>
          </w:p>
          <w:p>
            <w:pPr>
              <w:pStyle w:val="66"/>
              <w:tabs>
                <w:tab w:val="left" w:pos="3360"/>
              </w:tabs>
              <w:spacing w:line="360" w:lineRule="auto"/>
              <w:ind w:firstLine="482" w:firstLineChars="0"/>
              <w:jc w:val="both"/>
              <w:rPr>
                <w:rFonts w:hint="eastAsia" w:cs="Times New Roman"/>
                <w:b w:val="0"/>
                <w:bCs/>
                <w:color w:val="auto"/>
                <w:sz w:val="24"/>
                <w:szCs w:val="24"/>
                <w:highlight w:val="none"/>
                <w:lang w:val="en-US" w:eastAsia="zh-CN"/>
              </w:rPr>
            </w:pPr>
            <w:r>
              <w:rPr>
                <w:rFonts w:hint="eastAsia" w:cs="Times New Roman"/>
                <w:b/>
                <w:bCs w:val="0"/>
                <w:color w:val="auto"/>
                <w:sz w:val="24"/>
                <w:szCs w:val="24"/>
                <w:highlight w:val="none"/>
                <w:lang w:val="en-US" w:eastAsia="zh-CN"/>
              </w:rPr>
              <w:t>拌料：</w:t>
            </w:r>
            <w:r>
              <w:rPr>
                <w:rFonts w:hint="eastAsia" w:cs="Times New Roman"/>
                <w:b w:val="0"/>
                <w:bCs/>
                <w:color w:val="auto"/>
                <w:sz w:val="24"/>
                <w:szCs w:val="24"/>
                <w:highlight w:val="none"/>
                <w:lang w:val="en-US" w:eastAsia="zh-CN"/>
              </w:rPr>
              <w:t>将PE和PP按照7:3计量投放进拌料机进行混料搅拌，搅拌过程不加热，项目共设置2台拌料机，每批次搅拌时长为20min，搅拌完成后的物料收集于拌料机自带的密闭料仓内，为气柱膜吹膜提供原料。搅拌过程全程密闭，PE和PP均为大颗粒状物料，该过程会产生少量拌料废气G3、噪声N。</w:t>
            </w:r>
          </w:p>
          <w:p>
            <w:pPr>
              <w:pStyle w:val="66"/>
              <w:tabs>
                <w:tab w:val="left" w:pos="3360"/>
              </w:tabs>
              <w:spacing w:line="360" w:lineRule="auto"/>
              <w:ind w:left="0" w:leftChars="0" w:firstLine="482" w:firstLineChars="200"/>
              <w:jc w:val="both"/>
              <w:rPr>
                <w:rFonts w:hint="eastAsia" w:cs="Times New Roman"/>
                <w:b w:val="0"/>
                <w:bCs/>
                <w:color w:val="auto"/>
                <w:sz w:val="24"/>
                <w:szCs w:val="24"/>
                <w:highlight w:val="none"/>
                <w:lang w:val="en-US" w:eastAsia="zh-CN"/>
              </w:rPr>
            </w:pPr>
            <w:r>
              <w:rPr>
                <w:rFonts w:hint="eastAsia" w:cs="Times New Roman"/>
                <w:b/>
                <w:bCs w:val="0"/>
                <w:color w:val="auto"/>
                <w:sz w:val="24"/>
                <w:szCs w:val="24"/>
                <w:highlight w:val="none"/>
                <w:lang w:val="en-US" w:eastAsia="zh-CN"/>
              </w:rPr>
              <w:t>气柱膜吹膜、冷却：</w:t>
            </w:r>
            <w:r>
              <w:rPr>
                <w:rFonts w:hint="eastAsia" w:cs="Times New Roman"/>
                <w:b w:val="0"/>
                <w:bCs/>
                <w:color w:val="auto"/>
                <w:sz w:val="24"/>
                <w:szCs w:val="24"/>
                <w:highlight w:val="none"/>
                <w:lang w:val="en-US" w:eastAsia="zh-CN"/>
              </w:rPr>
              <w:t>拌料后的物料通过密闭传送管道直接输送至气柱膜机，气柱膜机温度开始升高至160~180℃，在此温度下，原料开始熔融，加热融化过程处于密闭状态熔融后的PP、PE进入吹塑拉伸段，在吹塑拉伸段主要是定量定压恒温输出熔体，该段温度可以保持恒定，或熔融断末端温度略有一点升高（2~5℃左右）。熔融后的PP、PE通过螺杆挤出，在此过程中，机头出料方向与挤出机垂直，挤出管向上，牵引至一定距离后，由人字板夹拢，所挤管状由底部引入的压缩空气将它吹涨成泡管，并以压缩空气气量多少来控制它的横向尺寸，以牵引速度控制纵向尺寸，经冷却定型就可以得到吹塑薄膜。项目气柱膜机冷却采取间接冷却方式，冷却水通过冷却循环系统送入气柱膜机，并循环使用，定期补水。其过程会产生冷却循环废水W2，每半年排放一次，另外还会产生吹膜废气G5、噪声N。</w:t>
            </w:r>
          </w:p>
          <w:p>
            <w:pPr>
              <w:pStyle w:val="66"/>
              <w:tabs>
                <w:tab w:val="left" w:pos="3360"/>
              </w:tabs>
              <w:spacing w:line="360" w:lineRule="auto"/>
              <w:ind w:firstLine="482" w:firstLineChars="0"/>
              <w:jc w:val="both"/>
              <w:rPr>
                <w:rFonts w:hint="eastAsia" w:cs="Times New Roman"/>
                <w:b w:val="0"/>
                <w:bCs/>
                <w:color w:val="auto"/>
                <w:sz w:val="24"/>
                <w:szCs w:val="24"/>
                <w:highlight w:val="none"/>
                <w:lang w:val="en-US" w:eastAsia="zh-CN"/>
              </w:rPr>
            </w:pPr>
            <w:r>
              <w:rPr>
                <w:rFonts w:hint="eastAsia" w:cs="Times New Roman"/>
                <w:b/>
                <w:bCs w:val="0"/>
                <w:color w:val="auto"/>
                <w:sz w:val="24"/>
                <w:szCs w:val="24"/>
                <w:highlight w:val="none"/>
                <w:lang w:val="en-US" w:eastAsia="zh-CN"/>
              </w:rPr>
              <w:t>平口袋吹膜、冷却：</w:t>
            </w:r>
            <w:r>
              <w:rPr>
                <w:rFonts w:hint="eastAsia" w:cs="Times New Roman"/>
                <w:b w:val="0"/>
                <w:bCs/>
                <w:color w:val="auto"/>
                <w:sz w:val="24"/>
                <w:szCs w:val="24"/>
                <w:highlight w:val="none"/>
                <w:lang w:val="en-US" w:eastAsia="zh-CN"/>
              </w:rPr>
              <w:t>PE物料通过密闭传送管道直接输送至吹膜机，吹膜机温度开始升高至160~190℃，在此温度下，原料开始熔融，加热融化过程处于密闭状态熔融后的PE进入吹塑拉伸段，在吹塑拉伸段主要是定量定压恒温输出熔体，该段温度可以保持恒定，或熔融断末端温度略有一点升高（2~5℃左右）。熔融后的PE通过螺杆挤出，在此过程中，机头出料方向与挤出机垂直，挤出管向上，牵引至一定距离后，由人字板夹拢，所挤管状由底部引入的压缩空气将它吹涨成泡管，并以压缩空气气量多少来控制它的横向尺寸，以牵引速度控制纵向尺寸，经冷却定型就可以得到吹塑薄膜。项目吹膜机冷却采取间接冷却方式，冷却水通过冷却循环系统送入气柱膜机，并循环使用，定期补水。其过程会产生冷却循环废水W3，每半年排放一次，另外还会产生吹膜废气G4、噪声N。</w:t>
            </w:r>
          </w:p>
          <w:p>
            <w:pPr>
              <w:pStyle w:val="66"/>
              <w:tabs>
                <w:tab w:val="left" w:pos="3360"/>
              </w:tabs>
              <w:spacing w:line="360" w:lineRule="auto"/>
              <w:ind w:firstLine="482" w:firstLineChars="0"/>
              <w:jc w:val="both"/>
              <w:rPr>
                <w:rFonts w:hint="eastAsia" w:cs="Times New Roman"/>
                <w:b w:val="0"/>
                <w:bCs/>
                <w:color w:val="auto"/>
                <w:sz w:val="24"/>
                <w:szCs w:val="24"/>
                <w:highlight w:val="none"/>
                <w:lang w:val="en-US" w:eastAsia="zh-CN"/>
              </w:rPr>
            </w:pPr>
            <w:r>
              <w:rPr>
                <w:rFonts w:hint="eastAsia" w:cs="Times New Roman"/>
                <w:b/>
                <w:bCs w:val="0"/>
                <w:color w:val="auto"/>
                <w:sz w:val="24"/>
                <w:szCs w:val="24"/>
                <w:highlight w:val="none"/>
                <w:lang w:val="en-US" w:eastAsia="zh-CN"/>
              </w:rPr>
              <w:t>制袋：</w:t>
            </w:r>
            <w:r>
              <w:rPr>
                <w:rFonts w:hint="eastAsia" w:cs="Times New Roman"/>
                <w:b w:val="0"/>
                <w:bCs/>
                <w:color w:val="auto"/>
                <w:sz w:val="24"/>
                <w:szCs w:val="24"/>
                <w:highlight w:val="none"/>
                <w:lang w:val="en-US" w:eastAsia="zh-CN"/>
              </w:rPr>
              <w:t>吹膜完成后的半成品，通过制袋机前段的分切装置，将其分割成设置规格的塑料膜，采用电加热方式对塑料膜进行加压，温度控制在280℃左右，最终得到平口袋、气柱膜的成品。该过程会产生少量制袋废气G6、G7，边角料S4、S5。</w:t>
            </w:r>
          </w:p>
          <w:p>
            <w:pPr>
              <w:pStyle w:val="66"/>
              <w:tabs>
                <w:tab w:val="left" w:pos="3360"/>
              </w:tabs>
              <w:spacing w:line="360" w:lineRule="auto"/>
              <w:ind w:firstLine="482" w:firstLineChars="0"/>
              <w:jc w:val="both"/>
              <w:rPr>
                <w:rFonts w:hint="default" w:cs="Times New Roman"/>
                <w:b w:val="0"/>
                <w:bCs/>
                <w:color w:val="auto"/>
                <w:sz w:val="24"/>
                <w:szCs w:val="24"/>
                <w:lang w:val="en-US" w:eastAsia="zh-CN"/>
              </w:rPr>
            </w:pPr>
            <w:r>
              <w:rPr>
                <w:rFonts w:hint="eastAsia" w:cs="Times New Roman"/>
                <w:b/>
                <w:bCs w:val="0"/>
                <w:color w:val="auto"/>
                <w:sz w:val="24"/>
                <w:szCs w:val="24"/>
                <w:highlight w:val="none"/>
                <w:lang w:val="en-US" w:eastAsia="zh-CN"/>
              </w:rPr>
              <w:t>包装：</w:t>
            </w:r>
            <w:r>
              <w:rPr>
                <w:rFonts w:hint="eastAsia" w:cs="Times New Roman"/>
                <w:b w:val="0"/>
                <w:bCs/>
                <w:color w:val="auto"/>
                <w:sz w:val="24"/>
                <w:szCs w:val="24"/>
                <w:highlight w:val="none"/>
                <w:lang w:val="en-US" w:eastAsia="zh-CN"/>
              </w:rPr>
              <w:t>加工好的平口袋、气柱膜作为成品装入纸箱，送至自动包装机进行封箱包装。包装好的成品送至成品区，每箱成品规格为25kg。</w:t>
            </w:r>
          </w:p>
          <w:p>
            <w:pPr>
              <w:numPr>
                <w:ilvl w:val="0"/>
                <w:numId w:val="0"/>
              </w:numPr>
              <w:spacing w:line="360" w:lineRule="auto"/>
              <w:jc w:val="both"/>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其他产生污染物的环节：</w:t>
            </w:r>
          </w:p>
          <w:p>
            <w:pPr>
              <w:spacing w:line="360" w:lineRule="auto"/>
              <w:ind w:firstLine="482"/>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eastAsia="zh-CN"/>
              </w:rPr>
              <w:t>①</w:t>
            </w:r>
            <w:r>
              <w:rPr>
                <w:rFonts w:hint="default" w:ascii="Times New Roman" w:hAnsi="Times New Roman" w:eastAsia="宋体" w:cs="Times New Roman"/>
                <w:b/>
                <w:bCs w:val="0"/>
                <w:color w:val="auto"/>
                <w:sz w:val="24"/>
                <w:szCs w:val="24"/>
                <w:highlight w:val="none"/>
              </w:rPr>
              <w:t>设备维护：</w:t>
            </w:r>
            <w:r>
              <w:rPr>
                <w:rFonts w:hint="default" w:ascii="Times New Roman" w:hAnsi="Times New Roman" w:eastAsia="宋体" w:cs="Times New Roman"/>
                <w:bCs/>
                <w:color w:val="auto"/>
                <w:sz w:val="24"/>
                <w:szCs w:val="24"/>
                <w:highlight w:val="none"/>
              </w:rPr>
              <w:t>项目生产设备日常维护</w:t>
            </w:r>
            <w:r>
              <w:rPr>
                <w:rFonts w:hint="default" w:ascii="Times New Roman" w:hAnsi="Times New Roman" w:eastAsia="宋体" w:cs="Times New Roman"/>
                <w:bCs/>
                <w:color w:val="auto"/>
                <w:sz w:val="24"/>
                <w:szCs w:val="24"/>
                <w:highlight w:val="none"/>
                <w:lang w:eastAsia="zh-CN"/>
              </w:rPr>
              <w:t>会产生废润滑油</w:t>
            </w:r>
            <w:r>
              <w:rPr>
                <w:rFonts w:hint="default" w:ascii="Times New Roman" w:hAnsi="Times New Roman" w:eastAsia="宋体" w:cs="Times New Roman"/>
                <w:bCs/>
                <w:color w:val="auto"/>
                <w:sz w:val="24"/>
                <w:szCs w:val="24"/>
                <w:highlight w:val="none"/>
                <w:lang w:val="en-US" w:eastAsia="zh-CN"/>
              </w:rPr>
              <w:t>S</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、废含油棉纱手套</w:t>
            </w:r>
            <w:r>
              <w:rPr>
                <w:rFonts w:hint="eastAsia"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废润滑油桶S</w:t>
            </w:r>
            <w:r>
              <w:rPr>
                <w:rFonts w:hint="eastAsia" w:cs="Times New Roman"/>
                <w:color w:val="auto"/>
                <w:sz w:val="24"/>
                <w:szCs w:val="24"/>
                <w:lang w:val="en-US" w:eastAsia="zh-CN"/>
              </w:rPr>
              <w:t>7</w:t>
            </w:r>
            <w:r>
              <w:rPr>
                <w:rFonts w:hint="default" w:ascii="Times New Roman" w:hAnsi="Times New Roman" w:eastAsia="宋体" w:cs="Times New Roman"/>
                <w:bCs/>
                <w:color w:val="auto"/>
                <w:sz w:val="24"/>
                <w:szCs w:val="24"/>
                <w:highlight w:val="none"/>
              </w:rPr>
              <w:t>。</w:t>
            </w:r>
          </w:p>
          <w:p>
            <w:pPr>
              <w:pStyle w:val="66"/>
              <w:spacing w:line="360" w:lineRule="auto"/>
              <w:ind w:firstLine="480"/>
              <w:jc w:val="both"/>
              <w:rPr>
                <w:rFonts w:hint="default" w:ascii="Times New Roman" w:hAnsi="Times New Roman" w:cs="Times New Roman"/>
                <w:color w:val="auto"/>
                <w:sz w:val="24"/>
                <w:highlight w:val="none"/>
                <w:lang w:val="en-US"/>
              </w:rPr>
            </w:pPr>
            <w:r>
              <w:rPr>
                <w:rFonts w:hint="default" w:ascii="Times New Roman" w:hAnsi="Times New Roman" w:cs="Times New Roman"/>
                <w:b/>
                <w:bCs/>
                <w:color w:val="auto"/>
                <w:sz w:val="24"/>
                <w:highlight w:val="none"/>
                <w:lang w:eastAsia="zh-CN"/>
              </w:rPr>
              <w:t>②环保设备处理</w:t>
            </w:r>
            <w:r>
              <w:rPr>
                <w:rFonts w:hint="default" w:ascii="Times New Roman" w:hAnsi="Times New Roman" w:cs="Times New Roman"/>
                <w:b/>
                <w:bCs/>
                <w:color w:val="auto"/>
                <w:sz w:val="24"/>
                <w:highlight w:val="none"/>
              </w:rPr>
              <w:t>：</w:t>
            </w: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有机废气处理会产生废活性炭</w:t>
            </w:r>
            <w:r>
              <w:rPr>
                <w:rFonts w:hint="default" w:ascii="Times New Roman" w:hAnsi="Times New Roman" w:cs="Times New Roman"/>
                <w:color w:val="auto"/>
                <w:sz w:val="24"/>
                <w:highlight w:val="none"/>
                <w:lang w:val="en-US" w:eastAsia="zh-CN"/>
              </w:rPr>
              <w:t>S</w:t>
            </w:r>
            <w:r>
              <w:rPr>
                <w:rFonts w:hint="eastAsia" w:cs="Times New Roman"/>
                <w:color w:val="auto"/>
                <w:sz w:val="24"/>
                <w:highlight w:val="none"/>
                <w:lang w:val="en-US" w:eastAsia="zh-CN"/>
              </w:rPr>
              <w:t>8</w:t>
            </w:r>
            <w:r>
              <w:rPr>
                <w:rFonts w:hint="eastAsia" w:cs="Times New Roman"/>
                <w:color w:val="auto"/>
                <w:sz w:val="24"/>
                <w:szCs w:val="24"/>
                <w:highlight w:val="none"/>
                <w:vertAlign w:val="baseline"/>
                <w:lang w:val="en-US" w:eastAsia="zh-CN"/>
              </w:rPr>
              <w:t>。</w:t>
            </w:r>
          </w:p>
          <w:p>
            <w:pPr>
              <w:pStyle w:val="66"/>
              <w:spacing w:line="360" w:lineRule="auto"/>
              <w:ind w:firstLine="480"/>
              <w:rPr>
                <w:rFonts w:hint="default" w:ascii="Times New Roman" w:hAnsi="Times New Roman" w:cs="Times New Roman"/>
                <w:b w:val="0"/>
                <w:bCs w:val="0"/>
                <w:color w:val="auto"/>
                <w:sz w:val="24"/>
                <w:highlight w:val="none"/>
              </w:rPr>
            </w:pPr>
            <w:r>
              <w:rPr>
                <w:rFonts w:hint="default" w:ascii="Times New Roman" w:hAnsi="Times New Roman" w:cs="Times New Roman"/>
                <w:b/>
                <w:bCs/>
                <w:color w:val="auto"/>
                <w:sz w:val="24"/>
                <w:highlight w:val="none"/>
                <w:lang w:eastAsia="zh-CN"/>
              </w:rPr>
              <w:t>③员工生活</w:t>
            </w:r>
            <w:r>
              <w:rPr>
                <w:rFonts w:hint="default" w:ascii="Times New Roman" w:hAnsi="Times New Roman" w:cs="Times New Roman"/>
                <w:b/>
                <w:bCs/>
                <w:color w:val="auto"/>
                <w:sz w:val="24"/>
                <w:highlight w:val="none"/>
              </w:rPr>
              <w:t>：</w:t>
            </w:r>
            <w:r>
              <w:rPr>
                <w:rFonts w:hint="default" w:ascii="Times New Roman" w:hAnsi="Times New Roman" w:cs="Times New Roman"/>
                <w:b w:val="0"/>
                <w:bCs w:val="0"/>
                <w:color w:val="auto"/>
                <w:sz w:val="24"/>
                <w:highlight w:val="none"/>
                <w:lang w:eastAsia="zh-CN"/>
              </w:rPr>
              <w:t>项目</w:t>
            </w:r>
            <w:r>
              <w:rPr>
                <w:rFonts w:hint="default" w:ascii="Times New Roman" w:hAnsi="Times New Roman" w:cs="Times New Roman"/>
                <w:b w:val="0"/>
                <w:bCs w:val="0"/>
                <w:color w:val="auto"/>
                <w:sz w:val="24"/>
                <w:highlight w:val="none"/>
                <w:lang w:val="en-US" w:eastAsia="zh-CN"/>
              </w:rPr>
              <w:t>员工生活会产生生活污水W</w:t>
            </w:r>
            <w:r>
              <w:rPr>
                <w:rFonts w:hint="eastAsia" w:cs="Times New Roman"/>
                <w:b w:val="0"/>
                <w:bCs w:val="0"/>
                <w:color w:val="auto"/>
                <w:sz w:val="24"/>
                <w:highlight w:val="none"/>
                <w:lang w:val="en-US" w:eastAsia="zh-CN"/>
              </w:rPr>
              <w:t>4</w:t>
            </w:r>
            <w:r>
              <w:rPr>
                <w:rFonts w:hint="default" w:ascii="Times New Roman" w:hAnsi="Times New Roman" w:cs="Times New Roman"/>
                <w:b w:val="0"/>
                <w:bCs w:val="0"/>
                <w:color w:val="auto"/>
                <w:sz w:val="24"/>
                <w:highlight w:val="none"/>
                <w:lang w:val="en-US" w:eastAsia="zh-CN"/>
              </w:rPr>
              <w:t>、生活垃圾S</w:t>
            </w:r>
            <w:r>
              <w:rPr>
                <w:rFonts w:hint="eastAsia" w:cs="Times New Roman"/>
                <w:b w:val="0"/>
                <w:bCs w:val="0"/>
                <w:color w:val="auto"/>
                <w:sz w:val="24"/>
                <w:highlight w:val="none"/>
                <w:lang w:val="en-US" w:eastAsia="zh-CN"/>
              </w:rPr>
              <w:t>9</w:t>
            </w:r>
            <w:r>
              <w:rPr>
                <w:rFonts w:hint="default" w:ascii="Times New Roman" w:hAnsi="Times New Roman" w:cs="Times New Roman"/>
                <w:b w:val="0"/>
                <w:bCs w:val="0"/>
                <w:color w:val="auto"/>
                <w:sz w:val="24"/>
                <w:highlight w:val="none"/>
              </w:rPr>
              <w:t>。</w:t>
            </w:r>
          </w:p>
          <w:p>
            <w:pPr>
              <w:pStyle w:val="66"/>
              <w:spacing w:line="360" w:lineRule="auto"/>
              <w:ind w:firstLine="480"/>
              <w:rPr>
                <w:rFonts w:hint="default" w:ascii="Times New Roman" w:hAnsi="Times New Roman" w:eastAsia="宋体" w:cs="Times New Roman"/>
                <w:b w:val="0"/>
                <w:bCs w:val="0"/>
                <w:color w:val="auto"/>
                <w:sz w:val="24"/>
                <w:highlight w:val="none"/>
                <w:lang w:val="en-US" w:eastAsia="zh-CN"/>
              </w:rPr>
            </w:pPr>
            <w:r>
              <w:rPr>
                <w:rFonts w:hint="eastAsia" w:cs="Times New Roman"/>
                <w:b/>
                <w:bCs/>
                <w:color w:val="auto"/>
                <w:sz w:val="24"/>
                <w:highlight w:val="none"/>
                <w:lang w:eastAsia="zh-CN"/>
              </w:rPr>
              <w:t>④食堂：</w:t>
            </w:r>
            <w:r>
              <w:rPr>
                <w:rFonts w:hint="eastAsia" w:cs="Times New Roman"/>
                <w:b w:val="0"/>
                <w:bCs w:val="0"/>
                <w:color w:val="auto"/>
                <w:sz w:val="24"/>
                <w:highlight w:val="none"/>
                <w:lang w:eastAsia="zh-CN"/>
              </w:rPr>
              <w:t>项目食堂会产生食堂废水</w:t>
            </w:r>
            <w:r>
              <w:rPr>
                <w:rFonts w:hint="eastAsia" w:cs="Times New Roman"/>
                <w:b w:val="0"/>
                <w:bCs w:val="0"/>
                <w:color w:val="auto"/>
                <w:sz w:val="24"/>
                <w:highlight w:val="none"/>
                <w:lang w:val="en-US" w:eastAsia="zh-CN"/>
              </w:rPr>
              <w:t>W5</w:t>
            </w:r>
            <w:r>
              <w:rPr>
                <w:rFonts w:hint="eastAsia" w:cs="Times New Roman"/>
                <w:b w:val="0"/>
                <w:bCs w:val="0"/>
                <w:color w:val="auto"/>
                <w:sz w:val="24"/>
                <w:highlight w:val="none"/>
                <w:lang w:eastAsia="zh-CN"/>
              </w:rPr>
              <w:t>、食堂废气</w:t>
            </w:r>
            <w:r>
              <w:rPr>
                <w:rFonts w:hint="eastAsia" w:cs="Times New Roman"/>
                <w:b w:val="0"/>
                <w:bCs w:val="0"/>
                <w:color w:val="auto"/>
                <w:sz w:val="24"/>
                <w:highlight w:val="none"/>
                <w:lang w:val="en-US" w:eastAsia="zh-CN"/>
              </w:rPr>
              <w:t>G8。</w:t>
            </w:r>
          </w:p>
          <w:p>
            <w:pPr>
              <w:pStyle w:val="66"/>
              <w:spacing w:line="360" w:lineRule="auto"/>
              <w:ind w:left="0" w:leftChars="0" w:firstLine="482" w:firstLineChars="200"/>
              <w:rPr>
                <w:rFonts w:hint="default" w:ascii="Times New Roman" w:hAnsi="Times New Roman" w:cs="Times New Roman"/>
                <w:b w:val="0"/>
                <w:bCs w:val="0"/>
                <w:color w:val="auto"/>
                <w:sz w:val="24"/>
                <w:highlight w:val="none"/>
              </w:rPr>
            </w:pPr>
            <w:r>
              <w:rPr>
                <w:rFonts w:hint="eastAsia" w:cs="Times New Roman"/>
                <w:b/>
                <w:bCs/>
                <w:color w:val="auto"/>
                <w:sz w:val="24"/>
                <w:highlight w:val="none"/>
                <w:lang w:eastAsia="zh-CN"/>
              </w:rPr>
              <w:t>⑤</w:t>
            </w:r>
            <w:r>
              <w:rPr>
                <w:rFonts w:hint="default" w:ascii="Times New Roman" w:hAnsi="Times New Roman" w:cs="Times New Roman"/>
                <w:b/>
                <w:bCs/>
                <w:color w:val="auto"/>
                <w:sz w:val="24"/>
                <w:highlight w:val="none"/>
              </w:rPr>
              <w:t>地面清洁：</w:t>
            </w:r>
            <w:r>
              <w:rPr>
                <w:rFonts w:hint="default" w:ascii="Times New Roman" w:hAnsi="Times New Roman" w:cs="Times New Roman"/>
                <w:b w:val="0"/>
                <w:bCs w:val="0"/>
                <w:color w:val="auto"/>
                <w:sz w:val="24"/>
                <w:highlight w:val="none"/>
              </w:rPr>
              <w:t>项目仅对</w:t>
            </w:r>
            <w:r>
              <w:rPr>
                <w:rFonts w:hint="eastAsia" w:cs="Times New Roman"/>
                <w:b w:val="0"/>
                <w:bCs w:val="0"/>
                <w:color w:val="auto"/>
                <w:sz w:val="24"/>
                <w:highlight w:val="none"/>
                <w:lang w:eastAsia="zh-CN"/>
              </w:rPr>
              <w:t>综合楼</w:t>
            </w:r>
            <w:r>
              <w:rPr>
                <w:rFonts w:hint="default" w:ascii="Times New Roman" w:hAnsi="Times New Roman" w:cs="Times New Roman"/>
                <w:b w:val="0"/>
                <w:bCs w:val="0"/>
                <w:color w:val="auto"/>
                <w:sz w:val="24"/>
                <w:highlight w:val="none"/>
              </w:rPr>
              <w:t>进行湿式清洁，厂房采取干式清洁。其间会产生清洁废水W</w:t>
            </w:r>
            <w:r>
              <w:rPr>
                <w:rFonts w:hint="eastAsia" w:cs="Times New Roman"/>
                <w:b w:val="0"/>
                <w:bCs w:val="0"/>
                <w:color w:val="auto"/>
                <w:sz w:val="24"/>
                <w:highlight w:val="none"/>
                <w:lang w:val="en-US" w:eastAsia="zh-CN"/>
              </w:rPr>
              <w:t>6</w:t>
            </w:r>
            <w:r>
              <w:rPr>
                <w:rFonts w:hint="default" w:ascii="Times New Roman" w:hAnsi="Times New Roman" w:cs="Times New Roman"/>
                <w:b w:val="0"/>
                <w:bCs w:val="0"/>
                <w:color w:val="auto"/>
                <w:sz w:val="24"/>
                <w:highlight w:val="none"/>
              </w:rPr>
              <w:t>。</w:t>
            </w:r>
          </w:p>
          <w:p>
            <w:pPr>
              <w:pStyle w:val="66"/>
              <w:spacing w:line="360" w:lineRule="auto"/>
              <w:ind w:firstLine="480"/>
              <w:rPr>
                <w:rFonts w:hint="default" w:ascii="Times New Roman" w:hAnsi="Times New Roman" w:cs="Times New Roman"/>
                <w:b w:val="0"/>
                <w:bCs w:val="0"/>
                <w:color w:val="auto"/>
                <w:sz w:val="24"/>
                <w:highlight w:val="none"/>
                <w:lang w:eastAsia="zh-CN"/>
              </w:rPr>
            </w:pPr>
            <w:r>
              <w:rPr>
                <w:rFonts w:hint="eastAsia" w:cs="Times New Roman"/>
                <w:b/>
                <w:bCs/>
                <w:color w:val="auto"/>
                <w:sz w:val="24"/>
                <w:highlight w:val="none"/>
                <w:lang w:eastAsia="zh-CN"/>
              </w:rPr>
              <w:t>⑥</w:t>
            </w:r>
            <w:r>
              <w:rPr>
                <w:rFonts w:hint="default" w:ascii="Times New Roman" w:hAnsi="Times New Roman" w:cs="Times New Roman"/>
                <w:b/>
                <w:bCs/>
                <w:color w:val="auto"/>
                <w:sz w:val="24"/>
                <w:highlight w:val="none"/>
                <w:lang w:eastAsia="zh-CN"/>
              </w:rPr>
              <w:t>危废存放：</w:t>
            </w:r>
            <w:r>
              <w:rPr>
                <w:rFonts w:hint="default" w:ascii="Times New Roman" w:hAnsi="Times New Roman" w:cs="Times New Roman"/>
                <w:b w:val="0"/>
                <w:bCs w:val="0"/>
                <w:color w:val="auto"/>
                <w:sz w:val="24"/>
                <w:highlight w:val="none"/>
                <w:lang w:eastAsia="zh-CN"/>
              </w:rPr>
              <w:t>项目危废间内暂存的废活性炭会释放少量</w:t>
            </w:r>
            <w:r>
              <w:rPr>
                <w:rFonts w:hint="eastAsia" w:cs="Times New Roman"/>
                <w:b w:val="0"/>
                <w:bCs w:val="0"/>
                <w:color w:val="auto"/>
                <w:sz w:val="24"/>
                <w:highlight w:val="none"/>
                <w:lang w:eastAsia="zh-CN"/>
              </w:rPr>
              <w:t>危废间</w:t>
            </w:r>
            <w:r>
              <w:rPr>
                <w:rFonts w:hint="default" w:ascii="Times New Roman" w:hAnsi="Times New Roman" w:cs="Times New Roman"/>
                <w:b w:val="0"/>
                <w:bCs w:val="0"/>
                <w:color w:val="auto"/>
                <w:sz w:val="24"/>
                <w:highlight w:val="none"/>
                <w:lang w:eastAsia="zh-CN"/>
              </w:rPr>
              <w:t>有机废气</w:t>
            </w:r>
            <w:r>
              <w:rPr>
                <w:rFonts w:hint="eastAsia" w:cs="Times New Roman"/>
                <w:b w:val="0"/>
                <w:bCs w:val="0"/>
                <w:color w:val="auto"/>
                <w:sz w:val="24"/>
                <w:highlight w:val="none"/>
                <w:lang w:val="en-US" w:eastAsia="zh-CN"/>
              </w:rPr>
              <w:t>G9</w:t>
            </w:r>
            <w:r>
              <w:rPr>
                <w:rFonts w:hint="default" w:ascii="Times New Roman" w:hAnsi="Times New Roman" w:cs="Times New Roman"/>
                <w:b w:val="0"/>
                <w:bCs w:val="0"/>
                <w:color w:val="auto"/>
                <w:sz w:val="24"/>
                <w:highlight w:val="none"/>
                <w:lang w:eastAsia="zh-CN"/>
              </w:rPr>
              <w:t>。</w:t>
            </w:r>
          </w:p>
          <w:p>
            <w:pPr>
              <w:pStyle w:val="66"/>
              <w:spacing w:line="360" w:lineRule="auto"/>
              <w:ind w:firstLine="480"/>
              <w:rPr>
                <w:rFonts w:hint="eastAsia" w:cs="Times New Roman"/>
                <w:b w:val="0"/>
                <w:bCs w:val="0"/>
                <w:color w:val="auto"/>
                <w:sz w:val="24"/>
                <w:highlight w:val="none"/>
                <w:lang w:val="en-US" w:eastAsia="zh-CN"/>
              </w:rPr>
            </w:pPr>
            <w:r>
              <w:rPr>
                <w:rFonts w:hint="eastAsia" w:cs="Times New Roman"/>
                <w:b/>
                <w:bCs/>
                <w:color w:val="auto"/>
                <w:sz w:val="24"/>
                <w:highlight w:val="none"/>
                <w:lang w:val="en-US" w:eastAsia="zh-CN"/>
              </w:rPr>
              <w:t>⑥空压机运行：</w:t>
            </w:r>
            <w:r>
              <w:rPr>
                <w:rFonts w:hint="eastAsia" w:cs="Times New Roman"/>
                <w:b w:val="0"/>
                <w:bCs w:val="0"/>
                <w:color w:val="auto"/>
                <w:sz w:val="24"/>
                <w:highlight w:val="none"/>
                <w:lang w:val="en-US" w:eastAsia="zh-CN"/>
              </w:rPr>
              <w:t>项目空压机运行产生空压机含油废液S10。</w:t>
            </w:r>
          </w:p>
          <w:p>
            <w:pPr>
              <w:spacing w:line="360" w:lineRule="auto"/>
              <w:ind w:firstLine="482"/>
              <w:rPr>
                <w:rFonts w:hint="eastAsia" w:cs="Times New Roman"/>
                <w:b w:val="0"/>
                <w:bCs w:val="0"/>
                <w:color w:val="auto"/>
                <w:sz w:val="24"/>
                <w:highlight w:val="none"/>
                <w:lang w:val="en-US" w:eastAsia="zh-CN"/>
              </w:rPr>
            </w:pPr>
            <w:r>
              <w:rPr>
                <w:rFonts w:hint="eastAsia" w:cs="Times New Roman"/>
                <w:b/>
                <w:bCs/>
                <w:color w:val="auto"/>
                <w:sz w:val="24"/>
                <w:highlight w:val="none"/>
                <w:lang w:val="en-US" w:eastAsia="zh-CN"/>
              </w:rPr>
              <w:t>⑦边角料压扁</w:t>
            </w:r>
            <w:r>
              <w:rPr>
                <w:rFonts w:hint="eastAsia" w:cs="Times New Roman"/>
                <w:b w:val="0"/>
                <w:bCs w:val="0"/>
                <w:color w:val="auto"/>
                <w:sz w:val="24"/>
                <w:highlight w:val="none"/>
                <w:lang w:val="en-US" w:eastAsia="zh-CN"/>
              </w:rPr>
              <w:t>：项目生产过程产生的S2、S3、S4、S5、S11，经过压扁机压缩后，外卖给废品回收部，该过程还会出产生噪声N。</w:t>
            </w:r>
          </w:p>
          <w:p>
            <w:pPr>
              <w:pStyle w:val="24"/>
              <w:ind w:left="0" w:leftChars="0" w:firstLine="480" w:firstLineChars="0"/>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⑧生化池处理：</w:t>
            </w:r>
            <w:r>
              <w:rPr>
                <w:rFonts w:hint="eastAsia" w:ascii="Times New Roman" w:hAnsi="Times New Roman" w:eastAsia="宋体" w:cs="Times New Roman"/>
                <w:b w:val="0"/>
                <w:bCs w:val="0"/>
                <w:color w:val="auto"/>
                <w:kern w:val="2"/>
                <w:sz w:val="24"/>
                <w:szCs w:val="24"/>
                <w:highlight w:val="none"/>
                <w:lang w:val="en-US" w:eastAsia="zh-CN" w:bidi="ar-SA"/>
              </w:rPr>
              <w:t>项目生化池处理废水过程会产生生化池废气G10。</w:t>
            </w:r>
          </w:p>
          <w:p>
            <w:pPr>
              <w:ind w:firstLine="480"/>
              <w:rPr>
                <w:rFonts w:hint="default"/>
                <w:color w:val="auto"/>
                <w:lang w:val="en-US" w:eastAsia="zh-CN"/>
              </w:rPr>
            </w:pPr>
            <w:r>
              <w:rPr>
                <w:rFonts w:hint="eastAsia"/>
                <w:b/>
                <w:bCs/>
                <w:color w:val="auto"/>
                <w:lang w:val="en-US" w:eastAsia="zh-CN"/>
              </w:rPr>
              <w:t>⑨磨刀机工作：</w:t>
            </w:r>
            <w:r>
              <w:rPr>
                <w:rFonts w:hint="eastAsia"/>
                <w:color w:val="auto"/>
                <w:lang w:val="en-US" w:eastAsia="zh-CN"/>
              </w:rPr>
              <w:t>项目加工机械切割或分切用的刀片，定期使用磨刀机打磨，会产生噪声N。</w:t>
            </w:r>
          </w:p>
          <w:p>
            <w:pPr>
              <w:pStyle w:val="66"/>
              <w:spacing w:line="336" w:lineRule="auto"/>
              <w:ind w:firstLine="480"/>
              <w:rPr>
                <w:rFonts w:hint="eastAsia"/>
                <w:color w:val="auto"/>
                <w:sz w:val="24"/>
                <w:highlight w:val="none"/>
                <w:lang w:val="en-US" w:eastAsia="zh-CN"/>
              </w:rPr>
            </w:pPr>
            <w:r>
              <w:rPr>
                <w:rFonts w:hint="eastAsia"/>
                <w:b/>
                <w:bCs/>
                <w:color w:val="auto"/>
                <w:sz w:val="24"/>
                <w:highlight w:val="none"/>
                <w:lang w:val="en-US" w:eastAsia="zh-CN"/>
              </w:rPr>
              <w:t>2.9.3营运期产排污环节</w:t>
            </w:r>
          </w:p>
          <w:p>
            <w:pPr>
              <w:pStyle w:val="66"/>
              <w:spacing w:line="240" w:lineRule="auto"/>
              <w:ind w:left="0" w:leftChars="0" w:firstLine="0" w:firstLineChars="0"/>
              <w:jc w:val="center"/>
              <w:rPr>
                <w:rFonts w:hint="eastAsia"/>
                <w:color w:val="auto"/>
                <w:sz w:val="24"/>
                <w:highlight w:val="none"/>
                <w:lang w:val="en-US" w:eastAsia="zh-CN"/>
              </w:rPr>
            </w:pPr>
            <w:r>
              <w:rPr>
                <w:rFonts w:hint="eastAsia"/>
                <w:color w:val="auto"/>
                <w:sz w:val="24"/>
                <w:highlight w:val="none"/>
                <w:lang w:val="en-US" w:eastAsia="zh-CN"/>
              </w:rPr>
              <w:t>表2.9-1 营运期产污环节表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664"/>
              <w:gridCol w:w="2887"/>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污染物类别</w:t>
                  </w: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产污环节</w:t>
                  </w:r>
                </w:p>
              </w:tc>
              <w:tc>
                <w:tcPr>
                  <w:tcW w:w="178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污染物编号</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restar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废气</w:t>
                  </w: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卷管</w:t>
                  </w:r>
                </w:p>
              </w:tc>
              <w:tc>
                <w:tcPr>
                  <w:tcW w:w="1787"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胶粘废气G1</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流延</w:t>
                  </w:r>
                </w:p>
              </w:tc>
              <w:tc>
                <w:tcPr>
                  <w:tcW w:w="1787"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流延废气G2</w:t>
                  </w:r>
                </w:p>
              </w:tc>
              <w:tc>
                <w:tcPr>
                  <w:tcW w:w="1509"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非甲烷总烃</w:t>
                  </w:r>
                  <w:r>
                    <w:rPr>
                      <w:rFonts w:hint="eastAsia" w:cs="Times New Roman"/>
                      <w:color w:val="auto"/>
                      <w:kern w:val="0"/>
                      <w:sz w:val="21"/>
                      <w:szCs w:val="21"/>
                      <w:highlight w:val="none"/>
                      <w:lang w:val="en-US" w:eastAsia="zh-CN" w:bidi="ar"/>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拌料废气</w:t>
                  </w:r>
                </w:p>
              </w:tc>
              <w:tc>
                <w:tcPr>
                  <w:tcW w:w="1787"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拌料废气G3</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气柱膜吹膜</w:t>
                  </w:r>
                </w:p>
              </w:tc>
              <w:tc>
                <w:tcPr>
                  <w:tcW w:w="1787"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吹膜废气G5</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非甲烷总烃</w:t>
                  </w:r>
                  <w:r>
                    <w:rPr>
                      <w:rFonts w:hint="eastAsia" w:cs="Times New Roman"/>
                      <w:color w:val="auto"/>
                      <w:kern w:val="0"/>
                      <w:sz w:val="21"/>
                      <w:szCs w:val="21"/>
                      <w:highlight w:val="none"/>
                      <w:lang w:val="en-US" w:eastAsia="zh-CN" w:bidi="ar"/>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平口袋吹膜</w:t>
                  </w:r>
                </w:p>
              </w:tc>
              <w:tc>
                <w:tcPr>
                  <w:tcW w:w="1787"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吹膜废气G4</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非甲烷总烃</w:t>
                  </w:r>
                  <w:r>
                    <w:rPr>
                      <w:rFonts w:hint="eastAsia" w:cs="Times New Roman"/>
                      <w:color w:val="auto"/>
                      <w:kern w:val="0"/>
                      <w:sz w:val="21"/>
                      <w:szCs w:val="21"/>
                      <w:highlight w:val="none"/>
                      <w:lang w:val="en-US" w:eastAsia="zh-CN" w:bidi="ar"/>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制袋</w:t>
                  </w:r>
                </w:p>
              </w:tc>
              <w:tc>
                <w:tcPr>
                  <w:tcW w:w="1787"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制袋废气G6、G7</w:t>
                  </w:r>
                </w:p>
              </w:tc>
              <w:tc>
                <w:tcPr>
                  <w:tcW w:w="1509"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食堂</w:t>
                  </w:r>
                </w:p>
              </w:tc>
              <w:tc>
                <w:tcPr>
                  <w:tcW w:w="1787"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食堂废气G8</w:t>
                  </w:r>
                </w:p>
              </w:tc>
              <w:tc>
                <w:tcPr>
                  <w:tcW w:w="1509"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油烟、非甲烷总烃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危废存放</w:t>
                  </w:r>
                </w:p>
              </w:tc>
              <w:tc>
                <w:tcPr>
                  <w:tcW w:w="1787"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危废间有机废气G9</w:t>
                  </w:r>
                </w:p>
              </w:tc>
              <w:tc>
                <w:tcPr>
                  <w:tcW w:w="1509"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生化池处理</w:t>
                  </w:r>
                </w:p>
              </w:tc>
              <w:tc>
                <w:tcPr>
                  <w:tcW w:w="1787"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生化池废气G10</w:t>
                  </w:r>
                </w:p>
              </w:tc>
              <w:tc>
                <w:tcPr>
                  <w:tcW w:w="1509"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ascii="Times New Roman" w:cs="Times New Roman"/>
                      <w:color w:val="auto"/>
                      <w:kern w:val="2"/>
                      <w:sz w:val="21"/>
                      <w:szCs w:val="21"/>
                    </w:rPr>
                    <w:t>臭气浓度</w:t>
                  </w:r>
                  <w:r>
                    <w:rPr>
                      <w:rFonts w:hint="eastAsia" w:cs="Times New Roman"/>
                      <w:color w:val="auto"/>
                      <w:sz w:val="21"/>
                      <w:szCs w:val="21"/>
                      <w:lang w:bidi="ar"/>
                    </w:rPr>
                    <w:t>、</w:t>
                  </w:r>
                  <w:r>
                    <w:rPr>
                      <w:rFonts w:ascii="Times New Roman" w:cs="Times New Roman"/>
                      <w:color w:val="auto"/>
                      <w:sz w:val="21"/>
                      <w:szCs w:val="21"/>
                    </w:rPr>
                    <w:t>H</w:t>
                  </w:r>
                  <w:r>
                    <w:rPr>
                      <w:rFonts w:ascii="Times New Roman" w:cs="Times New Roman"/>
                      <w:color w:val="auto"/>
                      <w:sz w:val="21"/>
                      <w:szCs w:val="21"/>
                      <w:vertAlign w:val="subscript"/>
                    </w:rPr>
                    <w:t>2</w:t>
                  </w:r>
                  <w:r>
                    <w:rPr>
                      <w:rFonts w:ascii="Times New Roman" w:cs="Times New Roman"/>
                      <w:color w:val="auto"/>
                      <w:sz w:val="21"/>
                      <w:szCs w:val="21"/>
                    </w:rPr>
                    <w:t>S、NH</w:t>
                  </w:r>
                  <w:r>
                    <w:rPr>
                      <w:rFonts w:ascii="Times New Roman" w:cs="Times New Roman"/>
                      <w:color w:val="auto"/>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2" w:type="pct"/>
                  <w:vMerge w:val="restar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废水</w:t>
                  </w: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冷却</w:t>
                  </w:r>
                </w:p>
              </w:tc>
              <w:tc>
                <w:tcPr>
                  <w:tcW w:w="178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冷却废水W1、W2、W3</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z w:val="21"/>
                      <w:szCs w:val="21"/>
                      <w:lang w:val="en-US" w:eastAsia="zh-CN"/>
                    </w:rPr>
                    <w:t>pH、</w:t>
                  </w:r>
                  <w:r>
                    <w:rPr>
                      <w:rFonts w:hint="eastAsia" w:cs="Times New Roman"/>
                      <w:color w:val="auto"/>
                      <w:kern w:val="0"/>
                      <w:sz w:val="21"/>
                      <w:szCs w:val="21"/>
                      <w:highlight w:val="none"/>
                      <w:lang w:val="en-US" w:eastAsia="zh-CN" w:bidi="ar"/>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2" w:type="pct"/>
                  <w:vMerge w:val="continue"/>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员工生活</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生活污水W4</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z w:val="21"/>
                      <w:szCs w:val="21"/>
                      <w:lang w:val="en-US" w:eastAsia="zh-CN"/>
                    </w:rPr>
                    <w:t>pH、</w:t>
                  </w:r>
                  <w:r>
                    <w:rPr>
                      <w:rFonts w:hint="eastAsia"/>
                      <w:color w:val="auto"/>
                      <w:sz w:val="21"/>
                      <w:szCs w:val="21"/>
                    </w:rPr>
                    <w:t>COD、BOD</w:t>
                  </w:r>
                  <w:r>
                    <w:rPr>
                      <w:rFonts w:hint="eastAsia"/>
                      <w:color w:val="auto"/>
                      <w:sz w:val="21"/>
                      <w:szCs w:val="21"/>
                      <w:vertAlign w:val="subscript"/>
                    </w:rPr>
                    <w:t>5</w:t>
                  </w:r>
                  <w:r>
                    <w:rPr>
                      <w:rFonts w:hint="eastAsia"/>
                      <w:color w:val="auto"/>
                      <w:sz w:val="21"/>
                      <w:szCs w:val="21"/>
                    </w:rPr>
                    <w:t>、SS、NH</w:t>
                  </w:r>
                  <w:r>
                    <w:rPr>
                      <w:rFonts w:hint="eastAsia"/>
                      <w:color w:val="auto"/>
                      <w:sz w:val="21"/>
                      <w:szCs w:val="21"/>
                      <w:vertAlign w:val="subscript"/>
                    </w:rPr>
                    <w:t>3</w:t>
                  </w:r>
                  <w:r>
                    <w:rPr>
                      <w:rFonts w:hint="eastAsia"/>
                      <w:color w:val="auto"/>
                      <w:sz w:val="21"/>
                      <w:szCs w:val="21"/>
                    </w:rPr>
                    <w:t>-N、总氮、</w:t>
                  </w:r>
                  <w:r>
                    <w:rPr>
                      <w:rFonts w:hint="eastAsia"/>
                      <w:color w:val="auto"/>
                      <w:sz w:val="21"/>
                      <w:szCs w:val="21"/>
                      <w:lang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2" w:type="pct"/>
                  <w:vMerge w:val="continue"/>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食堂</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食堂废水W5</w:t>
                  </w:r>
                </w:p>
              </w:tc>
              <w:tc>
                <w:tcPr>
                  <w:tcW w:w="1509" w:type="pct"/>
                  <w:vAlign w:val="center"/>
                </w:tcPr>
                <w:p>
                  <w:pPr>
                    <w:widowControl/>
                    <w:spacing w:line="240" w:lineRule="auto"/>
                    <w:jc w:val="center"/>
                    <w:textAlignment w:val="center"/>
                    <w:rPr>
                      <w:rFonts w:hint="eastAsia" w:eastAsia="宋体"/>
                      <w:color w:val="auto"/>
                      <w:sz w:val="21"/>
                      <w:szCs w:val="21"/>
                      <w:lang w:eastAsia="zh-CN"/>
                    </w:rPr>
                  </w:pPr>
                  <w:r>
                    <w:rPr>
                      <w:rFonts w:hint="eastAsia"/>
                      <w:color w:val="auto"/>
                      <w:sz w:val="21"/>
                      <w:szCs w:val="21"/>
                      <w:lang w:val="en-US" w:eastAsia="zh-CN"/>
                    </w:rPr>
                    <w:t>pH、</w:t>
                  </w:r>
                  <w:r>
                    <w:rPr>
                      <w:rFonts w:hint="eastAsia"/>
                      <w:color w:val="auto"/>
                      <w:sz w:val="21"/>
                      <w:szCs w:val="21"/>
                    </w:rPr>
                    <w:t>COD、</w:t>
                  </w:r>
                  <w:r>
                    <w:rPr>
                      <w:color w:val="auto"/>
                      <w:sz w:val="21"/>
                      <w:szCs w:val="21"/>
                    </w:rPr>
                    <w:t>NH</w:t>
                  </w:r>
                  <w:r>
                    <w:rPr>
                      <w:color w:val="auto"/>
                      <w:sz w:val="21"/>
                      <w:szCs w:val="21"/>
                      <w:vertAlign w:val="subscript"/>
                    </w:rPr>
                    <w:t>3</w:t>
                  </w:r>
                  <w:r>
                    <w:rPr>
                      <w:color w:val="auto"/>
                      <w:sz w:val="21"/>
                      <w:szCs w:val="21"/>
                    </w:rPr>
                    <w:t>-N</w:t>
                  </w:r>
                  <w:r>
                    <w:rPr>
                      <w:rFonts w:hint="eastAsia"/>
                      <w:color w:val="auto"/>
                      <w:sz w:val="21"/>
                      <w:szCs w:val="21"/>
                      <w:lang w:eastAsia="zh-CN"/>
                    </w:rPr>
                    <w:t>、</w:t>
                  </w:r>
                  <w:r>
                    <w:rPr>
                      <w:rFonts w:hint="eastAsia"/>
                      <w:color w:val="auto"/>
                      <w:sz w:val="21"/>
                      <w:szCs w:val="21"/>
                    </w:rPr>
                    <w:t>动植物油</w:t>
                  </w:r>
                  <w:r>
                    <w:rPr>
                      <w:rFonts w:hint="eastAsia"/>
                      <w:color w:val="auto"/>
                      <w:sz w:val="21"/>
                      <w:szCs w:val="21"/>
                      <w:lang w:eastAsia="zh-CN"/>
                    </w:rPr>
                    <w:t>、</w:t>
                  </w:r>
                  <w:r>
                    <w:rPr>
                      <w:rFonts w:hint="eastAsia"/>
                      <w:color w:val="auto"/>
                      <w:sz w:val="21"/>
                      <w:szCs w:val="21"/>
                      <w:lang w:val="en-US" w:eastAsia="zh-CN"/>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2" w:type="pct"/>
                  <w:vMerge w:val="continue"/>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地面清洁</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清洁废水W6</w:t>
                  </w:r>
                </w:p>
              </w:tc>
              <w:tc>
                <w:tcPr>
                  <w:tcW w:w="1509" w:type="pct"/>
                  <w:vAlign w:val="center"/>
                </w:tcPr>
                <w:p>
                  <w:pPr>
                    <w:widowControl/>
                    <w:spacing w:line="240" w:lineRule="auto"/>
                    <w:jc w:val="center"/>
                    <w:textAlignment w:val="center"/>
                    <w:rPr>
                      <w:rFonts w:hint="eastAsia" w:eastAsia="宋体"/>
                      <w:color w:val="auto"/>
                      <w:sz w:val="21"/>
                      <w:szCs w:val="21"/>
                      <w:lang w:eastAsia="zh-CN"/>
                    </w:rPr>
                  </w:pPr>
                  <w:r>
                    <w:rPr>
                      <w:rFonts w:hint="eastAsia"/>
                      <w:color w:val="auto"/>
                      <w:sz w:val="21"/>
                      <w:szCs w:val="21"/>
                      <w:lang w:val="en-US" w:eastAsia="zh-CN"/>
                    </w:rPr>
                    <w:t>pH、</w:t>
                  </w:r>
                  <w:r>
                    <w:rPr>
                      <w:rFonts w:hint="eastAsia"/>
                      <w:color w:val="auto"/>
                      <w:sz w:val="21"/>
                      <w:szCs w:val="21"/>
                    </w:rPr>
                    <w:t>COD、SS</w:t>
                  </w:r>
                  <w:r>
                    <w:rPr>
                      <w:rFonts w:hint="eastAsia"/>
                      <w:color w:val="auto"/>
                      <w:sz w:val="21"/>
                      <w:szCs w:val="21"/>
                      <w:lang w:eastAsia="zh-CN"/>
                    </w:rPr>
                    <w:t>、石油类、</w:t>
                  </w:r>
                  <w:r>
                    <w:rPr>
                      <w:rFonts w:hint="eastAsia"/>
                      <w:color w:val="auto"/>
                      <w:sz w:val="21"/>
                      <w:szCs w:val="21"/>
                      <w:lang w:val="en-US" w:eastAsia="zh-CN"/>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restar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一般固废</w:t>
                  </w: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分切</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边角料S2</w:t>
                  </w:r>
                  <w:r>
                    <w:rPr>
                      <w:rFonts w:hint="eastAsia" w:cs="Times New Roman"/>
                      <w:color w:val="auto"/>
                      <w:kern w:val="0"/>
                      <w:sz w:val="21"/>
                      <w:szCs w:val="21"/>
                      <w:highlight w:val="none"/>
                      <w:lang w:val="en-US" w:eastAsia="zh-CN" w:bidi="ar"/>
                    </w:rPr>
                    <w:t>、S11</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切割</w:t>
                  </w:r>
                </w:p>
              </w:tc>
              <w:tc>
                <w:tcPr>
                  <w:tcW w:w="178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边角料S3</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制袋</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边角料S4、S5</w:t>
                  </w:r>
                </w:p>
              </w:tc>
              <w:tc>
                <w:tcPr>
                  <w:tcW w:w="1509"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边角料压扁</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边角料S1、S2、S3、S4、S5</w:t>
                  </w:r>
                  <w:r>
                    <w:rPr>
                      <w:rFonts w:hint="eastAsia" w:cs="Times New Roman"/>
                      <w:color w:val="auto"/>
                      <w:kern w:val="0"/>
                      <w:sz w:val="21"/>
                      <w:szCs w:val="21"/>
                      <w:highlight w:val="none"/>
                      <w:lang w:val="en-US" w:eastAsia="zh-CN" w:bidi="ar"/>
                    </w:rPr>
                    <w:t>、S11</w:t>
                  </w:r>
                </w:p>
              </w:tc>
              <w:tc>
                <w:tcPr>
                  <w:tcW w:w="1509"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生活垃圾</w:t>
                  </w: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员工生活</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生活垃圾S</w:t>
                  </w:r>
                  <w:r>
                    <w:rPr>
                      <w:rFonts w:hint="eastAsia" w:cs="Times New Roman"/>
                      <w:color w:val="auto"/>
                      <w:kern w:val="0"/>
                      <w:sz w:val="21"/>
                      <w:szCs w:val="21"/>
                      <w:highlight w:val="none"/>
                      <w:lang w:val="en-US" w:eastAsia="zh-CN" w:bidi="ar"/>
                    </w:rPr>
                    <w:t>9</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restar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危险废物</w:t>
                  </w: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切管</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边角料（含胶渣）S1</w:t>
                  </w:r>
                </w:p>
              </w:tc>
              <w:tc>
                <w:tcPr>
                  <w:tcW w:w="1509"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72" w:type="pct"/>
                  <w:vMerge w:val="continue"/>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设备维护</w:t>
                  </w:r>
                </w:p>
              </w:tc>
              <w:tc>
                <w:tcPr>
                  <w:tcW w:w="178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废润滑油S5、废含油棉纱手套</w:t>
                  </w:r>
                  <w:r>
                    <w:rPr>
                      <w:rFonts w:hint="eastAsia" w:cs="Times New Roman"/>
                      <w:color w:val="auto"/>
                      <w:kern w:val="0"/>
                      <w:sz w:val="21"/>
                      <w:szCs w:val="21"/>
                      <w:highlight w:val="none"/>
                      <w:lang w:val="en-US" w:eastAsia="zh-CN" w:bidi="ar"/>
                    </w:rPr>
                    <w:t>S</w:t>
                  </w:r>
                  <w:r>
                    <w:rPr>
                      <w:rFonts w:hint="eastAsia" w:ascii="Times New Roman" w:hAnsi="Times New Roman" w:eastAsia="宋体" w:cs="Times New Roman"/>
                      <w:color w:val="auto"/>
                      <w:kern w:val="0"/>
                      <w:sz w:val="21"/>
                      <w:szCs w:val="21"/>
                      <w:highlight w:val="none"/>
                      <w:lang w:val="en-US" w:eastAsia="zh-CN" w:bidi="ar"/>
                    </w:rPr>
                    <w:t>6、废润滑油桶S7</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vMerge w:val="continue"/>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环保设备处理</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废活性炭S8</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空压机运行</w:t>
                  </w:r>
                </w:p>
              </w:tc>
              <w:tc>
                <w:tcPr>
                  <w:tcW w:w="178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空压机含油废液S1</w:t>
                  </w:r>
                  <w:r>
                    <w:rPr>
                      <w:rFonts w:hint="eastAsia" w:cs="Times New Roman"/>
                      <w:color w:val="auto"/>
                      <w:kern w:val="0"/>
                      <w:sz w:val="21"/>
                      <w:szCs w:val="21"/>
                      <w:highlight w:val="none"/>
                      <w:lang w:val="en-US" w:eastAsia="zh-CN" w:bidi="ar"/>
                    </w:rPr>
                    <w:t>0</w:t>
                  </w:r>
                </w:p>
              </w:tc>
              <w:tc>
                <w:tcPr>
                  <w:tcW w:w="1509"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p>
              </w:tc>
              <w:tc>
                <w:tcPr>
                  <w:tcW w:w="1030"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卷管</w:t>
                  </w:r>
                </w:p>
              </w:tc>
              <w:tc>
                <w:tcPr>
                  <w:tcW w:w="178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废胶桶S12</w:t>
                  </w:r>
                </w:p>
              </w:tc>
              <w:tc>
                <w:tcPr>
                  <w:tcW w:w="1509"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噪声</w:t>
                  </w:r>
                </w:p>
              </w:tc>
              <w:tc>
                <w:tcPr>
                  <w:tcW w:w="1030"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机械运行</w:t>
                  </w:r>
                </w:p>
              </w:tc>
              <w:tc>
                <w:tcPr>
                  <w:tcW w:w="1787" w:type="pct"/>
                  <w:vAlign w:val="center"/>
                </w:tcPr>
                <w:p>
                  <w:pPr>
                    <w:widowControl/>
                    <w:spacing w:line="240" w:lineRule="auto"/>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N</w:t>
                  </w:r>
                </w:p>
              </w:tc>
              <w:tc>
                <w:tcPr>
                  <w:tcW w:w="1509" w:type="pct"/>
                  <w:vAlign w:val="center"/>
                </w:tcPr>
                <w:p>
                  <w:pPr>
                    <w:widowControl/>
                    <w:spacing w:line="240" w:lineRule="auto"/>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N</w:t>
                  </w:r>
                </w:p>
              </w:tc>
            </w:tr>
          </w:tbl>
          <w:p>
            <w:pPr>
              <w:pStyle w:val="66"/>
              <w:spacing w:line="336" w:lineRule="auto"/>
              <w:ind w:firstLine="480"/>
              <w:rPr>
                <w:rFonts w:hint="eastAsia"/>
                <w:b/>
                <w:bCs/>
                <w:color w:val="auto"/>
                <w:sz w:val="24"/>
                <w:highlight w:val="none"/>
                <w:lang w:val="en-US" w:eastAsia="zh-CN"/>
              </w:rPr>
            </w:pPr>
            <w:r>
              <w:rPr>
                <w:rFonts w:hint="eastAsia"/>
                <w:b/>
                <w:bCs/>
                <w:color w:val="auto"/>
                <w:sz w:val="24"/>
                <w:highlight w:val="none"/>
                <w:lang w:val="en-US" w:eastAsia="zh-CN"/>
              </w:rPr>
              <w:t>2.9.4物料平衡</w:t>
            </w:r>
          </w:p>
          <w:p>
            <w:pPr>
              <w:spacing w:line="240" w:lineRule="auto"/>
              <w:jc w:val="center"/>
              <w:rPr>
                <w:color w:val="auto"/>
              </w:rPr>
            </w:pPr>
            <w:r>
              <w:rPr>
                <w:color w:val="auto"/>
              </w:rPr>
              <w:t>表</w:t>
            </w:r>
            <w:r>
              <w:rPr>
                <w:rFonts w:hint="eastAsia"/>
                <w:color w:val="auto"/>
                <w:lang w:val="en-US" w:eastAsia="zh-CN"/>
              </w:rPr>
              <w:t>2.9-4</w:t>
            </w:r>
            <w:r>
              <w:rPr>
                <w:color w:val="auto"/>
              </w:rPr>
              <w:t xml:space="preserve">  项目</w:t>
            </w:r>
            <w:r>
              <w:rPr>
                <w:rFonts w:hint="eastAsia"/>
                <w:color w:val="auto"/>
                <w:lang w:val="en-US" w:eastAsia="zh-CN"/>
              </w:rPr>
              <w:t>原料</w:t>
            </w:r>
            <w:r>
              <w:rPr>
                <w:color w:val="auto"/>
              </w:rPr>
              <w:t>物料平衡表  单位：t/a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16"/>
              <w:gridCol w:w="1110"/>
              <w:gridCol w:w="2460"/>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vAlign w:val="center"/>
                </w:tcPr>
                <w:p>
                  <w:pPr>
                    <w:pStyle w:val="41"/>
                    <w:spacing w:line="240" w:lineRule="auto"/>
                    <w:jc w:val="center"/>
                    <w:rPr>
                      <w:color w:val="auto"/>
                      <w:sz w:val="21"/>
                      <w:szCs w:val="21"/>
                    </w:rPr>
                  </w:pPr>
                  <w:r>
                    <w:rPr>
                      <w:color w:val="auto"/>
                      <w:sz w:val="21"/>
                      <w:szCs w:val="21"/>
                    </w:rPr>
                    <w:t>序号</w:t>
                  </w:r>
                </w:p>
              </w:tc>
              <w:tc>
                <w:tcPr>
                  <w:tcW w:w="1764" w:type="pct"/>
                  <w:gridSpan w:val="2"/>
                  <w:vAlign w:val="center"/>
                </w:tcPr>
                <w:p>
                  <w:pPr>
                    <w:pStyle w:val="41"/>
                    <w:spacing w:line="240" w:lineRule="auto"/>
                    <w:jc w:val="center"/>
                    <w:rPr>
                      <w:color w:val="auto"/>
                      <w:sz w:val="21"/>
                      <w:szCs w:val="21"/>
                    </w:rPr>
                  </w:pPr>
                  <w:r>
                    <w:rPr>
                      <w:color w:val="auto"/>
                      <w:sz w:val="21"/>
                      <w:szCs w:val="21"/>
                    </w:rPr>
                    <w:t>输入系统物料</w:t>
                  </w:r>
                </w:p>
              </w:tc>
              <w:tc>
                <w:tcPr>
                  <w:tcW w:w="2661" w:type="pct"/>
                  <w:gridSpan w:val="2"/>
                  <w:vAlign w:val="center"/>
                </w:tcPr>
                <w:p>
                  <w:pPr>
                    <w:pStyle w:val="41"/>
                    <w:spacing w:line="240" w:lineRule="auto"/>
                    <w:jc w:val="center"/>
                    <w:rPr>
                      <w:color w:val="auto"/>
                      <w:sz w:val="21"/>
                      <w:szCs w:val="21"/>
                    </w:rPr>
                  </w:pPr>
                  <w:r>
                    <w:rPr>
                      <w:color w:val="auto"/>
                      <w:sz w:val="21"/>
                      <w:szCs w:val="21"/>
                    </w:rPr>
                    <w:t>排出系统物料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vAlign w:val="center"/>
                </w:tcPr>
                <w:p>
                  <w:pPr>
                    <w:pStyle w:val="41"/>
                    <w:spacing w:line="240" w:lineRule="auto"/>
                    <w:jc w:val="center"/>
                    <w:rPr>
                      <w:color w:val="auto"/>
                      <w:sz w:val="21"/>
                      <w:szCs w:val="21"/>
                    </w:rPr>
                  </w:pPr>
                </w:p>
              </w:tc>
              <w:tc>
                <w:tcPr>
                  <w:tcW w:w="1140" w:type="pct"/>
                  <w:vAlign w:val="center"/>
                </w:tcPr>
                <w:p>
                  <w:pPr>
                    <w:pStyle w:val="41"/>
                    <w:spacing w:line="240" w:lineRule="auto"/>
                    <w:jc w:val="center"/>
                    <w:rPr>
                      <w:color w:val="auto"/>
                      <w:sz w:val="21"/>
                      <w:szCs w:val="21"/>
                    </w:rPr>
                  </w:pPr>
                  <w:r>
                    <w:rPr>
                      <w:color w:val="auto"/>
                      <w:sz w:val="21"/>
                      <w:szCs w:val="21"/>
                    </w:rPr>
                    <w:t>名称</w:t>
                  </w:r>
                </w:p>
              </w:tc>
              <w:tc>
                <w:tcPr>
                  <w:tcW w:w="624" w:type="pct"/>
                  <w:vAlign w:val="center"/>
                </w:tcPr>
                <w:p>
                  <w:pPr>
                    <w:pStyle w:val="41"/>
                    <w:spacing w:line="240" w:lineRule="auto"/>
                    <w:jc w:val="center"/>
                    <w:rPr>
                      <w:color w:val="auto"/>
                      <w:sz w:val="21"/>
                      <w:szCs w:val="21"/>
                    </w:rPr>
                  </w:pPr>
                  <w:r>
                    <w:rPr>
                      <w:color w:val="auto"/>
                      <w:sz w:val="21"/>
                      <w:szCs w:val="21"/>
                    </w:rPr>
                    <w:t>物料量</w:t>
                  </w:r>
                </w:p>
              </w:tc>
              <w:tc>
                <w:tcPr>
                  <w:tcW w:w="1538" w:type="pct"/>
                  <w:vAlign w:val="center"/>
                </w:tcPr>
                <w:p>
                  <w:pPr>
                    <w:pStyle w:val="41"/>
                    <w:spacing w:line="240" w:lineRule="auto"/>
                    <w:jc w:val="center"/>
                    <w:rPr>
                      <w:color w:val="auto"/>
                      <w:sz w:val="21"/>
                      <w:szCs w:val="21"/>
                    </w:rPr>
                  </w:pPr>
                  <w:r>
                    <w:rPr>
                      <w:color w:val="auto"/>
                      <w:sz w:val="21"/>
                      <w:szCs w:val="21"/>
                    </w:rPr>
                    <w:t>名称</w:t>
                  </w:r>
                </w:p>
              </w:tc>
              <w:tc>
                <w:tcPr>
                  <w:tcW w:w="1123" w:type="pct"/>
                  <w:vAlign w:val="center"/>
                </w:tcPr>
                <w:p>
                  <w:pPr>
                    <w:pStyle w:val="41"/>
                    <w:spacing w:line="240" w:lineRule="auto"/>
                    <w:jc w:val="center"/>
                    <w:rPr>
                      <w:color w:val="auto"/>
                      <w:sz w:val="21"/>
                      <w:szCs w:val="21"/>
                    </w:rPr>
                  </w:pPr>
                  <w:r>
                    <w:rPr>
                      <w:color w:val="auto"/>
                      <w:sz w:val="21"/>
                      <w:szCs w:val="21"/>
                    </w:rPr>
                    <w:t>物料量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1</w:t>
                  </w:r>
                </w:p>
              </w:tc>
              <w:tc>
                <w:tcPr>
                  <w:tcW w:w="1140" w:type="pct"/>
                  <w:vAlign w:val="center"/>
                </w:tcPr>
                <w:p>
                  <w:pPr>
                    <w:widowControl/>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PE</w:t>
                  </w:r>
                </w:p>
              </w:tc>
              <w:tc>
                <w:tcPr>
                  <w:tcW w:w="624"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1502.25</w:t>
                  </w:r>
                </w:p>
              </w:tc>
              <w:tc>
                <w:tcPr>
                  <w:tcW w:w="1538" w:type="pct"/>
                  <w:vMerge w:val="restar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缠绕膜</w:t>
                  </w:r>
                </w:p>
              </w:tc>
              <w:tc>
                <w:tcPr>
                  <w:tcW w:w="1123" w:type="pct"/>
                  <w:vMerge w:val="restar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Merge w:val="continue"/>
                  <w:vAlign w:val="center"/>
                </w:tcPr>
                <w:p>
                  <w:pPr>
                    <w:pStyle w:val="41"/>
                    <w:spacing w:line="240" w:lineRule="auto"/>
                    <w:jc w:val="center"/>
                    <w:rPr>
                      <w:rFonts w:hint="eastAsia"/>
                      <w:color w:val="auto"/>
                      <w:sz w:val="21"/>
                      <w:szCs w:val="21"/>
                      <w:lang w:val="en-US" w:eastAsia="zh-CN"/>
                    </w:rPr>
                  </w:pPr>
                </w:p>
              </w:tc>
              <w:tc>
                <w:tcPr>
                  <w:tcW w:w="1140" w:type="pct"/>
                  <w:vAlign w:val="center"/>
                </w:tcPr>
                <w:p>
                  <w:pPr>
                    <w:widowControl/>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缠绕膜芯</w:t>
                  </w:r>
                </w:p>
              </w:tc>
              <w:tc>
                <w:tcPr>
                  <w:tcW w:w="624"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kern w:val="0"/>
                      <w:sz w:val="21"/>
                      <w:szCs w:val="21"/>
                      <w:highlight w:val="none"/>
                      <w:lang w:val="en-US" w:eastAsia="zh-CN" w:bidi="ar"/>
                    </w:rPr>
                    <w:t>1.5</w:t>
                  </w:r>
                </w:p>
              </w:tc>
              <w:tc>
                <w:tcPr>
                  <w:tcW w:w="1538" w:type="pct"/>
                  <w:vMerge w:val="continue"/>
                  <w:vAlign w:val="center"/>
                </w:tcPr>
                <w:p>
                  <w:pPr>
                    <w:pStyle w:val="41"/>
                    <w:spacing w:line="240" w:lineRule="auto"/>
                    <w:jc w:val="center"/>
                    <w:rPr>
                      <w:rFonts w:hint="eastAsia"/>
                      <w:color w:val="auto"/>
                      <w:sz w:val="21"/>
                      <w:szCs w:val="21"/>
                      <w:lang w:val="en-US" w:eastAsia="zh-CN"/>
                    </w:rPr>
                  </w:pPr>
                </w:p>
              </w:tc>
              <w:tc>
                <w:tcPr>
                  <w:tcW w:w="1123" w:type="pct"/>
                  <w:vMerge w:val="continue"/>
                  <w:vAlign w:val="center"/>
                </w:tcPr>
                <w:p>
                  <w:pPr>
                    <w:pStyle w:val="41"/>
                    <w:spacing w:line="240" w:lineRule="auto"/>
                    <w:jc w:val="center"/>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624" w:type="pc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1538"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流延废气</w:t>
                  </w:r>
                </w:p>
              </w:tc>
              <w:tc>
                <w:tcPr>
                  <w:tcW w:w="1123" w:type="pct"/>
                  <w:vAlign w:val="center"/>
                </w:tcPr>
                <w:p>
                  <w:pPr>
                    <w:pStyle w:val="41"/>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pct"/>
                  <w:gridSpan w:val="2"/>
                  <w:vAlign w:val="center"/>
                </w:tcPr>
                <w:p>
                  <w:pPr>
                    <w:widowControl/>
                    <w:spacing w:line="240" w:lineRule="auto"/>
                    <w:jc w:val="center"/>
                    <w:textAlignment w:val="center"/>
                    <w:rPr>
                      <w:rFonts w:hint="eastAsia"/>
                      <w:b/>
                      <w:bCs/>
                      <w:color w:val="auto"/>
                      <w:sz w:val="21"/>
                      <w:szCs w:val="21"/>
                      <w:lang w:val="en-US" w:eastAsia="zh-CN"/>
                    </w:rPr>
                  </w:pPr>
                  <w:r>
                    <w:rPr>
                      <w:rFonts w:hint="eastAsia"/>
                      <w:b/>
                      <w:bCs/>
                      <w:color w:val="auto"/>
                      <w:sz w:val="21"/>
                      <w:szCs w:val="21"/>
                      <w:lang w:val="en-US" w:eastAsia="zh-CN"/>
                    </w:rPr>
                    <w:t>小计</w:t>
                  </w:r>
                </w:p>
              </w:tc>
              <w:tc>
                <w:tcPr>
                  <w:tcW w:w="624" w:type="pct"/>
                  <w:vAlign w:val="center"/>
                </w:tcPr>
                <w:p>
                  <w:pPr>
                    <w:pStyle w:val="41"/>
                    <w:spacing w:line="240" w:lineRule="auto"/>
                    <w:jc w:val="center"/>
                    <w:rPr>
                      <w:rFonts w:hint="eastAsia"/>
                      <w:b/>
                      <w:bCs/>
                      <w:color w:val="auto"/>
                      <w:sz w:val="21"/>
                      <w:szCs w:val="21"/>
                      <w:lang w:val="en-US" w:eastAsia="zh-CN"/>
                    </w:rPr>
                  </w:pPr>
                  <w:r>
                    <w:rPr>
                      <w:rFonts w:hint="eastAsia"/>
                      <w:b/>
                      <w:bCs/>
                      <w:color w:val="auto"/>
                      <w:sz w:val="21"/>
                      <w:szCs w:val="21"/>
                      <w:lang w:val="en-US" w:eastAsia="zh-CN"/>
                    </w:rPr>
                    <w:t>1503.75</w:t>
                  </w:r>
                </w:p>
              </w:tc>
              <w:tc>
                <w:tcPr>
                  <w:tcW w:w="1538" w:type="pct"/>
                  <w:vAlign w:val="center"/>
                </w:tcPr>
                <w:p>
                  <w:pPr>
                    <w:pStyle w:val="41"/>
                    <w:spacing w:line="240" w:lineRule="auto"/>
                    <w:jc w:val="center"/>
                    <w:rPr>
                      <w:rFonts w:hint="default"/>
                      <w:b/>
                      <w:bCs/>
                      <w:color w:val="auto"/>
                      <w:sz w:val="21"/>
                      <w:szCs w:val="21"/>
                      <w:lang w:val="en-US" w:eastAsia="zh-CN"/>
                    </w:rPr>
                  </w:pPr>
                  <w:r>
                    <w:rPr>
                      <w:rFonts w:hint="eastAsia"/>
                      <w:b/>
                      <w:bCs/>
                      <w:color w:val="auto"/>
                      <w:sz w:val="21"/>
                      <w:szCs w:val="21"/>
                      <w:lang w:val="en-US" w:eastAsia="zh-CN"/>
                    </w:rPr>
                    <w:t>/</w:t>
                  </w:r>
                </w:p>
              </w:tc>
              <w:tc>
                <w:tcPr>
                  <w:tcW w:w="1123" w:type="pct"/>
                  <w:vAlign w:val="center"/>
                </w:tcPr>
                <w:p>
                  <w:pPr>
                    <w:pStyle w:val="41"/>
                    <w:spacing w:line="240" w:lineRule="auto"/>
                    <w:jc w:val="center"/>
                    <w:rPr>
                      <w:rFonts w:hint="default" w:eastAsia="宋体"/>
                      <w:b/>
                      <w:bCs/>
                      <w:color w:val="auto"/>
                      <w:sz w:val="21"/>
                      <w:szCs w:val="21"/>
                      <w:lang w:val="en-US" w:eastAsia="zh-CN"/>
                    </w:rPr>
                  </w:pPr>
                  <w:r>
                    <w:rPr>
                      <w:rFonts w:hint="eastAsia"/>
                      <w:b/>
                      <w:bCs/>
                      <w:color w:val="auto"/>
                      <w:sz w:val="21"/>
                      <w:szCs w:val="21"/>
                      <w:lang w:val="en-US" w:eastAsia="zh-CN"/>
                    </w:rPr>
                    <w:t>1503.75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2</w:t>
                  </w:r>
                </w:p>
              </w:tc>
              <w:tc>
                <w:tcPr>
                  <w:tcW w:w="1140" w:type="pct"/>
                  <w:vAlign w:val="center"/>
                </w:tcPr>
                <w:p>
                  <w:pPr>
                    <w:widowControl/>
                    <w:spacing w:line="240" w:lineRule="auto"/>
                    <w:jc w:val="center"/>
                    <w:textAlignment w:val="center"/>
                    <w:rPr>
                      <w:rFonts w:hint="eastAsia"/>
                      <w:color w:val="auto"/>
                      <w:sz w:val="21"/>
                      <w:szCs w:val="21"/>
                      <w:lang w:val="en-US" w:eastAsia="zh-CN"/>
                    </w:rPr>
                  </w:pPr>
                  <w:r>
                    <w:rPr>
                      <w:rFonts w:hint="eastAsia"/>
                      <w:color w:val="auto"/>
                      <w:sz w:val="21"/>
                      <w:szCs w:val="21"/>
                      <w:lang w:val="en-US" w:eastAsia="zh-CN"/>
                    </w:rPr>
                    <w:t>PE</w:t>
                  </w:r>
                </w:p>
              </w:tc>
              <w:tc>
                <w:tcPr>
                  <w:tcW w:w="624" w:type="pct"/>
                  <w:vAlign w:val="center"/>
                </w:tcPr>
                <w:p>
                  <w:pPr>
                    <w:pStyle w:val="41"/>
                    <w:spacing w:line="240" w:lineRule="auto"/>
                    <w:jc w:val="center"/>
                    <w:rPr>
                      <w:color w:val="auto"/>
                      <w:sz w:val="21"/>
                      <w:szCs w:val="21"/>
                    </w:rPr>
                  </w:pPr>
                  <w:r>
                    <w:rPr>
                      <w:rFonts w:hint="eastAsia"/>
                      <w:color w:val="auto"/>
                      <w:sz w:val="21"/>
                      <w:szCs w:val="21"/>
                    </w:rPr>
                    <w:t>7078.4</w:t>
                  </w:r>
                </w:p>
              </w:tc>
              <w:tc>
                <w:tcPr>
                  <w:tcW w:w="1538" w:type="pct"/>
                  <w:vAlign w:val="center"/>
                </w:tcPr>
                <w:p>
                  <w:pPr>
                    <w:pStyle w:val="41"/>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平口袋</w:t>
                  </w:r>
                </w:p>
              </w:tc>
              <w:tc>
                <w:tcPr>
                  <w:tcW w:w="1123"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Merge w:val="continue"/>
                  <w:vAlign w:val="center"/>
                </w:tcPr>
                <w:p>
                  <w:pPr>
                    <w:pStyle w:val="41"/>
                    <w:spacing w:line="240" w:lineRule="auto"/>
                    <w:jc w:val="center"/>
                    <w:rPr>
                      <w:rFonts w:hint="eastAsia"/>
                      <w:color w:val="auto"/>
                      <w:sz w:val="21"/>
                      <w:szCs w:val="21"/>
                      <w:lang w:val="en-US" w:eastAsia="zh-CN"/>
                    </w:rPr>
                  </w:pPr>
                </w:p>
              </w:tc>
              <w:tc>
                <w:tcPr>
                  <w:tcW w:w="1140" w:type="pct"/>
                  <w:vAlign w:val="center"/>
                </w:tcPr>
                <w:p>
                  <w:pPr>
                    <w:pStyle w:val="41"/>
                    <w:spacing w:line="240" w:lineRule="auto"/>
                    <w:jc w:val="center"/>
                    <w:rPr>
                      <w:rFonts w:hint="eastAsia"/>
                      <w:color w:val="auto"/>
                      <w:sz w:val="21"/>
                      <w:szCs w:val="21"/>
                      <w:lang w:val="en-US" w:eastAsia="zh-CN"/>
                    </w:rPr>
                  </w:pPr>
                  <w:r>
                    <w:rPr>
                      <w:rFonts w:hint="eastAsia"/>
                      <w:color w:val="auto"/>
                      <w:sz w:val="21"/>
                      <w:szCs w:val="21"/>
                      <w:lang w:val="en-US" w:eastAsia="zh-CN"/>
                    </w:rPr>
                    <w:t>/</w:t>
                  </w:r>
                </w:p>
              </w:tc>
              <w:tc>
                <w:tcPr>
                  <w:tcW w:w="624" w:type="pc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1538" w:type="pct"/>
                  <w:vAlign w:val="center"/>
                </w:tcPr>
                <w:p>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边角料S4</w:t>
                  </w:r>
                </w:p>
              </w:tc>
              <w:tc>
                <w:tcPr>
                  <w:tcW w:w="1123"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vAlign w:val="center"/>
                </w:tcPr>
                <w:p>
                  <w:pPr>
                    <w:pStyle w:val="41"/>
                    <w:spacing w:line="240" w:lineRule="auto"/>
                    <w:jc w:val="center"/>
                    <w:rPr>
                      <w:rFonts w:hint="eastAsia"/>
                      <w:color w:val="auto"/>
                      <w:sz w:val="21"/>
                      <w:szCs w:val="21"/>
                      <w:lang w:val="en-US" w:eastAsia="zh-CN"/>
                    </w:rPr>
                  </w:pPr>
                </w:p>
              </w:tc>
              <w:tc>
                <w:tcPr>
                  <w:tcW w:w="1140" w:type="pct"/>
                  <w:vAlign w:val="center"/>
                </w:tcPr>
                <w:p>
                  <w:pPr>
                    <w:pStyle w:val="41"/>
                    <w:spacing w:line="240" w:lineRule="auto"/>
                    <w:jc w:val="center"/>
                    <w:rPr>
                      <w:rFonts w:hint="eastAsia"/>
                      <w:color w:val="auto"/>
                      <w:sz w:val="21"/>
                      <w:szCs w:val="21"/>
                      <w:lang w:val="en-US" w:eastAsia="zh-CN"/>
                    </w:rPr>
                  </w:pPr>
                  <w:r>
                    <w:rPr>
                      <w:rFonts w:hint="eastAsia"/>
                      <w:color w:val="auto"/>
                      <w:sz w:val="21"/>
                      <w:szCs w:val="21"/>
                      <w:lang w:val="en-US" w:eastAsia="zh-CN"/>
                    </w:rPr>
                    <w:t>/</w:t>
                  </w:r>
                </w:p>
              </w:tc>
              <w:tc>
                <w:tcPr>
                  <w:tcW w:w="624" w:type="pc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1538" w:type="pct"/>
                  <w:vAlign w:val="center"/>
                </w:tcPr>
                <w:p>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平口袋吹膜废气</w:t>
                  </w:r>
                </w:p>
              </w:tc>
              <w:tc>
                <w:tcPr>
                  <w:tcW w:w="1123" w:type="pct"/>
                  <w:vAlign w:val="center"/>
                </w:tcPr>
                <w:p>
                  <w:pPr>
                    <w:pStyle w:val="41"/>
                    <w:spacing w:line="240" w:lineRule="auto"/>
                    <w:jc w:val="center"/>
                    <w:rPr>
                      <w:rFonts w:hint="eastAsia"/>
                      <w:color w:val="auto"/>
                      <w:sz w:val="21"/>
                      <w:szCs w:val="21"/>
                      <w:lang w:val="en-US" w:eastAsia="zh-CN"/>
                    </w:rPr>
                  </w:pPr>
                  <w:r>
                    <w:rPr>
                      <w:rFonts w:hint="eastAsia"/>
                      <w:color w:val="auto"/>
                      <w:sz w:val="21"/>
                      <w:szCs w:val="21"/>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pct"/>
                  <w:gridSpan w:val="2"/>
                  <w:vAlign w:val="center"/>
                </w:tcPr>
                <w:p>
                  <w:pPr>
                    <w:pStyle w:val="41"/>
                    <w:spacing w:line="240" w:lineRule="auto"/>
                    <w:jc w:val="center"/>
                    <w:rPr>
                      <w:rFonts w:hint="eastAsia"/>
                      <w:b/>
                      <w:bCs/>
                      <w:color w:val="auto"/>
                      <w:sz w:val="21"/>
                      <w:szCs w:val="21"/>
                      <w:lang w:val="en-US" w:eastAsia="zh-CN"/>
                    </w:rPr>
                  </w:pPr>
                  <w:r>
                    <w:rPr>
                      <w:rFonts w:hint="eastAsia"/>
                      <w:b/>
                      <w:bCs/>
                      <w:color w:val="auto"/>
                      <w:sz w:val="21"/>
                      <w:szCs w:val="21"/>
                      <w:lang w:val="en-US" w:eastAsia="zh-CN"/>
                    </w:rPr>
                    <w:t>小计</w:t>
                  </w:r>
                </w:p>
              </w:tc>
              <w:tc>
                <w:tcPr>
                  <w:tcW w:w="624" w:type="pct"/>
                  <w:vAlign w:val="center"/>
                </w:tcPr>
                <w:p>
                  <w:pPr>
                    <w:pStyle w:val="41"/>
                    <w:spacing w:line="240" w:lineRule="auto"/>
                    <w:jc w:val="center"/>
                    <w:rPr>
                      <w:rFonts w:hint="eastAsia"/>
                      <w:b/>
                      <w:bCs/>
                      <w:color w:val="auto"/>
                      <w:sz w:val="21"/>
                      <w:szCs w:val="21"/>
                      <w:lang w:val="en-US" w:eastAsia="zh-CN"/>
                    </w:rPr>
                  </w:pPr>
                  <w:r>
                    <w:rPr>
                      <w:rFonts w:hint="eastAsia"/>
                      <w:b/>
                      <w:bCs/>
                      <w:color w:val="auto"/>
                      <w:sz w:val="21"/>
                      <w:szCs w:val="21"/>
                      <w:lang w:val="en-US" w:eastAsia="zh-CN"/>
                    </w:rPr>
                    <w:fldChar w:fldCharType="begin"/>
                  </w:r>
                  <w:r>
                    <w:rPr>
                      <w:rFonts w:hint="eastAsia"/>
                      <w:b/>
                      <w:bCs/>
                      <w:color w:val="auto"/>
                      <w:sz w:val="21"/>
                      <w:szCs w:val="21"/>
                      <w:lang w:val="en-US" w:eastAsia="zh-CN"/>
                    </w:rPr>
                    <w:instrText xml:space="preserve"> = sum(E7:E9) \* MERGEFORMAT </w:instrText>
                  </w:r>
                  <w:r>
                    <w:rPr>
                      <w:rFonts w:hint="eastAsia"/>
                      <w:b/>
                      <w:bCs/>
                      <w:color w:val="auto"/>
                      <w:sz w:val="21"/>
                      <w:szCs w:val="21"/>
                      <w:lang w:val="en-US" w:eastAsia="zh-CN"/>
                    </w:rPr>
                    <w:fldChar w:fldCharType="separate"/>
                  </w:r>
                  <w:r>
                    <w:rPr>
                      <w:rFonts w:hint="eastAsia"/>
                      <w:b/>
                      <w:bCs/>
                      <w:color w:val="auto"/>
                      <w:sz w:val="21"/>
                      <w:szCs w:val="21"/>
                      <w:lang w:val="en-US" w:eastAsia="zh-CN"/>
                    </w:rPr>
                    <w:t>7078.4</w:t>
                  </w:r>
                  <w:r>
                    <w:rPr>
                      <w:rFonts w:hint="eastAsia"/>
                      <w:b/>
                      <w:bCs/>
                      <w:color w:val="auto"/>
                      <w:sz w:val="21"/>
                      <w:szCs w:val="21"/>
                      <w:lang w:val="en-US" w:eastAsia="zh-CN"/>
                    </w:rPr>
                    <w:fldChar w:fldCharType="end"/>
                  </w:r>
                </w:p>
              </w:tc>
              <w:tc>
                <w:tcPr>
                  <w:tcW w:w="1538" w:type="pct"/>
                  <w:vAlign w:val="center"/>
                </w:tcPr>
                <w:p>
                  <w:pPr>
                    <w:widowControl/>
                    <w:spacing w:line="240" w:lineRule="auto"/>
                    <w:jc w:val="center"/>
                    <w:textAlignment w:val="center"/>
                    <w:rPr>
                      <w:rFonts w:hint="eastAsia"/>
                      <w:b/>
                      <w:bCs/>
                      <w:color w:val="auto"/>
                      <w:sz w:val="21"/>
                      <w:szCs w:val="21"/>
                      <w:lang w:val="en-US" w:eastAsia="zh-CN"/>
                    </w:rPr>
                  </w:pPr>
                  <w:r>
                    <w:rPr>
                      <w:rFonts w:hint="eastAsia"/>
                      <w:b/>
                      <w:bCs/>
                      <w:color w:val="auto"/>
                      <w:sz w:val="21"/>
                      <w:szCs w:val="21"/>
                      <w:lang w:val="en-US" w:eastAsia="zh-CN"/>
                    </w:rPr>
                    <w:t>/</w:t>
                  </w:r>
                </w:p>
              </w:tc>
              <w:tc>
                <w:tcPr>
                  <w:tcW w:w="1123" w:type="pct"/>
                  <w:vAlign w:val="center"/>
                </w:tcPr>
                <w:p>
                  <w:pPr>
                    <w:pStyle w:val="41"/>
                    <w:spacing w:line="240" w:lineRule="auto"/>
                    <w:jc w:val="center"/>
                    <w:rPr>
                      <w:rFonts w:hint="eastAsia"/>
                      <w:b/>
                      <w:bCs/>
                      <w:color w:val="auto"/>
                      <w:sz w:val="21"/>
                      <w:szCs w:val="21"/>
                      <w:lang w:val="en-US" w:eastAsia="zh-CN"/>
                    </w:rPr>
                  </w:pPr>
                  <w:r>
                    <w:rPr>
                      <w:rFonts w:hint="eastAsia"/>
                      <w:b/>
                      <w:bCs/>
                      <w:color w:val="auto"/>
                      <w:sz w:val="21"/>
                      <w:szCs w:val="21"/>
                      <w:lang w:val="en-US" w:eastAsia="zh-CN"/>
                    </w:rPr>
                    <w:fldChar w:fldCharType="begin"/>
                  </w:r>
                  <w:r>
                    <w:rPr>
                      <w:rFonts w:hint="eastAsia"/>
                      <w:b/>
                      <w:bCs/>
                      <w:color w:val="auto"/>
                      <w:sz w:val="21"/>
                      <w:szCs w:val="21"/>
                      <w:lang w:val="en-US" w:eastAsia="zh-CN"/>
                    </w:rPr>
                    <w:instrText xml:space="preserve"> = sum(E7:E9) \* MERGEFORMAT </w:instrText>
                  </w:r>
                  <w:r>
                    <w:rPr>
                      <w:rFonts w:hint="eastAsia"/>
                      <w:b/>
                      <w:bCs/>
                      <w:color w:val="auto"/>
                      <w:sz w:val="21"/>
                      <w:szCs w:val="21"/>
                      <w:lang w:val="en-US" w:eastAsia="zh-CN"/>
                    </w:rPr>
                    <w:fldChar w:fldCharType="separate"/>
                  </w:r>
                  <w:r>
                    <w:rPr>
                      <w:rFonts w:hint="eastAsia"/>
                      <w:b/>
                      <w:bCs/>
                      <w:color w:val="auto"/>
                      <w:sz w:val="21"/>
                      <w:szCs w:val="21"/>
                      <w:lang w:val="en-US" w:eastAsia="zh-CN"/>
                    </w:rPr>
                    <w:t>7078.4</w:t>
                  </w:r>
                  <w:r>
                    <w:rPr>
                      <w:rFonts w:hint="eastAsia"/>
                      <w:b/>
                      <w:bCs/>
                      <w:color w:val="auto"/>
                      <w:sz w:val="21"/>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3" w:type="pct"/>
                  <w:vMerge w:val="restar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3</w:t>
                  </w:r>
                </w:p>
              </w:tc>
              <w:tc>
                <w:tcPr>
                  <w:tcW w:w="1140" w:type="pct"/>
                  <w:vAlign w:val="center"/>
                </w:tcPr>
                <w:p>
                  <w:pPr>
                    <w:widowControl/>
                    <w:spacing w:line="240" w:lineRule="auto"/>
                    <w:jc w:val="center"/>
                    <w:textAlignment w:val="center"/>
                    <w:rPr>
                      <w:rFonts w:hint="eastAsia"/>
                      <w:color w:val="auto"/>
                      <w:sz w:val="21"/>
                      <w:szCs w:val="21"/>
                      <w:lang w:val="en-US" w:eastAsia="zh-CN"/>
                    </w:rPr>
                  </w:pPr>
                  <w:r>
                    <w:rPr>
                      <w:rFonts w:hint="eastAsia"/>
                      <w:color w:val="auto"/>
                      <w:sz w:val="21"/>
                      <w:szCs w:val="21"/>
                      <w:lang w:val="en-US" w:eastAsia="zh-CN"/>
                    </w:rPr>
                    <w:t>PE</w:t>
                  </w:r>
                </w:p>
              </w:tc>
              <w:tc>
                <w:tcPr>
                  <w:tcW w:w="624"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2123.52</w:t>
                  </w:r>
                </w:p>
              </w:tc>
              <w:tc>
                <w:tcPr>
                  <w:tcW w:w="1538" w:type="pct"/>
                  <w:vMerge w:val="restar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气柱膜</w:t>
                  </w:r>
                </w:p>
              </w:tc>
              <w:tc>
                <w:tcPr>
                  <w:tcW w:w="1123" w:type="pct"/>
                  <w:vMerge w:val="restar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widowControl/>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PP</w:t>
                  </w:r>
                </w:p>
              </w:tc>
              <w:tc>
                <w:tcPr>
                  <w:tcW w:w="624"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910.08</w:t>
                  </w:r>
                </w:p>
              </w:tc>
              <w:tc>
                <w:tcPr>
                  <w:tcW w:w="1538" w:type="pct"/>
                  <w:vMerge w:val="continue"/>
                  <w:vAlign w:val="center"/>
                </w:tcPr>
                <w:p>
                  <w:pPr>
                    <w:pStyle w:val="41"/>
                    <w:spacing w:line="240" w:lineRule="auto"/>
                    <w:jc w:val="center"/>
                    <w:rPr>
                      <w:rFonts w:hint="default" w:eastAsia="宋体"/>
                      <w:color w:val="auto"/>
                      <w:sz w:val="21"/>
                      <w:szCs w:val="21"/>
                      <w:lang w:val="en-US" w:eastAsia="zh-CN"/>
                    </w:rPr>
                  </w:pPr>
                </w:p>
              </w:tc>
              <w:tc>
                <w:tcPr>
                  <w:tcW w:w="1123" w:type="pct"/>
                  <w:vMerge w:val="continue"/>
                  <w:vAlign w:val="center"/>
                </w:tcPr>
                <w:p>
                  <w:pPr>
                    <w:pStyle w:val="41"/>
                    <w:spacing w:line="240" w:lineRule="auto"/>
                    <w:jc w:val="center"/>
                    <w:rPr>
                      <w:rFonts w:hint="default" w:eastAsia="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pStyle w:val="41"/>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624" w:type="pct"/>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lang w:val="en-US" w:eastAsia="zh-CN"/>
                    </w:rPr>
                    <w:t>/</w:t>
                  </w:r>
                </w:p>
              </w:tc>
              <w:tc>
                <w:tcPr>
                  <w:tcW w:w="1538" w:type="pct"/>
                  <w:vAlign w:val="center"/>
                </w:tcPr>
                <w:p>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边角料S5</w:t>
                  </w:r>
                </w:p>
              </w:tc>
              <w:tc>
                <w:tcPr>
                  <w:tcW w:w="1123"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pStyle w:val="41"/>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624" w:type="pct"/>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lang w:val="en-US" w:eastAsia="zh-CN"/>
                    </w:rPr>
                    <w:t>/</w:t>
                  </w:r>
                </w:p>
              </w:tc>
              <w:tc>
                <w:tcPr>
                  <w:tcW w:w="1538" w:type="pct"/>
                  <w:vAlign w:val="center"/>
                </w:tcPr>
                <w:p>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气柱膜吹膜废气</w:t>
                  </w:r>
                </w:p>
              </w:tc>
              <w:tc>
                <w:tcPr>
                  <w:tcW w:w="1123" w:type="pct"/>
                  <w:vAlign w:val="center"/>
                </w:tcPr>
                <w:p>
                  <w:pPr>
                    <w:pStyle w:val="41"/>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pct"/>
                  <w:gridSpan w:val="2"/>
                  <w:vAlign w:val="center"/>
                </w:tcPr>
                <w:p>
                  <w:pPr>
                    <w:pStyle w:val="41"/>
                    <w:spacing w:line="240" w:lineRule="auto"/>
                    <w:jc w:val="center"/>
                    <w:rPr>
                      <w:rFonts w:hint="eastAsia"/>
                      <w:b/>
                      <w:bCs/>
                      <w:color w:val="auto"/>
                      <w:sz w:val="21"/>
                      <w:szCs w:val="21"/>
                      <w:lang w:val="en-US" w:eastAsia="zh-CN"/>
                    </w:rPr>
                  </w:pPr>
                  <w:r>
                    <w:rPr>
                      <w:rFonts w:hint="eastAsia"/>
                      <w:b/>
                      <w:bCs/>
                      <w:color w:val="auto"/>
                      <w:sz w:val="21"/>
                      <w:szCs w:val="21"/>
                      <w:lang w:val="en-US" w:eastAsia="zh-CN"/>
                    </w:rPr>
                    <w:t>小计</w:t>
                  </w:r>
                </w:p>
              </w:tc>
              <w:tc>
                <w:tcPr>
                  <w:tcW w:w="624" w:type="pct"/>
                  <w:vAlign w:val="center"/>
                </w:tcPr>
                <w:p>
                  <w:pPr>
                    <w:pStyle w:val="41"/>
                    <w:spacing w:line="240" w:lineRule="auto"/>
                    <w:jc w:val="center"/>
                    <w:rPr>
                      <w:rFonts w:hint="eastAsia"/>
                      <w:b/>
                      <w:bCs/>
                      <w:color w:val="auto"/>
                      <w:sz w:val="21"/>
                      <w:szCs w:val="21"/>
                      <w:lang w:val="en-US" w:eastAsia="zh-CN"/>
                    </w:rPr>
                  </w:pPr>
                  <w:r>
                    <w:rPr>
                      <w:rFonts w:hint="default" w:eastAsia="宋体"/>
                      <w:b/>
                      <w:bCs/>
                      <w:color w:val="auto"/>
                      <w:sz w:val="21"/>
                      <w:szCs w:val="21"/>
                      <w:lang w:val="en-US" w:eastAsia="zh-CN"/>
                    </w:rPr>
                    <w:fldChar w:fldCharType="begin"/>
                  </w:r>
                  <w:r>
                    <w:rPr>
                      <w:rFonts w:hint="default" w:eastAsia="宋体"/>
                      <w:b/>
                      <w:bCs/>
                      <w:color w:val="auto"/>
                      <w:sz w:val="21"/>
                      <w:szCs w:val="21"/>
                      <w:lang w:val="en-US" w:eastAsia="zh-CN"/>
                    </w:rPr>
                    <w:instrText xml:space="preserve"> = sum(E11:E14) \* MERGEFORMAT </w:instrText>
                  </w:r>
                  <w:r>
                    <w:rPr>
                      <w:rFonts w:hint="default" w:eastAsia="宋体"/>
                      <w:b/>
                      <w:bCs/>
                      <w:color w:val="auto"/>
                      <w:sz w:val="21"/>
                      <w:szCs w:val="21"/>
                      <w:lang w:val="en-US" w:eastAsia="zh-CN"/>
                    </w:rPr>
                    <w:fldChar w:fldCharType="separate"/>
                  </w:r>
                  <w:r>
                    <w:rPr>
                      <w:rFonts w:hint="default" w:eastAsia="宋体"/>
                      <w:b/>
                      <w:bCs/>
                      <w:color w:val="auto"/>
                      <w:sz w:val="21"/>
                      <w:szCs w:val="21"/>
                      <w:lang w:val="en-US" w:eastAsia="zh-CN"/>
                    </w:rPr>
                    <w:t>3033.6</w:t>
                  </w:r>
                  <w:r>
                    <w:rPr>
                      <w:rFonts w:hint="default" w:eastAsia="宋体"/>
                      <w:b/>
                      <w:bCs/>
                      <w:color w:val="auto"/>
                      <w:sz w:val="21"/>
                      <w:szCs w:val="21"/>
                      <w:lang w:val="en-US" w:eastAsia="zh-CN"/>
                    </w:rPr>
                    <w:fldChar w:fldCharType="end"/>
                  </w:r>
                </w:p>
              </w:tc>
              <w:tc>
                <w:tcPr>
                  <w:tcW w:w="1538" w:type="pct"/>
                  <w:vAlign w:val="center"/>
                </w:tcPr>
                <w:p>
                  <w:pPr>
                    <w:widowControl/>
                    <w:spacing w:line="240" w:lineRule="auto"/>
                    <w:jc w:val="center"/>
                    <w:textAlignment w:val="center"/>
                    <w:rPr>
                      <w:rFonts w:hint="eastAsia"/>
                      <w:b/>
                      <w:bCs/>
                      <w:color w:val="auto"/>
                      <w:sz w:val="21"/>
                      <w:szCs w:val="21"/>
                      <w:lang w:val="en-US" w:eastAsia="zh-CN"/>
                    </w:rPr>
                  </w:pPr>
                  <w:r>
                    <w:rPr>
                      <w:rFonts w:hint="eastAsia"/>
                      <w:b/>
                      <w:bCs/>
                      <w:color w:val="auto"/>
                      <w:sz w:val="21"/>
                      <w:szCs w:val="21"/>
                      <w:lang w:val="en-US" w:eastAsia="zh-CN"/>
                    </w:rPr>
                    <w:t>/</w:t>
                  </w:r>
                </w:p>
              </w:tc>
              <w:tc>
                <w:tcPr>
                  <w:tcW w:w="1123" w:type="pct"/>
                  <w:vAlign w:val="center"/>
                </w:tcPr>
                <w:p>
                  <w:pPr>
                    <w:pStyle w:val="41"/>
                    <w:spacing w:line="240" w:lineRule="auto"/>
                    <w:jc w:val="center"/>
                    <w:rPr>
                      <w:rFonts w:hint="default" w:eastAsia="宋体"/>
                      <w:b/>
                      <w:bCs/>
                      <w:color w:val="auto"/>
                      <w:sz w:val="21"/>
                      <w:szCs w:val="21"/>
                      <w:lang w:val="en-US" w:eastAsia="zh-CN"/>
                    </w:rPr>
                  </w:pPr>
                  <w:r>
                    <w:rPr>
                      <w:rFonts w:hint="default" w:eastAsia="宋体"/>
                      <w:b/>
                      <w:bCs/>
                      <w:color w:val="auto"/>
                      <w:sz w:val="21"/>
                      <w:szCs w:val="21"/>
                      <w:lang w:val="en-US" w:eastAsia="zh-CN"/>
                    </w:rPr>
                    <w:fldChar w:fldCharType="begin"/>
                  </w:r>
                  <w:r>
                    <w:rPr>
                      <w:rFonts w:hint="default" w:eastAsia="宋体"/>
                      <w:b/>
                      <w:bCs/>
                      <w:color w:val="auto"/>
                      <w:sz w:val="21"/>
                      <w:szCs w:val="21"/>
                      <w:lang w:val="en-US" w:eastAsia="zh-CN"/>
                    </w:rPr>
                    <w:instrText xml:space="preserve"> = sum(E11:E14) \* MERGEFORMAT </w:instrText>
                  </w:r>
                  <w:r>
                    <w:rPr>
                      <w:rFonts w:hint="default" w:eastAsia="宋体"/>
                      <w:b/>
                      <w:bCs/>
                      <w:color w:val="auto"/>
                      <w:sz w:val="21"/>
                      <w:szCs w:val="21"/>
                      <w:lang w:val="en-US" w:eastAsia="zh-CN"/>
                    </w:rPr>
                    <w:fldChar w:fldCharType="separate"/>
                  </w:r>
                  <w:r>
                    <w:rPr>
                      <w:rFonts w:hint="default" w:eastAsia="宋体"/>
                      <w:b/>
                      <w:bCs/>
                      <w:color w:val="auto"/>
                      <w:sz w:val="21"/>
                      <w:szCs w:val="21"/>
                      <w:lang w:val="en-US" w:eastAsia="zh-CN"/>
                    </w:rPr>
                    <w:t>3033.6</w:t>
                  </w:r>
                  <w:r>
                    <w:rPr>
                      <w:rFonts w:hint="default" w:eastAsia="宋体"/>
                      <w:b/>
                      <w:bCs/>
                      <w:color w:val="auto"/>
                      <w:sz w:val="21"/>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4</w:t>
                  </w:r>
                </w:p>
              </w:tc>
              <w:tc>
                <w:tcPr>
                  <w:tcW w:w="1140"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白纸</w:t>
                  </w:r>
                </w:p>
              </w:tc>
              <w:tc>
                <w:tcPr>
                  <w:tcW w:w="624"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12.8</w:t>
                  </w:r>
                </w:p>
              </w:tc>
              <w:tc>
                <w:tcPr>
                  <w:tcW w:w="1538" w:type="pct"/>
                  <w:vMerge w:val="restar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包装用品</w:t>
                  </w:r>
                </w:p>
              </w:tc>
              <w:tc>
                <w:tcPr>
                  <w:tcW w:w="1123" w:type="pct"/>
                  <w:vMerge w:val="restar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茶板纸</w:t>
                  </w:r>
                </w:p>
              </w:tc>
              <w:tc>
                <w:tcPr>
                  <w:tcW w:w="624"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36</w:t>
                  </w:r>
                </w:p>
              </w:tc>
              <w:tc>
                <w:tcPr>
                  <w:tcW w:w="1538" w:type="pct"/>
                  <w:vMerge w:val="continue"/>
                  <w:vAlign w:val="center"/>
                </w:tcPr>
                <w:p>
                  <w:pPr>
                    <w:pStyle w:val="41"/>
                    <w:spacing w:line="240" w:lineRule="auto"/>
                    <w:jc w:val="center"/>
                    <w:rPr>
                      <w:rFonts w:hint="default" w:eastAsia="宋体"/>
                      <w:color w:val="auto"/>
                      <w:sz w:val="21"/>
                      <w:szCs w:val="21"/>
                      <w:lang w:val="en-US" w:eastAsia="zh-CN"/>
                    </w:rPr>
                  </w:pPr>
                </w:p>
              </w:tc>
              <w:tc>
                <w:tcPr>
                  <w:tcW w:w="1123" w:type="pct"/>
                  <w:vMerge w:val="continue"/>
                  <w:vAlign w:val="center"/>
                </w:tcPr>
                <w:p>
                  <w:pPr>
                    <w:pStyle w:val="41"/>
                    <w:spacing w:line="240" w:lineRule="auto"/>
                    <w:jc w:val="center"/>
                    <w:rPr>
                      <w:rFonts w:hint="default" w:eastAsia="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spacing w:line="240" w:lineRule="auto"/>
                    <w:jc w:val="center"/>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白乳胶</w:t>
                  </w:r>
                </w:p>
              </w:tc>
              <w:tc>
                <w:tcPr>
                  <w:tcW w:w="624"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1.2</w:t>
                  </w:r>
                </w:p>
              </w:tc>
              <w:tc>
                <w:tcPr>
                  <w:tcW w:w="1538" w:type="pct"/>
                  <w:vMerge w:val="continue"/>
                  <w:vAlign w:val="center"/>
                </w:tcPr>
                <w:p>
                  <w:pPr>
                    <w:pStyle w:val="41"/>
                    <w:spacing w:line="240" w:lineRule="auto"/>
                    <w:jc w:val="center"/>
                    <w:rPr>
                      <w:rFonts w:hint="eastAsia"/>
                      <w:color w:val="auto"/>
                      <w:sz w:val="21"/>
                      <w:szCs w:val="21"/>
                      <w:lang w:val="en-US" w:eastAsia="zh-CN"/>
                    </w:rPr>
                  </w:pPr>
                </w:p>
              </w:tc>
              <w:tc>
                <w:tcPr>
                  <w:tcW w:w="1123" w:type="pct"/>
                  <w:vMerge w:val="continue"/>
                  <w:vAlign w:val="center"/>
                </w:tcPr>
                <w:p>
                  <w:pPr>
                    <w:pStyle w:val="41"/>
                    <w:spacing w:line="240" w:lineRule="auto"/>
                    <w:jc w:val="center"/>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包装用品</w:t>
                  </w:r>
                  <w:r>
                    <w:rPr>
                      <w:rFonts w:hint="eastAsia" w:cs="Times New Roman"/>
                      <w:color w:val="auto"/>
                      <w:kern w:val="2"/>
                      <w:sz w:val="21"/>
                      <w:szCs w:val="21"/>
                      <w:vertAlign w:val="baseline"/>
                      <w:lang w:val="en-US" w:eastAsia="zh-CN" w:bidi="ar-SA"/>
                    </w:rPr>
                    <w:t>半成品</w:t>
                  </w:r>
                </w:p>
              </w:tc>
              <w:tc>
                <w:tcPr>
                  <w:tcW w:w="624"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1174.406</w:t>
                  </w:r>
                </w:p>
              </w:tc>
              <w:tc>
                <w:tcPr>
                  <w:tcW w:w="1538" w:type="pct"/>
                  <w:vMerge w:val="continue"/>
                  <w:vAlign w:val="center"/>
                </w:tcPr>
                <w:p>
                  <w:pPr>
                    <w:pStyle w:val="41"/>
                    <w:spacing w:line="240" w:lineRule="auto"/>
                    <w:jc w:val="center"/>
                    <w:rPr>
                      <w:rFonts w:hint="default" w:eastAsia="宋体"/>
                      <w:color w:val="auto"/>
                      <w:sz w:val="21"/>
                      <w:szCs w:val="21"/>
                      <w:lang w:val="en-US" w:eastAsia="zh-CN"/>
                    </w:rPr>
                  </w:pPr>
                </w:p>
              </w:tc>
              <w:tc>
                <w:tcPr>
                  <w:tcW w:w="1123" w:type="pct"/>
                  <w:vMerge w:val="continue"/>
                  <w:vAlign w:val="center"/>
                </w:tcPr>
                <w:p>
                  <w:pPr>
                    <w:pStyle w:val="41"/>
                    <w:spacing w:line="240" w:lineRule="auto"/>
                    <w:jc w:val="center"/>
                    <w:rPr>
                      <w:rFonts w:hint="default" w:eastAsia="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pStyle w:val="41"/>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lang w:val="en-US" w:eastAsia="zh-CN"/>
                    </w:rPr>
                    <w:t>/</w:t>
                  </w:r>
                </w:p>
              </w:tc>
              <w:tc>
                <w:tcPr>
                  <w:tcW w:w="624" w:type="pc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1538" w:type="pct"/>
                  <w:vAlign w:val="center"/>
                </w:tcPr>
                <w:p>
                  <w:pPr>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边角料S1、S2、S3</w:t>
                  </w:r>
                </w:p>
              </w:tc>
              <w:tc>
                <w:tcPr>
                  <w:tcW w:w="1123"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3" w:type="pct"/>
                  <w:vMerge w:val="continue"/>
                  <w:vAlign w:val="center"/>
                </w:tcPr>
                <w:p>
                  <w:pPr>
                    <w:pStyle w:val="41"/>
                    <w:spacing w:line="240" w:lineRule="auto"/>
                    <w:jc w:val="center"/>
                    <w:rPr>
                      <w:rFonts w:hint="eastAsia"/>
                      <w:color w:val="auto"/>
                      <w:sz w:val="21"/>
                      <w:szCs w:val="21"/>
                    </w:rPr>
                  </w:pPr>
                </w:p>
              </w:tc>
              <w:tc>
                <w:tcPr>
                  <w:tcW w:w="1140" w:type="pct"/>
                  <w:vAlign w:val="center"/>
                </w:tcPr>
                <w:p>
                  <w:pPr>
                    <w:pStyle w:val="41"/>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lang w:val="en-US" w:eastAsia="zh-CN"/>
                    </w:rPr>
                    <w:t>/</w:t>
                  </w:r>
                </w:p>
              </w:tc>
              <w:tc>
                <w:tcPr>
                  <w:tcW w:w="624" w:type="pc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1538" w:type="pct"/>
                  <w:vAlign w:val="center"/>
                </w:tcPr>
                <w:p>
                  <w:pPr>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胶粘废气</w:t>
                  </w:r>
                </w:p>
              </w:tc>
              <w:tc>
                <w:tcPr>
                  <w:tcW w:w="1123"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eastAsia="宋体" w:cs="Times New Roman"/>
                      <w:color w:val="auto"/>
                      <w:w w:val="100"/>
                      <w:kern w:val="2"/>
                      <w:sz w:val="21"/>
                      <w:szCs w:val="21"/>
                      <w:lang w:val="en-US" w:eastAsia="zh-CN" w:bidi="ar-SA"/>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pct"/>
                  <w:gridSpan w:val="2"/>
                  <w:vAlign w:val="center"/>
                </w:tcPr>
                <w:p>
                  <w:pPr>
                    <w:pStyle w:val="41"/>
                    <w:spacing w:line="240" w:lineRule="auto"/>
                    <w:jc w:val="center"/>
                    <w:rPr>
                      <w:rFonts w:hint="eastAsia"/>
                      <w:b/>
                      <w:bCs/>
                      <w:color w:val="auto"/>
                      <w:sz w:val="21"/>
                      <w:szCs w:val="21"/>
                      <w:lang w:val="en-US" w:eastAsia="zh-CN"/>
                    </w:rPr>
                  </w:pPr>
                  <w:r>
                    <w:rPr>
                      <w:rFonts w:hint="eastAsia"/>
                      <w:b/>
                      <w:bCs/>
                      <w:color w:val="auto"/>
                      <w:sz w:val="21"/>
                      <w:szCs w:val="21"/>
                      <w:lang w:val="en-US" w:eastAsia="zh-CN"/>
                    </w:rPr>
                    <w:t>小计</w:t>
                  </w:r>
                </w:p>
              </w:tc>
              <w:tc>
                <w:tcPr>
                  <w:tcW w:w="624" w:type="pct"/>
                  <w:vAlign w:val="center"/>
                </w:tcPr>
                <w:p>
                  <w:pPr>
                    <w:pStyle w:val="41"/>
                    <w:spacing w:line="240" w:lineRule="auto"/>
                    <w:jc w:val="center"/>
                    <w:rPr>
                      <w:rFonts w:hint="eastAsia"/>
                      <w:b/>
                      <w:bCs/>
                      <w:color w:val="auto"/>
                      <w:sz w:val="21"/>
                      <w:szCs w:val="21"/>
                      <w:lang w:val="en-US" w:eastAsia="zh-CN"/>
                    </w:rPr>
                  </w:pPr>
                  <w:r>
                    <w:rPr>
                      <w:rFonts w:hint="default" w:ascii="Times New Roman" w:hAnsi="Times New Roman" w:eastAsia="宋体" w:cs="Times New Roman"/>
                      <w:b/>
                      <w:bCs/>
                      <w:color w:val="auto"/>
                      <w:w w:val="100"/>
                      <w:kern w:val="2"/>
                      <w:sz w:val="21"/>
                      <w:szCs w:val="21"/>
                      <w:lang w:val="en-US" w:eastAsia="zh-CN" w:bidi="ar-SA"/>
                    </w:rPr>
                    <w:fldChar w:fldCharType="begin"/>
                  </w:r>
                  <w:r>
                    <w:rPr>
                      <w:rFonts w:hint="default" w:ascii="Times New Roman" w:hAnsi="Times New Roman" w:eastAsia="宋体" w:cs="Times New Roman"/>
                      <w:b/>
                      <w:bCs/>
                      <w:color w:val="auto"/>
                      <w:w w:val="100"/>
                      <w:kern w:val="2"/>
                      <w:sz w:val="21"/>
                      <w:szCs w:val="21"/>
                      <w:lang w:val="en-US" w:eastAsia="zh-CN" w:bidi="ar-SA"/>
                    </w:rPr>
                    <w:instrText xml:space="preserve"> = sum(E16:E21) \* MERGEFORMAT </w:instrText>
                  </w:r>
                  <w:r>
                    <w:rPr>
                      <w:rFonts w:hint="default" w:ascii="Times New Roman" w:hAnsi="Times New Roman" w:eastAsia="宋体" w:cs="Times New Roman"/>
                      <w:b/>
                      <w:bCs/>
                      <w:color w:val="auto"/>
                      <w:w w:val="100"/>
                      <w:kern w:val="2"/>
                      <w:sz w:val="21"/>
                      <w:szCs w:val="21"/>
                      <w:lang w:val="en-US" w:eastAsia="zh-CN" w:bidi="ar-SA"/>
                    </w:rPr>
                    <w:fldChar w:fldCharType="separate"/>
                  </w:r>
                  <w:r>
                    <w:rPr>
                      <w:rFonts w:hint="default" w:ascii="Times New Roman" w:hAnsi="Times New Roman" w:eastAsia="宋体" w:cs="Times New Roman"/>
                      <w:b/>
                      <w:bCs/>
                      <w:color w:val="auto"/>
                      <w:w w:val="100"/>
                      <w:kern w:val="2"/>
                      <w:sz w:val="21"/>
                      <w:szCs w:val="21"/>
                      <w:lang w:val="en-US" w:eastAsia="zh-CN" w:bidi="ar-SA"/>
                    </w:rPr>
                    <w:t>1224.406</w:t>
                  </w:r>
                  <w:r>
                    <w:rPr>
                      <w:rFonts w:hint="default" w:ascii="Times New Roman" w:hAnsi="Times New Roman" w:eastAsia="宋体" w:cs="Times New Roman"/>
                      <w:b/>
                      <w:bCs/>
                      <w:color w:val="auto"/>
                      <w:w w:val="100"/>
                      <w:kern w:val="2"/>
                      <w:sz w:val="21"/>
                      <w:szCs w:val="21"/>
                      <w:lang w:val="en-US" w:eastAsia="zh-CN" w:bidi="ar-SA"/>
                    </w:rPr>
                    <w:fldChar w:fldCharType="end"/>
                  </w:r>
                </w:p>
              </w:tc>
              <w:tc>
                <w:tcPr>
                  <w:tcW w:w="1538" w:type="pct"/>
                  <w:vAlign w:val="center"/>
                </w:tcPr>
                <w:p>
                  <w:pPr>
                    <w:spacing w:line="240" w:lineRule="auto"/>
                    <w:jc w:val="center"/>
                    <w:rPr>
                      <w:rFonts w:hint="eastAsia" w:cs="Times New Roman"/>
                      <w:b/>
                      <w:bCs/>
                      <w:color w:val="auto"/>
                      <w:kern w:val="2"/>
                      <w:sz w:val="21"/>
                      <w:szCs w:val="21"/>
                      <w:vertAlign w:val="baseline"/>
                      <w:lang w:val="en-US" w:eastAsia="zh-CN" w:bidi="ar-SA"/>
                    </w:rPr>
                  </w:pPr>
                  <w:r>
                    <w:rPr>
                      <w:rFonts w:hint="eastAsia"/>
                      <w:b/>
                      <w:bCs/>
                      <w:color w:val="auto"/>
                      <w:sz w:val="21"/>
                      <w:szCs w:val="21"/>
                      <w:lang w:val="en-US" w:eastAsia="zh-CN"/>
                    </w:rPr>
                    <w:t>/</w:t>
                  </w:r>
                </w:p>
              </w:tc>
              <w:tc>
                <w:tcPr>
                  <w:tcW w:w="1123" w:type="pct"/>
                  <w:vAlign w:val="center"/>
                </w:tcPr>
                <w:p>
                  <w:pPr>
                    <w:pStyle w:val="41"/>
                    <w:spacing w:line="240" w:lineRule="auto"/>
                    <w:jc w:val="center"/>
                    <w:rPr>
                      <w:rFonts w:hint="default" w:ascii="Times New Roman" w:hAnsi="Times New Roman" w:eastAsia="宋体" w:cs="Times New Roman"/>
                      <w:b/>
                      <w:bCs/>
                      <w:color w:val="auto"/>
                      <w:w w:val="100"/>
                      <w:kern w:val="2"/>
                      <w:sz w:val="21"/>
                      <w:szCs w:val="21"/>
                      <w:lang w:val="en-US" w:eastAsia="zh-CN" w:bidi="ar-SA"/>
                    </w:rPr>
                  </w:pPr>
                  <w:r>
                    <w:rPr>
                      <w:rFonts w:hint="default" w:ascii="Times New Roman" w:hAnsi="Times New Roman" w:eastAsia="宋体" w:cs="Times New Roman"/>
                      <w:b/>
                      <w:bCs/>
                      <w:color w:val="auto"/>
                      <w:w w:val="100"/>
                      <w:kern w:val="2"/>
                      <w:sz w:val="21"/>
                      <w:szCs w:val="21"/>
                      <w:lang w:val="en-US" w:eastAsia="zh-CN" w:bidi="ar-SA"/>
                    </w:rPr>
                    <w:fldChar w:fldCharType="begin"/>
                  </w:r>
                  <w:r>
                    <w:rPr>
                      <w:rFonts w:hint="default" w:ascii="Times New Roman" w:hAnsi="Times New Roman" w:eastAsia="宋体" w:cs="Times New Roman"/>
                      <w:b/>
                      <w:bCs/>
                      <w:color w:val="auto"/>
                      <w:w w:val="100"/>
                      <w:kern w:val="2"/>
                      <w:sz w:val="21"/>
                      <w:szCs w:val="21"/>
                      <w:lang w:val="en-US" w:eastAsia="zh-CN" w:bidi="ar-SA"/>
                    </w:rPr>
                    <w:instrText xml:space="preserve"> = sum(E16:E21) \* MERGEFORMAT </w:instrText>
                  </w:r>
                  <w:r>
                    <w:rPr>
                      <w:rFonts w:hint="default" w:ascii="Times New Roman" w:hAnsi="Times New Roman" w:eastAsia="宋体" w:cs="Times New Roman"/>
                      <w:b/>
                      <w:bCs/>
                      <w:color w:val="auto"/>
                      <w:w w:val="100"/>
                      <w:kern w:val="2"/>
                      <w:sz w:val="21"/>
                      <w:szCs w:val="21"/>
                      <w:lang w:val="en-US" w:eastAsia="zh-CN" w:bidi="ar-SA"/>
                    </w:rPr>
                    <w:fldChar w:fldCharType="separate"/>
                  </w:r>
                  <w:r>
                    <w:rPr>
                      <w:rFonts w:hint="default" w:ascii="Times New Roman" w:hAnsi="Times New Roman" w:eastAsia="宋体" w:cs="Times New Roman"/>
                      <w:b/>
                      <w:bCs/>
                      <w:color w:val="auto"/>
                      <w:w w:val="100"/>
                      <w:kern w:val="2"/>
                      <w:sz w:val="21"/>
                      <w:szCs w:val="21"/>
                      <w:lang w:val="en-US" w:eastAsia="zh-CN" w:bidi="ar-SA"/>
                    </w:rPr>
                    <w:t>1224.406</w:t>
                  </w:r>
                  <w:r>
                    <w:rPr>
                      <w:rFonts w:hint="default" w:ascii="Times New Roman" w:hAnsi="Times New Roman" w:eastAsia="宋体" w:cs="Times New Roman"/>
                      <w:b/>
                      <w:bCs/>
                      <w:color w:val="auto"/>
                      <w:w w:val="100"/>
                      <w:kern w:val="2"/>
                      <w:sz w:val="21"/>
                      <w:szCs w:val="21"/>
                      <w:lang w:val="en-US" w:eastAsia="zh-CN" w:bidi="ar-S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3" w:type="pct"/>
                  <w:vMerge w:val="restart"/>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lang w:val="en-US" w:eastAsia="zh-CN"/>
                    </w:rPr>
                    <w:t>5</w:t>
                  </w:r>
                </w:p>
              </w:tc>
              <w:tc>
                <w:tcPr>
                  <w:tcW w:w="1140" w:type="pct"/>
                  <w:vAlign w:val="center"/>
                </w:tcPr>
                <w:p>
                  <w:pPr>
                    <w:spacing w:line="240" w:lineRule="auto"/>
                    <w:jc w:val="center"/>
                    <w:rPr>
                      <w:rFonts w:hint="eastAsia"/>
                      <w:color w:val="auto"/>
                      <w:sz w:val="21"/>
                      <w:szCs w:val="21"/>
                      <w:vertAlign w:val="baseline"/>
                      <w:lang w:val="en-US" w:eastAsia="zh-CN"/>
                    </w:rPr>
                  </w:pPr>
                  <w:r>
                    <w:rPr>
                      <w:rFonts w:hint="eastAsia"/>
                      <w:color w:val="auto"/>
                      <w:sz w:val="21"/>
                      <w:szCs w:val="21"/>
                      <w:vertAlign w:val="baseline"/>
                      <w:lang w:val="en-US" w:eastAsia="zh-CN"/>
                    </w:rPr>
                    <w:t>缠绕膜半成品</w:t>
                  </w:r>
                </w:p>
              </w:tc>
              <w:tc>
                <w:tcPr>
                  <w:tcW w:w="624"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15984</w:t>
                  </w:r>
                </w:p>
              </w:tc>
              <w:tc>
                <w:tcPr>
                  <w:tcW w:w="1538" w:type="pct"/>
                  <w:vMerge w:val="restart"/>
                  <w:vAlign w:val="center"/>
                </w:tcPr>
                <w:p>
                  <w:pPr>
                    <w:pStyle w:val="41"/>
                    <w:spacing w:line="240" w:lineRule="auto"/>
                    <w:jc w:val="center"/>
                    <w:rPr>
                      <w:rFonts w:hint="eastAsia"/>
                      <w:color w:val="auto"/>
                      <w:sz w:val="21"/>
                      <w:szCs w:val="21"/>
                      <w:lang w:val="en-US" w:eastAsia="zh-CN"/>
                    </w:rPr>
                  </w:pPr>
                  <w:r>
                    <w:rPr>
                      <w:rFonts w:hint="eastAsia"/>
                      <w:color w:val="auto"/>
                      <w:sz w:val="21"/>
                      <w:szCs w:val="21"/>
                      <w:lang w:val="en-US" w:eastAsia="zh-CN"/>
                    </w:rPr>
                    <w:t>缠绕膜</w:t>
                  </w:r>
                </w:p>
              </w:tc>
              <w:tc>
                <w:tcPr>
                  <w:tcW w:w="1123" w:type="pct"/>
                  <w:vMerge w:val="restar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3" w:type="pct"/>
                  <w:vMerge w:val="continue"/>
                  <w:vAlign w:val="center"/>
                </w:tcPr>
                <w:p>
                  <w:pPr>
                    <w:pStyle w:val="41"/>
                    <w:spacing w:line="240" w:lineRule="auto"/>
                    <w:jc w:val="center"/>
                    <w:rPr>
                      <w:rFonts w:hint="eastAsia"/>
                      <w:color w:val="auto"/>
                      <w:sz w:val="21"/>
                      <w:szCs w:val="21"/>
                      <w:lang w:val="en-US" w:eastAsia="zh-CN"/>
                    </w:rPr>
                  </w:pPr>
                </w:p>
              </w:tc>
              <w:tc>
                <w:tcPr>
                  <w:tcW w:w="1140" w:type="pct"/>
                  <w:vAlign w:val="center"/>
                </w:tcPr>
                <w:p>
                  <w:pPr>
                    <w:spacing w:line="240" w:lineRule="auto"/>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lang w:val="en-US" w:eastAsia="zh-CN"/>
                    </w:rPr>
                    <w:t>缠绕膜芯</w:t>
                  </w:r>
                </w:p>
              </w:tc>
              <w:tc>
                <w:tcPr>
                  <w:tcW w:w="624" w:type="pct"/>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lang w:val="en-US" w:eastAsia="zh-CN"/>
                    </w:rPr>
                    <w:t>16</w:t>
                  </w:r>
                </w:p>
              </w:tc>
              <w:tc>
                <w:tcPr>
                  <w:tcW w:w="1538" w:type="pct"/>
                  <w:vMerge w:val="continue"/>
                  <w:vAlign w:val="center"/>
                </w:tcPr>
                <w:p>
                  <w:pPr>
                    <w:pStyle w:val="41"/>
                    <w:spacing w:line="240" w:lineRule="auto"/>
                    <w:jc w:val="center"/>
                    <w:rPr>
                      <w:rFonts w:hint="eastAsia"/>
                      <w:color w:val="auto"/>
                      <w:sz w:val="21"/>
                      <w:szCs w:val="21"/>
                      <w:lang w:val="en-US" w:eastAsia="zh-CN"/>
                    </w:rPr>
                  </w:pPr>
                </w:p>
              </w:tc>
              <w:tc>
                <w:tcPr>
                  <w:tcW w:w="1123" w:type="pct"/>
                  <w:vMerge w:val="continue"/>
                  <w:vAlign w:val="center"/>
                </w:tcPr>
                <w:p>
                  <w:pPr>
                    <w:pStyle w:val="41"/>
                    <w:spacing w:line="240" w:lineRule="auto"/>
                    <w:jc w:val="center"/>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3" w:type="pct"/>
                  <w:vMerge w:val="continue"/>
                  <w:vAlign w:val="center"/>
                </w:tcPr>
                <w:p>
                  <w:pPr>
                    <w:pStyle w:val="41"/>
                    <w:spacing w:line="240" w:lineRule="auto"/>
                    <w:jc w:val="center"/>
                    <w:rPr>
                      <w:rFonts w:hint="eastAsia"/>
                      <w:color w:val="auto"/>
                      <w:sz w:val="21"/>
                      <w:szCs w:val="21"/>
                      <w:lang w:val="en-US" w:eastAsia="zh-CN"/>
                    </w:rPr>
                  </w:pPr>
                </w:p>
              </w:tc>
              <w:tc>
                <w:tcPr>
                  <w:tcW w:w="1140" w:type="pct"/>
                  <w:vAlign w:val="center"/>
                </w:tcPr>
                <w:p>
                  <w:pPr>
                    <w:pStyle w:val="41"/>
                    <w:spacing w:line="240" w:lineRule="auto"/>
                    <w:jc w:val="center"/>
                    <w:rPr>
                      <w:rFonts w:hint="eastAsia" w:ascii="Times New Roman" w:hAnsi="Times New Roman" w:eastAsia="宋体" w:cs="Times New Roman"/>
                      <w:color w:val="auto"/>
                      <w:w w:val="100"/>
                      <w:kern w:val="2"/>
                      <w:sz w:val="21"/>
                      <w:szCs w:val="21"/>
                      <w:vertAlign w:val="baseline"/>
                      <w:lang w:val="en-US" w:eastAsia="zh-CN" w:bidi="ar-SA"/>
                    </w:rPr>
                  </w:pPr>
                  <w:r>
                    <w:rPr>
                      <w:rFonts w:hint="eastAsia"/>
                      <w:color w:val="auto"/>
                      <w:sz w:val="21"/>
                      <w:szCs w:val="21"/>
                      <w:lang w:val="en-US" w:eastAsia="zh-CN"/>
                    </w:rPr>
                    <w:t>/</w:t>
                  </w:r>
                </w:p>
              </w:tc>
              <w:tc>
                <w:tcPr>
                  <w:tcW w:w="624"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 w:val="21"/>
                      <w:szCs w:val="21"/>
                      <w:lang w:val="en-US" w:eastAsia="zh-CN"/>
                    </w:rPr>
                    <w:t>/</w:t>
                  </w:r>
                </w:p>
              </w:tc>
              <w:tc>
                <w:tcPr>
                  <w:tcW w:w="1538"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vertAlign w:val="baseline"/>
                      <w:lang w:val="en-US" w:eastAsia="zh-CN"/>
                    </w:rPr>
                    <w:t>边角料S11</w:t>
                  </w:r>
                </w:p>
              </w:tc>
              <w:tc>
                <w:tcPr>
                  <w:tcW w:w="1123"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3" w:type="pct"/>
                  <w:gridSpan w:val="2"/>
                  <w:vAlign w:val="center"/>
                </w:tcPr>
                <w:p>
                  <w:pPr>
                    <w:pStyle w:val="41"/>
                    <w:spacing w:line="240" w:lineRule="auto"/>
                    <w:jc w:val="center"/>
                    <w:rPr>
                      <w:rFonts w:hint="default" w:eastAsia="宋体"/>
                      <w:b/>
                      <w:bCs/>
                      <w:i w:val="0"/>
                      <w:iCs w:val="0"/>
                      <w:color w:val="auto"/>
                      <w:sz w:val="21"/>
                      <w:szCs w:val="21"/>
                      <w:lang w:val="en-US" w:eastAsia="zh-CN"/>
                    </w:rPr>
                  </w:pPr>
                  <w:r>
                    <w:rPr>
                      <w:rFonts w:hint="eastAsia"/>
                      <w:b/>
                      <w:bCs/>
                      <w:i w:val="0"/>
                      <w:iCs w:val="0"/>
                      <w:color w:val="auto"/>
                      <w:sz w:val="21"/>
                      <w:szCs w:val="21"/>
                      <w:lang w:val="en-US" w:eastAsia="zh-CN"/>
                    </w:rPr>
                    <w:t>小计</w:t>
                  </w:r>
                </w:p>
              </w:tc>
              <w:tc>
                <w:tcPr>
                  <w:tcW w:w="624" w:type="pct"/>
                  <w:vAlign w:val="center"/>
                </w:tcPr>
                <w:p>
                  <w:pPr>
                    <w:pStyle w:val="41"/>
                    <w:spacing w:line="240" w:lineRule="auto"/>
                    <w:jc w:val="center"/>
                    <w:rPr>
                      <w:rFonts w:hint="default" w:eastAsia="宋体"/>
                      <w:b/>
                      <w:bCs/>
                      <w:i w:val="0"/>
                      <w:iCs w:val="0"/>
                      <w:color w:val="auto"/>
                      <w:sz w:val="21"/>
                      <w:szCs w:val="21"/>
                      <w:lang w:val="en-US" w:eastAsia="zh-CN"/>
                    </w:rPr>
                  </w:pPr>
                  <w:r>
                    <w:rPr>
                      <w:rFonts w:hint="eastAsia"/>
                      <w:b/>
                      <w:bCs/>
                      <w:i w:val="0"/>
                      <w:iCs w:val="0"/>
                      <w:color w:val="auto"/>
                      <w:sz w:val="21"/>
                      <w:szCs w:val="21"/>
                      <w:lang w:val="en-US" w:eastAsia="zh-CN"/>
                    </w:rPr>
                    <w:t>16150</w:t>
                  </w:r>
                </w:p>
              </w:tc>
              <w:tc>
                <w:tcPr>
                  <w:tcW w:w="1538" w:type="pct"/>
                  <w:vAlign w:val="center"/>
                </w:tcPr>
                <w:p>
                  <w:pPr>
                    <w:pStyle w:val="41"/>
                    <w:spacing w:line="240" w:lineRule="auto"/>
                    <w:jc w:val="center"/>
                    <w:rPr>
                      <w:b/>
                      <w:bCs/>
                      <w:i w:val="0"/>
                      <w:iCs w:val="0"/>
                      <w:color w:val="auto"/>
                      <w:sz w:val="21"/>
                      <w:szCs w:val="21"/>
                    </w:rPr>
                  </w:pPr>
                  <w:r>
                    <w:rPr>
                      <w:b/>
                      <w:bCs/>
                      <w:i w:val="0"/>
                      <w:iCs w:val="0"/>
                      <w:color w:val="auto"/>
                      <w:sz w:val="21"/>
                      <w:szCs w:val="21"/>
                    </w:rPr>
                    <w:t>/</w:t>
                  </w:r>
                </w:p>
              </w:tc>
              <w:tc>
                <w:tcPr>
                  <w:tcW w:w="1123" w:type="pct"/>
                  <w:vAlign w:val="center"/>
                </w:tcPr>
                <w:p>
                  <w:pPr>
                    <w:pStyle w:val="41"/>
                    <w:spacing w:line="240" w:lineRule="auto"/>
                    <w:jc w:val="center"/>
                    <w:rPr>
                      <w:rFonts w:hint="default" w:eastAsia="宋体"/>
                      <w:b/>
                      <w:bCs/>
                      <w:i w:val="0"/>
                      <w:iCs w:val="0"/>
                      <w:color w:val="auto"/>
                      <w:sz w:val="21"/>
                      <w:szCs w:val="21"/>
                      <w:lang w:val="en-US" w:eastAsia="zh-CN"/>
                    </w:rPr>
                  </w:pPr>
                  <w:r>
                    <w:rPr>
                      <w:rFonts w:hint="eastAsia"/>
                      <w:b/>
                      <w:bCs/>
                      <w:i w:val="0"/>
                      <w:iCs w:val="0"/>
                      <w:color w:val="auto"/>
                      <w:sz w:val="21"/>
                      <w:szCs w:val="21"/>
                      <w:lang w:val="en-US" w:eastAsia="zh-CN"/>
                    </w:rPr>
                    <w:t>16150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3" w:type="pct"/>
                  <w:gridSpan w:val="2"/>
                  <w:vAlign w:val="center"/>
                </w:tcPr>
                <w:p>
                  <w:pPr>
                    <w:pStyle w:val="41"/>
                    <w:spacing w:line="240" w:lineRule="auto"/>
                    <w:jc w:val="center"/>
                    <w:rPr>
                      <w:rFonts w:hint="eastAsia"/>
                      <w:b/>
                      <w:bCs/>
                      <w:i w:val="0"/>
                      <w:iCs w:val="0"/>
                      <w:color w:val="auto"/>
                      <w:sz w:val="21"/>
                      <w:szCs w:val="21"/>
                      <w:lang w:val="en-US" w:eastAsia="zh-CN"/>
                    </w:rPr>
                  </w:pPr>
                  <w:r>
                    <w:rPr>
                      <w:rFonts w:hint="eastAsia"/>
                      <w:b/>
                      <w:bCs/>
                      <w:i w:val="0"/>
                      <w:iCs w:val="0"/>
                      <w:color w:val="auto"/>
                      <w:sz w:val="21"/>
                      <w:szCs w:val="21"/>
                      <w:lang w:val="en-US" w:eastAsia="zh-CN"/>
                    </w:rPr>
                    <w:t>合计</w:t>
                  </w:r>
                </w:p>
              </w:tc>
              <w:tc>
                <w:tcPr>
                  <w:tcW w:w="624" w:type="pct"/>
                  <w:vAlign w:val="center"/>
                </w:tcPr>
                <w:p>
                  <w:pPr>
                    <w:pStyle w:val="41"/>
                    <w:spacing w:line="240" w:lineRule="auto"/>
                    <w:jc w:val="center"/>
                    <w:rPr>
                      <w:rFonts w:hint="default"/>
                      <w:b/>
                      <w:bCs/>
                      <w:i w:val="0"/>
                      <w:iCs w:val="0"/>
                      <w:color w:val="auto"/>
                      <w:sz w:val="21"/>
                      <w:szCs w:val="21"/>
                      <w:lang w:val="en-US" w:eastAsia="zh-CN"/>
                    </w:rPr>
                  </w:pPr>
                  <w:r>
                    <w:rPr>
                      <w:rFonts w:hint="eastAsia"/>
                      <w:b/>
                      <w:bCs/>
                      <w:i w:val="0"/>
                      <w:iCs w:val="0"/>
                      <w:color w:val="auto"/>
                      <w:sz w:val="21"/>
                      <w:szCs w:val="21"/>
                      <w:lang w:val="en-US" w:eastAsia="zh-CN"/>
                    </w:rPr>
                    <w:t>28990.156</w:t>
                  </w:r>
                </w:p>
              </w:tc>
              <w:tc>
                <w:tcPr>
                  <w:tcW w:w="1538" w:type="pct"/>
                  <w:vAlign w:val="center"/>
                </w:tcPr>
                <w:p>
                  <w:pPr>
                    <w:pStyle w:val="41"/>
                    <w:spacing w:line="240" w:lineRule="auto"/>
                    <w:jc w:val="center"/>
                    <w:rPr>
                      <w:b/>
                      <w:bCs/>
                      <w:i w:val="0"/>
                      <w:iCs w:val="0"/>
                      <w:color w:val="auto"/>
                      <w:sz w:val="21"/>
                      <w:szCs w:val="21"/>
                    </w:rPr>
                  </w:pPr>
                  <w:r>
                    <w:rPr>
                      <w:b/>
                      <w:bCs/>
                      <w:i w:val="0"/>
                      <w:iCs w:val="0"/>
                      <w:color w:val="auto"/>
                      <w:sz w:val="21"/>
                      <w:szCs w:val="21"/>
                    </w:rPr>
                    <w:t>/</w:t>
                  </w:r>
                </w:p>
              </w:tc>
              <w:tc>
                <w:tcPr>
                  <w:tcW w:w="1123" w:type="pct"/>
                  <w:vAlign w:val="center"/>
                </w:tcPr>
                <w:p>
                  <w:pPr>
                    <w:pStyle w:val="41"/>
                    <w:spacing w:line="240" w:lineRule="auto"/>
                    <w:jc w:val="center"/>
                    <w:rPr>
                      <w:rFonts w:hint="default"/>
                      <w:b/>
                      <w:bCs/>
                      <w:i w:val="0"/>
                      <w:iCs w:val="0"/>
                      <w:color w:val="auto"/>
                      <w:sz w:val="21"/>
                      <w:szCs w:val="21"/>
                      <w:lang w:val="en-US" w:eastAsia="zh-CN"/>
                    </w:rPr>
                  </w:pPr>
                  <w:r>
                    <w:rPr>
                      <w:rFonts w:hint="eastAsia"/>
                      <w:b/>
                      <w:bCs/>
                      <w:i w:val="0"/>
                      <w:iCs w:val="0"/>
                      <w:color w:val="auto"/>
                      <w:sz w:val="21"/>
                      <w:szCs w:val="21"/>
                      <w:lang w:val="en-US" w:eastAsia="zh-CN"/>
                    </w:rPr>
                    <w:t>28990.156</w:t>
                  </w:r>
                </w:p>
              </w:tc>
            </w:tr>
          </w:tbl>
          <w:p>
            <w:pPr>
              <w:pStyle w:val="66"/>
              <w:spacing w:line="336" w:lineRule="auto"/>
              <w:ind w:left="0" w:leftChars="0" w:firstLine="0" w:firstLineChars="0"/>
              <w:jc w:val="center"/>
              <w:rPr>
                <w:rFonts w:hint="default"/>
                <w:color w:val="auto"/>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vAlign w:val="center"/>
          </w:tcPr>
          <w:p>
            <w:pPr>
              <w:pStyle w:val="20"/>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bCs/>
                <w:color w:val="auto"/>
                <w:kern w:val="2"/>
                <w:sz w:val="24"/>
                <w:szCs w:val="24"/>
              </w:rPr>
              <w:t>与项目有关的原有环境污染问题</w:t>
            </w:r>
          </w:p>
        </w:tc>
        <w:tc>
          <w:tcPr>
            <w:tcW w:w="8304" w:type="dxa"/>
          </w:tcPr>
          <w:p>
            <w:pPr>
              <w:pStyle w:val="66"/>
              <w:spacing w:line="336" w:lineRule="auto"/>
              <w:ind w:firstLine="48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拟建项目</w:t>
            </w:r>
            <w:r>
              <w:rPr>
                <w:rFonts w:hint="eastAsia" w:cs="Times New Roman"/>
                <w:b w:val="0"/>
                <w:bCs w:val="0"/>
                <w:color w:val="auto"/>
                <w:kern w:val="2"/>
                <w:sz w:val="24"/>
                <w:szCs w:val="24"/>
                <w:lang w:val="en-US" w:eastAsia="zh-CN" w:bidi="ar-SA"/>
              </w:rPr>
              <w:t>购买</w:t>
            </w:r>
            <w:r>
              <w:rPr>
                <w:rFonts w:hint="eastAsia" w:cs="Times New Roman"/>
                <w:color w:val="auto"/>
                <w:sz w:val="24"/>
                <w:highlight w:val="none"/>
                <w:u w:val="none"/>
                <w:lang w:val="en-US" w:eastAsia="zh-CN"/>
              </w:rPr>
              <w:t>位于</w:t>
            </w:r>
            <w:r>
              <w:rPr>
                <w:rFonts w:hint="eastAsia" w:ascii="Times New Roman" w:hAnsi="Times New Roman" w:cs="Times New Roman"/>
                <w:color w:val="auto"/>
                <w:sz w:val="24"/>
                <w:highlight w:val="none"/>
                <w:u w:val="none"/>
                <w:lang w:val="en-US" w:eastAsia="zh-CN"/>
              </w:rPr>
              <w:t>重庆市铜梁区铜合大道523号</w:t>
            </w:r>
            <w:r>
              <w:rPr>
                <w:rFonts w:hint="eastAsia" w:cs="Times New Roman"/>
                <w:color w:val="auto"/>
                <w:sz w:val="24"/>
                <w:highlight w:val="none"/>
                <w:u w:val="none"/>
                <w:lang w:val="en-US" w:eastAsia="zh-CN"/>
              </w:rPr>
              <w:t>的重庆伟业电源材料有限公司厂房进行生产，周边均为工业企业</w:t>
            </w:r>
            <w:r>
              <w:rPr>
                <w:rFonts w:hint="eastAsia" w:ascii="Times New Roman" w:hAnsi="Times New Roman" w:eastAsia="宋体" w:cs="Times New Roman"/>
                <w:b w:val="0"/>
                <w:bCs w:val="0"/>
                <w:color w:val="auto"/>
                <w:kern w:val="2"/>
                <w:sz w:val="24"/>
                <w:szCs w:val="24"/>
                <w:lang w:val="en-US" w:eastAsia="zh-CN" w:bidi="ar-SA"/>
              </w:rPr>
              <w:t>。重庆伟业电源材料有限公司</w:t>
            </w:r>
            <w:r>
              <w:rPr>
                <w:rFonts w:hint="eastAsia" w:cs="Times New Roman"/>
                <w:b w:val="0"/>
                <w:bCs w:val="0"/>
                <w:color w:val="auto"/>
                <w:kern w:val="2"/>
                <w:sz w:val="24"/>
                <w:szCs w:val="24"/>
                <w:lang w:val="en-US" w:eastAsia="zh-CN" w:bidi="ar-SA"/>
              </w:rPr>
              <w:t>是一家进行电气机械和器材制造的企业</w:t>
            </w:r>
            <w:r>
              <w:rPr>
                <w:rFonts w:hint="eastAsia" w:cs="Times New Roman"/>
                <w:color w:val="auto"/>
                <w:sz w:val="24"/>
                <w:highlight w:val="none"/>
                <w:u w:val="none"/>
                <w:lang w:val="en-US" w:eastAsia="zh-CN"/>
              </w:rPr>
              <w:t>，拟建项目购置厂房原为</w:t>
            </w:r>
            <w:r>
              <w:rPr>
                <w:rFonts w:hint="eastAsia" w:ascii="Times New Roman" w:hAnsi="Times New Roman" w:eastAsia="宋体" w:cs="Times New Roman"/>
                <w:b w:val="0"/>
                <w:bCs w:val="0"/>
                <w:color w:val="auto"/>
                <w:kern w:val="2"/>
                <w:sz w:val="24"/>
                <w:szCs w:val="24"/>
                <w:lang w:val="en-US" w:eastAsia="zh-CN" w:bidi="ar-SA"/>
              </w:rPr>
              <w:t>重庆伟业电源材料有限公司库房</w:t>
            </w:r>
            <w:r>
              <w:rPr>
                <w:rFonts w:hint="eastAsia" w:cs="Times New Roman"/>
                <w:color w:val="auto"/>
                <w:sz w:val="24"/>
                <w:highlight w:val="none"/>
                <w:u w:val="none"/>
                <w:lang w:val="en-US" w:eastAsia="zh-CN"/>
              </w:rPr>
              <w:t>，根据现场勘查，厂房内目前均为闲置状态，且</w:t>
            </w:r>
            <w:r>
              <w:rPr>
                <w:rFonts w:hint="eastAsia" w:ascii="Times New Roman" w:hAnsi="Times New Roman" w:eastAsia="宋体" w:cs="Times New Roman"/>
                <w:b w:val="0"/>
                <w:bCs w:val="0"/>
                <w:color w:val="auto"/>
                <w:kern w:val="2"/>
                <w:sz w:val="24"/>
                <w:szCs w:val="24"/>
                <w:lang w:val="en-US" w:eastAsia="zh-CN" w:bidi="ar-SA"/>
              </w:rPr>
              <w:t>不存在与拟建项目有关污染物原有污染情况</w:t>
            </w:r>
            <w:r>
              <w:rPr>
                <w:rFonts w:hint="eastAsia" w:cs="Times New Roman"/>
                <w:b w:val="0"/>
                <w:bCs w:val="0"/>
                <w:color w:val="auto"/>
                <w:kern w:val="2"/>
                <w:sz w:val="24"/>
                <w:szCs w:val="24"/>
                <w:lang w:val="en-US" w:eastAsia="zh-CN" w:bidi="ar-SA"/>
              </w:rPr>
              <w:t>，不存在现有的环境问题</w:t>
            </w:r>
            <w:r>
              <w:rPr>
                <w:rFonts w:hint="eastAsia" w:ascii="Times New Roman" w:hAnsi="Times New Roman" w:eastAsia="宋体" w:cs="Times New Roman"/>
                <w:b w:val="0"/>
                <w:bCs w:val="0"/>
                <w:color w:val="auto"/>
                <w:kern w:val="2"/>
                <w:sz w:val="24"/>
                <w:szCs w:val="24"/>
                <w:lang w:val="en-US" w:eastAsia="zh-CN" w:bidi="ar-SA"/>
              </w:rPr>
              <w:t>。</w:t>
            </w:r>
          </w:p>
          <w:p>
            <w:pPr>
              <w:pStyle w:val="66"/>
              <w:spacing w:line="336" w:lineRule="auto"/>
              <w:ind w:firstLine="480"/>
              <w:rPr>
                <w:rFonts w:hint="eastAsia" w:cs="Times New Roman"/>
                <w:color w:val="auto"/>
                <w:sz w:val="24"/>
                <w:highlight w:val="none"/>
                <w:u w:val="none"/>
                <w:lang w:val="en-US" w:eastAsia="zh-CN"/>
              </w:rPr>
            </w:pPr>
            <w:r>
              <w:rPr>
                <w:rFonts w:hint="eastAsia" w:cs="Times New Roman"/>
                <w:b w:val="0"/>
                <w:bCs w:val="0"/>
                <w:color w:val="auto"/>
                <w:kern w:val="2"/>
                <w:sz w:val="24"/>
                <w:szCs w:val="24"/>
                <w:lang w:val="en-US" w:eastAsia="zh-CN" w:bidi="ar-SA"/>
              </w:rPr>
              <w:t>拟建项目冷却水循环使用，每半年排放一次；</w:t>
            </w:r>
            <w:r>
              <w:rPr>
                <w:rFonts w:hint="eastAsia"/>
                <w:color w:val="auto"/>
                <w:sz w:val="24"/>
                <w:szCs w:val="24"/>
                <w:lang w:eastAsia="zh-CN"/>
              </w:rPr>
              <w:t>项目食堂废水、地面清洁废水经自建隔油池处理后与生活污水、冷却循环废水</w:t>
            </w:r>
            <w:r>
              <w:rPr>
                <w:rFonts w:hint="eastAsia"/>
                <w:color w:val="auto"/>
                <w:sz w:val="24"/>
                <w:szCs w:val="24"/>
              </w:rPr>
              <w:t>一同</w:t>
            </w:r>
            <w:r>
              <w:rPr>
                <w:rFonts w:hint="eastAsia"/>
                <w:color w:val="auto"/>
                <w:sz w:val="24"/>
                <w:szCs w:val="24"/>
                <w:lang w:eastAsia="zh-CN"/>
              </w:rPr>
              <w:t>通过</w:t>
            </w:r>
            <w:r>
              <w:rPr>
                <w:rFonts w:hint="eastAsia"/>
                <w:color w:val="auto"/>
                <w:sz w:val="24"/>
                <w:szCs w:val="24"/>
              </w:rPr>
              <w:t>生化池处理达到《污水综合排放标准》（GB8978-1996）三级标准</w:t>
            </w:r>
            <w:r>
              <w:rPr>
                <w:rFonts w:hint="eastAsia"/>
                <w:color w:val="auto"/>
                <w:sz w:val="24"/>
                <w:szCs w:val="24"/>
                <w:lang w:eastAsia="zh-CN"/>
              </w:rPr>
              <w:t>（</w:t>
            </w:r>
            <w:r>
              <w:rPr>
                <w:rFonts w:hint="eastAsia"/>
                <w:color w:val="auto"/>
                <w:sz w:val="24"/>
                <w:szCs w:val="24"/>
                <w:lang w:val="en-US" w:eastAsia="zh-CN"/>
              </w:rPr>
              <w:t>氨氮、TP、TN参照污水排入城镇下水道水质标准》（GB/T31962-2015）B级标准）</w:t>
            </w:r>
            <w:r>
              <w:rPr>
                <w:rFonts w:hint="eastAsia"/>
                <w:color w:val="auto"/>
                <w:sz w:val="24"/>
                <w:szCs w:val="24"/>
              </w:rPr>
              <w:t>后</w:t>
            </w:r>
            <w:r>
              <w:rPr>
                <w:rFonts w:hint="eastAsia" w:cs="Times New Roman"/>
                <w:b w:val="0"/>
                <w:bCs w:val="0"/>
                <w:color w:val="auto"/>
                <w:kern w:val="2"/>
                <w:sz w:val="24"/>
                <w:szCs w:val="24"/>
                <w:lang w:val="en-US" w:eastAsia="zh-CN" w:bidi="ar-SA"/>
              </w:rPr>
              <w:t>，经市政污水管网进入东城污水处理厂处理达到《城镇污水处理厂污染物排放标准》(GB18918-2002)一级B标准后排入建淮远河。目前市政管网铺设完成，项目废水可接入管网。</w:t>
            </w:r>
          </w:p>
          <w:p>
            <w:pPr>
              <w:pStyle w:val="66"/>
              <w:spacing w:line="336" w:lineRule="auto"/>
              <w:ind w:left="0" w:leftChars="0" w:firstLine="0" w:firstLineChars="0"/>
              <w:jc w:val="center"/>
              <w:rPr>
                <w:rFonts w:hint="eastAsia" w:cs="Times New Roman"/>
                <w:color w:val="auto"/>
                <w:sz w:val="24"/>
                <w:highlight w:val="none"/>
                <w:u w:val="none"/>
                <w:lang w:val="en-US" w:eastAsia="zh-CN"/>
              </w:rPr>
            </w:pPr>
            <w:r>
              <w:rPr>
                <w:rFonts w:hint="eastAsia" w:cs="Times New Roman"/>
                <w:color w:val="auto"/>
                <w:sz w:val="24"/>
                <w:highlight w:val="none"/>
                <w:u w:val="none"/>
                <w:lang w:val="en-US" w:eastAsia="zh-CN"/>
              </w:rPr>
              <w:drawing>
                <wp:inline distT="0" distB="0" distL="114300" distR="114300">
                  <wp:extent cx="2576195" cy="3433445"/>
                  <wp:effectExtent l="0" t="0" r="14605" b="14605"/>
                  <wp:docPr id="11" name="图片 11" descr="d37b8b9008fcb7b1af257582de201e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d37b8b9008fcb7b1af257582de201e1"/>
                          <pic:cNvPicPr>
                            <a:picLocks noChangeAspect="true"/>
                          </pic:cNvPicPr>
                        </pic:nvPicPr>
                        <pic:blipFill>
                          <a:blip r:embed="rId18"/>
                          <a:stretch>
                            <a:fillRect/>
                          </a:stretch>
                        </pic:blipFill>
                        <pic:spPr>
                          <a:xfrm>
                            <a:off x="0" y="0"/>
                            <a:ext cx="2576195" cy="3433445"/>
                          </a:xfrm>
                          <a:prstGeom prst="rect">
                            <a:avLst/>
                          </a:prstGeom>
                        </pic:spPr>
                      </pic:pic>
                    </a:graphicData>
                  </a:graphic>
                </wp:inline>
              </w:drawing>
            </w:r>
          </w:p>
          <w:p>
            <w:pPr>
              <w:pStyle w:val="66"/>
              <w:spacing w:line="336" w:lineRule="auto"/>
              <w:ind w:left="0" w:leftChars="0" w:firstLine="0" w:firstLineChars="0"/>
              <w:jc w:val="center"/>
              <w:rPr>
                <w:rFonts w:hint="eastAsia" w:cs="Times New Roman"/>
                <w:color w:val="auto"/>
                <w:sz w:val="24"/>
                <w:highlight w:val="none"/>
                <w:u w:val="none"/>
                <w:lang w:val="en-US" w:eastAsia="zh-CN"/>
              </w:rPr>
            </w:pPr>
            <w:r>
              <w:rPr>
                <w:rFonts w:hint="eastAsia" w:cs="Times New Roman"/>
                <w:color w:val="auto"/>
                <w:sz w:val="24"/>
                <w:highlight w:val="none"/>
                <w:u w:val="none"/>
                <w:lang w:val="en-US" w:eastAsia="zh-CN"/>
              </w:rPr>
              <w:t>拟建项目厂房现状</w:t>
            </w:r>
          </w:p>
          <w:p>
            <w:pPr>
              <w:pStyle w:val="66"/>
              <w:spacing w:line="336" w:lineRule="auto"/>
              <w:ind w:firstLine="480"/>
              <w:rPr>
                <w:rFonts w:hint="eastAsia" w:cs="Times New Roman"/>
                <w:color w:val="auto"/>
                <w:sz w:val="24"/>
                <w:highlight w:val="none"/>
                <w:u w:val="none"/>
                <w:lang w:val="en-US" w:eastAsia="zh-CN"/>
              </w:rPr>
            </w:pPr>
          </w:p>
          <w:p>
            <w:pPr>
              <w:pStyle w:val="66"/>
              <w:spacing w:line="336" w:lineRule="auto"/>
              <w:ind w:left="0" w:leftChars="0" w:firstLine="0" w:firstLineChars="0"/>
              <w:rPr>
                <w:rFonts w:hint="eastAsia" w:cs="Times New Roman"/>
                <w:color w:val="auto"/>
                <w:sz w:val="24"/>
                <w:highlight w:val="none"/>
                <w:u w:val="none"/>
                <w:lang w:val="en-US" w:eastAsia="zh-CN"/>
              </w:rPr>
            </w:pPr>
          </w:p>
        </w:tc>
      </w:tr>
    </w:tbl>
    <w:p>
      <w:pPr>
        <w:pStyle w:val="20"/>
        <w:jc w:val="center"/>
        <w:rPr>
          <w:rFonts w:ascii="Times New Roman" w:hAnsi="Times New Roman"/>
          <w:snapToGrid w:val="0"/>
          <w:color w:val="auto"/>
          <w:sz w:val="36"/>
          <w:szCs w:val="36"/>
        </w:rPr>
        <w:sectPr>
          <w:pgSz w:w="11906" w:h="16838"/>
          <w:pgMar w:top="1701" w:right="1531" w:bottom="1701" w:left="1531" w:header="851" w:footer="851" w:gutter="0"/>
          <w:cols w:space="720" w:num="1"/>
          <w:docGrid w:linePitch="312" w:charSpace="0"/>
        </w:sectPr>
      </w:pPr>
    </w:p>
    <w:p>
      <w:pPr>
        <w:pStyle w:val="20"/>
        <w:jc w:val="center"/>
        <w:outlineLvl w:val="0"/>
        <w:rPr>
          <w:rFonts w:hint="eastAsia" w:ascii="Times New Roman" w:hAnsi="Times New Roman"/>
          <w:snapToGrid w:val="0"/>
          <w:color w:val="auto"/>
          <w:sz w:val="30"/>
          <w:szCs w:val="30"/>
        </w:rPr>
      </w:pPr>
      <w:r>
        <w:rPr>
          <w:rFonts w:hint="eastAsia" w:ascii="Times New Roman" w:hAnsi="Times New Roman"/>
          <w:snapToGrid w:val="0"/>
          <w:color w:val="auto"/>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8"/>
        <w:gridCol w:w="86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246" w:type="dxa"/>
            <w:vAlign w:val="center"/>
          </w:tcPr>
          <w:p>
            <w:pPr>
              <w:widowControl/>
              <w:ind w:firstLine="0" w:firstLineChars="0"/>
              <w:jc w:val="left"/>
              <w:rPr>
                <w:b/>
                <w:bCs/>
                <w:snapToGrid w:val="0"/>
                <w:color w:val="auto"/>
                <w:kern w:val="0"/>
                <w:szCs w:val="24"/>
              </w:rPr>
            </w:pPr>
            <w:r>
              <w:rPr>
                <w:rFonts w:hint="eastAsia"/>
                <w:b/>
                <w:bCs/>
                <w:snapToGrid w:val="0"/>
                <w:color w:val="auto"/>
                <w:kern w:val="0"/>
                <w:szCs w:val="24"/>
              </w:rPr>
              <w:t>3.1</w:t>
            </w:r>
            <w:r>
              <w:rPr>
                <w:b/>
                <w:bCs/>
                <w:snapToGrid w:val="0"/>
                <w:color w:val="auto"/>
                <w:kern w:val="0"/>
                <w:szCs w:val="24"/>
              </w:rPr>
              <w:t>环境空气质量现状</w:t>
            </w:r>
          </w:p>
          <w:p>
            <w:pPr>
              <w:widowControl/>
              <w:ind w:firstLine="480" w:firstLineChars="200"/>
              <w:jc w:val="left"/>
              <w:rPr>
                <w:b w:val="0"/>
                <w:bCs w:val="0"/>
                <w:snapToGrid w:val="0"/>
                <w:color w:val="auto"/>
                <w:kern w:val="0"/>
                <w:szCs w:val="24"/>
              </w:rPr>
            </w:pPr>
            <w:r>
              <w:rPr>
                <w:b w:val="0"/>
                <w:bCs w:val="0"/>
                <w:snapToGrid w:val="0"/>
                <w:color w:val="auto"/>
                <w:kern w:val="0"/>
                <w:szCs w:val="24"/>
              </w:rPr>
              <w:t>根据《重庆市人民政府关于印发重庆市环境空气质量功能区划分规定的通知》（渝府发〔2016〕19号），拟建项目所在</w:t>
            </w:r>
            <w:r>
              <w:rPr>
                <w:rFonts w:hint="eastAsia"/>
                <w:b w:val="0"/>
                <w:bCs w:val="0"/>
                <w:snapToGrid w:val="0"/>
                <w:color w:val="auto"/>
                <w:kern w:val="0"/>
                <w:szCs w:val="24"/>
              </w:rPr>
              <w:t>区域</w:t>
            </w:r>
            <w:r>
              <w:rPr>
                <w:b w:val="0"/>
                <w:bCs w:val="0"/>
                <w:snapToGrid w:val="0"/>
                <w:color w:val="auto"/>
                <w:kern w:val="0"/>
                <w:szCs w:val="24"/>
              </w:rPr>
              <w:t>为环境空气二类功能区，环境空气执行《环境空气质量标准》（GB3095-2012）二级标准。</w:t>
            </w:r>
          </w:p>
          <w:p>
            <w:pPr>
              <w:widowControl/>
              <w:jc w:val="left"/>
              <w:rPr>
                <w:b/>
                <w:bCs/>
                <w:snapToGrid w:val="0"/>
                <w:color w:val="auto"/>
                <w:kern w:val="0"/>
                <w:szCs w:val="24"/>
              </w:rPr>
            </w:pPr>
            <w:r>
              <w:rPr>
                <w:rFonts w:hint="eastAsia"/>
                <w:b/>
                <w:bCs/>
                <w:snapToGrid w:val="0"/>
                <w:color w:val="auto"/>
                <w:kern w:val="0"/>
                <w:szCs w:val="24"/>
                <w:lang w:val="en-US" w:eastAsia="zh-CN"/>
              </w:rPr>
              <w:t>3.1.1</w:t>
            </w:r>
            <w:r>
              <w:rPr>
                <w:b/>
                <w:bCs/>
                <w:snapToGrid w:val="0"/>
                <w:color w:val="auto"/>
                <w:kern w:val="0"/>
                <w:szCs w:val="24"/>
              </w:rPr>
              <w:t>区域达标情况</w:t>
            </w:r>
          </w:p>
          <w:p>
            <w:pPr>
              <w:pStyle w:val="44"/>
              <w:spacing w:line="360" w:lineRule="auto"/>
              <w:ind w:firstLine="480" w:firstLineChars="200"/>
              <w:jc w:val="both"/>
              <w:rPr>
                <w:color w:val="auto"/>
              </w:rPr>
            </w:pPr>
            <w:r>
              <w:rPr>
                <w:color w:val="auto"/>
                <w:lang w:eastAsia="zh-CN"/>
              </w:rPr>
              <w:t>本次评价引用《</w:t>
            </w:r>
            <w:r>
              <w:rPr>
                <w:rFonts w:hint="eastAsia"/>
                <w:color w:val="auto"/>
                <w:lang w:eastAsia="zh-CN"/>
              </w:rPr>
              <w:t>2021年重庆市生态环境状况公报</w:t>
            </w:r>
            <w:r>
              <w:rPr>
                <w:color w:val="auto"/>
                <w:lang w:eastAsia="zh-CN"/>
              </w:rPr>
              <w:t>》对</w:t>
            </w:r>
            <w:r>
              <w:rPr>
                <w:rFonts w:hint="eastAsia"/>
                <w:color w:val="auto"/>
                <w:lang w:eastAsia="zh-CN"/>
              </w:rPr>
              <w:t>铜梁区</w:t>
            </w:r>
            <w:r>
              <w:rPr>
                <w:color w:val="auto"/>
                <w:lang w:eastAsia="zh-CN"/>
              </w:rPr>
              <w:t>常规因子SO</w:t>
            </w:r>
            <w:r>
              <w:rPr>
                <w:color w:val="auto"/>
                <w:vertAlign w:val="subscript"/>
                <w:lang w:eastAsia="zh-CN"/>
              </w:rPr>
              <w:t>2</w:t>
            </w:r>
            <w:r>
              <w:rPr>
                <w:color w:val="auto"/>
                <w:lang w:eastAsia="zh-CN"/>
              </w:rPr>
              <w:t>、NO</w:t>
            </w:r>
            <w:r>
              <w:rPr>
                <w:color w:val="auto"/>
                <w:vertAlign w:val="subscript"/>
                <w:lang w:eastAsia="zh-CN"/>
              </w:rPr>
              <w:t>2</w:t>
            </w:r>
            <w:r>
              <w:rPr>
                <w:color w:val="auto"/>
                <w:lang w:eastAsia="zh-CN"/>
              </w:rPr>
              <w:t>、PM</w:t>
            </w:r>
            <w:r>
              <w:rPr>
                <w:color w:val="auto"/>
                <w:vertAlign w:val="subscript"/>
                <w:lang w:eastAsia="zh-CN"/>
              </w:rPr>
              <w:t>10</w:t>
            </w:r>
            <w:r>
              <w:rPr>
                <w:color w:val="auto"/>
                <w:lang w:eastAsia="zh-CN"/>
              </w:rPr>
              <w:t>、PM</w:t>
            </w:r>
            <w:r>
              <w:rPr>
                <w:color w:val="auto"/>
                <w:vertAlign w:val="subscript"/>
                <w:lang w:eastAsia="zh-CN"/>
              </w:rPr>
              <w:t>2.5</w:t>
            </w:r>
            <w:r>
              <w:rPr>
                <w:color w:val="auto"/>
                <w:lang w:eastAsia="zh-CN"/>
              </w:rPr>
              <w:t>、CO、O</w:t>
            </w:r>
            <w:r>
              <w:rPr>
                <w:color w:val="auto"/>
                <w:vertAlign w:val="subscript"/>
                <w:lang w:eastAsia="zh-CN"/>
              </w:rPr>
              <w:t>3</w:t>
            </w:r>
            <w:r>
              <w:rPr>
                <w:color w:val="auto"/>
                <w:lang w:eastAsia="zh-CN"/>
              </w:rPr>
              <w:t>进行区域达标判定。</w:t>
            </w:r>
            <w:r>
              <w:rPr>
                <w:color w:val="auto"/>
              </w:rPr>
              <w:t>区域空气质量现状评价见表</w:t>
            </w:r>
            <w:r>
              <w:rPr>
                <w:rFonts w:hint="eastAsia"/>
                <w:color w:val="auto"/>
              </w:rPr>
              <w:t>3.1-1</w:t>
            </w:r>
            <w:r>
              <w:rPr>
                <w:color w:val="auto"/>
              </w:rPr>
              <w:t>。</w:t>
            </w:r>
          </w:p>
          <w:p>
            <w:pPr>
              <w:pStyle w:val="44"/>
              <w:rPr>
                <w:color w:val="auto"/>
              </w:rPr>
            </w:pPr>
            <w:r>
              <w:rPr>
                <w:color w:val="auto"/>
              </w:rPr>
              <w:t>表3.1-1 环境空气质量现状监测结果</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04"/>
              <w:gridCol w:w="2264"/>
              <w:gridCol w:w="1186"/>
              <w:gridCol w:w="1367"/>
              <w:gridCol w:w="1418"/>
              <w:gridCol w:w="1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594" w:type="pct"/>
                  <w:vAlign w:val="center"/>
                </w:tcPr>
                <w:p>
                  <w:pPr>
                    <w:pStyle w:val="41"/>
                    <w:spacing w:line="240" w:lineRule="auto"/>
                    <w:jc w:val="center"/>
                    <w:rPr>
                      <w:color w:val="auto"/>
                    </w:rPr>
                  </w:pPr>
                  <w:r>
                    <w:rPr>
                      <w:color w:val="auto"/>
                    </w:rPr>
                    <w:t>污染物</w:t>
                  </w:r>
                </w:p>
              </w:tc>
              <w:tc>
                <w:tcPr>
                  <w:tcW w:w="1340" w:type="pct"/>
                  <w:vAlign w:val="center"/>
                </w:tcPr>
                <w:p>
                  <w:pPr>
                    <w:pStyle w:val="41"/>
                    <w:spacing w:line="240" w:lineRule="auto"/>
                    <w:jc w:val="center"/>
                    <w:rPr>
                      <w:color w:val="auto"/>
                    </w:rPr>
                  </w:pPr>
                  <w:r>
                    <w:rPr>
                      <w:color w:val="auto"/>
                    </w:rPr>
                    <w:t>年评价指标</w:t>
                  </w:r>
                </w:p>
              </w:tc>
              <w:tc>
                <w:tcPr>
                  <w:tcW w:w="702" w:type="pct"/>
                  <w:vAlign w:val="center"/>
                </w:tcPr>
                <w:p>
                  <w:pPr>
                    <w:pStyle w:val="41"/>
                    <w:spacing w:line="240" w:lineRule="auto"/>
                    <w:jc w:val="center"/>
                    <w:rPr>
                      <w:color w:val="auto"/>
                    </w:rPr>
                  </w:pPr>
                  <w:r>
                    <w:rPr>
                      <w:color w:val="auto"/>
                    </w:rPr>
                    <w:t>现状浓度</w:t>
                  </w:r>
                </w:p>
                <w:p>
                  <w:pPr>
                    <w:pStyle w:val="41"/>
                    <w:spacing w:line="240" w:lineRule="auto"/>
                    <w:jc w:val="center"/>
                    <w:rPr>
                      <w:color w:val="auto"/>
                    </w:rPr>
                  </w:pPr>
                  <w:r>
                    <w:rPr>
                      <w:color w:val="auto"/>
                    </w:rPr>
                    <w:t>（μg/m</w:t>
                  </w:r>
                  <w:r>
                    <w:rPr>
                      <w:color w:val="auto"/>
                      <w:vertAlign w:val="superscript"/>
                    </w:rPr>
                    <w:t>3</w:t>
                  </w:r>
                  <w:r>
                    <w:rPr>
                      <w:color w:val="auto"/>
                    </w:rPr>
                    <w:t>）</w:t>
                  </w:r>
                </w:p>
              </w:tc>
              <w:tc>
                <w:tcPr>
                  <w:tcW w:w="809" w:type="pct"/>
                  <w:vAlign w:val="center"/>
                </w:tcPr>
                <w:p>
                  <w:pPr>
                    <w:pStyle w:val="41"/>
                    <w:spacing w:line="240" w:lineRule="auto"/>
                    <w:jc w:val="center"/>
                    <w:rPr>
                      <w:color w:val="auto"/>
                    </w:rPr>
                  </w:pPr>
                  <w:r>
                    <w:rPr>
                      <w:color w:val="auto"/>
                    </w:rPr>
                    <w:t>标准值</w:t>
                  </w:r>
                </w:p>
                <w:p>
                  <w:pPr>
                    <w:pStyle w:val="41"/>
                    <w:spacing w:line="240" w:lineRule="auto"/>
                    <w:jc w:val="center"/>
                    <w:rPr>
                      <w:color w:val="auto"/>
                    </w:rPr>
                  </w:pPr>
                  <w:r>
                    <w:rPr>
                      <w:color w:val="auto"/>
                    </w:rPr>
                    <w:t>（μg/m</w:t>
                  </w:r>
                  <w:r>
                    <w:rPr>
                      <w:color w:val="auto"/>
                      <w:vertAlign w:val="superscript"/>
                    </w:rPr>
                    <w:t>3</w:t>
                  </w:r>
                  <w:r>
                    <w:rPr>
                      <w:color w:val="auto"/>
                    </w:rPr>
                    <w:t>）</w:t>
                  </w:r>
                </w:p>
              </w:tc>
              <w:tc>
                <w:tcPr>
                  <w:tcW w:w="839" w:type="pct"/>
                  <w:vAlign w:val="center"/>
                </w:tcPr>
                <w:p>
                  <w:pPr>
                    <w:pStyle w:val="41"/>
                    <w:spacing w:line="240" w:lineRule="auto"/>
                    <w:jc w:val="center"/>
                    <w:rPr>
                      <w:color w:val="auto"/>
                    </w:rPr>
                  </w:pPr>
                  <w:r>
                    <w:rPr>
                      <w:rFonts w:hint="eastAsia"/>
                      <w:color w:val="auto"/>
                      <w:lang w:eastAsia="zh-CN"/>
                    </w:rPr>
                    <w:t>占标</w:t>
                  </w:r>
                  <w:r>
                    <w:rPr>
                      <w:color w:val="auto"/>
                    </w:rPr>
                    <w:t>率</w:t>
                  </w:r>
                </w:p>
                <w:p>
                  <w:pPr>
                    <w:pStyle w:val="41"/>
                    <w:spacing w:line="240" w:lineRule="auto"/>
                    <w:jc w:val="center"/>
                    <w:rPr>
                      <w:color w:val="auto"/>
                    </w:rPr>
                  </w:pPr>
                  <w:r>
                    <w:rPr>
                      <w:color w:val="auto"/>
                    </w:rPr>
                    <w:t>（%）</w:t>
                  </w:r>
                </w:p>
              </w:tc>
              <w:tc>
                <w:tcPr>
                  <w:tcW w:w="713" w:type="pct"/>
                  <w:vAlign w:val="center"/>
                </w:tcPr>
                <w:p>
                  <w:pPr>
                    <w:pStyle w:val="41"/>
                    <w:spacing w:line="240" w:lineRule="auto"/>
                    <w:jc w:val="center"/>
                    <w:rPr>
                      <w:color w:val="auto"/>
                    </w:rPr>
                  </w:pPr>
                  <w:r>
                    <w:rPr>
                      <w:color w:val="auto"/>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94" w:type="pct"/>
                  <w:vAlign w:val="center"/>
                </w:tcPr>
                <w:p>
                  <w:pPr>
                    <w:pStyle w:val="41"/>
                    <w:spacing w:line="240" w:lineRule="auto"/>
                    <w:jc w:val="center"/>
                    <w:rPr>
                      <w:color w:val="auto"/>
                    </w:rPr>
                  </w:pPr>
                  <w:r>
                    <w:rPr>
                      <w:color w:val="auto"/>
                    </w:rPr>
                    <w:t>SO</w:t>
                  </w:r>
                  <w:r>
                    <w:rPr>
                      <w:color w:val="auto"/>
                      <w:vertAlign w:val="subscript"/>
                    </w:rPr>
                    <w:t>2</w:t>
                  </w:r>
                </w:p>
              </w:tc>
              <w:tc>
                <w:tcPr>
                  <w:tcW w:w="1340" w:type="pct"/>
                  <w:vAlign w:val="center"/>
                </w:tcPr>
                <w:p>
                  <w:pPr>
                    <w:pStyle w:val="41"/>
                    <w:spacing w:line="240" w:lineRule="auto"/>
                    <w:jc w:val="center"/>
                    <w:rPr>
                      <w:color w:val="auto"/>
                    </w:rPr>
                  </w:pPr>
                  <w:r>
                    <w:rPr>
                      <w:color w:val="auto"/>
                    </w:rPr>
                    <w:t>年平均质量浓度</w:t>
                  </w:r>
                </w:p>
              </w:tc>
              <w:tc>
                <w:tcPr>
                  <w:tcW w:w="702" w:type="pct"/>
                  <w:vAlign w:val="center"/>
                </w:tcPr>
                <w:p>
                  <w:pPr>
                    <w:pStyle w:val="41"/>
                    <w:spacing w:line="240" w:lineRule="auto"/>
                    <w:jc w:val="center"/>
                    <w:rPr>
                      <w:rFonts w:hint="default" w:eastAsia="宋体"/>
                      <w:color w:val="auto"/>
                      <w:lang w:val="en-US" w:eastAsia="zh-CN"/>
                    </w:rPr>
                  </w:pPr>
                  <w:r>
                    <w:rPr>
                      <w:rFonts w:hint="eastAsia"/>
                      <w:color w:val="auto"/>
                      <w:lang w:val="en-US" w:eastAsia="zh-CN"/>
                    </w:rPr>
                    <w:t>12</w:t>
                  </w:r>
                </w:p>
              </w:tc>
              <w:tc>
                <w:tcPr>
                  <w:tcW w:w="809" w:type="pct"/>
                  <w:vAlign w:val="center"/>
                </w:tcPr>
                <w:p>
                  <w:pPr>
                    <w:pStyle w:val="41"/>
                    <w:spacing w:line="240" w:lineRule="auto"/>
                    <w:jc w:val="center"/>
                    <w:rPr>
                      <w:color w:val="auto"/>
                    </w:rPr>
                  </w:pPr>
                  <w:r>
                    <w:rPr>
                      <w:color w:val="auto"/>
                    </w:rPr>
                    <w:t>60</w:t>
                  </w:r>
                </w:p>
              </w:tc>
              <w:tc>
                <w:tcPr>
                  <w:tcW w:w="1508" w:type="dxa"/>
                  <w:vAlign w:val="center"/>
                </w:tcPr>
                <w:p>
                  <w:pPr>
                    <w:pStyle w:val="41"/>
                    <w:spacing w:line="240" w:lineRule="auto"/>
                    <w:jc w:val="center"/>
                    <w:rPr>
                      <w:rFonts w:hint="default" w:eastAsia="宋体"/>
                      <w:color w:val="auto"/>
                      <w:lang w:val="en-US" w:eastAsia="zh-CN"/>
                    </w:rPr>
                  </w:pPr>
                  <w:r>
                    <w:rPr>
                      <w:rFonts w:hint="eastAsia"/>
                      <w:color w:val="auto"/>
                      <w:lang w:val="en-US" w:eastAsia="zh-CN"/>
                    </w:rPr>
                    <w:t>20.0</w:t>
                  </w:r>
                </w:p>
              </w:tc>
              <w:tc>
                <w:tcPr>
                  <w:tcW w:w="713" w:type="pct"/>
                  <w:vAlign w:val="center"/>
                </w:tcPr>
                <w:p>
                  <w:pPr>
                    <w:pStyle w:val="41"/>
                    <w:spacing w:line="240" w:lineRule="auto"/>
                    <w:jc w:val="center"/>
                    <w:rPr>
                      <w:color w:val="auto"/>
                    </w:rPr>
                  </w:pPr>
                  <w:r>
                    <w:rPr>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94" w:type="pct"/>
                  <w:vAlign w:val="center"/>
                </w:tcPr>
                <w:p>
                  <w:pPr>
                    <w:pStyle w:val="41"/>
                    <w:spacing w:line="240" w:lineRule="auto"/>
                    <w:jc w:val="center"/>
                    <w:rPr>
                      <w:color w:val="auto"/>
                    </w:rPr>
                  </w:pPr>
                  <w:r>
                    <w:rPr>
                      <w:color w:val="auto"/>
                    </w:rPr>
                    <w:t>NO</w:t>
                  </w:r>
                  <w:r>
                    <w:rPr>
                      <w:color w:val="auto"/>
                      <w:vertAlign w:val="subscript"/>
                    </w:rPr>
                    <w:t>2</w:t>
                  </w:r>
                </w:p>
              </w:tc>
              <w:tc>
                <w:tcPr>
                  <w:tcW w:w="1340" w:type="pct"/>
                  <w:vAlign w:val="center"/>
                </w:tcPr>
                <w:p>
                  <w:pPr>
                    <w:pStyle w:val="41"/>
                    <w:spacing w:line="240" w:lineRule="auto"/>
                    <w:jc w:val="center"/>
                    <w:rPr>
                      <w:color w:val="auto"/>
                    </w:rPr>
                  </w:pPr>
                  <w:r>
                    <w:rPr>
                      <w:color w:val="auto"/>
                    </w:rPr>
                    <w:t>年平均质量浓度</w:t>
                  </w:r>
                </w:p>
              </w:tc>
              <w:tc>
                <w:tcPr>
                  <w:tcW w:w="702" w:type="pct"/>
                  <w:vAlign w:val="center"/>
                </w:tcPr>
                <w:p>
                  <w:pPr>
                    <w:pStyle w:val="41"/>
                    <w:spacing w:line="240" w:lineRule="auto"/>
                    <w:jc w:val="center"/>
                    <w:rPr>
                      <w:rFonts w:hint="default" w:eastAsia="宋体"/>
                      <w:color w:val="auto"/>
                      <w:lang w:val="en-US" w:eastAsia="zh-CN"/>
                    </w:rPr>
                  </w:pPr>
                  <w:r>
                    <w:rPr>
                      <w:rFonts w:hint="eastAsia"/>
                      <w:color w:val="auto"/>
                      <w:lang w:val="en-US" w:eastAsia="zh-CN"/>
                    </w:rPr>
                    <w:t>29</w:t>
                  </w:r>
                </w:p>
              </w:tc>
              <w:tc>
                <w:tcPr>
                  <w:tcW w:w="809" w:type="pct"/>
                  <w:vAlign w:val="center"/>
                </w:tcPr>
                <w:p>
                  <w:pPr>
                    <w:pStyle w:val="41"/>
                    <w:spacing w:line="240" w:lineRule="auto"/>
                    <w:jc w:val="center"/>
                    <w:rPr>
                      <w:color w:val="auto"/>
                    </w:rPr>
                  </w:pPr>
                  <w:r>
                    <w:rPr>
                      <w:color w:val="auto"/>
                    </w:rPr>
                    <w:t>40</w:t>
                  </w:r>
                </w:p>
              </w:tc>
              <w:tc>
                <w:tcPr>
                  <w:tcW w:w="1508" w:type="dxa"/>
                  <w:vAlign w:val="center"/>
                </w:tcPr>
                <w:p>
                  <w:pPr>
                    <w:pStyle w:val="41"/>
                    <w:spacing w:line="240" w:lineRule="auto"/>
                    <w:jc w:val="center"/>
                    <w:rPr>
                      <w:rFonts w:hint="default" w:eastAsia="宋体"/>
                      <w:color w:val="auto"/>
                      <w:lang w:val="en-US" w:eastAsia="zh-CN"/>
                    </w:rPr>
                  </w:pPr>
                  <w:r>
                    <w:rPr>
                      <w:rFonts w:hint="eastAsia"/>
                      <w:color w:val="auto"/>
                      <w:lang w:val="en-US" w:eastAsia="zh-CN"/>
                    </w:rPr>
                    <w:t>72.5</w:t>
                  </w:r>
                </w:p>
              </w:tc>
              <w:tc>
                <w:tcPr>
                  <w:tcW w:w="713" w:type="pct"/>
                  <w:vAlign w:val="center"/>
                </w:tcPr>
                <w:p>
                  <w:pPr>
                    <w:pStyle w:val="41"/>
                    <w:spacing w:line="240" w:lineRule="auto"/>
                    <w:jc w:val="center"/>
                    <w:rPr>
                      <w:color w:val="auto"/>
                    </w:rPr>
                  </w:pPr>
                  <w:r>
                    <w:rPr>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94" w:type="pct"/>
                  <w:vAlign w:val="center"/>
                </w:tcPr>
                <w:p>
                  <w:pPr>
                    <w:pStyle w:val="41"/>
                    <w:spacing w:line="240" w:lineRule="auto"/>
                    <w:jc w:val="center"/>
                    <w:rPr>
                      <w:color w:val="auto"/>
                    </w:rPr>
                  </w:pPr>
                  <w:r>
                    <w:rPr>
                      <w:color w:val="auto"/>
                    </w:rPr>
                    <w:t>PM</w:t>
                  </w:r>
                  <w:r>
                    <w:rPr>
                      <w:color w:val="auto"/>
                      <w:vertAlign w:val="subscript"/>
                    </w:rPr>
                    <w:t>10</w:t>
                  </w:r>
                </w:p>
              </w:tc>
              <w:tc>
                <w:tcPr>
                  <w:tcW w:w="1340" w:type="pct"/>
                  <w:vAlign w:val="center"/>
                </w:tcPr>
                <w:p>
                  <w:pPr>
                    <w:pStyle w:val="41"/>
                    <w:spacing w:line="240" w:lineRule="auto"/>
                    <w:jc w:val="center"/>
                    <w:rPr>
                      <w:color w:val="auto"/>
                    </w:rPr>
                  </w:pPr>
                  <w:r>
                    <w:rPr>
                      <w:color w:val="auto"/>
                    </w:rPr>
                    <w:t>年平均质量浓度</w:t>
                  </w:r>
                </w:p>
              </w:tc>
              <w:tc>
                <w:tcPr>
                  <w:tcW w:w="702" w:type="pct"/>
                  <w:vAlign w:val="center"/>
                </w:tcPr>
                <w:p>
                  <w:pPr>
                    <w:pStyle w:val="41"/>
                    <w:spacing w:line="240" w:lineRule="auto"/>
                    <w:jc w:val="center"/>
                    <w:rPr>
                      <w:rFonts w:hint="default" w:eastAsia="宋体"/>
                      <w:color w:val="auto"/>
                      <w:lang w:val="en-US" w:eastAsia="zh-CN"/>
                    </w:rPr>
                  </w:pPr>
                  <w:r>
                    <w:rPr>
                      <w:rFonts w:hint="eastAsia"/>
                      <w:color w:val="auto"/>
                      <w:lang w:val="en-US" w:eastAsia="zh-CN"/>
                    </w:rPr>
                    <w:t>54</w:t>
                  </w:r>
                </w:p>
              </w:tc>
              <w:tc>
                <w:tcPr>
                  <w:tcW w:w="809" w:type="pct"/>
                  <w:vAlign w:val="center"/>
                </w:tcPr>
                <w:p>
                  <w:pPr>
                    <w:pStyle w:val="41"/>
                    <w:spacing w:line="240" w:lineRule="auto"/>
                    <w:jc w:val="center"/>
                    <w:rPr>
                      <w:color w:val="auto"/>
                    </w:rPr>
                  </w:pPr>
                  <w:r>
                    <w:rPr>
                      <w:color w:val="auto"/>
                    </w:rPr>
                    <w:t>70</w:t>
                  </w:r>
                </w:p>
              </w:tc>
              <w:tc>
                <w:tcPr>
                  <w:tcW w:w="1508" w:type="dxa"/>
                  <w:vAlign w:val="center"/>
                </w:tcPr>
                <w:p>
                  <w:pPr>
                    <w:pStyle w:val="41"/>
                    <w:spacing w:line="240" w:lineRule="auto"/>
                    <w:jc w:val="center"/>
                    <w:rPr>
                      <w:rFonts w:hint="default" w:eastAsia="宋体"/>
                      <w:color w:val="auto"/>
                      <w:lang w:val="en-US" w:eastAsia="zh-CN"/>
                    </w:rPr>
                  </w:pPr>
                  <w:r>
                    <w:rPr>
                      <w:rFonts w:hint="eastAsia"/>
                      <w:color w:val="auto"/>
                      <w:lang w:val="en-US" w:eastAsia="zh-CN"/>
                    </w:rPr>
                    <w:t>77.1</w:t>
                  </w:r>
                </w:p>
              </w:tc>
              <w:tc>
                <w:tcPr>
                  <w:tcW w:w="713" w:type="pct"/>
                  <w:vAlign w:val="center"/>
                </w:tcPr>
                <w:p>
                  <w:pPr>
                    <w:pStyle w:val="41"/>
                    <w:spacing w:line="240" w:lineRule="auto"/>
                    <w:jc w:val="center"/>
                    <w:rPr>
                      <w:color w:val="auto"/>
                    </w:rPr>
                  </w:pPr>
                  <w:r>
                    <w:rPr>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94" w:type="pct"/>
                  <w:vAlign w:val="center"/>
                </w:tcPr>
                <w:p>
                  <w:pPr>
                    <w:pStyle w:val="41"/>
                    <w:spacing w:line="240" w:lineRule="auto"/>
                    <w:jc w:val="center"/>
                    <w:rPr>
                      <w:color w:val="auto"/>
                    </w:rPr>
                  </w:pPr>
                  <w:r>
                    <w:rPr>
                      <w:color w:val="auto"/>
                    </w:rPr>
                    <w:t>PM</w:t>
                  </w:r>
                  <w:r>
                    <w:rPr>
                      <w:color w:val="auto"/>
                      <w:vertAlign w:val="subscript"/>
                    </w:rPr>
                    <w:t>2.5</w:t>
                  </w:r>
                </w:p>
              </w:tc>
              <w:tc>
                <w:tcPr>
                  <w:tcW w:w="1340" w:type="pct"/>
                  <w:vAlign w:val="center"/>
                </w:tcPr>
                <w:p>
                  <w:pPr>
                    <w:pStyle w:val="41"/>
                    <w:spacing w:line="240" w:lineRule="auto"/>
                    <w:jc w:val="center"/>
                    <w:rPr>
                      <w:color w:val="auto"/>
                    </w:rPr>
                  </w:pPr>
                  <w:r>
                    <w:rPr>
                      <w:color w:val="auto"/>
                    </w:rPr>
                    <w:t>年平均质量浓度</w:t>
                  </w:r>
                </w:p>
              </w:tc>
              <w:tc>
                <w:tcPr>
                  <w:tcW w:w="702" w:type="pct"/>
                  <w:vAlign w:val="center"/>
                </w:tcPr>
                <w:p>
                  <w:pPr>
                    <w:pStyle w:val="41"/>
                    <w:spacing w:line="240" w:lineRule="auto"/>
                    <w:jc w:val="center"/>
                    <w:rPr>
                      <w:rFonts w:hint="default" w:eastAsia="宋体"/>
                      <w:color w:val="auto"/>
                      <w:lang w:val="en-US" w:eastAsia="zh-CN"/>
                    </w:rPr>
                  </w:pPr>
                  <w:r>
                    <w:rPr>
                      <w:rFonts w:hint="eastAsia"/>
                      <w:color w:val="auto"/>
                      <w:lang w:val="en-US" w:eastAsia="zh-CN"/>
                    </w:rPr>
                    <w:t>38</w:t>
                  </w:r>
                </w:p>
              </w:tc>
              <w:tc>
                <w:tcPr>
                  <w:tcW w:w="809" w:type="pct"/>
                  <w:vAlign w:val="center"/>
                </w:tcPr>
                <w:p>
                  <w:pPr>
                    <w:pStyle w:val="41"/>
                    <w:spacing w:line="240" w:lineRule="auto"/>
                    <w:jc w:val="center"/>
                    <w:rPr>
                      <w:color w:val="auto"/>
                    </w:rPr>
                  </w:pPr>
                  <w:r>
                    <w:rPr>
                      <w:color w:val="auto"/>
                    </w:rPr>
                    <w:t>35</w:t>
                  </w:r>
                </w:p>
              </w:tc>
              <w:tc>
                <w:tcPr>
                  <w:tcW w:w="1508" w:type="dxa"/>
                  <w:vAlign w:val="center"/>
                </w:tcPr>
                <w:p>
                  <w:pPr>
                    <w:pStyle w:val="41"/>
                    <w:spacing w:line="240" w:lineRule="auto"/>
                    <w:jc w:val="center"/>
                    <w:rPr>
                      <w:rFonts w:hint="default" w:eastAsia="宋体"/>
                      <w:color w:val="auto"/>
                      <w:lang w:val="en-US" w:eastAsia="zh-CN"/>
                    </w:rPr>
                  </w:pPr>
                  <w:r>
                    <w:rPr>
                      <w:rFonts w:hint="eastAsia"/>
                      <w:color w:val="auto"/>
                      <w:lang w:val="en-US" w:eastAsia="zh-CN"/>
                    </w:rPr>
                    <w:t>108.6</w:t>
                  </w:r>
                </w:p>
              </w:tc>
              <w:tc>
                <w:tcPr>
                  <w:tcW w:w="713" w:type="pct"/>
                  <w:vAlign w:val="center"/>
                </w:tcPr>
                <w:p>
                  <w:pPr>
                    <w:pStyle w:val="41"/>
                    <w:spacing w:line="240" w:lineRule="auto"/>
                    <w:jc w:val="center"/>
                    <w:rPr>
                      <w:rFonts w:hint="eastAsia" w:eastAsia="宋体"/>
                      <w:color w:val="auto"/>
                      <w:lang w:eastAsia="zh-CN"/>
                    </w:rPr>
                  </w:pPr>
                  <w:r>
                    <w:rPr>
                      <w:rFonts w:hint="eastAsia"/>
                      <w:color w:val="auto"/>
                      <w:lang w:eastAsia="zh-CN"/>
                    </w:rPr>
                    <w:t>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94" w:type="pct"/>
                  <w:vAlign w:val="center"/>
                </w:tcPr>
                <w:p>
                  <w:pPr>
                    <w:pStyle w:val="41"/>
                    <w:spacing w:line="240" w:lineRule="auto"/>
                    <w:jc w:val="center"/>
                    <w:rPr>
                      <w:color w:val="auto"/>
                    </w:rPr>
                  </w:pPr>
                  <w:r>
                    <w:rPr>
                      <w:color w:val="auto"/>
                    </w:rPr>
                    <w:t>CO</w:t>
                  </w:r>
                </w:p>
              </w:tc>
              <w:tc>
                <w:tcPr>
                  <w:tcW w:w="1340" w:type="pct"/>
                  <w:vAlign w:val="center"/>
                </w:tcPr>
                <w:p>
                  <w:pPr>
                    <w:pStyle w:val="41"/>
                    <w:spacing w:line="240" w:lineRule="auto"/>
                    <w:jc w:val="center"/>
                    <w:rPr>
                      <w:color w:val="auto"/>
                    </w:rPr>
                  </w:pPr>
                  <w:r>
                    <w:rPr>
                      <w:color w:val="auto"/>
                    </w:rPr>
                    <w:t>第95百分位数日均浓度</w:t>
                  </w:r>
                </w:p>
              </w:tc>
              <w:tc>
                <w:tcPr>
                  <w:tcW w:w="702" w:type="pct"/>
                  <w:vAlign w:val="center"/>
                </w:tcPr>
                <w:p>
                  <w:pPr>
                    <w:pStyle w:val="41"/>
                    <w:spacing w:line="240" w:lineRule="auto"/>
                    <w:jc w:val="center"/>
                    <w:rPr>
                      <w:color w:val="auto"/>
                    </w:rPr>
                  </w:pPr>
                  <w:r>
                    <w:rPr>
                      <w:rFonts w:hint="eastAsia"/>
                      <w:color w:val="auto"/>
                    </w:rPr>
                    <w:t>1.</w:t>
                  </w:r>
                  <w:r>
                    <w:rPr>
                      <w:rFonts w:hint="eastAsia"/>
                      <w:color w:val="auto"/>
                      <w:lang w:val="en-US" w:eastAsia="zh-CN"/>
                    </w:rPr>
                    <w:t>1</w:t>
                  </w:r>
                  <w:r>
                    <w:rPr>
                      <w:color w:val="auto"/>
                    </w:rPr>
                    <w:t>mg/m</w:t>
                  </w:r>
                  <w:r>
                    <w:rPr>
                      <w:color w:val="auto"/>
                      <w:vertAlign w:val="superscript"/>
                    </w:rPr>
                    <w:t>3</w:t>
                  </w:r>
                </w:p>
              </w:tc>
              <w:tc>
                <w:tcPr>
                  <w:tcW w:w="809" w:type="pct"/>
                  <w:vAlign w:val="center"/>
                </w:tcPr>
                <w:p>
                  <w:pPr>
                    <w:pStyle w:val="41"/>
                    <w:spacing w:line="240" w:lineRule="auto"/>
                    <w:jc w:val="center"/>
                    <w:rPr>
                      <w:color w:val="auto"/>
                    </w:rPr>
                  </w:pPr>
                  <w:r>
                    <w:rPr>
                      <w:color w:val="auto"/>
                    </w:rPr>
                    <w:t>4.0mg/m</w:t>
                  </w:r>
                  <w:r>
                    <w:rPr>
                      <w:color w:val="auto"/>
                      <w:vertAlign w:val="superscript"/>
                    </w:rPr>
                    <w:t>3</w:t>
                  </w:r>
                </w:p>
              </w:tc>
              <w:tc>
                <w:tcPr>
                  <w:tcW w:w="1508" w:type="dxa"/>
                  <w:vAlign w:val="center"/>
                </w:tcPr>
                <w:p>
                  <w:pPr>
                    <w:pStyle w:val="41"/>
                    <w:spacing w:line="240" w:lineRule="auto"/>
                    <w:jc w:val="center"/>
                    <w:rPr>
                      <w:rFonts w:hint="default" w:eastAsia="宋体"/>
                      <w:color w:val="auto"/>
                      <w:lang w:val="en-US" w:eastAsia="zh-CN"/>
                    </w:rPr>
                  </w:pPr>
                  <w:r>
                    <w:rPr>
                      <w:rFonts w:hint="eastAsia"/>
                      <w:color w:val="auto"/>
                      <w:lang w:val="en-US" w:eastAsia="zh-CN"/>
                    </w:rPr>
                    <w:t>27.5</w:t>
                  </w:r>
                </w:p>
              </w:tc>
              <w:tc>
                <w:tcPr>
                  <w:tcW w:w="713" w:type="pct"/>
                  <w:vAlign w:val="center"/>
                </w:tcPr>
                <w:p>
                  <w:pPr>
                    <w:pStyle w:val="41"/>
                    <w:spacing w:line="240" w:lineRule="auto"/>
                    <w:jc w:val="center"/>
                    <w:rPr>
                      <w:color w:val="auto"/>
                    </w:rPr>
                  </w:pPr>
                  <w:r>
                    <w:rPr>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94" w:type="pct"/>
                  <w:vAlign w:val="center"/>
                </w:tcPr>
                <w:p>
                  <w:pPr>
                    <w:pStyle w:val="41"/>
                    <w:spacing w:line="240" w:lineRule="auto"/>
                    <w:jc w:val="center"/>
                    <w:rPr>
                      <w:color w:val="auto"/>
                    </w:rPr>
                  </w:pPr>
                  <w:r>
                    <w:rPr>
                      <w:color w:val="auto"/>
                    </w:rPr>
                    <w:t>O</w:t>
                  </w:r>
                  <w:r>
                    <w:rPr>
                      <w:color w:val="auto"/>
                      <w:vertAlign w:val="subscript"/>
                    </w:rPr>
                    <w:t>3</w:t>
                  </w:r>
                </w:p>
              </w:tc>
              <w:tc>
                <w:tcPr>
                  <w:tcW w:w="1340" w:type="pct"/>
                  <w:vAlign w:val="center"/>
                </w:tcPr>
                <w:p>
                  <w:pPr>
                    <w:pStyle w:val="41"/>
                    <w:spacing w:line="240" w:lineRule="auto"/>
                    <w:jc w:val="center"/>
                    <w:rPr>
                      <w:color w:val="auto"/>
                    </w:rPr>
                  </w:pPr>
                  <w:r>
                    <w:rPr>
                      <w:color w:val="auto"/>
                    </w:rPr>
                    <w:t>第90百分位数日</w:t>
                  </w:r>
                </w:p>
                <w:p>
                  <w:pPr>
                    <w:pStyle w:val="41"/>
                    <w:spacing w:line="240" w:lineRule="auto"/>
                    <w:jc w:val="center"/>
                    <w:rPr>
                      <w:color w:val="auto"/>
                    </w:rPr>
                  </w:pPr>
                  <w:r>
                    <w:rPr>
                      <w:color w:val="auto"/>
                    </w:rPr>
                    <w:t>最大8h平均浓度</w:t>
                  </w:r>
                </w:p>
              </w:tc>
              <w:tc>
                <w:tcPr>
                  <w:tcW w:w="702" w:type="pct"/>
                  <w:vAlign w:val="center"/>
                </w:tcPr>
                <w:p>
                  <w:pPr>
                    <w:pStyle w:val="41"/>
                    <w:spacing w:line="240" w:lineRule="auto"/>
                    <w:jc w:val="center"/>
                    <w:rPr>
                      <w:rFonts w:hint="default" w:eastAsia="宋体"/>
                      <w:color w:val="auto"/>
                      <w:lang w:val="en-US" w:eastAsia="zh-CN"/>
                    </w:rPr>
                  </w:pPr>
                  <w:r>
                    <w:rPr>
                      <w:rFonts w:hint="eastAsia"/>
                      <w:color w:val="auto"/>
                      <w:lang w:val="en-US" w:eastAsia="zh-CN"/>
                    </w:rPr>
                    <w:t>132</w:t>
                  </w:r>
                </w:p>
              </w:tc>
              <w:tc>
                <w:tcPr>
                  <w:tcW w:w="809" w:type="pct"/>
                  <w:vAlign w:val="center"/>
                </w:tcPr>
                <w:p>
                  <w:pPr>
                    <w:pStyle w:val="41"/>
                    <w:spacing w:line="240" w:lineRule="auto"/>
                    <w:jc w:val="center"/>
                    <w:rPr>
                      <w:color w:val="auto"/>
                    </w:rPr>
                  </w:pPr>
                  <w:r>
                    <w:rPr>
                      <w:color w:val="auto"/>
                    </w:rPr>
                    <w:t>160</w:t>
                  </w:r>
                </w:p>
              </w:tc>
              <w:tc>
                <w:tcPr>
                  <w:tcW w:w="1508" w:type="dxa"/>
                  <w:vAlign w:val="center"/>
                </w:tcPr>
                <w:p>
                  <w:pPr>
                    <w:pStyle w:val="41"/>
                    <w:spacing w:line="240" w:lineRule="auto"/>
                    <w:jc w:val="center"/>
                    <w:rPr>
                      <w:rFonts w:hint="default" w:eastAsia="宋体"/>
                      <w:color w:val="auto"/>
                      <w:lang w:val="en-US" w:eastAsia="zh-CN"/>
                    </w:rPr>
                  </w:pPr>
                  <w:r>
                    <w:rPr>
                      <w:rFonts w:hint="eastAsia"/>
                      <w:color w:val="auto"/>
                      <w:lang w:val="en-US" w:eastAsia="zh-CN"/>
                    </w:rPr>
                    <w:t>82.5</w:t>
                  </w:r>
                </w:p>
              </w:tc>
              <w:tc>
                <w:tcPr>
                  <w:tcW w:w="713" w:type="pct"/>
                  <w:vAlign w:val="center"/>
                </w:tcPr>
                <w:p>
                  <w:pPr>
                    <w:pStyle w:val="41"/>
                    <w:spacing w:line="240" w:lineRule="auto"/>
                    <w:jc w:val="center"/>
                    <w:rPr>
                      <w:color w:val="auto"/>
                    </w:rPr>
                  </w:pPr>
                  <w:r>
                    <w:rPr>
                      <w:color w:val="auto"/>
                    </w:rPr>
                    <w:t>达标</w:t>
                  </w:r>
                </w:p>
              </w:tc>
            </w:tr>
          </w:tbl>
          <w:p>
            <w:pPr>
              <w:pStyle w:val="102"/>
              <w:spacing w:line="360" w:lineRule="auto"/>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由上表3.1-1可知，拟建项目所在铜梁区环境空气中除PM</w:t>
            </w:r>
            <w:r>
              <w:rPr>
                <w:rFonts w:hint="default" w:ascii="Times New Roman" w:hAnsi="Times New Roman" w:eastAsia="宋体" w:cs="Times New Roman"/>
                <w:color w:val="auto"/>
                <w:vertAlign w:val="subscript"/>
                <w:lang w:eastAsia="zh-CN"/>
              </w:rPr>
              <w:t>2.5</w:t>
            </w:r>
            <w:r>
              <w:rPr>
                <w:rFonts w:hint="default" w:ascii="Times New Roman" w:hAnsi="Times New Roman" w:eastAsia="宋体" w:cs="Times New Roman"/>
                <w:color w:val="auto"/>
                <w:lang w:eastAsia="zh-CN"/>
              </w:rPr>
              <w:t>，其他常规因子均满足《环境空气质量标准》（GB3095-2012）二级标准，因此</w:t>
            </w:r>
            <w:r>
              <w:rPr>
                <w:rFonts w:hint="eastAsia" w:cs="Times New Roman"/>
                <w:color w:val="auto"/>
                <w:lang w:eastAsia="zh-CN"/>
              </w:rPr>
              <w:t>铜梁</w:t>
            </w:r>
            <w:r>
              <w:rPr>
                <w:rFonts w:hint="default" w:ascii="Times New Roman" w:hAnsi="Times New Roman" w:eastAsia="宋体" w:cs="Times New Roman"/>
                <w:color w:val="auto"/>
                <w:lang w:eastAsia="zh-CN"/>
              </w:rPr>
              <w:t>区环境空气质量不达标，为不达标区。</w:t>
            </w:r>
          </w:p>
          <w:p>
            <w:pPr>
              <w:widowControl/>
              <w:ind w:firstLine="48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目前，铜梁区已发布《铜梁区环境空气质量限期达标规划（2017-2025年）》，达标规划中“措施与行动”方案中明确减缓的方案如下：</w:t>
            </w:r>
          </w:p>
          <w:p>
            <w:pPr>
              <w:widowControl/>
              <w:ind w:firstLine="48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一、推进绿色低碳循环发展</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优化调整产业结构：严格产业环境准入。严格执行国家产业政策和《重庆市产业投资准入工作手册》，严控“两高一资”和过剩产能行业，积极引进环境友好型、科技创新性和高附加值型的企业落户。推进产业转型升级。一是围绕“高质量、供给侧、智能化”，大力推动产业转型升级。二是大力。发展现代服务业。三是大力发展旅游产业。全力创建国家高新区。</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优化调整能源结构：围绕能源消耗总量和强度双控要求，严格控制煤炭消耗总量，大力推广清洁能源，降低煤炭消费比重。积极推进绿色建筑，新建项目严格执行初步设计建筑节能专项审查、施工图审查、设计变更审查备案和建筑能效测评标识制度。进一步扩大绿色建筑强制性标准执行范围，积极发展高星级绿色建筑和绿色生态住宅小区。到2020年，装配式建筑占新建建筑面积比例达到 15%，城镇绿色建筑占新建建筑比重达到 50%。大力推进公共机构节能示范单位创建工作,逐步改造高能耗办公用电设备。加强实施“绿色照明”行动，实施节能产品改造试点，加快城区路灯节能改造，逐步淘汰高能耗灯具，更换新型节能产品。</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3、大力推进绿色发展：以制造业升级为重点，以科技创新为支撑、以示范试点为抓手，推动绿色产品、绿色工厂、绿色园区和绿色供应链全面发展。</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二、推进工业企业污染防治</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1、强化工业废气污染防治：督促辖区内水泥、化工企业严格执行国家大气污染特别排放限值。</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2、加强挥发性有机物污染防治：推广使用水性涂料，鼓励生产、销售和使用低毒、低挥发性有机溶剂。</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推进散乱污企业综合整治：以铜梁区工业污染整治攻坚战为依托，以“四无”企业为重点，依法整治生产经营中环境保护不达标、节能降耗不达标以及投诉突出的小型工业企业、小作坊。制定综合整改方案，实施提升、集约布局、关停等分类治理。</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4、加强工业污染物排放管理：以排污许可证为载体，有机衔接环境影响评价制度，实现污染物从污染预防到污染治理和排放的全过程监管，禁止无证排污或不按许可证规定排污。</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三、加强城市扬尘污染控制</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加强施工扬尘控制：以城镇基础设施建设、城市功能建设、城市交通建设、旅游开发、园区基础设施建设、园区功能完善建设等施工项目为重点，突出“一心三轴四组团”城市空间开发建设，加强施工扬尘控制，强化施工单位监管，督促其严格落实扬尘控制十项强制性规定。加强住房城乡建委、城管、生态环境等部门合作，开展施工扬尘综合执法工作，确保施工工地扬尘控制经费落实、措施落实、责任落实。</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加强道路扬尘控制：严格落实城市道路扬尘控制六项要求，以龙腾大道、金龙大道、龙安大道、中南路等城市道路为重点，加强道路扬尘控制。加强入城车辆冲洗清洁，开展入城车辆免费洗车试点，为脏车提供免费冲洗服务，降低扬尘二次污染。</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3、加强其他扬尘污染控制：加强裸露地面扬尘控制。控制生产经营过程烟粉尘。</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四、统筹控制交通污染</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加强机动车监管：加强在用和新车监管。严格执行在用机动车定期检测、维护（I/M）制度，进一步提高机动车环保定期检测率和检测质量，未进行尾气检测或尾气检测不合格的，不予出具安全技术检验合格证明。加强高排放车辆污染防治。打好柴油货车污染治理攻坚战，配合市级部门逐步建设“天地车人”一体化的机动车排放监控系统，加强高排放车辆污染防治，加强冒黑烟车、大货车、尾气超标车辆上路行驶执法检查，严厉查处违法上路行驶行为。</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2、强化交通管理与油品监督：加强城市交通指挥与疏导，推广城市智能交通管理，科学设置交通信号灯并实施联网控制，在拥堵路段采取必要措施，合理引导车辆通行，缓解交通拥堵带来的大气污染。</w:t>
            </w:r>
          </w:p>
          <w:p>
            <w:pPr>
              <w:widowControl/>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加强非道路移动机械和船舶污染防治：加强非道路移动机械大气污染物排放监管，实行非道路移动机械登记制度，建立完善非道路移动机械污染控制管理台账。推进船舶排气污染防治。依法强制报废超过使用年限的船舶，加强船只报废更新，积极鼓励发展厢式化、模块化、轻量化等先进车型船型在铜梁执行相应的整治措施后，可改善区域环境质量达标情况。</w:t>
            </w:r>
          </w:p>
          <w:p>
            <w:pPr>
              <w:widowControl/>
              <w:jc w:val="left"/>
              <w:rPr>
                <w:b/>
                <w:bCs/>
                <w:snapToGrid w:val="0"/>
                <w:color w:val="auto"/>
                <w:kern w:val="0"/>
                <w:szCs w:val="24"/>
              </w:rPr>
            </w:pPr>
            <w:r>
              <w:rPr>
                <w:rFonts w:hint="eastAsia"/>
                <w:b/>
                <w:bCs/>
                <w:snapToGrid w:val="0"/>
                <w:color w:val="auto"/>
                <w:kern w:val="0"/>
                <w:szCs w:val="24"/>
                <w:lang w:val="en-US" w:eastAsia="zh-CN"/>
              </w:rPr>
              <w:t>3.1.2</w:t>
            </w:r>
            <w:r>
              <w:rPr>
                <w:b/>
                <w:bCs/>
                <w:snapToGrid w:val="0"/>
                <w:color w:val="auto"/>
                <w:kern w:val="0"/>
                <w:szCs w:val="24"/>
              </w:rPr>
              <w:t>其他因子补充监测</w:t>
            </w:r>
          </w:p>
          <w:p>
            <w:pPr>
              <w:widowControl/>
              <w:ind w:firstLine="480" w:firstLineChars="200"/>
              <w:jc w:val="left"/>
              <w:rPr>
                <w:rFonts w:hint="default"/>
                <w:color w:val="auto"/>
              </w:rPr>
            </w:pPr>
            <w:r>
              <w:rPr>
                <w:rFonts w:hint="default"/>
                <w:b w:val="0"/>
                <w:bCs w:val="0"/>
                <w:snapToGrid w:val="0"/>
                <w:color w:val="auto"/>
                <w:kern w:val="0"/>
                <w:szCs w:val="24"/>
              </w:rPr>
              <w:t>拟建项目</w:t>
            </w:r>
            <w:r>
              <w:rPr>
                <w:rFonts w:hint="eastAsia"/>
                <w:b w:val="0"/>
                <w:bCs w:val="0"/>
                <w:snapToGrid w:val="0"/>
                <w:color w:val="auto"/>
                <w:kern w:val="0"/>
                <w:szCs w:val="24"/>
                <w:lang w:eastAsia="zh-CN"/>
              </w:rPr>
              <w:t>大气特征因子为非甲烷总烃</w:t>
            </w:r>
            <w:r>
              <w:rPr>
                <w:rFonts w:hint="default"/>
                <w:b w:val="0"/>
                <w:bCs w:val="0"/>
                <w:snapToGrid w:val="0"/>
                <w:color w:val="auto"/>
                <w:kern w:val="0"/>
                <w:szCs w:val="24"/>
              </w:rPr>
              <w:t>，本次环评引用</w:t>
            </w:r>
            <w:r>
              <w:rPr>
                <w:rFonts w:hint="eastAsia"/>
                <w:b w:val="0"/>
                <w:bCs w:val="0"/>
                <w:snapToGrid w:val="0"/>
                <w:color w:val="auto"/>
                <w:kern w:val="0"/>
                <w:szCs w:val="24"/>
                <w:lang w:eastAsia="zh-CN"/>
              </w:rPr>
              <w:t>“重庆渝创隆新创科技有限公司”的监测报告（</w:t>
            </w:r>
            <w:r>
              <w:rPr>
                <w:rFonts w:hint="eastAsia"/>
                <w:b w:val="0"/>
                <w:bCs w:val="0"/>
                <w:snapToGrid w:val="0"/>
                <w:color w:val="auto"/>
                <w:kern w:val="0"/>
                <w:szCs w:val="24"/>
                <w:lang w:val="en-US" w:eastAsia="zh-CN"/>
              </w:rPr>
              <w:t>博环（检）字[2020]第HP176号）</w:t>
            </w:r>
            <w:r>
              <w:rPr>
                <w:rFonts w:hint="eastAsia"/>
                <w:b w:val="0"/>
                <w:bCs w:val="0"/>
                <w:snapToGrid w:val="0"/>
                <w:color w:val="auto"/>
                <w:kern w:val="0"/>
                <w:szCs w:val="24"/>
                <w:highlight w:val="none"/>
                <w:lang w:val="en-US" w:eastAsia="zh-CN"/>
              </w:rPr>
              <w:t>中Q1监测点，该点位位于项目厂界西侧约4.95km，监测时段为</w:t>
            </w:r>
            <w:r>
              <w:rPr>
                <w:rFonts w:hint="eastAsia"/>
                <w:color w:val="auto"/>
                <w:lang w:val="en-US" w:eastAsia="zh-CN"/>
              </w:rPr>
              <w:t>2020年9月22日~9月25日。</w:t>
            </w:r>
            <w:r>
              <w:rPr>
                <w:rFonts w:hint="default"/>
                <w:b w:val="0"/>
                <w:bCs w:val="0"/>
                <w:snapToGrid w:val="0"/>
                <w:color w:val="auto"/>
                <w:kern w:val="0"/>
                <w:szCs w:val="24"/>
              </w:rPr>
              <w:t>引用大气监测数据满足建设项目环境影响报告表（填报指南）中“引用建设项目周边5千米范围内近3年的现有监测数据”要求。</w:t>
            </w:r>
          </w:p>
          <w:p>
            <w:pPr>
              <w:widowControl/>
              <w:ind w:firstLine="480" w:firstLineChars="200"/>
              <w:jc w:val="left"/>
              <w:rPr>
                <w:rFonts w:hint="default" w:ascii="Times New Roman" w:hAnsi="Times New Roman" w:cs="Times New Roman"/>
                <w:b w:val="0"/>
                <w:bCs w:val="0"/>
                <w:snapToGrid w:val="0"/>
                <w:color w:val="auto"/>
                <w:kern w:val="0"/>
                <w:szCs w:val="24"/>
                <w:lang w:eastAsia="zh-CN"/>
              </w:rPr>
            </w:pPr>
            <w:r>
              <w:rPr>
                <w:rFonts w:hint="default" w:ascii="Times New Roman" w:hAnsi="Times New Roman" w:cs="Times New Roman"/>
                <w:b w:val="0"/>
                <w:bCs w:val="0"/>
                <w:snapToGrid w:val="0"/>
                <w:color w:val="auto"/>
                <w:kern w:val="0"/>
                <w:szCs w:val="24"/>
                <w:lang w:eastAsia="zh-CN"/>
              </w:rPr>
              <w:t>①监测点位信息</w:t>
            </w:r>
          </w:p>
          <w:p>
            <w:pPr>
              <w:widowControl/>
              <w:ind w:firstLine="480" w:firstLineChars="200"/>
              <w:jc w:val="left"/>
              <w:rPr>
                <w:rFonts w:hint="eastAsia" w:ascii="Times New Roman" w:hAnsi="Times New Roman" w:cs="Times New Roman"/>
                <w:b w:val="0"/>
                <w:bCs w:val="0"/>
                <w:snapToGrid w:val="0"/>
                <w:color w:val="auto"/>
                <w:kern w:val="0"/>
                <w:szCs w:val="24"/>
                <w:lang w:val="en-US" w:eastAsia="zh-CN"/>
              </w:rPr>
            </w:pPr>
            <w:r>
              <w:rPr>
                <w:rFonts w:hint="eastAsia" w:ascii="Times New Roman" w:hAnsi="Times New Roman" w:cs="Times New Roman"/>
                <w:b w:val="0"/>
                <w:bCs w:val="0"/>
                <w:snapToGrid w:val="0"/>
                <w:color w:val="auto"/>
                <w:kern w:val="0"/>
                <w:szCs w:val="24"/>
                <w:lang w:eastAsia="zh-CN"/>
              </w:rPr>
              <w:t>监测点位信息详见表</w:t>
            </w:r>
            <w:r>
              <w:rPr>
                <w:rFonts w:hint="eastAsia" w:ascii="Times New Roman" w:hAnsi="Times New Roman" w:cs="Times New Roman"/>
                <w:b w:val="0"/>
                <w:bCs w:val="0"/>
                <w:snapToGrid w:val="0"/>
                <w:color w:val="auto"/>
                <w:kern w:val="0"/>
                <w:szCs w:val="24"/>
                <w:lang w:val="en-US" w:eastAsia="zh-CN"/>
              </w:rPr>
              <w:t>3.1-2。</w:t>
            </w:r>
          </w:p>
          <w:p>
            <w:pPr>
              <w:widowControl/>
              <w:spacing w:line="240" w:lineRule="auto"/>
              <w:jc w:val="center"/>
              <w:rPr>
                <w:rFonts w:hint="eastAsia" w:ascii="Times New Roman" w:hAnsi="Times New Roman" w:cs="Times New Roman"/>
                <w:b w:val="0"/>
                <w:bCs w:val="0"/>
                <w:snapToGrid w:val="0"/>
                <w:color w:val="auto"/>
                <w:kern w:val="0"/>
                <w:szCs w:val="24"/>
                <w:lang w:val="en-US" w:eastAsia="zh-CN"/>
              </w:rPr>
            </w:pPr>
            <w:r>
              <w:rPr>
                <w:rFonts w:hint="eastAsia" w:ascii="Times New Roman" w:hAnsi="Times New Roman" w:cs="Times New Roman"/>
                <w:b w:val="0"/>
                <w:bCs w:val="0"/>
                <w:snapToGrid w:val="0"/>
                <w:color w:val="auto"/>
                <w:kern w:val="0"/>
                <w:szCs w:val="24"/>
                <w:lang w:val="en-US" w:eastAsia="zh-CN"/>
              </w:rPr>
              <w:t>表3.1-2 监测点位基本信息一览表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480"/>
              <w:gridCol w:w="1873"/>
              <w:gridCol w:w="2272"/>
              <w:gridCol w:w="855"/>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2" w:type="pct"/>
                  <w:vMerge w:val="restart"/>
                  <w:vAlign w:val="center"/>
                </w:tcPr>
                <w:p>
                  <w:pPr>
                    <w:pStyle w:val="41"/>
                    <w:spacing w:line="240" w:lineRule="auto"/>
                    <w:jc w:val="center"/>
                    <w:rPr>
                      <w:rFonts w:hint="default"/>
                      <w:color w:val="auto"/>
                      <w:lang w:val="en-US" w:eastAsia="zh-CN"/>
                    </w:rPr>
                  </w:pPr>
                  <w:r>
                    <w:rPr>
                      <w:rFonts w:hint="eastAsia"/>
                      <w:color w:val="auto"/>
                      <w:lang w:val="en-US" w:eastAsia="zh-CN"/>
                    </w:rPr>
                    <w:t>监测点位</w:t>
                  </w:r>
                </w:p>
              </w:tc>
              <w:tc>
                <w:tcPr>
                  <w:tcW w:w="876" w:type="pct"/>
                  <w:vMerge w:val="restart"/>
                  <w:vAlign w:val="center"/>
                </w:tcPr>
                <w:p>
                  <w:pPr>
                    <w:pStyle w:val="41"/>
                    <w:spacing w:line="240" w:lineRule="auto"/>
                    <w:jc w:val="center"/>
                    <w:rPr>
                      <w:rFonts w:hint="default"/>
                      <w:color w:val="auto"/>
                      <w:lang w:val="en-US" w:eastAsia="zh-CN"/>
                    </w:rPr>
                  </w:pPr>
                  <w:r>
                    <w:rPr>
                      <w:rFonts w:hint="eastAsia"/>
                      <w:color w:val="auto"/>
                      <w:lang w:val="en-US" w:eastAsia="zh-CN"/>
                    </w:rPr>
                    <w:t>监测因子</w:t>
                  </w:r>
                </w:p>
              </w:tc>
              <w:tc>
                <w:tcPr>
                  <w:tcW w:w="1109" w:type="pct"/>
                  <w:vMerge w:val="restart"/>
                  <w:vAlign w:val="center"/>
                </w:tcPr>
                <w:p>
                  <w:pPr>
                    <w:pStyle w:val="41"/>
                    <w:spacing w:line="240" w:lineRule="auto"/>
                    <w:jc w:val="center"/>
                    <w:rPr>
                      <w:rFonts w:hint="default"/>
                      <w:color w:val="auto"/>
                      <w:lang w:val="en-US" w:eastAsia="zh-CN"/>
                    </w:rPr>
                  </w:pPr>
                  <w:r>
                    <w:rPr>
                      <w:rFonts w:hint="eastAsia"/>
                      <w:color w:val="auto"/>
                      <w:lang w:val="en-US" w:eastAsia="zh-CN"/>
                    </w:rPr>
                    <w:t>监测频次</w:t>
                  </w:r>
                </w:p>
              </w:tc>
              <w:tc>
                <w:tcPr>
                  <w:tcW w:w="1345" w:type="pct"/>
                  <w:vMerge w:val="restart"/>
                  <w:vAlign w:val="center"/>
                </w:tcPr>
                <w:p>
                  <w:pPr>
                    <w:pStyle w:val="41"/>
                    <w:spacing w:line="240" w:lineRule="auto"/>
                    <w:jc w:val="center"/>
                    <w:rPr>
                      <w:rFonts w:hint="default"/>
                      <w:color w:val="auto"/>
                      <w:lang w:val="en-US" w:eastAsia="zh-CN"/>
                    </w:rPr>
                  </w:pPr>
                  <w:r>
                    <w:rPr>
                      <w:rFonts w:hint="eastAsia"/>
                      <w:color w:val="auto"/>
                      <w:lang w:val="en-US" w:eastAsia="zh-CN"/>
                    </w:rPr>
                    <w:t>监测时段</w:t>
                  </w:r>
                </w:p>
              </w:tc>
              <w:tc>
                <w:tcPr>
                  <w:tcW w:w="506" w:type="pct"/>
                  <w:vMerge w:val="restart"/>
                  <w:vAlign w:val="center"/>
                </w:tcPr>
                <w:p>
                  <w:pPr>
                    <w:pStyle w:val="41"/>
                    <w:spacing w:line="240" w:lineRule="auto"/>
                    <w:jc w:val="center"/>
                    <w:rPr>
                      <w:rFonts w:hint="default"/>
                      <w:color w:val="auto"/>
                      <w:lang w:val="en-US" w:eastAsia="zh-CN"/>
                    </w:rPr>
                  </w:pPr>
                  <w:r>
                    <w:rPr>
                      <w:rFonts w:hint="eastAsia"/>
                      <w:color w:val="auto"/>
                      <w:lang w:val="en-US" w:eastAsia="zh-CN"/>
                    </w:rPr>
                    <w:t>相对厂址方位</w:t>
                  </w:r>
                </w:p>
              </w:tc>
              <w:tc>
                <w:tcPr>
                  <w:tcW w:w="680" w:type="pct"/>
                  <w:vMerge w:val="restart"/>
                  <w:vAlign w:val="center"/>
                </w:tcPr>
                <w:p>
                  <w:pPr>
                    <w:pStyle w:val="41"/>
                    <w:spacing w:line="240" w:lineRule="auto"/>
                    <w:jc w:val="center"/>
                    <w:rPr>
                      <w:rFonts w:hint="eastAsia"/>
                      <w:color w:val="auto"/>
                      <w:lang w:val="en-US" w:eastAsia="zh-CN"/>
                    </w:rPr>
                  </w:pPr>
                  <w:r>
                    <w:rPr>
                      <w:rFonts w:hint="eastAsia"/>
                      <w:color w:val="auto"/>
                      <w:lang w:val="en-US" w:eastAsia="zh-CN"/>
                    </w:rPr>
                    <w:t>相对厂址距离</w:t>
                  </w:r>
                </w:p>
                <w:p>
                  <w:pPr>
                    <w:pStyle w:val="41"/>
                    <w:spacing w:line="240" w:lineRule="auto"/>
                    <w:jc w:val="center"/>
                    <w:rPr>
                      <w:rFonts w:hint="default"/>
                      <w:color w:val="auto"/>
                      <w:lang w:val="en-US" w:eastAsia="zh-CN"/>
                    </w:rPr>
                  </w:pPr>
                  <w:r>
                    <w:rPr>
                      <w:rFonts w:hint="eastAsia"/>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2" w:type="pct"/>
                  <w:vMerge w:val="continue"/>
                  <w:vAlign w:val="center"/>
                </w:tcPr>
                <w:p>
                  <w:pPr>
                    <w:pStyle w:val="41"/>
                    <w:spacing w:line="240" w:lineRule="auto"/>
                    <w:jc w:val="center"/>
                    <w:rPr>
                      <w:rFonts w:hint="default"/>
                      <w:color w:val="auto"/>
                      <w:lang w:val="en-US" w:eastAsia="zh-CN"/>
                    </w:rPr>
                  </w:pPr>
                </w:p>
              </w:tc>
              <w:tc>
                <w:tcPr>
                  <w:tcW w:w="876" w:type="pct"/>
                  <w:vMerge w:val="continue"/>
                  <w:vAlign w:val="center"/>
                </w:tcPr>
                <w:p>
                  <w:pPr>
                    <w:pStyle w:val="41"/>
                    <w:spacing w:line="240" w:lineRule="auto"/>
                    <w:jc w:val="center"/>
                    <w:rPr>
                      <w:rFonts w:hint="default"/>
                      <w:color w:val="auto"/>
                      <w:lang w:val="en-US" w:eastAsia="zh-CN"/>
                    </w:rPr>
                  </w:pPr>
                </w:p>
              </w:tc>
              <w:tc>
                <w:tcPr>
                  <w:tcW w:w="1109" w:type="pct"/>
                  <w:vMerge w:val="continue"/>
                  <w:vAlign w:val="center"/>
                </w:tcPr>
                <w:p>
                  <w:pPr>
                    <w:pStyle w:val="41"/>
                    <w:spacing w:line="240" w:lineRule="auto"/>
                    <w:jc w:val="center"/>
                    <w:rPr>
                      <w:rFonts w:hint="default"/>
                      <w:color w:val="auto"/>
                      <w:lang w:val="en-US" w:eastAsia="zh-CN"/>
                    </w:rPr>
                  </w:pPr>
                </w:p>
              </w:tc>
              <w:tc>
                <w:tcPr>
                  <w:tcW w:w="1345" w:type="pct"/>
                  <w:vMerge w:val="continue"/>
                  <w:vAlign w:val="center"/>
                </w:tcPr>
                <w:p>
                  <w:pPr>
                    <w:pStyle w:val="41"/>
                    <w:spacing w:line="240" w:lineRule="auto"/>
                    <w:jc w:val="center"/>
                    <w:rPr>
                      <w:rFonts w:hint="default"/>
                      <w:color w:val="auto"/>
                      <w:lang w:val="en-US" w:eastAsia="zh-CN"/>
                    </w:rPr>
                  </w:pPr>
                </w:p>
              </w:tc>
              <w:tc>
                <w:tcPr>
                  <w:tcW w:w="506" w:type="pct"/>
                  <w:vMerge w:val="continue"/>
                  <w:vAlign w:val="center"/>
                </w:tcPr>
                <w:p>
                  <w:pPr>
                    <w:pStyle w:val="41"/>
                    <w:spacing w:line="240" w:lineRule="auto"/>
                    <w:jc w:val="center"/>
                    <w:rPr>
                      <w:rFonts w:hint="default"/>
                      <w:color w:val="auto"/>
                      <w:lang w:val="en-US" w:eastAsia="zh-CN"/>
                    </w:rPr>
                  </w:pPr>
                </w:p>
              </w:tc>
              <w:tc>
                <w:tcPr>
                  <w:tcW w:w="680" w:type="pct"/>
                  <w:vMerge w:val="continue"/>
                  <w:vAlign w:val="center"/>
                </w:tcPr>
                <w:p>
                  <w:pPr>
                    <w:pStyle w:val="41"/>
                    <w:spacing w:line="240" w:lineRule="auto"/>
                    <w:jc w:val="center"/>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vAlign w:val="center"/>
                </w:tcPr>
                <w:p>
                  <w:pPr>
                    <w:pStyle w:val="41"/>
                    <w:spacing w:line="240" w:lineRule="auto"/>
                    <w:jc w:val="center"/>
                    <w:rPr>
                      <w:rFonts w:hint="default"/>
                      <w:color w:val="auto"/>
                      <w:lang w:val="en-US" w:eastAsia="zh-CN"/>
                    </w:rPr>
                  </w:pPr>
                  <w:r>
                    <w:rPr>
                      <w:rFonts w:hint="eastAsia"/>
                      <w:color w:val="auto"/>
                      <w:lang w:val="en-US" w:eastAsia="zh-CN"/>
                    </w:rPr>
                    <w:t>Q1</w:t>
                  </w:r>
                </w:p>
              </w:tc>
              <w:tc>
                <w:tcPr>
                  <w:tcW w:w="876" w:type="pct"/>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color w:val="auto"/>
                      <w:lang w:val="en-US" w:eastAsia="zh-CN"/>
                    </w:rPr>
                    <w:t>非甲烷总烃</w:t>
                  </w:r>
                </w:p>
              </w:tc>
              <w:tc>
                <w:tcPr>
                  <w:tcW w:w="1109" w:type="pct"/>
                  <w:vAlign w:val="center"/>
                </w:tcPr>
                <w:p>
                  <w:pPr>
                    <w:pStyle w:val="41"/>
                    <w:spacing w:line="240" w:lineRule="auto"/>
                    <w:jc w:val="center"/>
                    <w:rPr>
                      <w:rFonts w:hint="default"/>
                      <w:color w:val="auto"/>
                      <w:lang w:val="en-US" w:eastAsia="zh-CN"/>
                    </w:rPr>
                  </w:pPr>
                  <w:r>
                    <w:rPr>
                      <w:rFonts w:hint="eastAsia"/>
                      <w:color w:val="auto"/>
                      <w:lang w:val="en-US" w:eastAsia="zh-CN"/>
                    </w:rPr>
                    <w:t>4次/天，连续监测7天</w:t>
                  </w:r>
                </w:p>
              </w:tc>
              <w:tc>
                <w:tcPr>
                  <w:tcW w:w="1345" w:type="pct"/>
                  <w:vAlign w:val="center"/>
                </w:tcPr>
                <w:p>
                  <w:pPr>
                    <w:pStyle w:val="41"/>
                    <w:spacing w:line="240" w:lineRule="auto"/>
                    <w:jc w:val="center"/>
                    <w:rPr>
                      <w:rFonts w:hint="default"/>
                      <w:color w:val="auto"/>
                      <w:lang w:val="en-US" w:eastAsia="zh-CN"/>
                    </w:rPr>
                  </w:pPr>
                  <w:r>
                    <w:rPr>
                      <w:rFonts w:hint="eastAsia"/>
                      <w:color w:val="auto"/>
                      <w:lang w:val="en-US" w:eastAsia="zh-CN"/>
                    </w:rPr>
                    <w:t>2020年9月22日~9月25日</w:t>
                  </w:r>
                </w:p>
              </w:tc>
              <w:tc>
                <w:tcPr>
                  <w:tcW w:w="506" w:type="pct"/>
                  <w:vAlign w:val="center"/>
                </w:tcPr>
                <w:p>
                  <w:pPr>
                    <w:pStyle w:val="41"/>
                    <w:spacing w:line="240" w:lineRule="auto"/>
                    <w:jc w:val="center"/>
                    <w:rPr>
                      <w:rFonts w:hint="default"/>
                      <w:color w:val="auto"/>
                      <w:lang w:val="en-US" w:eastAsia="zh-CN"/>
                    </w:rPr>
                  </w:pPr>
                  <w:r>
                    <w:rPr>
                      <w:rFonts w:hint="eastAsia"/>
                      <w:color w:val="auto"/>
                      <w:lang w:val="en-US" w:eastAsia="zh-CN"/>
                    </w:rPr>
                    <w:t>西侧</w:t>
                  </w:r>
                </w:p>
              </w:tc>
              <w:tc>
                <w:tcPr>
                  <w:tcW w:w="680" w:type="pct"/>
                  <w:vAlign w:val="center"/>
                </w:tcPr>
                <w:p>
                  <w:pPr>
                    <w:pStyle w:val="41"/>
                    <w:spacing w:line="240" w:lineRule="auto"/>
                    <w:jc w:val="center"/>
                    <w:rPr>
                      <w:rFonts w:hint="default"/>
                      <w:color w:val="auto"/>
                      <w:lang w:val="en-US" w:eastAsia="zh-CN"/>
                    </w:rPr>
                  </w:pPr>
                  <w:r>
                    <w:rPr>
                      <w:rFonts w:hint="eastAsia"/>
                      <w:color w:val="auto"/>
                      <w:lang w:val="en-US" w:eastAsia="zh-CN"/>
                    </w:rPr>
                    <w:t>4.95</w:t>
                  </w:r>
                </w:p>
              </w:tc>
            </w:tr>
          </w:tbl>
          <w:p>
            <w:pPr>
              <w:widowControl/>
              <w:ind w:firstLine="480" w:firstLineChars="200"/>
              <w:jc w:val="left"/>
              <w:rPr>
                <w:b w:val="0"/>
                <w:bCs w:val="0"/>
                <w:snapToGrid w:val="0"/>
                <w:color w:val="auto"/>
                <w:kern w:val="0"/>
                <w:szCs w:val="24"/>
              </w:rPr>
            </w:pPr>
            <w:r>
              <w:rPr>
                <w:rFonts w:hint="eastAsia"/>
                <w:b w:val="0"/>
                <w:bCs w:val="0"/>
                <w:snapToGrid w:val="0"/>
                <w:color w:val="auto"/>
                <w:kern w:val="0"/>
                <w:szCs w:val="24"/>
                <w:lang w:eastAsia="zh-CN"/>
              </w:rPr>
              <w:t>②</w:t>
            </w:r>
            <w:r>
              <w:rPr>
                <w:b w:val="0"/>
                <w:bCs w:val="0"/>
                <w:snapToGrid w:val="0"/>
                <w:color w:val="auto"/>
                <w:kern w:val="0"/>
                <w:szCs w:val="24"/>
              </w:rPr>
              <w:t>评价</w:t>
            </w:r>
            <w:r>
              <w:rPr>
                <w:rFonts w:hint="eastAsia"/>
                <w:b w:val="0"/>
                <w:bCs w:val="0"/>
                <w:snapToGrid w:val="0"/>
                <w:color w:val="auto"/>
                <w:kern w:val="0"/>
                <w:szCs w:val="24"/>
                <w:lang w:eastAsia="zh-CN"/>
              </w:rPr>
              <w:t>方法</w:t>
            </w:r>
            <w:r>
              <w:rPr>
                <w:b w:val="0"/>
                <w:bCs w:val="0"/>
                <w:snapToGrid w:val="0"/>
                <w:color w:val="auto"/>
                <w:kern w:val="0"/>
                <w:szCs w:val="24"/>
              </w:rPr>
              <w:t>及</w:t>
            </w:r>
            <w:r>
              <w:rPr>
                <w:rFonts w:hint="eastAsia"/>
                <w:b w:val="0"/>
                <w:bCs w:val="0"/>
                <w:snapToGrid w:val="0"/>
                <w:color w:val="auto"/>
                <w:kern w:val="0"/>
                <w:szCs w:val="24"/>
                <w:lang w:eastAsia="zh-CN"/>
              </w:rPr>
              <w:t>标准</w:t>
            </w:r>
            <w:r>
              <w:rPr>
                <w:b w:val="0"/>
                <w:bCs w:val="0"/>
                <w:snapToGrid w:val="0"/>
                <w:color w:val="auto"/>
                <w:kern w:val="0"/>
                <w:szCs w:val="24"/>
              </w:rPr>
              <w:t>：</w:t>
            </w:r>
          </w:p>
          <w:p>
            <w:pPr>
              <w:widowControl/>
              <w:ind w:firstLine="480" w:firstLineChars="200"/>
              <w:jc w:val="left"/>
              <w:rPr>
                <w:rFonts w:hint="default" w:eastAsia="宋体"/>
                <w:b w:val="0"/>
                <w:bCs w:val="0"/>
                <w:snapToGrid w:val="0"/>
                <w:color w:val="auto"/>
                <w:kern w:val="0"/>
                <w:szCs w:val="24"/>
                <w:lang w:val="en-US" w:eastAsia="zh-CN"/>
              </w:rPr>
            </w:pPr>
            <w:r>
              <w:rPr>
                <w:rFonts w:hint="eastAsia"/>
                <w:b w:val="0"/>
                <w:bCs w:val="0"/>
                <w:snapToGrid w:val="0"/>
                <w:color w:val="auto"/>
                <w:kern w:val="0"/>
                <w:szCs w:val="24"/>
              </w:rPr>
              <w:t>非甲烷总烃执行《环境空气质量 非甲烷总烃限值》（DB13/1577-2012） 二级标准</w:t>
            </w:r>
            <w:r>
              <w:rPr>
                <w:rFonts w:hint="eastAsia"/>
                <w:b w:val="0"/>
                <w:bCs w:val="0"/>
                <w:snapToGrid w:val="0"/>
                <w:color w:val="auto"/>
                <w:kern w:val="0"/>
                <w:szCs w:val="24"/>
                <w:lang w:val="en-US" w:eastAsia="zh-CN"/>
              </w:rPr>
              <w:t>。</w:t>
            </w:r>
          </w:p>
          <w:p>
            <w:pPr>
              <w:widowControl/>
              <w:ind w:firstLine="480" w:firstLineChars="200"/>
              <w:jc w:val="left"/>
              <w:rPr>
                <w:b w:val="0"/>
                <w:bCs w:val="0"/>
                <w:snapToGrid w:val="0"/>
                <w:color w:val="auto"/>
                <w:kern w:val="0"/>
                <w:szCs w:val="24"/>
              </w:rPr>
            </w:pPr>
            <w:r>
              <w:rPr>
                <w:b w:val="0"/>
                <w:bCs w:val="0"/>
                <w:snapToGrid w:val="0"/>
                <w:color w:val="auto"/>
                <w:kern w:val="0"/>
                <w:szCs w:val="24"/>
              </w:rPr>
              <w:t>评价方法如下：</w:t>
            </w:r>
          </w:p>
          <w:p>
            <w:pPr>
              <w:pStyle w:val="82"/>
              <w:spacing w:line="360" w:lineRule="auto"/>
              <w:ind w:firstLine="480"/>
              <w:jc w:val="center"/>
              <w:rPr>
                <w:rFonts w:ascii="Times New Roman" w:hAnsi="Times New Roman"/>
                <w:color w:val="auto"/>
                <w:szCs w:val="24"/>
              </w:rPr>
            </w:pPr>
            <w:r>
              <w:rPr>
                <w:rFonts w:ascii="Times New Roman" w:hAnsi="Times New Roman"/>
                <w:color w:val="auto"/>
                <w:position w:val="-30"/>
                <w:szCs w:val="24"/>
              </w:rPr>
              <w:object>
                <v:shape id="_x0000_i1025" o:spt="75" type="#_x0000_t75" style="height:32.85pt;width:42.05pt;" o:ole="t" filled="f" o:preferrelative="t" stroked="f" coordsize="21600,21600">
                  <v:path/>
                  <v:fill on="f" focussize="0,0"/>
                  <v:stroke on="f" joinstyle="miter"/>
                  <v:imagedata r:id="rId20" o:title=""/>
                  <o:lock v:ext="edit" aspectratio="t"/>
                  <w10:wrap type="none"/>
                  <w10:anchorlock/>
                </v:shape>
                <o:OLEObject Type="Embed" ProgID="Equation.KSEE3" ShapeID="_x0000_i1025" DrawAspect="Content" ObjectID="_1468075725" r:id="rId19">
                  <o:LockedField>false</o:LockedField>
                </o:OLEObject>
              </w:object>
            </w:r>
            <w:r>
              <w:rPr>
                <w:rFonts w:ascii="Times New Roman" w:hAnsi="Times New Roman"/>
                <w:bCs/>
                <w:color w:val="auto"/>
                <w:szCs w:val="24"/>
              </w:rPr>
              <w:t>×100%</w:t>
            </w:r>
          </w:p>
          <w:p>
            <w:pPr>
              <w:pStyle w:val="36"/>
              <w:adjustRightInd/>
              <w:spacing w:line="460" w:lineRule="exact"/>
              <w:ind w:firstLine="480" w:firstLineChars="200"/>
              <w:jc w:val="both"/>
              <w:rPr>
                <w:rFonts w:ascii="Times New Roman" w:cs="Times New Roman"/>
                <w:color w:val="auto"/>
              </w:rPr>
            </w:pPr>
            <w:r>
              <w:rPr>
                <w:rFonts w:ascii="Times New Roman" w:cs="Times New Roman"/>
                <w:color w:val="auto"/>
              </w:rPr>
              <w:t>式中：Pi——某污染物i的占标率；</w:t>
            </w:r>
          </w:p>
          <w:p>
            <w:pPr>
              <w:pStyle w:val="36"/>
              <w:adjustRightInd/>
              <w:spacing w:line="460" w:lineRule="exact"/>
              <w:jc w:val="both"/>
              <w:rPr>
                <w:rFonts w:ascii="Times New Roman" w:cs="Times New Roman"/>
                <w:color w:val="auto"/>
              </w:rPr>
            </w:pPr>
            <w:r>
              <w:rPr>
                <w:rFonts w:ascii="Times New Roman" w:cs="Times New Roman"/>
                <w:color w:val="auto"/>
              </w:rPr>
              <w:t xml:space="preserve">      C</w:t>
            </w:r>
            <w:r>
              <w:rPr>
                <w:rFonts w:ascii="Times New Roman" w:cs="Times New Roman"/>
                <w:color w:val="auto"/>
                <w:vertAlign w:val="subscript"/>
              </w:rPr>
              <w:t>i</w:t>
            </w:r>
            <w:r>
              <w:rPr>
                <w:rFonts w:ascii="Times New Roman" w:cs="Times New Roman"/>
                <w:color w:val="auto"/>
              </w:rPr>
              <w:t>—i污染物的监测浓度值，mg/m</w:t>
            </w:r>
            <w:r>
              <w:rPr>
                <w:rFonts w:ascii="Times New Roman" w:cs="Times New Roman"/>
                <w:color w:val="auto"/>
                <w:vertAlign w:val="superscript"/>
              </w:rPr>
              <w:t>3</w:t>
            </w:r>
            <w:r>
              <w:rPr>
                <w:rFonts w:ascii="Times New Roman" w:cs="Times New Roman"/>
                <w:color w:val="auto"/>
              </w:rPr>
              <w:t>；</w:t>
            </w:r>
          </w:p>
          <w:p>
            <w:pPr>
              <w:pStyle w:val="36"/>
              <w:adjustRightInd/>
              <w:spacing w:line="460" w:lineRule="exact"/>
              <w:jc w:val="both"/>
              <w:rPr>
                <w:rFonts w:ascii="Times New Roman" w:cs="Times New Roman"/>
                <w:color w:val="auto"/>
              </w:rPr>
            </w:pPr>
            <w:r>
              <w:rPr>
                <w:rFonts w:ascii="Times New Roman" w:cs="Times New Roman"/>
                <w:color w:val="auto"/>
              </w:rPr>
              <w:t xml:space="preserve">      C</w:t>
            </w:r>
            <w:r>
              <w:rPr>
                <w:rFonts w:ascii="Times New Roman" w:cs="Times New Roman"/>
                <w:color w:val="auto"/>
                <w:vertAlign w:val="subscript"/>
              </w:rPr>
              <w:t>0i</w:t>
            </w:r>
            <w:r>
              <w:rPr>
                <w:rFonts w:ascii="Times New Roman" w:cs="Times New Roman"/>
                <w:color w:val="auto"/>
              </w:rPr>
              <w:t>—i污染物相应的环境质量标准，mg/m</w:t>
            </w:r>
            <w:r>
              <w:rPr>
                <w:rFonts w:ascii="Times New Roman" w:cs="Times New Roman"/>
                <w:color w:val="auto"/>
                <w:vertAlign w:val="superscript"/>
              </w:rPr>
              <w:t>3</w:t>
            </w:r>
            <w:r>
              <w:rPr>
                <w:rFonts w:ascii="Times New Roman" w:cs="Times New Roman"/>
                <w:color w:val="auto"/>
              </w:rPr>
              <w:t>。</w:t>
            </w:r>
          </w:p>
          <w:p>
            <w:pPr>
              <w:spacing w:line="460" w:lineRule="exact"/>
              <w:ind w:firstLine="480"/>
              <w:rPr>
                <w:color w:val="auto"/>
                <w:szCs w:val="24"/>
              </w:rPr>
            </w:pPr>
            <w:r>
              <w:rPr>
                <w:rFonts w:hint="eastAsia"/>
                <w:color w:val="auto"/>
                <w:szCs w:val="24"/>
                <w:lang w:eastAsia="zh-CN"/>
              </w:rPr>
              <w:t>③</w:t>
            </w:r>
            <w:r>
              <w:rPr>
                <w:color w:val="auto"/>
                <w:szCs w:val="24"/>
              </w:rPr>
              <w:t>监测结果及分析</w:t>
            </w:r>
          </w:p>
          <w:p>
            <w:pPr>
              <w:spacing w:line="460" w:lineRule="exact"/>
              <w:ind w:firstLine="480"/>
              <w:rPr>
                <w:color w:val="auto"/>
                <w:szCs w:val="24"/>
              </w:rPr>
            </w:pPr>
            <w:r>
              <w:rPr>
                <w:color w:val="auto"/>
                <w:szCs w:val="24"/>
              </w:rPr>
              <w:t>根据以上方法确定各个指标的占标率，环境空气质量现状监测及评价结果详见表3.1-</w:t>
            </w:r>
            <w:r>
              <w:rPr>
                <w:rFonts w:hint="eastAsia"/>
                <w:color w:val="auto"/>
                <w:szCs w:val="24"/>
                <w:lang w:val="en-US" w:eastAsia="zh-CN"/>
              </w:rPr>
              <w:t>3</w:t>
            </w:r>
            <w:r>
              <w:rPr>
                <w:color w:val="auto"/>
                <w:szCs w:val="24"/>
              </w:rPr>
              <w:t>。</w:t>
            </w:r>
          </w:p>
          <w:p>
            <w:pPr>
              <w:spacing w:line="460" w:lineRule="exact"/>
              <w:ind w:firstLine="480"/>
              <w:jc w:val="center"/>
              <w:rPr>
                <w:bCs/>
                <w:color w:val="auto"/>
                <w:szCs w:val="24"/>
              </w:rPr>
            </w:pPr>
            <w:r>
              <w:rPr>
                <w:bCs/>
                <w:color w:val="auto"/>
                <w:szCs w:val="24"/>
              </w:rPr>
              <w:t>表</w:t>
            </w:r>
            <w:r>
              <w:rPr>
                <w:color w:val="auto"/>
                <w:szCs w:val="24"/>
              </w:rPr>
              <w:t>3.1-</w:t>
            </w:r>
            <w:r>
              <w:rPr>
                <w:rFonts w:hint="eastAsia"/>
                <w:color w:val="auto"/>
                <w:szCs w:val="24"/>
                <w:lang w:val="en-US" w:eastAsia="zh-CN"/>
              </w:rPr>
              <w:t>3</w:t>
            </w:r>
            <w:r>
              <w:rPr>
                <w:bCs/>
                <w:color w:val="auto"/>
                <w:szCs w:val="24"/>
              </w:rPr>
              <w:t>拟建项目所在地环境空气质量监测结果一览表</w:t>
            </w:r>
          </w:p>
          <w:tbl>
            <w:tblPr>
              <w:tblStyle w:val="25"/>
              <w:tblW w:w="498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55"/>
              <w:gridCol w:w="1653"/>
              <w:gridCol w:w="1959"/>
              <w:gridCol w:w="1314"/>
              <w:gridCol w:w="22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745" w:type="pct"/>
                  <w:vAlign w:val="center"/>
                </w:tcPr>
                <w:p>
                  <w:pPr>
                    <w:pStyle w:val="98"/>
                    <w:spacing w:line="240" w:lineRule="exact"/>
                    <w:ind w:firstLine="0" w:firstLineChars="0"/>
                    <w:rPr>
                      <w:rFonts w:hint="eastAsia" w:eastAsia="宋体"/>
                      <w:color w:val="auto"/>
                      <w:lang w:eastAsia="zh-CN"/>
                    </w:rPr>
                  </w:pPr>
                  <w:r>
                    <w:rPr>
                      <w:rFonts w:hint="eastAsia"/>
                      <w:color w:val="auto"/>
                      <w:lang w:eastAsia="zh-CN"/>
                    </w:rPr>
                    <w:t>指标</w:t>
                  </w:r>
                </w:p>
              </w:tc>
              <w:tc>
                <w:tcPr>
                  <w:tcW w:w="981" w:type="pct"/>
                  <w:vAlign w:val="center"/>
                </w:tcPr>
                <w:p>
                  <w:pPr>
                    <w:pStyle w:val="98"/>
                    <w:spacing w:line="240" w:lineRule="exact"/>
                    <w:ind w:firstLine="0" w:firstLineChars="0"/>
                    <w:rPr>
                      <w:color w:val="auto"/>
                    </w:rPr>
                  </w:pPr>
                  <w:r>
                    <w:rPr>
                      <w:color w:val="auto"/>
                    </w:rPr>
                    <w:t>监测</w:t>
                  </w:r>
                  <w:r>
                    <w:rPr>
                      <w:rFonts w:hint="eastAsia"/>
                      <w:color w:val="auto"/>
                    </w:rPr>
                    <w:t>最大值</w:t>
                  </w:r>
                  <w:r>
                    <w:rPr>
                      <w:color w:val="auto"/>
                    </w:rPr>
                    <w:t>（mg/m</w:t>
                  </w:r>
                  <w:r>
                    <w:rPr>
                      <w:color w:val="auto"/>
                      <w:vertAlign w:val="superscript"/>
                    </w:rPr>
                    <w:t>3</w:t>
                  </w:r>
                  <w:r>
                    <w:rPr>
                      <w:color w:val="auto"/>
                    </w:rPr>
                    <w:t>）</w:t>
                  </w:r>
                </w:p>
              </w:tc>
              <w:tc>
                <w:tcPr>
                  <w:tcW w:w="1163" w:type="pct"/>
                  <w:vAlign w:val="center"/>
                </w:tcPr>
                <w:p>
                  <w:pPr>
                    <w:pStyle w:val="98"/>
                    <w:spacing w:line="240" w:lineRule="exact"/>
                    <w:ind w:firstLine="0" w:firstLineChars="0"/>
                    <w:rPr>
                      <w:color w:val="auto"/>
                    </w:rPr>
                  </w:pPr>
                  <w:r>
                    <w:rPr>
                      <w:color w:val="auto"/>
                    </w:rPr>
                    <w:t>标准限值（mg/m</w:t>
                  </w:r>
                  <w:r>
                    <w:rPr>
                      <w:color w:val="auto"/>
                      <w:vertAlign w:val="superscript"/>
                    </w:rPr>
                    <w:t>3</w:t>
                  </w:r>
                  <w:r>
                    <w:rPr>
                      <w:color w:val="auto"/>
                    </w:rPr>
                    <w:t>）</w:t>
                  </w:r>
                </w:p>
              </w:tc>
              <w:tc>
                <w:tcPr>
                  <w:tcW w:w="780" w:type="pct"/>
                  <w:vAlign w:val="center"/>
                </w:tcPr>
                <w:p>
                  <w:pPr>
                    <w:pStyle w:val="98"/>
                    <w:spacing w:line="240" w:lineRule="exact"/>
                    <w:ind w:firstLine="0" w:firstLineChars="0"/>
                    <w:rPr>
                      <w:color w:val="auto"/>
                    </w:rPr>
                  </w:pPr>
                  <w:r>
                    <w:rPr>
                      <w:color w:val="auto"/>
                    </w:rPr>
                    <w:t>超标率（%）</w:t>
                  </w:r>
                </w:p>
              </w:tc>
              <w:tc>
                <w:tcPr>
                  <w:tcW w:w="1329" w:type="pct"/>
                  <w:vAlign w:val="center"/>
                </w:tcPr>
                <w:p>
                  <w:pPr>
                    <w:pStyle w:val="98"/>
                    <w:spacing w:line="240" w:lineRule="exact"/>
                    <w:ind w:firstLine="0" w:firstLineChars="0"/>
                    <w:rPr>
                      <w:color w:val="auto"/>
                    </w:rPr>
                  </w:pPr>
                  <w:r>
                    <w:rPr>
                      <w:color w:val="auto"/>
                    </w:rPr>
                    <w:t>最大浓度值占标率（%）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745" w:type="pct"/>
                  <w:vAlign w:val="center"/>
                </w:tcPr>
                <w:p>
                  <w:pPr>
                    <w:pStyle w:val="98"/>
                    <w:spacing w:line="240" w:lineRule="exact"/>
                    <w:ind w:firstLine="0" w:firstLineChars="0"/>
                    <w:rPr>
                      <w:color w:val="auto"/>
                    </w:rPr>
                  </w:pPr>
                  <w:r>
                    <w:rPr>
                      <w:color w:val="auto"/>
                    </w:rPr>
                    <w:t>非甲烷总烃</w:t>
                  </w:r>
                </w:p>
              </w:tc>
              <w:tc>
                <w:tcPr>
                  <w:tcW w:w="981" w:type="pct"/>
                  <w:vAlign w:val="center"/>
                </w:tcPr>
                <w:p>
                  <w:pPr>
                    <w:pStyle w:val="98"/>
                    <w:spacing w:line="240" w:lineRule="exact"/>
                    <w:ind w:firstLine="0" w:firstLineChars="0"/>
                    <w:rPr>
                      <w:rFonts w:hint="default" w:eastAsia="宋体"/>
                      <w:color w:val="auto"/>
                      <w:lang w:val="en-US" w:eastAsia="zh-CN"/>
                    </w:rPr>
                  </w:pPr>
                  <w:r>
                    <w:rPr>
                      <w:rFonts w:hint="eastAsia"/>
                      <w:color w:val="auto"/>
                      <w:lang w:val="en-US" w:eastAsia="zh-CN"/>
                    </w:rPr>
                    <w:t>1.40</w:t>
                  </w:r>
                </w:p>
              </w:tc>
              <w:tc>
                <w:tcPr>
                  <w:tcW w:w="1163" w:type="pct"/>
                  <w:vAlign w:val="center"/>
                </w:tcPr>
                <w:p>
                  <w:pPr>
                    <w:pStyle w:val="98"/>
                    <w:spacing w:line="240" w:lineRule="exact"/>
                    <w:ind w:firstLine="0" w:firstLineChars="0"/>
                    <w:rPr>
                      <w:color w:val="auto"/>
                    </w:rPr>
                  </w:pPr>
                  <w:r>
                    <w:rPr>
                      <w:color w:val="auto"/>
                    </w:rPr>
                    <w:t>2.0</w:t>
                  </w:r>
                </w:p>
              </w:tc>
              <w:tc>
                <w:tcPr>
                  <w:tcW w:w="780" w:type="pct"/>
                  <w:vAlign w:val="center"/>
                </w:tcPr>
                <w:p>
                  <w:pPr>
                    <w:pStyle w:val="98"/>
                    <w:spacing w:line="240" w:lineRule="exact"/>
                    <w:ind w:firstLine="0" w:firstLineChars="0"/>
                    <w:rPr>
                      <w:color w:val="auto"/>
                    </w:rPr>
                  </w:pPr>
                  <w:r>
                    <w:rPr>
                      <w:color w:val="auto"/>
                    </w:rPr>
                    <w:t>0</w:t>
                  </w:r>
                </w:p>
              </w:tc>
              <w:tc>
                <w:tcPr>
                  <w:tcW w:w="1329" w:type="pct"/>
                  <w:vAlign w:val="center"/>
                </w:tcPr>
                <w:p>
                  <w:pPr>
                    <w:pStyle w:val="98"/>
                    <w:spacing w:line="240" w:lineRule="exact"/>
                    <w:ind w:firstLine="0" w:firstLineChars="0"/>
                    <w:rPr>
                      <w:rFonts w:hint="default" w:eastAsia="宋体"/>
                      <w:color w:val="auto"/>
                      <w:lang w:val="en-US" w:eastAsia="zh-CN"/>
                    </w:rPr>
                  </w:pPr>
                  <w:r>
                    <w:rPr>
                      <w:rFonts w:hint="eastAsia"/>
                      <w:color w:val="auto"/>
                      <w:lang w:val="en-US" w:eastAsia="zh-CN"/>
                    </w:rPr>
                    <w:t>70</w:t>
                  </w:r>
                </w:p>
              </w:tc>
            </w:tr>
          </w:tbl>
          <w:p>
            <w:pPr>
              <w:widowControl/>
              <w:ind w:firstLine="480" w:firstLineChars="200"/>
              <w:jc w:val="left"/>
              <w:rPr>
                <w:color w:val="auto"/>
              </w:rPr>
            </w:pPr>
            <w:r>
              <w:rPr>
                <w:color w:val="auto"/>
              </w:rPr>
              <w:t>由表</w:t>
            </w:r>
            <w:r>
              <w:rPr>
                <w:rFonts w:hint="eastAsia"/>
                <w:color w:val="auto"/>
              </w:rPr>
              <w:t>3.1-</w:t>
            </w:r>
            <w:r>
              <w:rPr>
                <w:rFonts w:hint="eastAsia"/>
                <w:color w:val="auto"/>
                <w:lang w:val="en-US" w:eastAsia="zh-CN"/>
              </w:rPr>
              <w:t>3</w:t>
            </w:r>
            <w:r>
              <w:rPr>
                <w:color w:val="auto"/>
              </w:rPr>
              <w:t>可知</w:t>
            </w:r>
            <w:r>
              <w:rPr>
                <w:rFonts w:hint="eastAsia"/>
                <w:color w:val="auto"/>
              </w:rPr>
              <w:t>，</w:t>
            </w:r>
            <w:r>
              <w:rPr>
                <w:color w:val="auto"/>
              </w:rPr>
              <w:t>拟建项目</w:t>
            </w:r>
            <w:r>
              <w:rPr>
                <w:rFonts w:hint="eastAsia"/>
                <w:color w:val="auto"/>
                <w:lang w:eastAsia="zh-CN"/>
              </w:rPr>
              <w:t>所在区域内</w:t>
            </w:r>
            <w:r>
              <w:rPr>
                <w:rFonts w:hint="eastAsia"/>
                <w:b w:val="0"/>
                <w:bCs w:val="0"/>
                <w:snapToGrid w:val="0"/>
                <w:color w:val="auto"/>
                <w:kern w:val="0"/>
                <w:szCs w:val="24"/>
              </w:rPr>
              <w:t>非甲烷总烃</w:t>
            </w:r>
            <w:r>
              <w:rPr>
                <w:rFonts w:hint="eastAsia"/>
                <w:b w:val="0"/>
                <w:bCs w:val="0"/>
                <w:snapToGrid w:val="0"/>
                <w:color w:val="auto"/>
                <w:kern w:val="0"/>
                <w:szCs w:val="24"/>
                <w:lang w:val="en-US" w:eastAsia="zh-CN"/>
              </w:rPr>
              <w:t>满足</w:t>
            </w:r>
            <w:r>
              <w:rPr>
                <w:rFonts w:hint="eastAsia"/>
                <w:b w:val="0"/>
                <w:bCs w:val="0"/>
                <w:snapToGrid w:val="0"/>
                <w:color w:val="auto"/>
                <w:kern w:val="0"/>
                <w:szCs w:val="24"/>
              </w:rPr>
              <w:t>《环境空气质量 非甲烷总烃限值》（DB13/1577-2012）二级标准</w:t>
            </w:r>
            <w:r>
              <w:rPr>
                <w:color w:val="auto"/>
              </w:rPr>
              <w:t>。</w:t>
            </w:r>
          </w:p>
          <w:p>
            <w:pPr>
              <w:pStyle w:val="44"/>
              <w:spacing w:line="360" w:lineRule="auto"/>
              <w:jc w:val="both"/>
              <w:rPr>
                <w:b/>
                <w:bCs/>
                <w:color w:val="auto"/>
              </w:rPr>
            </w:pPr>
            <w:r>
              <w:rPr>
                <w:rFonts w:hint="eastAsia"/>
                <w:b/>
                <w:bCs/>
                <w:color w:val="auto"/>
              </w:rPr>
              <w:t>3.2</w:t>
            </w:r>
            <w:r>
              <w:rPr>
                <w:b/>
                <w:bCs/>
                <w:color w:val="auto"/>
              </w:rPr>
              <w:t>地表水环境质量现状</w:t>
            </w:r>
          </w:p>
          <w:p>
            <w:pPr>
              <w:adjustRightInd w:val="0"/>
              <w:snapToGrid w:val="0"/>
              <w:spacing w:line="360" w:lineRule="auto"/>
              <w:ind w:firstLine="427" w:firstLineChars="178"/>
              <w:rPr>
                <w:rFonts w:ascii="Times New Roman" w:hAnsi="Times New Roman" w:cs="Times New Roman"/>
                <w:color w:val="auto"/>
              </w:rPr>
            </w:pPr>
            <w:r>
              <w:rPr>
                <w:rFonts w:ascii="Times New Roman" w:hAnsi="Times New Roman" w:cs="Times New Roman"/>
                <w:color w:val="auto"/>
              </w:rPr>
              <w:t>根据现场调查，项目污废水最终受纳水体为淮远河。根据《重庆市人民政府批转重庆市地表水环境功能类别调整方案的通知》（渝环发[2012]4号），淮远河属于</w:t>
            </w:r>
            <w:r>
              <w:rPr>
                <w:rFonts w:hint="eastAsia"/>
                <w:color w:val="auto"/>
              </w:rPr>
              <w:t>Ⅳ</w:t>
            </w:r>
            <w:r>
              <w:rPr>
                <w:rFonts w:ascii="Times New Roman" w:hAnsi="Times New Roman" w:cs="Times New Roman"/>
                <w:color w:val="auto"/>
              </w:rPr>
              <w:t>类水域，为渔业用水和农业灌溉用水，执行《地表水环境质量标准》（GB3838-2002）中的</w:t>
            </w:r>
            <w:r>
              <w:rPr>
                <w:rFonts w:hint="eastAsia"/>
                <w:color w:val="auto"/>
              </w:rPr>
              <w:t>Ⅳ</w:t>
            </w:r>
            <w:r>
              <w:rPr>
                <w:rFonts w:ascii="Times New Roman" w:hAnsi="Times New Roman" w:cs="Times New Roman"/>
                <w:color w:val="auto"/>
              </w:rPr>
              <w:t>类水域标准。</w:t>
            </w:r>
          </w:p>
          <w:p>
            <w:pPr>
              <w:spacing w:line="360" w:lineRule="auto"/>
              <w:ind w:firstLine="480" w:firstLineChars="200"/>
              <w:rPr>
                <w:rFonts w:ascii="Times New Roman" w:hAnsi="Times New Roman" w:cs="Times New Roman"/>
                <w:b/>
                <w:color w:val="auto"/>
                <w:szCs w:val="26"/>
              </w:rPr>
            </w:pPr>
            <w:r>
              <w:rPr>
                <w:rFonts w:ascii="Times New Roman" w:hAnsi="Times New Roman" w:cs="Times New Roman"/>
                <w:color w:val="auto"/>
                <w:szCs w:val="26"/>
              </w:rPr>
              <w:t>根据重庆市铜梁区生态环境局2023年03月07日在重庆市铜梁区人民政府网网站</w:t>
            </w:r>
            <w:r>
              <w:rPr>
                <w:rFonts w:ascii="Times New Roman" w:hAnsi="Times New Roman" w:cs="Times New Roman"/>
                <w:color w:val="auto"/>
              </w:rPr>
              <w:t>上对外公布公示的《2023年1月铜梁区水环境质量状况》（网址：</w:t>
            </w:r>
            <w:r>
              <w:rPr>
                <w:rFonts w:ascii="Times New Roman" w:hAnsi="Times New Roman" w:cs="Times New Roman"/>
                <w:color w:val="auto"/>
                <w:szCs w:val="26"/>
              </w:rPr>
              <w:t>https://www.cqstl.gov.cn/bm/qsthjj_71108/zwgk_70831/fdzdgknr_70834/jdjc/jdjc/202303/t20230307_11721000.html），淮远河-众志桥断面地表水水质类别达到</w:t>
            </w:r>
            <w:r>
              <w:rPr>
                <w:rFonts w:ascii="Times New Roman" w:hAnsi="Times New Roman" w:cs="Times New Roman"/>
                <w:color w:val="auto"/>
              </w:rPr>
              <w:t>《地表水环境质量标准》（GB3838-2002）</w:t>
            </w:r>
            <w:r>
              <w:rPr>
                <w:rFonts w:hint="eastAsia"/>
                <w:color w:val="auto"/>
              </w:rPr>
              <w:t>Ⅳ</w:t>
            </w:r>
            <w:r>
              <w:rPr>
                <w:rFonts w:ascii="Times New Roman" w:hAnsi="Times New Roman" w:cs="Times New Roman"/>
                <w:color w:val="auto"/>
              </w:rPr>
              <w:t>类水域水质标准限值要求</w:t>
            </w:r>
            <w:r>
              <w:rPr>
                <w:rFonts w:ascii="Times New Roman" w:hAnsi="Times New Roman" w:cs="Times New Roman"/>
                <w:color w:val="auto"/>
                <w:szCs w:val="26"/>
              </w:rPr>
              <w:t>，</w:t>
            </w:r>
            <w:r>
              <w:rPr>
                <w:rFonts w:ascii="Times New Roman" w:hAnsi="Times New Roman" w:cs="Times New Roman"/>
                <w:color w:val="auto"/>
              </w:rPr>
              <w:t>为水环境达标区。</w:t>
            </w:r>
          </w:p>
          <w:p>
            <w:pPr>
              <w:widowControl/>
              <w:spacing w:line="360" w:lineRule="auto"/>
              <w:jc w:val="left"/>
              <w:rPr>
                <w:rFonts w:hint="eastAsia" w:ascii="Times New Roman" w:hAnsi="Times New Roman" w:eastAsia="宋体" w:cs="Times New Roman"/>
                <w:b/>
                <w:bCs/>
                <w:snapToGrid w:val="0"/>
                <w:color w:val="auto"/>
                <w:kern w:val="0"/>
                <w:szCs w:val="24"/>
              </w:rPr>
            </w:pPr>
            <w:r>
              <w:rPr>
                <w:rFonts w:hint="eastAsia" w:ascii="Times New Roman" w:hAnsi="Times New Roman" w:eastAsia="宋体" w:cs="Times New Roman"/>
                <w:b/>
                <w:bCs/>
                <w:snapToGrid w:val="0"/>
                <w:color w:val="auto"/>
                <w:kern w:val="0"/>
                <w:szCs w:val="24"/>
              </w:rPr>
              <w:t>3.3声环境质量现状</w:t>
            </w:r>
          </w:p>
          <w:p>
            <w:pPr>
              <w:widowControl/>
              <w:ind w:firstLine="480" w:firstLineChars="200"/>
              <w:jc w:val="left"/>
              <w:rPr>
                <w:rFonts w:hint="eastAsia" w:ascii="Times New Roman" w:hAnsi="Times New Roman" w:eastAsia="宋体" w:cs="Times New Roman"/>
                <w:b w:val="0"/>
                <w:bCs w:val="0"/>
                <w:snapToGrid w:val="0"/>
                <w:color w:val="auto"/>
                <w:kern w:val="0"/>
                <w:szCs w:val="24"/>
              </w:rPr>
            </w:pPr>
            <w:r>
              <w:rPr>
                <w:rFonts w:hint="eastAsia" w:ascii="Times New Roman" w:hAnsi="Times New Roman" w:eastAsia="宋体" w:cs="Times New Roman"/>
                <w:b w:val="0"/>
                <w:bCs w:val="0"/>
                <w:snapToGrid w:val="0"/>
                <w:color w:val="auto"/>
                <w:kern w:val="0"/>
                <w:szCs w:val="24"/>
                <w:lang w:eastAsia="zh-CN"/>
              </w:rPr>
              <w:t>拟建项目位于重庆市铜梁工业园全蒲片区内，项目周边</w:t>
            </w:r>
            <w:r>
              <w:rPr>
                <w:rFonts w:hint="eastAsia" w:ascii="Times New Roman" w:hAnsi="Times New Roman" w:eastAsia="宋体" w:cs="Times New Roman"/>
                <w:b w:val="0"/>
                <w:bCs w:val="0"/>
                <w:snapToGrid w:val="0"/>
                <w:color w:val="auto"/>
                <w:kern w:val="0"/>
                <w:szCs w:val="24"/>
                <w:lang w:val="en-US" w:eastAsia="zh-CN"/>
              </w:rPr>
              <w:t>50m范围内无声环境保护目标，</w:t>
            </w:r>
            <w:r>
              <w:rPr>
                <w:rFonts w:hint="eastAsia" w:ascii="Times New Roman" w:hAnsi="Times New Roman" w:eastAsia="宋体" w:cs="Times New Roman"/>
                <w:b w:val="0"/>
                <w:bCs w:val="0"/>
                <w:snapToGrid w:val="0"/>
                <w:color w:val="auto"/>
                <w:kern w:val="0"/>
                <w:szCs w:val="24"/>
              </w:rPr>
              <w:t>根据《建设项目环境影响报告编制技术指南（污染影响类）（试行）》</w:t>
            </w:r>
            <w:r>
              <w:rPr>
                <w:rFonts w:hint="eastAsia" w:ascii="Times New Roman" w:hAnsi="Times New Roman" w:eastAsia="宋体" w:cs="Times New Roman"/>
                <w:b w:val="0"/>
                <w:bCs w:val="0"/>
                <w:snapToGrid w:val="0"/>
                <w:color w:val="auto"/>
                <w:kern w:val="0"/>
                <w:szCs w:val="24"/>
                <w:lang w:eastAsia="zh-CN"/>
              </w:rPr>
              <w:t>，拟建项目可不进行声环境质量现状监测</w:t>
            </w:r>
            <w:r>
              <w:rPr>
                <w:rFonts w:hint="eastAsia" w:ascii="Times New Roman" w:hAnsi="Times New Roman" w:eastAsia="宋体" w:cs="Times New Roman"/>
                <w:b w:val="0"/>
                <w:bCs w:val="0"/>
                <w:snapToGrid w:val="0"/>
                <w:color w:val="auto"/>
                <w:kern w:val="0"/>
                <w:szCs w:val="24"/>
              </w:rPr>
              <w:t>。</w:t>
            </w:r>
          </w:p>
          <w:p>
            <w:pPr>
              <w:pStyle w:val="13"/>
              <w:adjustRightInd w:val="0"/>
              <w:snapToGrid w:val="0"/>
              <w:ind w:firstLine="0" w:firstLineChars="0"/>
              <w:rPr>
                <w:rFonts w:ascii="Times New Roman" w:hAnsi="Times New Roman"/>
                <w:b/>
                <w:bCs/>
                <w:color w:val="auto"/>
                <w:kern w:val="2"/>
                <w:szCs w:val="24"/>
              </w:rPr>
            </w:pPr>
            <w:r>
              <w:rPr>
                <w:rFonts w:ascii="Times New Roman" w:hAnsi="Times New Roman"/>
                <w:b/>
                <w:bCs/>
                <w:color w:val="auto"/>
                <w:kern w:val="2"/>
                <w:szCs w:val="24"/>
              </w:rPr>
              <w:t>3.4生态环境质量现状</w:t>
            </w:r>
          </w:p>
          <w:p>
            <w:pPr>
              <w:pStyle w:val="13"/>
              <w:adjustRightInd w:val="0"/>
              <w:snapToGrid w:val="0"/>
              <w:ind w:firstLine="480"/>
              <w:rPr>
                <w:rFonts w:ascii="Times New Roman" w:hAnsi="Times New Roman"/>
                <w:color w:val="auto"/>
              </w:rPr>
            </w:pPr>
            <w:r>
              <w:rPr>
                <w:rFonts w:ascii="Times New Roman" w:hAnsi="Times New Roman"/>
                <w:color w:val="auto"/>
              </w:rPr>
              <w:t>根据《建设项目环境影响报告编制技术指南（污染影响类）（试行）》可知，产业园区外建设项目新增用地且用地范围内含有生态环境保护目标时，应进行生态现状调查，根据现场调查，项目用地范围内没有生态环境保护目标，因此不开展生态现状调查。</w:t>
            </w:r>
          </w:p>
          <w:p>
            <w:pPr>
              <w:widowControl/>
              <w:ind w:firstLine="0" w:firstLineChars="0"/>
              <w:jc w:val="left"/>
              <w:rPr>
                <w:color w:val="auto"/>
              </w:rPr>
            </w:pPr>
            <w:r>
              <w:rPr>
                <w:b/>
                <w:bCs/>
                <w:color w:val="auto"/>
                <w:szCs w:val="24"/>
              </w:rPr>
              <w:t xml:space="preserve">3.5地下水、土壤环境 </w:t>
            </w:r>
          </w:p>
          <w:p>
            <w:pPr>
              <w:widowControl/>
              <w:ind w:firstLine="480"/>
              <w:jc w:val="left"/>
              <w:rPr>
                <w:color w:val="auto"/>
              </w:rPr>
            </w:pPr>
            <w:r>
              <w:rPr>
                <w:color w:val="auto"/>
                <w:szCs w:val="24"/>
              </w:rPr>
              <w:t xml:space="preserve">地下水、土壤原则上不进行评价。 </w:t>
            </w:r>
          </w:p>
          <w:p>
            <w:pPr>
              <w:widowControl/>
              <w:ind w:firstLine="0" w:firstLineChars="0"/>
              <w:jc w:val="left"/>
              <w:rPr>
                <w:color w:val="auto"/>
              </w:rPr>
            </w:pPr>
            <w:r>
              <w:rPr>
                <w:b/>
                <w:bCs/>
                <w:color w:val="auto"/>
                <w:szCs w:val="24"/>
              </w:rPr>
              <w:t xml:space="preserve">3.6电磁辐射 </w:t>
            </w:r>
          </w:p>
          <w:p>
            <w:pPr>
              <w:pStyle w:val="7"/>
              <w:ind w:left="0" w:leftChars="0" w:firstLine="480" w:firstLineChars="200"/>
              <w:rPr>
                <w:color w:val="auto"/>
                <w:sz w:val="24"/>
              </w:rPr>
            </w:pPr>
            <w:r>
              <w:rPr>
                <w:rFonts w:ascii="Times New Roman" w:hAnsi="Times New Roman" w:eastAsia="宋体" w:cs="Times New Roman"/>
                <w:color w:val="auto"/>
                <w:kern w:val="2"/>
                <w:sz w:val="24"/>
                <w:szCs w:val="24"/>
                <w:lang w:val="en-US" w:eastAsia="zh-CN" w:bidi="ar-SA"/>
              </w:rPr>
              <w:t>拟建项目不涉及电磁辐射。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0"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246" w:type="dxa"/>
            <w:vAlign w:val="center"/>
          </w:tcPr>
          <w:p>
            <w:pPr>
              <w:pStyle w:val="62"/>
              <w:spacing w:before="0" w:beforeLines="0" w:line="360" w:lineRule="auto"/>
              <w:ind w:left="0" w:leftChars="0" w:right="0" w:rightChars="0" w:firstLine="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3.7项目周边关系</w:t>
            </w:r>
          </w:p>
          <w:p>
            <w:pPr>
              <w:pStyle w:val="62"/>
              <w:spacing w:before="0" w:beforeLines="0" w:line="360" w:lineRule="auto"/>
              <w:ind w:left="0" w:leftChars="0" w:right="0" w:rightChars="0" w:firstLine="482" w:firstLineChars="20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3.7.1大气环境</w:t>
            </w:r>
          </w:p>
          <w:p>
            <w:pPr>
              <w:spacing w:before="120" w:beforeLines="50"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eastAsia="宋体" w:cs="Times New Roman"/>
                <w:color w:val="auto"/>
                <w:kern w:val="2"/>
                <w:sz w:val="24"/>
                <w:szCs w:val="24"/>
                <w:lang w:val="en-US" w:eastAsia="zh-CN" w:bidi="ar-SA"/>
              </w:rPr>
              <w:t>拟建项目位于重庆市铜梁</w:t>
            </w:r>
            <w:r>
              <w:rPr>
                <w:rFonts w:hint="eastAsia"/>
                <w:color w:val="auto"/>
                <w:lang w:val="en-US" w:eastAsia="zh-CN"/>
              </w:rPr>
              <w:t>区铜合大道523号</w:t>
            </w:r>
            <w:r>
              <w:rPr>
                <w:rFonts w:hint="eastAsia"/>
                <w:color w:val="auto"/>
                <w:highlight w:val="none"/>
                <w:lang w:eastAsia="zh-CN"/>
              </w:rPr>
              <w:t>，</w:t>
            </w:r>
            <w:r>
              <w:rPr>
                <w:color w:val="auto"/>
              </w:rPr>
              <w:t>经现场踏勘，项目</w:t>
            </w:r>
            <w:r>
              <w:rPr>
                <w:rFonts w:hint="eastAsia"/>
                <w:color w:val="auto"/>
                <w:lang w:eastAsia="zh-CN"/>
              </w:rPr>
              <w:t>四周均为工业企业</w:t>
            </w:r>
            <w:r>
              <w:rPr>
                <w:color w:val="auto"/>
              </w:rPr>
              <w:t>，</w:t>
            </w:r>
            <w:r>
              <w:rPr>
                <w:rFonts w:hint="eastAsia"/>
                <w:color w:val="auto"/>
                <w:lang w:eastAsia="zh-CN"/>
              </w:rPr>
              <w:t>项目西侧为重庆伟业电源材料公司，西南侧为重庆瑞鑫科五金制品有限公司，东南侧为百乐维克动物药业公司，南侧为铜合大道。</w:t>
            </w:r>
            <w:r>
              <w:rPr>
                <w:color w:val="auto"/>
              </w:rPr>
              <w:t>项目评价范围内无自然保护区</w:t>
            </w:r>
            <w:r>
              <w:rPr>
                <w:rFonts w:hint="eastAsia"/>
                <w:color w:val="auto"/>
                <w:lang w:eastAsia="zh-CN"/>
              </w:rPr>
              <w:t>、</w:t>
            </w:r>
            <w:r>
              <w:rPr>
                <w:color w:val="auto"/>
              </w:rPr>
              <w:t>风景名胜区、文物保护单位等特殊环境敏感区。</w:t>
            </w:r>
            <w:r>
              <w:rPr>
                <w:rFonts w:hint="eastAsia"/>
                <w:color w:val="auto"/>
                <w:lang w:eastAsia="zh-CN"/>
              </w:rPr>
              <w:t>拟建</w:t>
            </w:r>
            <w:r>
              <w:rPr>
                <w:rFonts w:hint="eastAsia"/>
                <w:color w:val="auto"/>
                <w:kern w:val="0"/>
                <w:highlight w:val="none"/>
                <w:lang w:eastAsia="zh-CN"/>
              </w:rPr>
              <w:t>项目</w:t>
            </w:r>
            <w:r>
              <w:rPr>
                <w:rFonts w:hint="eastAsia"/>
                <w:color w:val="auto"/>
                <w:kern w:val="0"/>
                <w:highlight w:val="none"/>
                <w:lang w:val="en-US" w:eastAsia="zh-CN"/>
              </w:rPr>
              <w:t>50</w:t>
            </w:r>
            <w:r>
              <w:rPr>
                <w:rFonts w:hint="eastAsia" w:ascii="Times New Roman" w:hAnsi="Times New Roman" w:cs="Times New Roman"/>
                <w:color w:val="auto"/>
                <w:lang w:val="en-US" w:eastAsia="zh-CN"/>
              </w:rPr>
              <w:t>0m范围内无</w:t>
            </w:r>
            <w:r>
              <w:rPr>
                <w:rFonts w:hint="eastAsia" w:cs="Times New Roman"/>
                <w:color w:val="auto"/>
                <w:lang w:val="en-US" w:eastAsia="zh-CN"/>
              </w:rPr>
              <w:t>环境</w:t>
            </w:r>
            <w:r>
              <w:rPr>
                <w:rFonts w:hint="eastAsia" w:ascii="Times New Roman" w:hAnsi="Times New Roman" w:cs="Times New Roman"/>
                <w:color w:val="auto"/>
                <w:lang w:val="en-US" w:eastAsia="zh-CN"/>
              </w:rPr>
              <w:t>敏感点分布，外环境关系见表3.7-1。</w:t>
            </w:r>
          </w:p>
          <w:p>
            <w:pPr>
              <w:spacing w:before="120" w:beforeLines="50" w:line="240"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表3.</w:t>
            </w:r>
            <w:r>
              <w:rPr>
                <w:rFonts w:hint="eastAsia" w:ascii="Times New Roman" w:hAnsi="Times New Roman" w:cs="Times New Roman"/>
                <w:color w:val="auto"/>
                <w:lang w:val="en-US" w:eastAsia="zh-CN"/>
              </w:rPr>
              <w:t>7-1</w:t>
            </w:r>
            <w:r>
              <w:rPr>
                <w:rFonts w:hint="eastAsia" w:ascii="Times New Roman" w:hAnsi="Times New Roman" w:cs="Times New Roman"/>
                <w:color w:val="auto"/>
                <w:lang w:eastAsia="zh-CN"/>
              </w:rPr>
              <w:t xml:space="preserve"> 项目外环境关系一览表</w:t>
            </w:r>
          </w:p>
          <w:tbl>
            <w:tblPr>
              <w:tblStyle w:val="25"/>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3144"/>
              <w:gridCol w:w="865"/>
              <w:gridCol w:w="808"/>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795" w:type="dxa"/>
                  <w:vAlign w:val="center"/>
                </w:tcPr>
                <w:p>
                  <w:pPr>
                    <w:pStyle w:val="41"/>
                    <w:spacing w:line="240" w:lineRule="auto"/>
                    <w:jc w:val="center"/>
                    <w:rPr>
                      <w:color w:val="auto"/>
                      <w:szCs w:val="21"/>
                    </w:rPr>
                  </w:pPr>
                  <w:r>
                    <w:rPr>
                      <w:rFonts w:hint="eastAsia"/>
                      <w:color w:val="auto"/>
                      <w:szCs w:val="21"/>
                    </w:rPr>
                    <w:t>序号</w:t>
                  </w:r>
                </w:p>
              </w:tc>
              <w:tc>
                <w:tcPr>
                  <w:tcW w:w="3144" w:type="dxa"/>
                  <w:vAlign w:val="center"/>
                </w:tcPr>
                <w:p>
                  <w:pPr>
                    <w:pStyle w:val="41"/>
                    <w:spacing w:line="240" w:lineRule="auto"/>
                    <w:jc w:val="center"/>
                    <w:rPr>
                      <w:color w:val="auto"/>
                      <w:szCs w:val="21"/>
                    </w:rPr>
                  </w:pPr>
                  <w:r>
                    <w:rPr>
                      <w:rFonts w:hint="eastAsia"/>
                      <w:color w:val="auto"/>
                      <w:szCs w:val="21"/>
                    </w:rPr>
                    <w:t>名称</w:t>
                  </w:r>
                </w:p>
              </w:tc>
              <w:tc>
                <w:tcPr>
                  <w:tcW w:w="865" w:type="dxa"/>
                  <w:vAlign w:val="center"/>
                </w:tcPr>
                <w:p>
                  <w:pPr>
                    <w:pStyle w:val="41"/>
                    <w:spacing w:line="240" w:lineRule="auto"/>
                    <w:jc w:val="center"/>
                    <w:rPr>
                      <w:color w:val="auto"/>
                      <w:szCs w:val="21"/>
                    </w:rPr>
                  </w:pPr>
                  <w:r>
                    <w:rPr>
                      <w:rFonts w:hint="eastAsia"/>
                      <w:color w:val="auto"/>
                      <w:szCs w:val="21"/>
                    </w:rPr>
                    <w:t>方位</w:t>
                  </w:r>
                </w:p>
              </w:tc>
              <w:tc>
                <w:tcPr>
                  <w:tcW w:w="808" w:type="dxa"/>
                  <w:vAlign w:val="center"/>
                </w:tcPr>
                <w:p>
                  <w:pPr>
                    <w:pStyle w:val="41"/>
                    <w:spacing w:line="240" w:lineRule="auto"/>
                    <w:jc w:val="center"/>
                    <w:rPr>
                      <w:color w:val="auto"/>
                      <w:szCs w:val="21"/>
                    </w:rPr>
                  </w:pPr>
                  <w:r>
                    <w:rPr>
                      <w:rFonts w:hint="eastAsia"/>
                      <w:color w:val="auto"/>
                      <w:szCs w:val="21"/>
                    </w:rPr>
                    <w:t>距离m</w:t>
                  </w:r>
                </w:p>
              </w:tc>
              <w:tc>
                <w:tcPr>
                  <w:tcW w:w="2408" w:type="dxa"/>
                  <w:vAlign w:val="center"/>
                </w:tcPr>
                <w:p>
                  <w:pPr>
                    <w:pStyle w:val="41"/>
                    <w:spacing w:line="240" w:lineRule="auto"/>
                    <w:jc w:val="center"/>
                    <w:rPr>
                      <w:color w:val="auto"/>
                      <w:szCs w:val="21"/>
                    </w:rPr>
                  </w:pPr>
                  <w:r>
                    <w:rPr>
                      <w:rFonts w:hint="eastAsia"/>
                      <w:color w:val="auto"/>
                      <w:szCs w:val="21"/>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exact"/>
                <w:jc w:val="center"/>
              </w:trPr>
              <w:tc>
                <w:tcPr>
                  <w:tcW w:w="795" w:type="dxa"/>
                  <w:vAlign w:val="center"/>
                </w:tcPr>
                <w:p>
                  <w:pPr>
                    <w:pStyle w:val="41"/>
                    <w:spacing w:line="240" w:lineRule="auto"/>
                    <w:jc w:val="center"/>
                    <w:rPr>
                      <w:color w:val="auto"/>
                      <w:szCs w:val="21"/>
                    </w:rPr>
                  </w:pPr>
                  <w:r>
                    <w:rPr>
                      <w:rFonts w:hint="eastAsia"/>
                      <w:color w:val="auto"/>
                      <w:szCs w:val="21"/>
                    </w:rPr>
                    <w:t>①</w:t>
                  </w:r>
                </w:p>
              </w:tc>
              <w:tc>
                <w:tcPr>
                  <w:tcW w:w="3144" w:type="dxa"/>
                  <w:vAlign w:val="center"/>
                </w:tcPr>
                <w:p>
                  <w:pPr>
                    <w:pStyle w:val="41"/>
                    <w:spacing w:line="240" w:lineRule="auto"/>
                    <w:jc w:val="center"/>
                    <w:rPr>
                      <w:rFonts w:hint="eastAsia" w:eastAsia="宋体"/>
                      <w:color w:val="auto"/>
                      <w:szCs w:val="21"/>
                      <w:lang w:eastAsia="zh-CN"/>
                    </w:rPr>
                  </w:pPr>
                  <w:r>
                    <w:rPr>
                      <w:rFonts w:hint="eastAsia"/>
                      <w:color w:val="auto"/>
                      <w:lang w:eastAsia="zh-CN"/>
                    </w:rPr>
                    <w:t>重庆伟业电源材料公司</w:t>
                  </w:r>
                </w:p>
              </w:tc>
              <w:tc>
                <w:tcPr>
                  <w:tcW w:w="865" w:type="dxa"/>
                  <w:vAlign w:val="center"/>
                </w:tcPr>
                <w:p>
                  <w:pPr>
                    <w:pStyle w:val="41"/>
                    <w:spacing w:line="240" w:lineRule="auto"/>
                    <w:jc w:val="center"/>
                    <w:rPr>
                      <w:rFonts w:hint="eastAsia" w:eastAsia="宋体"/>
                      <w:color w:val="auto"/>
                      <w:szCs w:val="21"/>
                      <w:lang w:val="en-US" w:eastAsia="zh-CN"/>
                    </w:rPr>
                  </w:pPr>
                  <w:r>
                    <w:rPr>
                      <w:rFonts w:hint="eastAsia"/>
                      <w:color w:val="auto"/>
                      <w:szCs w:val="21"/>
                      <w:lang w:val="en-US" w:eastAsia="zh-CN"/>
                    </w:rPr>
                    <w:t>W</w:t>
                  </w:r>
                </w:p>
              </w:tc>
              <w:tc>
                <w:tcPr>
                  <w:tcW w:w="808" w:type="dxa"/>
                  <w:vAlign w:val="center"/>
                </w:tcPr>
                <w:p>
                  <w:pPr>
                    <w:pStyle w:val="41"/>
                    <w:spacing w:line="240" w:lineRule="auto"/>
                    <w:jc w:val="center"/>
                    <w:rPr>
                      <w:rFonts w:hint="default" w:eastAsia="宋体"/>
                      <w:color w:val="auto"/>
                      <w:szCs w:val="21"/>
                      <w:lang w:val="en-US" w:eastAsia="zh-CN"/>
                    </w:rPr>
                  </w:pPr>
                  <w:r>
                    <w:rPr>
                      <w:rFonts w:hint="eastAsia"/>
                      <w:color w:val="auto"/>
                      <w:szCs w:val="21"/>
                      <w:lang w:val="en-US" w:eastAsia="zh-CN"/>
                    </w:rPr>
                    <w:t>5</w:t>
                  </w:r>
                </w:p>
              </w:tc>
              <w:tc>
                <w:tcPr>
                  <w:tcW w:w="2408" w:type="dxa"/>
                  <w:vAlign w:val="center"/>
                </w:tcPr>
                <w:p>
                  <w:pPr>
                    <w:pStyle w:val="41"/>
                    <w:spacing w:line="240" w:lineRule="auto"/>
                    <w:jc w:val="center"/>
                    <w:rPr>
                      <w:rFonts w:hint="eastAsia" w:eastAsia="宋体"/>
                      <w:color w:val="auto"/>
                      <w:szCs w:val="21"/>
                      <w:lang w:eastAsia="zh-CN"/>
                    </w:rPr>
                  </w:pPr>
                  <w:r>
                    <w:rPr>
                      <w:rFonts w:hint="eastAsia"/>
                      <w:color w:val="auto"/>
                      <w:szCs w:val="21"/>
                    </w:rPr>
                    <w:t>电池隔板、配件</w:t>
                  </w:r>
                  <w:r>
                    <w:rPr>
                      <w:rFonts w:hint="eastAsia"/>
                      <w:color w:val="auto"/>
                      <w:szCs w:val="21"/>
                      <w:lang w:eastAsia="zh-CN"/>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exact"/>
                <w:jc w:val="center"/>
              </w:trPr>
              <w:tc>
                <w:tcPr>
                  <w:tcW w:w="795" w:type="dxa"/>
                  <w:vAlign w:val="center"/>
                </w:tcPr>
                <w:p>
                  <w:pPr>
                    <w:pStyle w:val="41"/>
                    <w:spacing w:line="240" w:lineRule="auto"/>
                    <w:jc w:val="center"/>
                    <w:rPr>
                      <w:color w:val="auto"/>
                      <w:szCs w:val="21"/>
                    </w:rPr>
                  </w:pPr>
                  <w:r>
                    <w:rPr>
                      <w:rFonts w:hint="eastAsia"/>
                      <w:color w:val="auto"/>
                      <w:szCs w:val="21"/>
                    </w:rPr>
                    <w:t>②</w:t>
                  </w:r>
                </w:p>
              </w:tc>
              <w:tc>
                <w:tcPr>
                  <w:tcW w:w="3144" w:type="dxa"/>
                  <w:vAlign w:val="center"/>
                </w:tcPr>
                <w:p>
                  <w:pPr>
                    <w:pStyle w:val="41"/>
                    <w:spacing w:line="240" w:lineRule="auto"/>
                    <w:jc w:val="center"/>
                    <w:rPr>
                      <w:rFonts w:ascii="Times New Roman" w:hAnsi="Times New Roman" w:eastAsia="宋体" w:cs="Times New Roman"/>
                      <w:color w:val="auto"/>
                      <w:w w:val="100"/>
                      <w:kern w:val="2"/>
                      <w:sz w:val="21"/>
                      <w:szCs w:val="21"/>
                      <w:lang w:val="en-US" w:eastAsia="zh-CN" w:bidi="ar-SA"/>
                    </w:rPr>
                  </w:pPr>
                  <w:r>
                    <w:rPr>
                      <w:rFonts w:hint="eastAsia"/>
                      <w:color w:val="auto"/>
                      <w:lang w:eastAsia="zh-CN"/>
                    </w:rPr>
                    <w:t>百乐维克动物药业公司</w:t>
                  </w:r>
                </w:p>
              </w:tc>
              <w:tc>
                <w:tcPr>
                  <w:tcW w:w="865" w:type="dxa"/>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SE</w:t>
                  </w:r>
                </w:p>
              </w:tc>
              <w:tc>
                <w:tcPr>
                  <w:tcW w:w="808" w:type="dxa"/>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eastAsia="宋体" w:cs="Times New Roman"/>
                      <w:color w:val="auto"/>
                      <w:w w:val="100"/>
                      <w:kern w:val="2"/>
                      <w:sz w:val="21"/>
                      <w:szCs w:val="21"/>
                      <w:lang w:val="en-US" w:eastAsia="zh-CN" w:bidi="ar-SA"/>
                    </w:rPr>
                    <w:t>11</w:t>
                  </w:r>
                </w:p>
              </w:tc>
              <w:tc>
                <w:tcPr>
                  <w:tcW w:w="2408" w:type="dxa"/>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Cs w:val="21"/>
                      <w:lang w:eastAsia="zh-CN"/>
                    </w:rPr>
                    <w:t>杀虫剂、消毒剂等生产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795" w:type="dxa"/>
                  <w:vAlign w:val="center"/>
                </w:tcPr>
                <w:p>
                  <w:pPr>
                    <w:pStyle w:val="41"/>
                    <w:spacing w:line="240" w:lineRule="auto"/>
                    <w:jc w:val="center"/>
                    <w:rPr>
                      <w:color w:val="auto"/>
                      <w:szCs w:val="21"/>
                    </w:rPr>
                  </w:pPr>
                  <w:r>
                    <w:rPr>
                      <w:rFonts w:hint="eastAsia"/>
                      <w:color w:val="auto"/>
                      <w:szCs w:val="21"/>
                    </w:rPr>
                    <w:t>③</w:t>
                  </w:r>
                </w:p>
              </w:tc>
              <w:tc>
                <w:tcPr>
                  <w:tcW w:w="3144" w:type="dxa"/>
                  <w:vAlign w:val="center"/>
                </w:tcPr>
                <w:p>
                  <w:pPr>
                    <w:pStyle w:val="41"/>
                    <w:spacing w:line="240" w:lineRule="auto"/>
                    <w:jc w:val="center"/>
                    <w:rPr>
                      <w:rFonts w:ascii="Times New Roman" w:hAnsi="Times New Roman" w:eastAsia="宋体" w:cs="Times New Roman"/>
                      <w:color w:val="auto"/>
                      <w:w w:val="100"/>
                      <w:kern w:val="2"/>
                      <w:sz w:val="21"/>
                      <w:szCs w:val="21"/>
                      <w:lang w:val="en-US" w:eastAsia="zh-CN" w:bidi="ar-SA"/>
                    </w:rPr>
                  </w:pPr>
                  <w:r>
                    <w:rPr>
                      <w:rFonts w:hint="eastAsia"/>
                      <w:color w:val="auto"/>
                      <w:lang w:eastAsia="zh-CN"/>
                    </w:rPr>
                    <w:t>重庆瑞鑫科五金制品有限公司</w:t>
                  </w:r>
                </w:p>
              </w:tc>
              <w:tc>
                <w:tcPr>
                  <w:tcW w:w="865" w:type="dxa"/>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SW</w:t>
                  </w:r>
                </w:p>
              </w:tc>
              <w:tc>
                <w:tcPr>
                  <w:tcW w:w="808" w:type="dxa"/>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eastAsia="宋体" w:cs="Times New Roman"/>
                      <w:color w:val="auto"/>
                      <w:w w:val="100"/>
                      <w:kern w:val="2"/>
                      <w:sz w:val="21"/>
                      <w:szCs w:val="21"/>
                      <w:lang w:val="en-US" w:eastAsia="zh-CN" w:bidi="ar-SA"/>
                    </w:rPr>
                    <w:t>50</w:t>
                  </w:r>
                </w:p>
              </w:tc>
              <w:tc>
                <w:tcPr>
                  <w:tcW w:w="2408" w:type="dxa"/>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Cs w:val="21"/>
                      <w:lang w:eastAsia="zh-CN"/>
                    </w:rPr>
                    <w:t>五金件生产</w:t>
                  </w:r>
                </w:p>
              </w:tc>
            </w:tr>
          </w:tbl>
          <w:p>
            <w:pPr>
              <w:pStyle w:val="62"/>
              <w:spacing w:before="0" w:beforeLines="0" w:line="360" w:lineRule="auto"/>
              <w:ind w:left="0" w:leftChars="0" w:right="0" w:rightChars="0" w:firstLine="482" w:firstLineChars="200"/>
              <w:rPr>
                <w:b/>
                <w:bCs/>
                <w:color w:val="auto"/>
              </w:rPr>
            </w:pPr>
            <w:r>
              <w:rPr>
                <w:b/>
                <w:bCs/>
                <w:color w:val="auto"/>
              </w:rPr>
              <w:t>3.</w:t>
            </w:r>
            <w:r>
              <w:rPr>
                <w:rFonts w:hint="eastAsia"/>
                <w:b/>
                <w:bCs/>
                <w:color w:val="auto"/>
                <w:lang w:val="en-US" w:eastAsia="zh-CN"/>
              </w:rPr>
              <w:t>7.2</w:t>
            </w:r>
            <w:r>
              <w:rPr>
                <w:b/>
                <w:bCs/>
                <w:color w:val="auto"/>
              </w:rPr>
              <w:t>声环境</w:t>
            </w:r>
          </w:p>
          <w:p>
            <w:pPr>
              <w:pStyle w:val="62"/>
              <w:spacing w:before="0" w:beforeLines="0" w:line="360" w:lineRule="auto"/>
              <w:ind w:left="0" w:leftChars="0" w:right="0" w:rightChars="0" w:firstLineChars="200"/>
              <w:rPr>
                <w:color w:val="auto"/>
              </w:rPr>
            </w:pPr>
            <w:r>
              <w:rPr>
                <w:rFonts w:hint="eastAsia"/>
                <w:color w:val="auto"/>
                <w:lang w:eastAsia="zh-CN"/>
              </w:rPr>
              <w:t>拟建</w:t>
            </w:r>
            <w:r>
              <w:rPr>
                <w:color w:val="auto"/>
              </w:rPr>
              <w:t xml:space="preserve">项目厂界外50m范围内无声环境保护目标。 </w:t>
            </w:r>
          </w:p>
          <w:p>
            <w:pPr>
              <w:pStyle w:val="62"/>
              <w:spacing w:before="0" w:beforeLines="0" w:line="360" w:lineRule="auto"/>
              <w:ind w:left="0" w:leftChars="0" w:right="0" w:rightChars="0" w:firstLine="482" w:firstLineChars="200"/>
              <w:rPr>
                <w:b/>
                <w:bCs/>
                <w:color w:val="auto"/>
              </w:rPr>
            </w:pPr>
            <w:r>
              <w:rPr>
                <w:b/>
                <w:bCs/>
                <w:color w:val="auto"/>
              </w:rPr>
              <w:t>3.7</w:t>
            </w:r>
            <w:r>
              <w:rPr>
                <w:rFonts w:hint="eastAsia"/>
                <w:b/>
                <w:bCs/>
                <w:color w:val="auto"/>
                <w:lang w:val="en-US" w:eastAsia="zh-CN"/>
              </w:rPr>
              <w:t>.3</w:t>
            </w:r>
            <w:r>
              <w:rPr>
                <w:b/>
                <w:bCs/>
                <w:color w:val="auto"/>
              </w:rPr>
              <w:t>地下水环境</w:t>
            </w:r>
          </w:p>
          <w:p>
            <w:pPr>
              <w:pStyle w:val="62"/>
              <w:spacing w:before="0" w:beforeLines="0" w:line="360" w:lineRule="auto"/>
              <w:ind w:left="0" w:leftChars="0" w:right="0" w:rightChars="0" w:firstLineChars="200"/>
              <w:rPr>
                <w:color w:val="auto"/>
              </w:rPr>
            </w:pPr>
            <w:r>
              <w:rPr>
                <w:rFonts w:hint="eastAsia"/>
                <w:color w:val="auto"/>
                <w:lang w:eastAsia="zh-CN"/>
              </w:rPr>
              <w:t>拟建</w:t>
            </w:r>
            <w:r>
              <w:rPr>
                <w:color w:val="auto"/>
              </w:rPr>
              <w:t>项目厂界外500m范围内无地下水集中式饮用水水源和热水、矿泉水、温泉等特殊地下水资源，无地下水保护目标。</w:t>
            </w:r>
          </w:p>
          <w:p>
            <w:pPr>
              <w:pStyle w:val="62"/>
              <w:spacing w:before="0" w:beforeLines="0" w:line="360" w:lineRule="auto"/>
              <w:ind w:left="0" w:leftChars="0" w:right="0" w:rightChars="0" w:firstLine="482" w:firstLineChars="200"/>
              <w:rPr>
                <w:b/>
                <w:bCs/>
                <w:color w:val="auto"/>
              </w:rPr>
            </w:pPr>
            <w:r>
              <w:rPr>
                <w:b/>
                <w:bCs/>
                <w:color w:val="auto"/>
              </w:rPr>
              <w:t>3.</w:t>
            </w:r>
            <w:r>
              <w:rPr>
                <w:rFonts w:hint="eastAsia"/>
                <w:b/>
                <w:bCs/>
                <w:color w:val="auto"/>
                <w:lang w:val="en-US" w:eastAsia="zh-CN"/>
              </w:rPr>
              <w:t>7.4</w:t>
            </w:r>
            <w:r>
              <w:rPr>
                <w:b/>
                <w:bCs/>
                <w:color w:val="auto"/>
              </w:rPr>
              <w:t>生态环境</w:t>
            </w:r>
          </w:p>
          <w:p>
            <w:pPr>
              <w:pStyle w:val="62"/>
              <w:spacing w:before="0" w:beforeLines="0" w:line="360" w:lineRule="auto"/>
              <w:ind w:left="0" w:leftChars="0" w:right="0" w:rightChars="0" w:firstLineChars="200"/>
              <w:rPr>
                <w:color w:val="auto"/>
              </w:rPr>
            </w:pPr>
            <w:r>
              <w:rPr>
                <w:rFonts w:hint="eastAsia"/>
                <w:color w:val="auto"/>
                <w:lang w:eastAsia="zh-CN"/>
              </w:rPr>
              <w:t>拟建</w:t>
            </w:r>
            <w:r>
              <w:rPr>
                <w:color w:val="auto"/>
              </w:rPr>
              <w:t>项目位于</w:t>
            </w:r>
            <w:r>
              <w:rPr>
                <w:rFonts w:hint="eastAsia"/>
                <w:color w:val="auto"/>
              </w:rPr>
              <w:t>重庆市现代农业开发园区</w:t>
            </w:r>
            <w:r>
              <w:rPr>
                <w:color w:val="auto"/>
              </w:rPr>
              <w:t>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246" w:type="dxa"/>
            <w:vAlign w:val="center"/>
          </w:tcPr>
          <w:p>
            <w:pPr>
              <w:pStyle w:val="62"/>
              <w:spacing w:before="0" w:beforeLines="0"/>
              <w:ind w:left="0" w:leftChars="0" w:right="0" w:rightChars="0" w:firstLine="0"/>
              <w:rPr>
                <w:rFonts w:hint="default" w:eastAsia="宋体"/>
                <w:b/>
                <w:bCs/>
                <w:color w:val="auto"/>
                <w:lang w:val="en-US" w:eastAsia="zh-CN"/>
              </w:rPr>
            </w:pPr>
            <w:r>
              <w:rPr>
                <w:b/>
                <w:bCs/>
                <w:color w:val="auto"/>
              </w:rPr>
              <w:t>3.</w:t>
            </w:r>
            <w:r>
              <w:rPr>
                <w:rFonts w:hint="eastAsia"/>
                <w:b/>
                <w:bCs/>
                <w:color w:val="auto"/>
                <w:lang w:val="en-US" w:eastAsia="zh-CN"/>
              </w:rPr>
              <w:t>8污染物排放标准</w:t>
            </w:r>
          </w:p>
          <w:p>
            <w:pPr>
              <w:pStyle w:val="62"/>
              <w:spacing w:before="0" w:beforeLines="0"/>
              <w:ind w:left="0" w:leftChars="0" w:right="0" w:rightChars="0" w:firstLine="482" w:firstLineChars="200"/>
              <w:rPr>
                <w:b/>
                <w:bCs/>
                <w:color w:val="auto"/>
              </w:rPr>
            </w:pPr>
            <w:r>
              <w:rPr>
                <w:rFonts w:hint="eastAsia"/>
                <w:b/>
                <w:bCs/>
                <w:color w:val="auto"/>
                <w:lang w:val="en-US" w:eastAsia="zh-CN"/>
              </w:rPr>
              <w:t>3.8.1</w:t>
            </w:r>
            <w:r>
              <w:rPr>
                <w:b/>
                <w:bCs/>
                <w:color w:val="auto"/>
              </w:rPr>
              <w:t>废气污染物排放标准</w:t>
            </w:r>
          </w:p>
          <w:p>
            <w:pPr>
              <w:snapToGrid w:val="0"/>
              <w:ind w:right="-56" w:firstLine="480" w:firstLineChars="200"/>
              <w:rPr>
                <w:rFonts w:hint="eastAsia" w:cs="Times New Roman"/>
                <w:bCs/>
                <w:color w:val="auto"/>
                <w:lang w:val="en-GB" w:eastAsia="zh-CN"/>
              </w:rPr>
            </w:pPr>
            <w:r>
              <w:rPr>
                <w:rFonts w:hint="eastAsia" w:cs="Times New Roman"/>
                <w:bCs/>
                <w:color w:val="auto"/>
                <w:lang w:val="en-GB" w:eastAsia="zh-CN"/>
              </w:rPr>
              <w:t>根据重庆生态环境局颁布的《关于印发在江津合川璧山铜梁等区执行国家大气污染物特别排放限值工作方案的函》（渝环函</w:t>
            </w:r>
            <w:r>
              <w:rPr>
                <w:rFonts w:hint="eastAsia" w:cs="Times New Roman"/>
                <w:bCs/>
                <w:color w:val="auto"/>
                <w:lang w:val="en-US" w:eastAsia="zh-CN"/>
              </w:rPr>
              <w:t>[2018]490号</w:t>
            </w:r>
            <w:r>
              <w:rPr>
                <w:rFonts w:hint="eastAsia" w:cs="Times New Roman"/>
                <w:bCs/>
                <w:color w:val="auto"/>
                <w:lang w:val="en-GB" w:eastAsia="zh-CN"/>
              </w:rPr>
              <w:t>），拟建项目所在区域铜梁区废气排放执行大气污染物特别排放限值。</w:t>
            </w:r>
          </w:p>
          <w:p>
            <w:pPr>
              <w:snapToGrid w:val="0"/>
              <w:ind w:right="-56" w:firstLine="480" w:firstLineChars="200"/>
              <w:rPr>
                <w:rFonts w:hint="default" w:ascii="Times New Roman" w:hAnsi="Times New Roman" w:cs="Times New Roman"/>
                <w:bCs/>
                <w:color w:val="auto"/>
                <w:lang w:val="en-US" w:eastAsia="zh-CN"/>
              </w:rPr>
            </w:pPr>
            <w:r>
              <w:rPr>
                <w:rFonts w:hint="eastAsia" w:cs="Times New Roman"/>
                <w:bCs/>
                <w:color w:val="auto"/>
                <w:lang w:val="en-GB" w:eastAsia="zh-CN"/>
              </w:rPr>
              <w:t>对比排放标准，</w:t>
            </w:r>
            <w:r>
              <w:rPr>
                <w:rFonts w:hint="default" w:ascii="Times New Roman" w:hAnsi="Times New Roman" w:cs="Times New Roman"/>
                <w:bCs/>
                <w:color w:val="auto"/>
                <w:lang w:val="en-GB" w:eastAsia="zh-CN"/>
              </w:rPr>
              <w:t>《合成树脂工业污染物排放标准》（GB31572-2015）</w:t>
            </w:r>
            <w:r>
              <w:rPr>
                <w:rFonts w:hint="eastAsia" w:cs="Times New Roman"/>
                <w:bCs/>
                <w:color w:val="auto"/>
                <w:lang w:val="en-GB" w:eastAsia="zh-CN"/>
              </w:rPr>
              <w:t>中颗粒物、非甲烷总烃排放限值严于《大气污染物综合排放标准》（DB 50/418－2016）限值，拟建项目</w:t>
            </w:r>
            <w:r>
              <w:rPr>
                <w:rFonts w:hint="default" w:ascii="Times New Roman" w:hAnsi="Times New Roman" w:cs="Times New Roman"/>
                <w:bCs/>
                <w:color w:val="auto"/>
                <w:lang w:val="en-GB"/>
              </w:rPr>
              <w:t>流延废气</w:t>
            </w:r>
            <w:r>
              <w:rPr>
                <w:rFonts w:hint="eastAsia" w:cs="Times New Roman"/>
                <w:bCs/>
                <w:color w:val="auto"/>
                <w:lang w:val="en-GB" w:eastAsia="zh-CN"/>
              </w:rPr>
              <w:t>、拌料废气、吹膜废气、</w:t>
            </w:r>
            <w:r>
              <w:rPr>
                <w:rFonts w:hint="default" w:ascii="Times New Roman" w:hAnsi="Times New Roman" w:cs="Times New Roman"/>
                <w:color w:val="auto"/>
                <w:sz w:val="24"/>
                <w:szCs w:val="24"/>
                <w:lang w:val="en-US" w:eastAsia="zh-CN"/>
              </w:rPr>
              <w:t>制袋废气</w:t>
            </w:r>
            <w:r>
              <w:rPr>
                <w:rFonts w:hint="eastAsia" w:ascii="Times New Roman" w:hAnsi="Times New Roman" w:cs="Times New Roman"/>
                <w:color w:val="auto"/>
                <w:sz w:val="24"/>
                <w:szCs w:val="24"/>
                <w:lang w:val="en-US" w:eastAsia="zh-CN"/>
              </w:rPr>
              <w:t>、危废间有机废气</w:t>
            </w:r>
            <w:r>
              <w:rPr>
                <w:rFonts w:hint="eastAsia" w:cs="Times New Roman"/>
                <w:bCs/>
                <w:color w:val="auto"/>
                <w:lang w:val="en-GB" w:eastAsia="zh-CN"/>
              </w:rPr>
              <w:t>执行</w:t>
            </w:r>
            <w:r>
              <w:rPr>
                <w:rFonts w:hint="default" w:ascii="Times New Roman" w:hAnsi="Times New Roman" w:cs="Times New Roman"/>
                <w:bCs/>
                <w:color w:val="auto"/>
                <w:lang w:val="en-GB" w:eastAsia="zh-CN"/>
              </w:rPr>
              <w:t>《合成树脂工业污染物排放标准》（GB31572-2015）</w:t>
            </w:r>
            <w:r>
              <w:rPr>
                <w:rFonts w:hint="eastAsia" w:cs="Times New Roman"/>
                <w:bCs/>
                <w:color w:val="auto"/>
                <w:lang w:val="en-GB" w:eastAsia="zh-CN"/>
              </w:rPr>
              <w:t>排放限值。</w:t>
            </w:r>
          </w:p>
          <w:p>
            <w:pPr>
              <w:snapToGrid w:val="0"/>
              <w:ind w:right="-56" w:firstLine="480" w:firstLineChars="200"/>
              <w:rPr>
                <w:rFonts w:hint="eastAsia"/>
                <w:color w:val="auto"/>
              </w:rPr>
            </w:pPr>
            <w:r>
              <w:rPr>
                <w:rFonts w:hint="default" w:ascii="Times New Roman" w:hAnsi="Times New Roman" w:cs="Times New Roman"/>
                <w:bCs/>
                <w:color w:val="auto"/>
                <w:lang w:val="en-GB" w:eastAsia="zh-CN"/>
              </w:rPr>
              <w:t>拟建项目</w:t>
            </w:r>
            <w:r>
              <w:rPr>
                <w:rFonts w:hint="default" w:ascii="Times New Roman" w:hAnsi="Times New Roman" w:cs="Times New Roman"/>
                <w:bCs/>
                <w:color w:val="auto"/>
                <w:lang w:val="en-GB"/>
              </w:rPr>
              <w:t>营运期流延废气</w:t>
            </w:r>
            <w:r>
              <w:rPr>
                <w:rFonts w:hint="eastAsia" w:cs="Times New Roman"/>
                <w:bCs/>
                <w:color w:val="auto"/>
                <w:lang w:val="en-GB" w:eastAsia="zh-CN"/>
              </w:rPr>
              <w:t>、拌料废气、吹膜废气、</w:t>
            </w:r>
            <w:r>
              <w:rPr>
                <w:rFonts w:hint="default" w:ascii="Times New Roman" w:hAnsi="Times New Roman" w:cs="Times New Roman"/>
                <w:color w:val="auto"/>
                <w:sz w:val="24"/>
                <w:szCs w:val="24"/>
                <w:lang w:val="en-US" w:eastAsia="zh-CN"/>
              </w:rPr>
              <w:t>制袋废气</w:t>
            </w:r>
            <w:r>
              <w:rPr>
                <w:rFonts w:hint="eastAsia" w:ascii="Times New Roman" w:hAnsi="Times New Roman" w:cs="Times New Roman"/>
                <w:color w:val="auto"/>
                <w:sz w:val="24"/>
                <w:szCs w:val="24"/>
                <w:lang w:val="en-US" w:eastAsia="zh-CN"/>
              </w:rPr>
              <w:t>、危废间有机废气的颗粒物、非甲烷总烃</w:t>
            </w:r>
            <w:r>
              <w:rPr>
                <w:rFonts w:hint="default" w:ascii="Times New Roman" w:hAnsi="Times New Roman" w:cs="Times New Roman"/>
                <w:bCs/>
                <w:color w:val="auto"/>
                <w:lang w:val="en-GB" w:eastAsia="zh-CN"/>
              </w:rPr>
              <w:t>执行《合成树脂工业污染物排放标准》（GB31572-2015）中大气污染物特别排放限值；</w:t>
            </w:r>
            <w:r>
              <w:rPr>
                <w:rFonts w:hint="default" w:ascii="Times New Roman" w:hAnsi="Times New Roman" w:cs="Times New Roman"/>
                <w:color w:val="auto"/>
                <w:sz w:val="24"/>
                <w:szCs w:val="24"/>
              </w:rPr>
              <w:t>胶粘废气</w:t>
            </w:r>
            <w:r>
              <w:rPr>
                <w:rFonts w:hint="eastAsia" w:ascii="Times New Roman" w:hAnsi="Times New Roman" w:cs="Times New Roman"/>
                <w:color w:val="auto"/>
                <w:sz w:val="24"/>
                <w:szCs w:val="24"/>
                <w:lang w:eastAsia="zh-CN"/>
              </w:rPr>
              <w:t>的非甲烷总烃执行《涂料、油墨及胶粘剂工业大气污染物排放标准》（GB37824—2019）</w:t>
            </w:r>
            <w:r>
              <w:rPr>
                <w:rFonts w:hint="default" w:ascii="Times New Roman" w:hAnsi="Times New Roman" w:cs="Times New Roman"/>
                <w:bCs/>
                <w:color w:val="auto"/>
                <w:lang w:val="en-GB" w:eastAsia="zh-CN"/>
              </w:rPr>
              <w:t>中大气污染物特别排放限值</w:t>
            </w:r>
            <w:r>
              <w:rPr>
                <w:rFonts w:hint="eastAsia" w:ascii="Times New Roman" w:hAnsi="Times New Roman" w:cs="Times New Roman"/>
                <w:color w:val="auto"/>
                <w:sz w:val="24"/>
                <w:szCs w:val="24"/>
                <w:lang w:eastAsia="zh-CN"/>
              </w:rPr>
              <w:t>；</w:t>
            </w:r>
            <w:r>
              <w:rPr>
                <w:rFonts w:hint="default" w:ascii="Times New Roman" w:hAnsi="Times New Roman" w:cs="Times New Roman"/>
                <w:bCs/>
                <w:color w:val="auto"/>
                <w:lang w:val="en-GB" w:eastAsia="zh-CN"/>
              </w:rPr>
              <w:t>厂房外非甲烷总烃</w:t>
            </w:r>
            <w:r>
              <w:rPr>
                <w:rFonts w:hint="eastAsia"/>
                <w:color w:val="auto"/>
                <w:lang w:eastAsia="zh-CN"/>
              </w:rPr>
              <w:t>执行</w:t>
            </w:r>
            <w:r>
              <w:rPr>
                <w:rFonts w:hint="eastAsia"/>
                <w:color w:val="auto"/>
              </w:rPr>
              <w:t>《挥发性有机物无组织排放控制标准》（GB37822-2019）</w:t>
            </w:r>
            <w:r>
              <w:rPr>
                <w:rFonts w:hint="eastAsia"/>
                <w:color w:val="auto"/>
                <w:lang w:eastAsia="zh-CN"/>
              </w:rPr>
              <w:t>特别</w:t>
            </w:r>
            <w:r>
              <w:rPr>
                <w:rFonts w:hint="eastAsia"/>
                <w:color w:val="auto"/>
              </w:rPr>
              <w:t>排放限值</w:t>
            </w:r>
            <w:r>
              <w:rPr>
                <w:rFonts w:hint="eastAsia"/>
                <w:color w:val="auto"/>
                <w:lang w:eastAsia="zh-CN"/>
              </w:rPr>
              <w:t>；</w:t>
            </w:r>
            <w:r>
              <w:rPr>
                <w:rFonts w:hint="default" w:ascii="Times New Roman" w:hAnsi="Times New Roman" w:eastAsia="宋体" w:cs="Times New Roman"/>
                <w:color w:val="auto"/>
                <w:sz w:val="24"/>
              </w:rPr>
              <w:t>臭气浓度</w:t>
            </w:r>
            <w:r>
              <w:rPr>
                <w:rFonts w:hint="eastAsia" w:cs="Times New Roman"/>
                <w:color w:val="auto"/>
                <w:sz w:val="24"/>
                <w:lang w:eastAsia="zh-CN"/>
              </w:rPr>
              <w:t>、</w:t>
            </w:r>
            <w:r>
              <w:rPr>
                <w:rFonts w:ascii="Times New Roman" w:cs="Times New Roman"/>
                <w:color w:val="auto"/>
              </w:rPr>
              <w:t>H</w:t>
            </w:r>
            <w:r>
              <w:rPr>
                <w:rFonts w:ascii="Times New Roman" w:cs="Times New Roman"/>
                <w:color w:val="auto"/>
                <w:vertAlign w:val="subscript"/>
              </w:rPr>
              <w:t>2</w:t>
            </w:r>
            <w:r>
              <w:rPr>
                <w:rFonts w:ascii="Times New Roman" w:cs="Times New Roman"/>
                <w:color w:val="auto"/>
              </w:rPr>
              <w:t>S、NH</w:t>
            </w:r>
            <w:r>
              <w:rPr>
                <w:rFonts w:ascii="Times New Roman" w:cs="Times New Roman"/>
                <w:color w:val="auto"/>
                <w:vertAlign w:val="subscript"/>
              </w:rPr>
              <w:t>3</w:t>
            </w:r>
            <w:r>
              <w:rPr>
                <w:rFonts w:hint="default" w:ascii="Times New Roman" w:hAnsi="Times New Roman" w:eastAsia="宋体" w:cs="Times New Roman"/>
                <w:color w:val="auto"/>
                <w:sz w:val="24"/>
              </w:rPr>
              <w:t>执行《恶臭污染物排放标准》（GB14554-93）</w:t>
            </w:r>
            <w:r>
              <w:rPr>
                <w:rFonts w:hint="eastAsia" w:cs="Times New Roman"/>
                <w:color w:val="auto"/>
                <w:sz w:val="24"/>
                <w:lang w:eastAsia="zh-CN"/>
              </w:rPr>
              <w:t>相关</w:t>
            </w:r>
            <w:r>
              <w:rPr>
                <w:rFonts w:hint="default" w:ascii="Times New Roman" w:hAnsi="Times New Roman" w:eastAsia="宋体" w:cs="Times New Roman"/>
                <w:color w:val="auto"/>
                <w:sz w:val="24"/>
              </w:rPr>
              <w:t>标准要求</w:t>
            </w:r>
            <w:r>
              <w:rPr>
                <w:rFonts w:hint="eastAsia"/>
                <w:color w:val="auto"/>
                <w:lang w:eastAsia="zh-CN"/>
              </w:rPr>
              <w:t>；</w:t>
            </w:r>
            <w:r>
              <w:rPr>
                <w:rFonts w:hint="eastAsia" w:ascii="Times New Roman" w:hAnsi="Times New Roman" w:eastAsia="宋体"/>
                <w:color w:val="auto"/>
                <w:sz w:val="24"/>
              </w:rPr>
              <w:t>项目设置食堂，产生食堂油烟及非甲烷总烃，执行</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餐饮业大气污染物排放标准</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（DB50/859-2018）</w:t>
            </w:r>
            <w:r>
              <w:rPr>
                <w:rFonts w:hint="eastAsia" w:ascii="Times New Roman" w:hAnsi="Times New Roman" w:eastAsia="宋体"/>
                <w:color w:val="auto"/>
                <w:sz w:val="24"/>
                <w:lang w:eastAsia="zh-CN"/>
              </w:rPr>
              <w:t>。</w:t>
            </w:r>
            <w:r>
              <w:rPr>
                <w:rFonts w:hint="eastAsia"/>
                <w:color w:val="auto"/>
                <w:lang w:eastAsia="zh-CN"/>
              </w:rPr>
              <w:t>详见表3.8-</w:t>
            </w:r>
            <w:r>
              <w:rPr>
                <w:rFonts w:hint="eastAsia"/>
                <w:color w:val="auto"/>
                <w:lang w:val="en-US" w:eastAsia="zh-CN"/>
              </w:rPr>
              <w:t>1~表3.8-5</w:t>
            </w:r>
            <w:r>
              <w:rPr>
                <w:rFonts w:hint="eastAsia"/>
                <w:color w:val="auto"/>
              </w:rPr>
              <w:t>。</w:t>
            </w:r>
          </w:p>
          <w:p>
            <w:pPr>
              <w:pStyle w:val="44"/>
              <w:rPr>
                <w:color w:val="auto"/>
              </w:rPr>
            </w:pPr>
            <w:r>
              <w:rPr>
                <w:color w:val="auto"/>
              </w:rPr>
              <w:t>表3.</w:t>
            </w:r>
            <w:r>
              <w:rPr>
                <w:rFonts w:hint="eastAsia"/>
                <w:color w:val="auto"/>
              </w:rPr>
              <w:t>8</w:t>
            </w:r>
            <w:r>
              <w:rPr>
                <w:color w:val="auto"/>
              </w:rPr>
              <w:t>-1 《合成树脂工业污染物排放标准》（GB31572-2015）</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2690"/>
              <w:gridCol w:w="2067"/>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98"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污染物项目</w:t>
                  </w:r>
                </w:p>
              </w:tc>
              <w:tc>
                <w:tcPr>
                  <w:tcW w:w="1591"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限值要求</w:t>
                  </w:r>
                </w:p>
              </w:tc>
              <w:tc>
                <w:tcPr>
                  <w:tcW w:w="1223"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有组织排放限值</w:t>
                  </w:r>
                </w:p>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385"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企业边界大气污染物浓度限值（mg/m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1591" w:type="pct"/>
                  <w:vMerge w:val="restar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特别排放限值</w:t>
                  </w:r>
                </w:p>
              </w:tc>
              <w:tc>
                <w:tcPr>
                  <w:tcW w:w="1223"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1385"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1591" w:type="pct"/>
                  <w:vMerge w:val="continue"/>
                  <w:vAlign w:val="center"/>
                </w:tcPr>
                <w:p>
                  <w:pPr>
                    <w:pStyle w:val="98"/>
                    <w:spacing w:line="240" w:lineRule="exact"/>
                    <w:ind w:firstLine="0" w:firstLineChars="0"/>
                    <w:rPr>
                      <w:rFonts w:hint="default" w:ascii="Times New Roman" w:hAnsi="Times New Roman" w:eastAsia="宋体" w:cs="Times New Roman"/>
                      <w:color w:val="auto"/>
                      <w:lang w:val="en-US" w:eastAsia="zh-CN"/>
                    </w:rPr>
                  </w:pPr>
                </w:p>
              </w:tc>
              <w:tc>
                <w:tcPr>
                  <w:tcW w:w="1223"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1385" w:type="pct"/>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90" w:type="pct"/>
                  <w:gridSpan w:val="2"/>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单位产品非甲烷总烃排放量（kg/t产品）</w:t>
                  </w:r>
                </w:p>
              </w:tc>
              <w:tc>
                <w:tcPr>
                  <w:tcW w:w="2609" w:type="pct"/>
                  <w:gridSpan w:val="2"/>
                  <w:vAlign w:val="center"/>
                </w:tcPr>
                <w:p>
                  <w:pPr>
                    <w:pStyle w:val="98"/>
                    <w:spacing w:line="240" w:lineRule="exact"/>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3</w:t>
                  </w:r>
                </w:p>
              </w:tc>
            </w:tr>
          </w:tbl>
          <w:p>
            <w:pPr>
              <w:pStyle w:val="6"/>
              <w:spacing w:line="240" w:lineRule="auto"/>
              <w:ind w:left="0" w:leftChars="0" w:firstLine="0" w:firstLineChars="0"/>
              <w:jc w:val="center"/>
              <w:rPr>
                <w:rFonts w:hint="default"/>
                <w:color w:val="auto"/>
                <w:lang w:val="en-US" w:eastAsia="zh-CN"/>
              </w:rPr>
            </w:pPr>
            <w:r>
              <w:rPr>
                <w:rFonts w:hint="eastAsia"/>
                <w:color w:val="auto"/>
                <w:lang w:val="en-US" w:eastAsia="zh-CN"/>
              </w:rPr>
              <w:t xml:space="preserve">表3.8-2 </w:t>
            </w:r>
            <w:r>
              <w:rPr>
                <w:rFonts w:hint="eastAsia" w:ascii="Times New Roman" w:hAnsi="Times New Roman" w:cs="Times New Roman"/>
                <w:color w:val="auto"/>
                <w:sz w:val="24"/>
                <w:szCs w:val="24"/>
                <w:lang w:eastAsia="zh-CN"/>
              </w:rPr>
              <w:t>《涂料、油墨及胶粘剂工业大气污染物排放标准》（GB37824—2019）</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2754"/>
              <w:gridCol w:w="3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项目</w:t>
                  </w:r>
                </w:p>
              </w:tc>
              <w:tc>
                <w:tcPr>
                  <w:tcW w:w="1630"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特别排放限值</w:t>
                  </w:r>
                </w:p>
              </w:tc>
              <w:tc>
                <w:tcPr>
                  <w:tcW w:w="2340" w:type="pct"/>
                  <w:vAlign w:val="center"/>
                </w:tcPr>
                <w:p>
                  <w:pPr>
                    <w:pStyle w:val="98"/>
                    <w:spacing w:line="240" w:lineRule="exact"/>
                    <w:ind w:firstLine="0" w:firstLineChars="0"/>
                    <w:rPr>
                      <w:rFonts w:hint="default"/>
                      <w:color w:val="auto"/>
                      <w:lang w:val="en-US" w:eastAsia="zh-CN"/>
                    </w:rPr>
                  </w:pPr>
                  <w:r>
                    <w:rPr>
                      <w:rFonts w:hint="default"/>
                      <w:color w:val="auto"/>
                      <w:lang w:val="en-US"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Align w:val="center"/>
                </w:tcPr>
                <w:p>
                  <w:pPr>
                    <w:pStyle w:val="98"/>
                    <w:spacing w:line="240" w:lineRule="exact"/>
                    <w:ind w:firstLine="0" w:firstLineChars="0"/>
                    <w:rPr>
                      <w:rFonts w:hint="default"/>
                      <w:color w:val="auto"/>
                      <w:lang w:val="en-US" w:eastAsia="zh-CN"/>
                    </w:rPr>
                  </w:pPr>
                  <w:r>
                    <w:rPr>
                      <w:rFonts w:hint="default"/>
                      <w:color w:val="auto"/>
                      <w:lang w:val="en-US" w:eastAsia="zh-CN"/>
                    </w:rPr>
                    <w:t>NMHC</w:t>
                  </w:r>
                </w:p>
              </w:tc>
              <w:tc>
                <w:tcPr>
                  <w:tcW w:w="1630"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60mg/m</w:t>
                  </w:r>
                  <w:r>
                    <w:rPr>
                      <w:rFonts w:hint="eastAsia"/>
                      <w:color w:val="auto"/>
                      <w:vertAlign w:val="superscript"/>
                      <w:lang w:val="en-US" w:eastAsia="zh-CN"/>
                    </w:rPr>
                    <w:t>3</w:t>
                  </w:r>
                </w:p>
              </w:tc>
              <w:tc>
                <w:tcPr>
                  <w:tcW w:w="2340" w:type="pct"/>
                  <w:vAlign w:val="center"/>
                </w:tcPr>
                <w:p>
                  <w:pPr>
                    <w:pStyle w:val="98"/>
                    <w:spacing w:line="240" w:lineRule="exact"/>
                    <w:ind w:firstLine="0" w:firstLineChars="0"/>
                    <w:rPr>
                      <w:rFonts w:hint="default"/>
                      <w:color w:val="auto"/>
                      <w:lang w:val="en-US" w:eastAsia="zh-CN"/>
                    </w:rPr>
                  </w:pPr>
                  <w:r>
                    <w:rPr>
                      <w:rFonts w:hint="default"/>
                      <w:color w:val="auto"/>
                      <w:lang w:val="en-US" w:eastAsia="zh-CN"/>
                    </w:rPr>
                    <w:t>车间或生产设施排气筒</w:t>
                  </w:r>
                </w:p>
              </w:tc>
            </w:tr>
          </w:tbl>
          <w:p>
            <w:pPr>
              <w:pStyle w:val="6"/>
              <w:spacing w:line="240" w:lineRule="auto"/>
              <w:ind w:left="0" w:leftChars="0" w:firstLine="0" w:firstLineChars="0"/>
              <w:jc w:val="center"/>
              <w:rPr>
                <w:rFonts w:hint="default" w:eastAsia="宋体"/>
                <w:color w:val="auto"/>
                <w:lang w:val="en-US" w:eastAsia="zh-CN"/>
              </w:rPr>
            </w:pPr>
            <w:r>
              <w:rPr>
                <w:rFonts w:hint="eastAsia"/>
                <w:color w:val="auto"/>
                <w:lang w:val="en-US" w:eastAsia="zh-CN"/>
              </w:rPr>
              <w:t>表3.8-3 《</w:t>
            </w:r>
            <w:r>
              <w:rPr>
                <w:rFonts w:hint="eastAsia"/>
                <w:color w:val="auto"/>
              </w:rPr>
              <w:t>挥发性有机物无组织排放控制标准</w:t>
            </w:r>
            <w:r>
              <w:rPr>
                <w:rFonts w:hint="eastAsia"/>
                <w:color w:val="auto"/>
                <w:lang w:val="en-US" w:eastAsia="zh-CN"/>
              </w:rPr>
              <w:t>》</w:t>
            </w:r>
            <w:r>
              <w:rPr>
                <w:rFonts w:hint="eastAsia"/>
                <w:color w:val="auto"/>
              </w:rPr>
              <w:t>（GB37822-2019）</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992"/>
              <w:gridCol w:w="2860"/>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4"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项目</w:t>
                  </w:r>
                </w:p>
              </w:tc>
              <w:tc>
                <w:tcPr>
                  <w:tcW w:w="1179"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特别排放限值</w:t>
                  </w:r>
                </w:p>
              </w:tc>
              <w:tc>
                <w:tcPr>
                  <w:tcW w:w="1693"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限值含义</w:t>
                  </w:r>
                </w:p>
              </w:tc>
              <w:tc>
                <w:tcPr>
                  <w:tcW w:w="1382"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Merge w:val="restart"/>
                  <w:vAlign w:val="center"/>
                </w:tcPr>
                <w:p>
                  <w:pPr>
                    <w:pStyle w:val="98"/>
                    <w:spacing w:line="240" w:lineRule="exact"/>
                    <w:ind w:firstLine="0" w:firstLineChars="0"/>
                    <w:rPr>
                      <w:rFonts w:hint="default"/>
                      <w:color w:val="auto"/>
                      <w:lang w:val="en-US" w:eastAsia="zh-CN"/>
                    </w:rPr>
                  </w:pPr>
                  <w:r>
                    <w:rPr>
                      <w:rFonts w:hint="default"/>
                      <w:color w:val="auto"/>
                      <w:lang w:val="en-US" w:eastAsia="zh-CN"/>
                    </w:rPr>
                    <w:t>NMHC</w:t>
                  </w:r>
                </w:p>
              </w:tc>
              <w:tc>
                <w:tcPr>
                  <w:tcW w:w="1179"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6mg/m</w:t>
                  </w:r>
                  <w:r>
                    <w:rPr>
                      <w:rFonts w:hint="eastAsia"/>
                      <w:color w:val="auto"/>
                      <w:vertAlign w:val="superscript"/>
                      <w:lang w:val="en-US" w:eastAsia="zh-CN"/>
                    </w:rPr>
                    <w:t>3</w:t>
                  </w:r>
                </w:p>
              </w:tc>
              <w:tc>
                <w:tcPr>
                  <w:tcW w:w="1693" w:type="pct"/>
                  <w:vAlign w:val="center"/>
                </w:tcPr>
                <w:p>
                  <w:pPr>
                    <w:pStyle w:val="98"/>
                    <w:spacing w:line="240" w:lineRule="exact"/>
                    <w:ind w:firstLine="0" w:firstLineChars="0"/>
                    <w:rPr>
                      <w:rFonts w:hint="default"/>
                      <w:color w:val="auto"/>
                      <w:lang w:val="en-US" w:eastAsia="zh-CN"/>
                    </w:rPr>
                  </w:pPr>
                  <w:r>
                    <w:rPr>
                      <w:rFonts w:hint="default"/>
                      <w:color w:val="auto"/>
                      <w:lang w:val="en-US" w:eastAsia="zh-CN"/>
                    </w:rPr>
                    <w:t>监控点处1h平均浓度值</w:t>
                  </w:r>
                </w:p>
              </w:tc>
              <w:tc>
                <w:tcPr>
                  <w:tcW w:w="1382" w:type="pct"/>
                  <w:vMerge w:val="restart"/>
                  <w:vAlign w:val="center"/>
                </w:tcPr>
                <w:p>
                  <w:pPr>
                    <w:pStyle w:val="98"/>
                    <w:spacing w:line="240" w:lineRule="exact"/>
                    <w:ind w:firstLine="0" w:firstLineChars="0"/>
                    <w:rPr>
                      <w:rFonts w:hint="default"/>
                      <w:color w:val="auto"/>
                      <w:lang w:val="en-US" w:eastAsia="zh-CN"/>
                    </w:rPr>
                  </w:pPr>
                  <w:r>
                    <w:rPr>
                      <w:rFonts w:hint="default"/>
                      <w:color w:val="auto"/>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Merge w:val="continue"/>
                  <w:vAlign w:val="center"/>
                </w:tcPr>
                <w:p>
                  <w:pPr>
                    <w:pStyle w:val="98"/>
                    <w:spacing w:line="240" w:lineRule="exact"/>
                    <w:ind w:firstLine="0" w:firstLineChars="0"/>
                    <w:rPr>
                      <w:rFonts w:hint="default"/>
                      <w:color w:val="auto"/>
                      <w:lang w:val="en-US" w:eastAsia="zh-CN"/>
                    </w:rPr>
                  </w:pPr>
                </w:p>
              </w:tc>
              <w:tc>
                <w:tcPr>
                  <w:tcW w:w="1179" w:type="pct"/>
                  <w:vAlign w:val="center"/>
                </w:tcPr>
                <w:p>
                  <w:pPr>
                    <w:pStyle w:val="98"/>
                    <w:spacing w:line="240" w:lineRule="exact"/>
                    <w:ind w:firstLine="0" w:firstLineChars="0"/>
                    <w:rPr>
                      <w:rFonts w:hint="default"/>
                      <w:color w:val="auto"/>
                      <w:lang w:val="en-US" w:eastAsia="zh-CN"/>
                    </w:rPr>
                  </w:pPr>
                  <w:r>
                    <w:rPr>
                      <w:rFonts w:hint="eastAsia"/>
                      <w:color w:val="auto"/>
                      <w:lang w:val="en-US" w:eastAsia="zh-CN"/>
                    </w:rPr>
                    <w:t>20mg/m</w:t>
                  </w:r>
                  <w:r>
                    <w:rPr>
                      <w:rFonts w:hint="eastAsia"/>
                      <w:color w:val="auto"/>
                      <w:vertAlign w:val="superscript"/>
                      <w:lang w:val="en-US" w:eastAsia="zh-CN"/>
                    </w:rPr>
                    <w:t>3</w:t>
                  </w:r>
                </w:p>
              </w:tc>
              <w:tc>
                <w:tcPr>
                  <w:tcW w:w="1693" w:type="pct"/>
                  <w:vAlign w:val="center"/>
                </w:tcPr>
                <w:p>
                  <w:pPr>
                    <w:pStyle w:val="98"/>
                    <w:spacing w:line="240" w:lineRule="exact"/>
                    <w:ind w:firstLine="0" w:firstLineChars="0"/>
                    <w:rPr>
                      <w:rFonts w:hint="default"/>
                      <w:color w:val="auto"/>
                      <w:lang w:val="en-US" w:eastAsia="zh-CN"/>
                    </w:rPr>
                  </w:pPr>
                  <w:r>
                    <w:rPr>
                      <w:rFonts w:hint="default"/>
                      <w:color w:val="auto"/>
                      <w:lang w:val="en-US" w:eastAsia="zh-CN"/>
                    </w:rPr>
                    <w:t>监测点任意一次浓度值</w:t>
                  </w:r>
                </w:p>
              </w:tc>
              <w:tc>
                <w:tcPr>
                  <w:tcW w:w="1382" w:type="pct"/>
                  <w:vMerge w:val="continue"/>
                  <w:vAlign w:val="center"/>
                </w:tcPr>
                <w:p>
                  <w:pPr>
                    <w:pStyle w:val="98"/>
                    <w:spacing w:line="240" w:lineRule="exact"/>
                    <w:ind w:firstLine="0" w:firstLineChars="0"/>
                    <w:rPr>
                      <w:rFonts w:hint="default"/>
                      <w:color w:val="auto"/>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val="0"/>
                <w:bCs w:val="0"/>
                <w:color w:val="auto"/>
                <w:sz w:val="24"/>
                <w:vertAlign w:val="superscript"/>
                <w:lang w:val="en-US"/>
              </w:rPr>
            </w:pPr>
            <w:r>
              <w:rPr>
                <w:rFonts w:ascii="Times New Roman" w:hAnsi="Times New Roman" w:eastAsia="宋体"/>
                <w:b w:val="0"/>
                <w:bCs w:val="0"/>
                <w:color w:val="auto"/>
                <w:sz w:val="24"/>
              </w:rPr>
              <w:t>表</w:t>
            </w:r>
            <w:r>
              <w:rPr>
                <w:rFonts w:hint="eastAsia" w:ascii="Times New Roman" w:hAnsi="Times New Roman" w:eastAsia="宋体"/>
                <w:b w:val="0"/>
                <w:bCs w:val="0"/>
                <w:color w:val="auto"/>
                <w:sz w:val="24"/>
                <w:lang w:val="en-US" w:eastAsia="zh-CN"/>
              </w:rPr>
              <w:t>3.8</w:t>
            </w:r>
            <w:r>
              <w:rPr>
                <w:rFonts w:ascii="Times New Roman" w:hAnsi="Times New Roman" w:eastAsia="宋体"/>
                <w:b w:val="0"/>
                <w:bCs w:val="0"/>
                <w:color w:val="auto"/>
                <w:sz w:val="24"/>
              </w:rPr>
              <w:t>-</w:t>
            </w:r>
            <w:r>
              <w:rPr>
                <w:rFonts w:hint="eastAsia"/>
                <w:b w:val="0"/>
                <w:bCs w:val="0"/>
                <w:color w:val="auto"/>
                <w:sz w:val="24"/>
                <w:lang w:val="en-US" w:eastAsia="zh-CN"/>
              </w:rPr>
              <w:t>4</w:t>
            </w:r>
            <w:r>
              <w:rPr>
                <w:rFonts w:hint="eastAsia" w:ascii="Times New Roman" w:hAnsi="Times New Roman" w:eastAsia="宋体"/>
                <w:b w:val="0"/>
                <w:bCs w:val="0"/>
                <w:color w:val="auto"/>
                <w:sz w:val="24"/>
              </w:rPr>
              <w:t xml:space="preserve"> 恶臭污染物排放标准</w:t>
            </w:r>
            <w:r>
              <w:rPr>
                <w:rFonts w:hint="eastAsia" w:ascii="Times New Roman" w:hAnsi="Times New Roman" w:eastAsia="宋体"/>
                <w:b w:val="0"/>
                <w:bCs w:val="0"/>
                <w:color w:val="auto"/>
                <w:sz w:val="24"/>
                <w:lang w:eastAsia="zh-CN"/>
              </w:rPr>
              <w:t>(</w:t>
            </w:r>
            <w:r>
              <w:rPr>
                <w:rFonts w:hint="eastAsia" w:ascii="Times New Roman" w:hAnsi="Times New Roman" w:eastAsia="宋体"/>
                <w:b w:val="0"/>
                <w:bCs w:val="0"/>
                <w:color w:val="auto"/>
                <w:sz w:val="24"/>
              </w:rPr>
              <w:t>GB14554-93</w:t>
            </w:r>
            <w:r>
              <w:rPr>
                <w:rFonts w:hint="eastAsia" w:ascii="Times New Roman" w:hAnsi="Times New Roman" w:eastAsia="宋体"/>
                <w:b w:val="0"/>
                <w:bCs w:val="0"/>
                <w:color w:val="auto"/>
                <w:sz w:val="24"/>
                <w:lang w:eastAsia="zh-CN"/>
              </w:rPr>
              <w:t>)</w:t>
            </w:r>
            <w:r>
              <w:rPr>
                <w:rFonts w:hint="eastAsia" w:ascii="Times New Roman" w:hAnsi="Times New Roman" w:eastAsia="宋体"/>
                <w:b w:val="0"/>
                <w:bCs w:val="0"/>
                <w:color w:val="auto"/>
                <w:sz w:val="24"/>
              </w:rPr>
              <w:t xml:space="preserve"> </w:t>
            </w:r>
          </w:p>
          <w:tbl>
            <w:tblPr>
              <w:tblStyle w:val="25"/>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97"/>
              <w:gridCol w:w="2818"/>
              <w:gridCol w:w="28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07" w:hRule="atLeast"/>
                <w:jc w:val="center"/>
              </w:trPr>
              <w:tc>
                <w:tcPr>
                  <w:tcW w:w="1658" w:type="pct"/>
                  <w:noWrap w:val="0"/>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s="Times New Roman"/>
                      <w:color w:val="auto"/>
                      <w:kern w:val="0"/>
                      <w:sz w:val="21"/>
                      <w:szCs w:val="21"/>
                      <w:lang w:val="en-GB"/>
                    </w:rPr>
                    <w:t>污染物</w:t>
                  </w:r>
                </w:p>
              </w:tc>
              <w:tc>
                <w:tcPr>
                  <w:tcW w:w="1670" w:type="pct"/>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排放方式</w:t>
                  </w:r>
                </w:p>
              </w:tc>
              <w:tc>
                <w:tcPr>
                  <w:tcW w:w="1671" w:type="pct"/>
                  <w:noWrap w:val="0"/>
                  <w:vAlign w:val="center"/>
                </w:tcPr>
                <w:p>
                  <w:pPr>
                    <w:spacing w:line="240" w:lineRule="auto"/>
                    <w:jc w:val="center"/>
                    <w:rPr>
                      <w:rFonts w:ascii="Times New Roman" w:hAnsi="Times New Roman" w:eastAsia="宋体"/>
                      <w:color w:val="auto"/>
                      <w:sz w:val="21"/>
                      <w:szCs w:val="21"/>
                    </w:rPr>
                  </w:pPr>
                  <w:r>
                    <w:rPr>
                      <w:rFonts w:ascii="Times New Roman" w:hAnsi="Times New Roman" w:eastAsia="宋体" w:cs="Times New Roman"/>
                      <w:color w:val="auto"/>
                      <w:kern w:val="0"/>
                      <w:sz w:val="21"/>
                      <w:szCs w:val="21"/>
                      <w:lang w:val="en-GB"/>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658" w:type="pct"/>
                  <w:vMerge w:val="restart"/>
                  <w:noWrap w:val="0"/>
                  <w:vAlign w:val="center"/>
                </w:tcPr>
                <w:p>
                  <w:pPr>
                    <w:spacing w:line="240" w:lineRule="auto"/>
                    <w:jc w:val="center"/>
                    <w:rPr>
                      <w:rFonts w:hint="eastAsia" w:ascii="Times New Roman" w:hAnsi="Times New Roman" w:eastAsia="宋体"/>
                      <w:color w:val="auto"/>
                      <w:sz w:val="21"/>
                      <w:szCs w:val="21"/>
                    </w:rPr>
                  </w:pPr>
                  <w:r>
                    <w:rPr>
                      <w:rFonts w:ascii="Times New Roman" w:hAnsi="Times New Roman" w:eastAsia="宋体" w:cs="Times New Roman"/>
                      <w:color w:val="auto"/>
                      <w:kern w:val="0"/>
                      <w:sz w:val="21"/>
                      <w:szCs w:val="21"/>
                      <w:lang w:val="en-GB"/>
                    </w:rPr>
                    <w:t>臭气浓度</w:t>
                  </w:r>
                </w:p>
              </w:tc>
              <w:tc>
                <w:tcPr>
                  <w:tcW w:w="1670" w:type="pct"/>
                  <w:noWrap w:val="0"/>
                  <w:vAlign w:val="center"/>
                </w:tcPr>
                <w:p>
                  <w:pPr>
                    <w:spacing w:line="240" w:lineRule="auto"/>
                    <w:jc w:val="center"/>
                    <w:rPr>
                      <w:rFonts w:hint="default" w:ascii="Times New Roman" w:hAnsi="Times New Roman" w:eastAsia="宋体" w:cs="Times New Roman"/>
                      <w:color w:val="auto"/>
                      <w:kern w:val="0"/>
                      <w:sz w:val="21"/>
                      <w:szCs w:val="21"/>
                      <w:lang w:val="en-GB" w:eastAsia="zh-CN" w:bidi="ar-SA"/>
                    </w:rPr>
                  </w:pPr>
                  <w:r>
                    <w:rPr>
                      <w:rFonts w:hint="eastAsia" w:ascii="Times New Roman" w:hAnsi="Times New Roman" w:eastAsia="宋体" w:cs="Times New Roman"/>
                      <w:color w:val="auto"/>
                      <w:kern w:val="0"/>
                      <w:sz w:val="21"/>
                      <w:szCs w:val="21"/>
                      <w:lang w:val="en-US" w:eastAsia="zh-CN"/>
                    </w:rPr>
                    <w:t>有组织(</w:t>
                  </w:r>
                  <w:r>
                    <w:rPr>
                      <w:rFonts w:hint="eastAsia" w:ascii="Times New Roman" w:hAnsi="Times New Roman"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val="en-US" w:eastAsia="zh-CN"/>
                    </w:rPr>
                    <w:t>5m)</w:t>
                  </w:r>
                </w:p>
              </w:tc>
              <w:tc>
                <w:tcPr>
                  <w:tcW w:w="1671" w:type="pct"/>
                  <w:noWrap w:val="0"/>
                  <w:vAlign w:val="center"/>
                </w:tcPr>
                <w:p>
                  <w:pPr>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000</w:t>
                  </w:r>
                  <w:r>
                    <w:rPr>
                      <w:rFonts w:hint="eastAsia" w:ascii="Times New Roman" w:hAnsi="Times New Roman" w:eastAsia="宋体" w:cs="Times New Roman"/>
                      <w:color w:val="auto"/>
                      <w:kern w:val="0"/>
                      <w:sz w:val="21"/>
                      <w:szCs w:val="21"/>
                      <w:lang w:val="en-GB" w:eastAsia="zh-CN"/>
                    </w:rPr>
                    <w:t>(</w:t>
                  </w:r>
                  <w:r>
                    <w:rPr>
                      <w:rFonts w:ascii="Times New Roman" w:hAnsi="Times New Roman" w:eastAsia="宋体" w:cs="Times New Roman"/>
                      <w:color w:val="auto"/>
                      <w:kern w:val="0"/>
                      <w:sz w:val="21"/>
                      <w:szCs w:val="21"/>
                      <w:lang w:val="en-GB"/>
                    </w:rPr>
                    <w:t>无量纲</w:t>
                  </w:r>
                  <w:r>
                    <w:rPr>
                      <w:rFonts w:hint="eastAsia" w:ascii="Times New Roman" w:hAnsi="Times New Roman" w:eastAsia="宋体" w:cs="Times New Roman"/>
                      <w:color w:val="auto"/>
                      <w:kern w:val="0"/>
                      <w:sz w:val="21"/>
                      <w:szCs w:val="21"/>
                      <w:lang w:val="en-GB"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658" w:type="pct"/>
                  <w:vMerge w:val="continue"/>
                  <w:noWrap w:val="0"/>
                  <w:vAlign w:val="center"/>
                </w:tcPr>
                <w:p>
                  <w:pPr>
                    <w:spacing w:line="240" w:lineRule="auto"/>
                    <w:jc w:val="center"/>
                    <w:rPr>
                      <w:rFonts w:hint="eastAsia" w:ascii="Times New Roman" w:hAnsi="Times New Roman" w:eastAsia="宋体"/>
                      <w:color w:val="auto"/>
                      <w:sz w:val="21"/>
                      <w:szCs w:val="21"/>
                    </w:rPr>
                  </w:pPr>
                </w:p>
              </w:tc>
              <w:tc>
                <w:tcPr>
                  <w:tcW w:w="1670" w:type="pct"/>
                  <w:noWrap w:val="0"/>
                  <w:vAlign w:val="center"/>
                </w:tcPr>
                <w:p>
                  <w:pPr>
                    <w:spacing w:line="240" w:lineRule="auto"/>
                    <w:jc w:val="center"/>
                    <w:rPr>
                      <w:rFonts w:hint="default" w:ascii="Times New Roman" w:hAnsi="Times New Roman" w:eastAsia="宋体" w:cs="Times New Roman"/>
                      <w:color w:val="auto"/>
                      <w:kern w:val="0"/>
                      <w:sz w:val="21"/>
                      <w:szCs w:val="21"/>
                      <w:lang w:val="en-GB" w:eastAsia="zh-CN" w:bidi="ar-SA"/>
                    </w:rPr>
                  </w:pPr>
                  <w:r>
                    <w:rPr>
                      <w:rFonts w:hint="eastAsia" w:ascii="Times New Roman" w:hAnsi="Times New Roman" w:eastAsia="宋体" w:cs="Times New Roman"/>
                      <w:color w:val="auto"/>
                      <w:kern w:val="0"/>
                      <w:sz w:val="21"/>
                      <w:szCs w:val="21"/>
                      <w:lang w:val="en-US" w:eastAsia="zh-CN"/>
                    </w:rPr>
                    <w:t>无组织(厂界)</w:t>
                  </w:r>
                </w:p>
              </w:tc>
              <w:tc>
                <w:tcPr>
                  <w:tcW w:w="1671" w:type="pct"/>
                  <w:noWrap w:val="0"/>
                  <w:vAlign w:val="center"/>
                </w:tcPr>
                <w:p>
                  <w:pPr>
                    <w:spacing w:line="240" w:lineRule="auto"/>
                    <w:jc w:val="center"/>
                    <w:rPr>
                      <w:rFonts w:hint="eastAsia" w:ascii="Times New Roman" w:hAnsi="Times New Roman" w:eastAsia="宋体"/>
                      <w:color w:val="auto"/>
                      <w:sz w:val="21"/>
                      <w:szCs w:val="21"/>
                      <w:lang w:eastAsia="zh-CN"/>
                    </w:rPr>
                  </w:pPr>
                  <w:r>
                    <w:rPr>
                      <w:rFonts w:ascii="Times New Roman" w:hAnsi="Times New Roman" w:eastAsia="宋体" w:cs="Times New Roman"/>
                      <w:color w:val="auto"/>
                      <w:kern w:val="0"/>
                      <w:sz w:val="21"/>
                      <w:szCs w:val="21"/>
                      <w:lang w:val="en-GB"/>
                    </w:rPr>
                    <w:t>20</w:t>
                  </w:r>
                  <w:r>
                    <w:rPr>
                      <w:rFonts w:hint="eastAsia" w:ascii="Times New Roman" w:hAnsi="Times New Roman" w:eastAsia="宋体" w:cs="Times New Roman"/>
                      <w:color w:val="auto"/>
                      <w:kern w:val="0"/>
                      <w:sz w:val="21"/>
                      <w:szCs w:val="21"/>
                      <w:lang w:val="en-GB" w:eastAsia="zh-CN"/>
                    </w:rPr>
                    <w:t>(</w:t>
                  </w:r>
                  <w:r>
                    <w:rPr>
                      <w:rFonts w:ascii="Times New Roman" w:hAnsi="Times New Roman" w:eastAsia="宋体" w:cs="Times New Roman"/>
                      <w:color w:val="auto"/>
                      <w:kern w:val="0"/>
                      <w:sz w:val="21"/>
                      <w:szCs w:val="21"/>
                      <w:lang w:val="en-GB"/>
                    </w:rPr>
                    <w:t>无量纲</w:t>
                  </w:r>
                  <w:r>
                    <w:rPr>
                      <w:rFonts w:hint="eastAsia" w:ascii="Times New Roman" w:hAnsi="Times New Roman" w:eastAsia="宋体" w:cs="Times New Roman"/>
                      <w:color w:val="auto"/>
                      <w:kern w:val="0"/>
                      <w:sz w:val="21"/>
                      <w:szCs w:val="21"/>
                      <w:lang w:val="en-GB"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46" w:hRule="atLeast"/>
                <w:jc w:val="center"/>
              </w:trPr>
              <w:tc>
                <w:tcPr>
                  <w:tcW w:w="165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1670" w:type="pct"/>
                  <w:noWrap w:val="0"/>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无组织(厂界)</w:t>
                  </w:r>
                </w:p>
              </w:tc>
              <w:tc>
                <w:tcPr>
                  <w:tcW w:w="1671" w:type="pct"/>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0.06mg/m</w:t>
                  </w:r>
                  <w:r>
                    <w:rPr>
                      <w:rFonts w:hint="eastAsia" w:cs="Times New Roman"/>
                      <w:color w:val="auto"/>
                      <w:kern w:val="0"/>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658" w:type="pct"/>
                  <w:noWrap w:val="0"/>
                  <w:vAlign w:val="center"/>
                </w:tcPr>
                <w:p>
                  <w:pPr>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p>
              </w:tc>
              <w:tc>
                <w:tcPr>
                  <w:tcW w:w="1670" w:type="pct"/>
                  <w:noWrap w:val="0"/>
                  <w:vAlign w:val="center"/>
                </w:tcPr>
                <w:p>
                  <w:pPr>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无组织(厂界)</w:t>
                  </w:r>
                </w:p>
              </w:tc>
              <w:tc>
                <w:tcPr>
                  <w:tcW w:w="1671" w:type="pct"/>
                  <w:noWrap w:val="0"/>
                  <w:vAlign w:val="center"/>
                </w:tcPr>
                <w:p>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1.5mg/m</w:t>
                  </w:r>
                  <w:r>
                    <w:rPr>
                      <w:rFonts w:hint="eastAsia" w:cs="Times New Roman"/>
                      <w:color w:val="auto"/>
                      <w:kern w:val="0"/>
                      <w:sz w:val="21"/>
                      <w:szCs w:val="21"/>
                      <w:vertAlign w:val="superscript"/>
                      <w:lang w:val="en-US" w:eastAsia="zh-CN"/>
                    </w:rPr>
                    <w:t>3</w:t>
                  </w:r>
                </w:p>
              </w:tc>
            </w:tr>
          </w:tbl>
          <w:p>
            <w:pPr>
              <w:pStyle w:val="6"/>
              <w:spacing w:line="240" w:lineRule="auto"/>
              <w:ind w:left="0" w:firstLine="0"/>
              <w:jc w:val="center"/>
              <w:rPr>
                <w:rFonts w:hint="eastAsia"/>
                <w:color w:val="auto"/>
              </w:rPr>
            </w:pPr>
            <w:r>
              <w:rPr>
                <w:rFonts w:hint="eastAsia"/>
                <w:color w:val="auto"/>
              </w:rPr>
              <w:t>表3.8</w:t>
            </w:r>
            <w:r>
              <w:rPr>
                <w:color w:val="auto"/>
              </w:rPr>
              <w:t>-</w:t>
            </w:r>
            <w:r>
              <w:rPr>
                <w:rFonts w:hint="eastAsia"/>
                <w:color w:val="auto"/>
                <w:lang w:val="en-US" w:eastAsia="zh-CN"/>
              </w:rPr>
              <w:t>5</w:t>
            </w:r>
            <w:r>
              <w:rPr>
                <w:rFonts w:hint="eastAsia"/>
                <w:color w:val="auto"/>
              </w:rPr>
              <w:t xml:space="preserve"> 餐饮业大气污染物排放标准（DB50/859-2018）</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2860"/>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5"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序号</w:t>
                  </w:r>
                </w:p>
              </w:tc>
              <w:tc>
                <w:tcPr>
                  <w:tcW w:w="1693"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污染物名称</w:t>
                  </w:r>
                </w:p>
              </w:tc>
              <w:tc>
                <w:tcPr>
                  <w:tcW w:w="1700"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最高允许浓度（mg/m</w:t>
                  </w:r>
                  <w:r>
                    <w:rPr>
                      <w:rFonts w:hint="eastAsia"/>
                      <w:color w:val="auto"/>
                      <w:kern w:val="0"/>
                      <w:sz w:val="21"/>
                      <w:szCs w:val="21"/>
                      <w:vertAlign w:val="superscript"/>
                    </w:rPr>
                    <w:t>3</w:t>
                  </w:r>
                  <w:r>
                    <w:rPr>
                      <w:rFonts w:hint="eastAsia"/>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5"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1</w:t>
                  </w:r>
                </w:p>
              </w:tc>
              <w:tc>
                <w:tcPr>
                  <w:tcW w:w="1693"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油烟</w:t>
                  </w:r>
                </w:p>
              </w:tc>
              <w:tc>
                <w:tcPr>
                  <w:tcW w:w="1700"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5"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2</w:t>
                  </w:r>
                </w:p>
              </w:tc>
              <w:tc>
                <w:tcPr>
                  <w:tcW w:w="1693"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非甲烷总烃</w:t>
                  </w:r>
                </w:p>
              </w:tc>
              <w:tc>
                <w:tcPr>
                  <w:tcW w:w="1700" w:type="pct"/>
                  <w:noWrap w:val="0"/>
                  <w:vAlign w:val="center"/>
                </w:tcPr>
                <w:p>
                  <w:pPr>
                    <w:spacing w:line="240" w:lineRule="auto"/>
                    <w:jc w:val="center"/>
                    <w:rPr>
                      <w:rFonts w:hint="eastAsia"/>
                      <w:color w:val="auto"/>
                      <w:kern w:val="0"/>
                      <w:sz w:val="21"/>
                      <w:szCs w:val="21"/>
                    </w:rPr>
                  </w:pPr>
                  <w:r>
                    <w:rPr>
                      <w:rFonts w:hint="eastAsia"/>
                      <w:color w:val="auto"/>
                      <w:kern w:val="0"/>
                      <w:sz w:val="21"/>
                      <w:szCs w:val="21"/>
                    </w:rPr>
                    <w:t>10.0</w:t>
                  </w:r>
                </w:p>
              </w:tc>
            </w:tr>
          </w:tbl>
          <w:p>
            <w:pPr>
              <w:pStyle w:val="62"/>
              <w:spacing w:before="0" w:beforeLines="0"/>
              <w:ind w:left="0" w:leftChars="0" w:right="0" w:rightChars="0" w:firstLine="482" w:firstLineChars="200"/>
              <w:rPr>
                <w:b/>
                <w:bCs/>
                <w:color w:val="auto"/>
              </w:rPr>
            </w:pPr>
            <w:r>
              <w:rPr>
                <w:b/>
                <w:bCs/>
                <w:color w:val="auto"/>
              </w:rPr>
              <w:t>3.</w:t>
            </w:r>
            <w:r>
              <w:rPr>
                <w:rFonts w:hint="eastAsia"/>
                <w:b/>
                <w:bCs/>
                <w:color w:val="auto"/>
                <w:lang w:val="en-US" w:eastAsia="zh-CN"/>
              </w:rPr>
              <w:t>8.2</w:t>
            </w:r>
            <w:r>
              <w:rPr>
                <w:b/>
                <w:bCs/>
                <w:color w:val="auto"/>
              </w:rPr>
              <w:t>废水污染物排放标准</w:t>
            </w:r>
          </w:p>
          <w:p>
            <w:pPr>
              <w:pStyle w:val="62"/>
              <w:spacing w:beforeLines="0"/>
              <w:ind w:left="0" w:leftChars="0" w:right="0" w:rightChars="0"/>
              <w:rPr>
                <w:color w:val="auto"/>
              </w:rPr>
            </w:pPr>
            <w:r>
              <w:rPr>
                <w:rFonts w:hint="eastAsia"/>
                <w:color w:val="auto"/>
                <w:szCs w:val="24"/>
                <w:lang w:val="en-GB" w:eastAsia="zh-CN"/>
              </w:rPr>
              <w:t>拟建项目冷却水循环使用，每半年排放一次；</w:t>
            </w:r>
            <w:r>
              <w:rPr>
                <w:rFonts w:hint="eastAsia"/>
                <w:color w:val="auto"/>
                <w:sz w:val="24"/>
                <w:szCs w:val="24"/>
                <w:lang w:eastAsia="zh-CN"/>
              </w:rPr>
              <w:t>项目食堂废水、地面清洁废水经自建隔油池处理后与生活污水、冷却循环废水</w:t>
            </w:r>
            <w:r>
              <w:rPr>
                <w:rFonts w:hint="eastAsia"/>
                <w:color w:val="auto"/>
                <w:sz w:val="24"/>
                <w:szCs w:val="24"/>
              </w:rPr>
              <w:t>一同</w:t>
            </w:r>
            <w:r>
              <w:rPr>
                <w:rFonts w:hint="eastAsia"/>
                <w:color w:val="auto"/>
                <w:sz w:val="24"/>
                <w:szCs w:val="24"/>
                <w:lang w:eastAsia="zh-CN"/>
              </w:rPr>
              <w:t>通过</w:t>
            </w:r>
            <w:r>
              <w:rPr>
                <w:rFonts w:hint="eastAsia"/>
                <w:color w:val="auto"/>
                <w:sz w:val="24"/>
                <w:szCs w:val="24"/>
              </w:rPr>
              <w:t>生化池处理达到《污水综合排放标准》（GB8978-1996）三级标准</w:t>
            </w:r>
            <w:r>
              <w:rPr>
                <w:rFonts w:hint="eastAsia"/>
                <w:color w:val="auto"/>
                <w:sz w:val="24"/>
                <w:szCs w:val="24"/>
                <w:lang w:eastAsia="zh-CN"/>
              </w:rPr>
              <w:t>（</w:t>
            </w:r>
            <w:r>
              <w:rPr>
                <w:rFonts w:hint="eastAsia"/>
                <w:color w:val="auto"/>
                <w:sz w:val="24"/>
                <w:szCs w:val="24"/>
                <w:lang w:val="en-US" w:eastAsia="zh-CN"/>
              </w:rPr>
              <w:t>氨氮、TP、TN参照污水排入城镇下水道水质标准》（GB/T31962-2015）B级标准）</w:t>
            </w:r>
            <w:r>
              <w:rPr>
                <w:rFonts w:hint="eastAsia"/>
                <w:color w:val="auto"/>
                <w:sz w:val="24"/>
                <w:szCs w:val="24"/>
              </w:rPr>
              <w:t>后</w:t>
            </w:r>
            <w:r>
              <w:rPr>
                <w:rFonts w:hint="eastAsia"/>
                <w:color w:val="auto"/>
                <w:sz w:val="24"/>
                <w:szCs w:val="24"/>
                <w:lang w:val="en-GB" w:eastAsia="zh-CN"/>
              </w:rPr>
              <w:t>，</w:t>
            </w:r>
            <w:r>
              <w:rPr>
                <w:rFonts w:hint="eastAsia"/>
                <w:color w:val="auto"/>
                <w:szCs w:val="24"/>
                <w:lang w:val="en-GB" w:eastAsia="zh-CN"/>
              </w:rPr>
              <w:t>经市政污水管网进入东城污水处理厂处理达到《城镇污水处理厂污染物排放标准》(GB18918-2002)一级B标准后排入建淮远河，</w:t>
            </w:r>
            <w:r>
              <w:rPr>
                <w:color w:val="auto"/>
                <w:lang w:val="en-GB"/>
              </w:rPr>
              <w:t>具体标准见表</w:t>
            </w:r>
            <w:r>
              <w:rPr>
                <w:color w:val="auto"/>
              </w:rPr>
              <w:t>3.</w:t>
            </w:r>
            <w:r>
              <w:rPr>
                <w:rFonts w:hint="eastAsia"/>
                <w:color w:val="auto"/>
                <w:lang w:val="en-US" w:eastAsia="zh-CN"/>
              </w:rPr>
              <w:t>8-6</w:t>
            </w:r>
            <w:r>
              <w:rPr>
                <w:color w:val="auto"/>
              </w:rPr>
              <w:t>。</w:t>
            </w:r>
          </w:p>
          <w:p>
            <w:pPr>
              <w:pStyle w:val="6"/>
              <w:spacing w:line="240" w:lineRule="auto"/>
              <w:ind w:left="0" w:leftChars="0"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表3.8-</w:t>
            </w:r>
            <w:r>
              <w:rPr>
                <w:rFonts w:hint="eastAsia" w:cs="Times New Roman"/>
                <w:color w:val="auto"/>
                <w:lang w:val="en-US" w:eastAsia="zh-CN"/>
              </w:rPr>
              <w:t>6</w:t>
            </w:r>
            <w:r>
              <w:rPr>
                <w:rFonts w:hint="eastAsia" w:ascii="Times New Roman" w:hAnsi="Times New Roman" w:eastAsia="宋体" w:cs="Times New Roman"/>
                <w:color w:val="auto"/>
                <w:lang w:val="en-US" w:eastAsia="zh-CN"/>
              </w:rPr>
              <w:t xml:space="preserve"> 水污染物排放标准 单位：mg/L</w:t>
            </w:r>
          </w:p>
          <w:tbl>
            <w:tblPr>
              <w:tblStyle w:val="25"/>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06"/>
              <w:gridCol w:w="557"/>
              <w:gridCol w:w="667"/>
              <w:gridCol w:w="733"/>
              <w:gridCol w:w="592"/>
              <w:gridCol w:w="846"/>
              <w:gridCol w:w="503"/>
              <w:gridCol w:w="543"/>
              <w:gridCol w:w="532"/>
              <w:gridCol w:w="675"/>
              <w:gridCol w:w="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trPr>
              <w:tc>
                <w:tcPr>
                  <w:tcW w:w="1248" w:type="pct"/>
                  <w:vAlign w:val="center"/>
                </w:tcPr>
                <w:p>
                  <w:pPr>
                    <w:pStyle w:val="41"/>
                    <w:spacing w:line="240" w:lineRule="auto"/>
                    <w:jc w:val="center"/>
                    <w:rPr>
                      <w:color w:val="auto"/>
                      <w:sz w:val="21"/>
                      <w:szCs w:val="21"/>
                    </w:rPr>
                  </w:pPr>
                  <w:r>
                    <w:rPr>
                      <w:rFonts w:hint="eastAsia"/>
                      <w:color w:val="auto"/>
                      <w:sz w:val="21"/>
                      <w:szCs w:val="21"/>
                    </w:rPr>
                    <w:t>污染物排放标准</w:t>
                  </w:r>
                </w:p>
              </w:tc>
              <w:tc>
                <w:tcPr>
                  <w:tcW w:w="330" w:type="pct"/>
                  <w:tcBorders>
                    <w:right w:val="single" w:color="auto" w:sz="4" w:space="0"/>
                  </w:tcBorders>
                  <w:vAlign w:val="center"/>
                </w:tcPr>
                <w:p>
                  <w:pPr>
                    <w:pStyle w:val="41"/>
                    <w:spacing w:line="240" w:lineRule="auto"/>
                    <w:jc w:val="center"/>
                    <w:rPr>
                      <w:color w:val="auto"/>
                      <w:sz w:val="21"/>
                      <w:szCs w:val="21"/>
                    </w:rPr>
                  </w:pPr>
                  <w:r>
                    <w:rPr>
                      <w:rFonts w:hint="eastAsia"/>
                      <w:color w:val="auto"/>
                      <w:sz w:val="21"/>
                      <w:szCs w:val="21"/>
                    </w:rPr>
                    <w:t>pH</w:t>
                  </w:r>
                </w:p>
              </w:tc>
              <w:tc>
                <w:tcPr>
                  <w:tcW w:w="395" w:type="pct"/>
                  <w:tcBorders>
                    <w:left w:val="single" w:color="auto" w:sz="4" w:space="0"/>
                  </w:tcBorders>
                  <w:vAlign w:val="center"/>
                </w:tcPr>
                <w:p>
                  <w:pPr>
                    <w:pStyle w:val="41"/>
                    <w:spacing w:line="240" w:lineRule="auto"/>
                    <w:jc w:val="center"/>
                    <w:rPr>
                      <w:color w:val="auto"/>
                      <w:sz w:val="21"/>
                      <w:szCs w:val="21"/>
                    </w:rPr>
                  </w:pPr>
                  <w:r>
                    <w:rPr>
                      <w:rFonts w:hint="eastAsia"/>
                      <w:color w:val="auto"/>
                      <w:sz w:val="21"/>
                      <w:szCs w:val="21"/>
                    </w:rPr>
                    <w:t>COD</w:t>
                  </w:r>
                </w:p>
              </w:tc>
              <w:tc>
                <w:tcPr>
                  <w:tcW w:w="434" w:type="pct"/>
                  <w:vAlign w:val="center"/>
                </w:tcPr>
                <w:p>
                  <w:pPr>
                    <w:pStyle w:val="41"/>
                    <w:spacing w:line="240" w:lineRule="auto"/>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351" w:type="pct"/>
                  <w:vAlign w:val="center"/>
                </w:tcPr>
                <w:p>
                  <w:pPr>
                    <w:pStyle w:val="41"/>
                    <w:spacing w:line="240" w:lineRule="auto"/>
                    <w:jc w:val="center"/>
                    <w:rPr>
                      <w:color w:val="auto"/>
                      <w:sz w:val="21"/>
                      <w:szCs w:val="21"/>
                    </w:rPr>
                  </w:pPr>
                  <w:r>
                    <w:rPr>
                      <w:rFonts w:hint="eastAsia"/>
                      <w:color w:val="auto"/>
                      <w:sz w:val="21"/>
                      <w:szCs w:val="21"/>
                    </w:rPr>
                    <w:t>SS</w:t>
                  </w:r>
                </w:p>
              </w:tc>
              <w:tc>
                <w:tcPr>
                  <w:tcW w:w="501"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298"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TP</w:t>
                  </w:r>
                </w:p>
              </w:tc>
              <w:tc>
                <w:tcPr>
                  <w:tcW w:w="322"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TN</w:t>
                  </w:r>
                </w:p>
              </w:tc>
              <w:tc>
                <w:tcPr>
                  <w:tcW w:w="315" w:type="pct"/>
                  <w:vAlign w:val="center"/>
                </w:tcPr>
                <w:p>
                  <w:pPr>
                    <w:pStyle w:val="41"/>
                    <w:spacing w:line="240" w:lineRule="auto"/>
                    <w:jc w:val="center"/>
                    <w:rPr>
                      <w:rFonts w:hint="eastAsia"/>
                      <w:color w:val="auto"/>
                      <w:sz w:val="21"/>
                      <w:szCs w:val="21"/>
                      <w:lang w:val="en-US" w:eastAsia="zh-CN"/>
                    </w:rPr>
                  </w:pPr>
                  <w:r>
                    <w:rPr>
                      <w:rFonts w:hint="eastAsia"/>
                      <w:color w:val="auto"/>
                      <w:sz w:val="21"/>
                      <w:szCs w:val="21"/>
                      <w:lang w:val="en-US" w:eastAsia="zh-CN"/>
                    </w:rPr>
                    <w:t>石油类</w:t>
                  </w:r>
                </w:p>
              </w:tc>
              <w:tc>
                <w:tcPr>
                  <w:tcW w:w="400" w:type="pct"/>
                  <w:vAlign w:val="center"/>
                </w:tcPr>
                <w:p>
                  <w:pPr>
                    <w:pStyle w:val="41"/>
                    <w:spacing w:line="240" w:lineRule="auto"/>
                    <w:jc w:val="center"/>
                    <w:rPr>
                      <w:rFonts w:hint="eastAsia"/>
                      <w:color w:val="auto"/>
                      <w:sz w:val="21"/>
                      <w:szCs w:val="21"/>
                      <w:lang w:val="en-US" w:eastAsia="zh-CN"/>
                    </w:rPr>
                  </w:pPr>
                  <w:r>
                    <w:rPr>
                      <w:rFonts w:hint="eastAsia"/>
                      <w:color w:val="auto"/>
                      <w:sz w:val="21"/>
                      <w:szCs w:val="21"/>
                      <w:lang w:val="en-US" w:eastAsia="zh-CN"/>
                    </w:rPr>
                    <w:t>动植物油</w:t>
                  </w:r>
                </w:p>
              </w:tc>
              <w:tc>
                <w:tcPr>
                  <w:tcW w:w="399"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LAS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48" w:type="pct"/>
                  <w:vAlign w:val="center"/>
                </w:tcPr>
                <w:p>
                  <w:pPr>
                    <w:pStyle w:val="41"/>
                    <w:spacing w:line="240" w:lineRule="auto"/>
                    <w:jc w:val="center"/>
                    <w:rPr>
                      <w:color w:val="auto"/>
                      <w:sz w:val="21"/>
                      <w:szCs w:val="21"/>
                    </w:rPr>
                  </w:pPr>
                  <w:r>
                    <w:rPr>
                      <w:rFonts w:hint="eastAsia"/>
                      <w:color w:val="auto"/>
                      <w:sz w:val="21"/>
                      <w:szCs w:val="21"/>
                    </w:rPr>
                    <w:t>《污水综合排放标准》（GB8978-1996）三级标准</w:t>
                  </w:r>
                </w:p>
              </w:tc>
              <w:tc>
                <w:tcPr>
                  <w:tcW w:w="330" w:type="pct"/>
                  <w:tcBorders>
                    <w:right w:val="single" w:color="auto" w:sz="4" w:space="0"/>
                  </w:tcBorders>
                  <w:vAlign w:val="center"/>
                </w:tcPr>
                <w:p>
                  <w:pPr>
                    <w:pStyle w:val="41"/>
                    <w:spacing w:line="240" w:lineRule="auto"/>
                    <w:jc w:val="center"/>
                    <w:rPr>
                      <w:color w:val="auto"/>
                      <w:sz w:val="21"/>
                      <w:szCs w:val="21"/>
                    </w:rPr>
                  </w:pPr>
                  <w:r>
                    <w:rPr>
                      <w:rFonts w:hint="eastAsia"/>
                      <w:color w:val="auto"/>
                      <w:sz w:val="21"/>
                      <w:szCs w:val="21"/>
                    </w:rPr>
                    <w:t>6~9</w:t>
                  </w:r>
                </w:p>
              </w:tc>
              <w:tc>
                <w:tcPr>
                  <w:tcW w:w="395" w:type="pct"/>
                  <w:tcBorders>
                    <w:left w:val="single" w:color="auto" w:sz="4" w:space="0"/>
                  </w:tcBorders>
                  <w:vAlign w:val="center"/>
                </w:tcPr>
                <w:p>
                  <w:pPr>
                    <w:pStyle w:val="41"/>
                    <w:spacing w:line="240" w:lineRule="auto"/>
                    <w:jc w:val="center"/>
                    <w:rPr>
                      <w:color w:val="auto"/>
                      <w:sz w:val="21"/>
                      <w:szCs w:val="21"/>
                    </w:rPr>
                  </w:pPr>
                  <w:r>
                    <w:rPr>
                      <w:rFonts w:hint="eastAsia"/>
                      <w:color w:val="auto"/>
                      <w:sz w:val="21"/>
                      <w:szCs w:val="21"/>
                    </w:rPr>
                    <w:t>500</w:t>
                  </w:r>
                </w:p>
              </w:tc>
              <w:tc>
                <w:tcPr>
                  <w:tcW w:w="434" w:type="pct"/>
                  <w:vAlign w:val="center"/>
                </w:tcPr>
                <w:p>
                  <w:pPr>
                    <w:pStyle w:val="41"/>
                    <w:spacing w:line="240" w:lineRule="auto"/>
                    <w:jc w:val="center"/>
                    <w:rPr>
                      <w:color w:val="auto"/>
                      <w:sz w:val="21"/>
                      <w:szCs w:val="21"/>
                    </w:rPr>
                  </w:pPr>
                  <w:r>
                    <w:rPr>
                      <w:rFonts w:hint="eastAsia"/>
                      <w:color w:val="auto"/>
                      <w:sz w:val="21"/>
                      <w:szCs w:val="21"/>
                    </w:rPr>
                    <w:t>300</w:t>
                  </w:r>
                </w:p>
              </w:tc>
              <w:tc>
                <w:tcPr>
                  <w:tcW w:w="351" w:type="pct"/>
                  <w:vAlign w:val="center"/>
                </w:tcPr>
                <w:p>
                  <w:pPr>
                    <w:pStyle w:val="41"/>
                    <w:spacing w:line="240" w:lineRule="auto"/>
                    <w:jc w:val="center"/>
                    <w:rPr>
                      <w:color w:val="auto"/>
                      <w:sz w:val="21"/>
                      <w:szCs w:val="21"/>
                    </w:rPr>
                  </w:pPr>
                  <w:r>
                    <w:rPr>
                      <w:rFonts w:hint="eastAsia"/>
                      <w:color w:val="auto"/>
                      <w:sz w:val="21"/>
                      <w:szCs w:val="21"/>
                    </w:rPr>
                    <w:t>400</w:t>
                  </w:r>
                </w:p>
              </w:tc>
              <w:tc>
                <w:tcPr>
                  <w:tcW w:w="501" w:type="pc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rPr>
                    <w:t>45*</w:t>
                  </w:r>
                </w:p>
              </w:tc>
              <w:tc>
                <w:tcPr>
                  <w:tcW w:w="298" w:type="pct"/>
                  <w:vAlign w:val="center"/>
                </w:tcPr>
                <w:p>
                  <w:pPr>
                    <w:pStyle w:val="41"/>
                    <w:spacing w:line="240" w:lineRule="auto"/>
                    <w:jc w:val="center"/>
                    <w:rPr>
                      <w:rFonts w:hint="eastAsia" w:eastAsia="宋体"/>
                      <w:color w:val="auto"/>
                      <w:sz w:val="21"/>
                      <w:szCs w:val="21"/>
                      <w:lang w:val="en-US" w:eastAsia="zh-CN"/>
                    </w:rPr>
                  </w:pPr>
                  <w:r>
                    <w:rPr>
                      <w:rFonts w:hint="eastAsia"/>
                      <w:color w:val="auto"/>
                      <w:sz w:val="21"/>
                      <w:szCs w:val="21"/>
                      <w:lang w:val="en-US" w:eastAsia="zh-CN"/>
                    </w:rPr>
                    <w:t>8*</w:t>
                  </w:r>
                </w:p>
              </w:tc>
              <w:tc>
                <w:tcPr>
                  <w:tcW w:w="322"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70*</w:t>
                  </w:r>
                </w:p>
              </w:tc>
              <w:tc>
                <w:tcPr>
                  <w:tcW w:w="315"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30</w:t>
                  </w:r>
                </w:p>
              </w:tc>
              <w:tc>
                <w:tcPr>
                  <w:tcW w:w="400"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100</w:t>
                  </w:r>
                </w:p>
              </w:tc>
              <w:tc>
                <w:tcPr>
                  <w:tcW w:w="399"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48" w:type="pct"/>
                  <w:vAlign w:val="center"/>
                </w:tcPr>
                <w:p>
                  <w:pPr>
                    <w:pStyle w:val="41"/>
                    <w:spacing w:line="240" w:lineRule="auto"/>
                    <w:jc w:val="center"/>
                    <w:rPr>
                      <w:color w:val="auto"/>
                      <w:sz w:val="21"/>
                      <w:szCs w:val="21"/>
                    </w:rPr>
                  </w:pPr>
                  <w:r>
                    <w:rPr>
                      <w:rFonts w:hint="eastAsia"/>
                      <w:color w:val="auto"/>
                      <w:sz w:val="21"/>
                      <w:szCs w:val="21"/>
                    </w:rPr>
                    <w:t>《城镇污水处理厂污染物排放标准》（GB18918-2002）</w:t>
                  </w:r>
                  <w:r>
                    <w:rPr>
                      <w:rFonts w:hint="eastAsia"/>
                      <w:color w:val="auto"/>
                      <w:sz w:val="21"/>
                      <w:szCs w:val="21"/>
                      <w:lang w:eastAsia="zh-CN"/>
                    </w:rPr>
                    <w:t>一级B</w:t>
                  </w:r>
                  <w:r>
                    <w:rPr>
                      <w:rFonts w:hint="eastAsia"/>
                      <w:color w:val="auto"/>
                      <w:sz w:val="21"/>
                      <w:szCs w:val="21"/>
                    </w:rPr>
                    <w:t>标</w:t>
                  </w:r>
                </w:p>
              </w:tc>
              <w:tc>
                <w:tcPr>
                  <w:tcW w:w="330" w:type="pct"/>
                  <w:tcBorders>
                    <w:right w:val="single" w:color="auto" w:sz="4" w:space="0"/>
                  </w:tcBorders>
                  <w:vAlign w:val="center"/>
                </w:tcPr>
                <w:p>
                  <w:pPr>
                    <w:pStyle w:val="41"/>
                    <w:spacing w:line="240" w:lineRule="auto"/>
                    <w:jc w:val="center"/>
                    <w:rPr>
                      <w:color w:val="auto"/>
                      <w:sz w:val="21"/>
                      <w:szCs w:val="21"/>
                    </w:rPr>
                  </w:pPr>
                  <w:r>
                    <w:rPr>
                      <w:rFonts w:hint="eastAsia"/>
                      <w:color w:val="auto"/>
                      <w:sz w:val="21"/>
                      <w:szCs w:val="21"/>
                    </w:rPr>
                    <w:t>6~9</w:t>
                  </w:r>
                </w:p>
              </w:tc>
              <w:tc>
                <w:tcPr>
                  <w:tcW w:w="395" w:type="pct"/>
                  <w:tcBorders>
                    <w:left w:val="single" w:color="auto" w:sz="4" w:space="0"/>
                  </w:tcBorders>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60</w:t>
                  </w:r>
                </w:p>
              </w:tc>
              <w:tc>
                <w:tcPr>
                  <w:tcW w:w="434"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20</w:t>
                  </w:r>
                </w:p>
              </w:tc>
              <w:tc>
                <w:tcPr>
                  <w:tcW w:w="351"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20</w:t>
                  </w:r>
                </w:p>
              </w:tc>
              <w:tc>
                <w:tcPr>
                  <w:tcW w:w="501" w:type="pct"/>
                  <w:vAlign w:val="center"/>
                </w:tcPr>
                <w:p>
                  <w:pPr>
                    <w:pStyle w:val="41"/>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8（15）</w:t>
                  </w:r>
                </w:p>
              </w:tc>
              <w:tc>
                <w:tcPr>
                  <w:tcW w:w="298" w:type="pct"/>
                  <w:vAlign w:val="center"/>
                </w:tcPr>
                <w:p>
                  <w:pPr>
                    <w:pStyle w:val="41"/>
                    <w:spacing w:line="240" w:lineRule="auto"/>
                    <w:jc w:val="center"/>
                    <w:rPr>
                      <w:rFonts w:hint="default" w:eastAsia="宋体"/>
                      <w:color w:val="auto"/>
                      <w:sz w:val="21"/>
                      <w:szCs w:val="21"/>
                      <w:lang w:val="en-US" w:eastAsia="zh-CN"/>
                    </w:rPr>
                  </w:pPr>
                  <w:r>
                    <w:rPr>
                      <w:rFonts w:ascii="Times New Roman" w:hAnsi="Times New Roman"/>
                      <w:color w:val="auto"/>
                      <w:lang w:eastAsia="zh-CN"/>
                    </w:rPr>
                    <w:t>1.0</w:t>
                  </w:r>
                </w:p>
              </w:tc>
              <w:tc>
                <w:tcPr>
                  <w:tcW w:w="322" w:type="pct"/>
                  <w:vAlign w:val="center"/>
                </w:tcPr>
                <w:p>
                  <w:pPr>
                    <w:pStyle w:val="41"/>
                    <w:spacing w:line="240" w:lineRule="auto"/>
                    <w:jc w:val="center"/>
                    <w:rPr>
                      <w:rFonts w:hint="default" w:eastAsia="宋体"/>
                      <w:color w:val="auto"/>
                      <w:sz w:val="21"/>
                      <w:szCs w:val="21"/>
                      <w:lang w:val="en-US" w:eastAsia="zh-CN"/>
                    </w:rPr>
                  </w:pPr>
                  <w:r>
                    <w:rPr>
                      <w:rFonts w:hint="eastAsia"/>
                      <w:color w:val="auto"/>
                      <w:sz w:val="21"/>
                      <w:szCs w:val="21"/>
                      <w:lang w:val="en-US" w:eastAsia="zh-CN"/>
                    </w:rPr>
                    <w:t>20</w:t>
                  </w:r>
                </w:p>
              </w:tc>
              <w:tc>
                <w:tcPr>
                  <w:tcW w:w="315"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3</w:t>
                  </w:r>
                </w:p>
              </w:tc>
              <w:tc>
                <w:tcPr>
                  <w:tcW w:w="400"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3</w:t>
                  </w:r>
                </w:p>
              </w:tc>
              <w:tc>
                <w:tcPr>
                  <w:tcW w:w="399" w:type="pct"/>
                  <w:vAlign w:val="center"/>
                </w:tcPr>
                <w:p>
                  <w:pPr>
                    <w:pStyle w:val="41"/>
                    <w:spacing w:line="240" w:lineRule="auto"/>
                    <w:jc w:val="center"/>
                    <w:rPr>
                      <w:rFonts w:hint="default"/>
                      <w:color w:val="auto"/>
                      <w:sz w:val="21"/>
                      <w:szCs w:val="21"/>
                      <w:lang w:val="en-US" w:eastAsia="zh-CN"/>
                    </w:rPr>
                  </w:pPr>
                  <w:r>
                    <w:rPr>
                      <w:rFonts w:hint="eastAsia"/>
                      <w:color w:val="auto"/>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1"/>
                  <w:vAlign w:val="center"/>
                </w:tcPr>
                <w:p>
                  <w:pPr>
                    <w:pStyle w:val="41"/>
                    <w:spacing w:line="240" w:lineRule="auto"/>
                    <w:jc w:val="both"/>
                    <w:rPr>
                      <w:color w:val="auto"/>
                      <w:sz w:val="20"/>
                    </w:rPr>
                  </w:pPr>
                  <w:r>
                    <w:rPr>
                      <w:color w:val="auto"/>
                      <w:sz w:val="20"/>
                    </w:rPr>
                    <w:t>注：</w:t>
                  </w:r>
                  <w:r>
                    <w:rPr>
                      <w:rFonts w:hint="eastAsia"/>
                      <w:color w:val="auto"/>
                      <w:sz w:val="20"/>
                    </w:rPr>
                    <w:t>“*”的</w:t>
                  </w:r>
                  <w:r>
                    <w:rPr>
                      <w:color w:val="auto"/>
                      <w:sz w:val="20"/>
                      <w:szCs w:val="16"/>
                    </w:rPr>
                    <w:t>NH</w:t>
                  </w:r>
                  <w:r>
                    <w:rPr>
                      <w:color w:val="auto"/>
                      <w:sz w:val="20"/>
                      <w:szCs w:val="16"/>
                      <w:vertAlign w:val="subscript"/>
                    </w:rPr>
                    <w:t>3</w:t>
                  </w:r>
                  <w:r>
                    <w:rPr>
                      <w:color w:val="auto"/>
                      <w:sz w:val="20"/>
                      <w:szCs w:val="16"/>
                    </w:rPr>
                    <w:t>-N、TP</w:t>
                  </w:r>
                  <w:r>
                    <w:rPr>
                      <w:rFonts w:hint="eastAsia"/>
                      <w:color w:val="auto"/>
                      <w:sz w:val="20"/>
                      <w:szCs w:val="16"/>
                    </w:rPr>
                    <w:t>、TN</w:t>
                  </w:r>
                  <w:r>
                    <w:rPr>
                      <w:color w:val="auto"/>
                      <w:sz w:val="20"/>
                      <w:szCs w:val="18"/>
                    </w:rPr>
                    <w:t>执行《污水排入城镇下水道水质标准》</w:t>
                  </w:r>
                  <w:r>
                    <w:rPr>
                      <w:color w:val="auto"/>
                      <w:sz w:val="20"/>
                      <w:szCs w:val="22"/>
                      <w:lang w:bidi="ar"/>
                    </w:rPr>
                    <w:t>（GB/T31962-2015）</w:t>
                  </w:r>
                  <w:r>
                    <w:rPr>
                      <w:color w:val="auto"/>
                      <w:sz w:val="20"/>
                      <w:szCs w:val="18"/>
                    </w:rPr>
                    <w:t>B级标准</w:t>
                  </w:r>
                  <w:r>
                    <w:rPr>
                      <w:color w:val="auto"/>
                      <w:sz w:val="20"/>
                    </w:rPr>
                    <w:t>；</w:t>
                  </w:r>
                  <w:r>
                    <w:rPr>
                      <w:rFonts w:hint="eastAsia"/>
                      <w:color w:val="auto"/>
                      <w:sz w:val="20"/>
                    </w:rPr>
                    <w:t>（）外数值为水温＞12℃时的控制指标，（）内数值为水温≤12℃时的控制指标。</w:t>
                  </w:r>
                </w:p>
              </w:tc>
            </w:tr>
          </w:tbl>
          <w:p>
            <w:pPr>
              <w:pStyle w:val="62"/>
              <w:spacing w:before="0" w:beforeLines="0"/>
              <w:ind w:left="0" w:leftChars="0" w:right="0" w:rightChars="0" w:firstLine="482" w:firstLineChars="200"/>
              <w:rPr>
                <w:color w:val="auto"/>
              </w:rPr>
            </w:pPr>
            <w:r>
              <w:rPr>
                <w:b/>
                <w:bCs/>
                <w:color w:val="auto"/>
              </w:rPr>
              <w:t>3.</w:t>
            </w:r>
            <w:r>
              <w:rPr>
                <w:rFonts w:hint="eastAsia"/>
                <w:b/>
                <w:bCs/>
                <w:color w:val="auto"/>
                <w:lang w:val="en-US" w:eastAsia="zh-CN"/>
              </w:rPr>
              <w:t>8.3</w:t>
            </w:r>
            <w:r>
              <w:rPr>
                <w:b/>
                <w:bCs/>
                <w:color w:val="auto"/>
              </w:rPr>
              <w:t>噪声排放标准</w:t>
            </w:r>
          </w:p>
          <w:p>
            <w:pPr>
              <w:pStyle w:val="69"/>
              <w:rPr>
                <w:color w:val="auto"/>
              </w:rPr>
            </w:pPr>
            <w:r>
              <w:rPr>
                <w:color w:val="auto"/>
              </w:rPr>
              <w:t>施工期</w:t>
            </w:r>
            <w:r>
              <w:rPr>
                <w:rFonts w:hint="eastAsia"/>
                <w:color w:val="auto"/>
              </w:rPr>
              <w:t>厂界</w:t>
            </w:r>
            <w:r>
              <w:rPr>
                <w:color w:val="auto"/>
              </w:rPr>
              <w:t>噪声执行《建筑施工场界环境噪声排放标准》(GB12523-2011)，标准限值详见表3.</w:t>
            </w:r>
            <w:r>
              <w:rPr>
                <w:rFonts w:hint="eastAsia"/>
                <w:color w:val="auto"/>
                <w:lang w:val="en-US" w:eastAsia="zh-CN"/>
              </w:rPr>
              <w:t>8</w:t>
            </w:r>
            <w:r>
              <w:rPr>
                <w:color w:val="auto"/>
              </w:rPr>
              <w:t>-</w:t>
            </w:r>
            <w:r>
              <w:rPr>
                <w:rFonts w:hint="eastAsia"/>
                <w:color w:val="auto"/>
                <w:lang w:val="en-US" w:eastAsia="zh-CN"/>
              </w:rPr>
              <w:t>7</w:t>
            </w:r>
            <w:r>
              <w:rPr>
                <w:color w:val="auto"/>
              </w:rPr>
              <w:t>。运营期厂界噪声执行《工业企业厂界环境噪声排放标准》(GB12348-2008)3类标准，标准限值详见表3.</w:t>
            </w:r>
            <w:r>
              <w:rPr>
                <w:rFonts w:hint="eastAsia"/>
                <w:color w:val="auto"/>
                <w:lang w:val="en-US" w:eastAsia="zh-CN"/>
              </w:rPr>
              <w:t>8</w:t>
            </w:r>
            <w:r>
              <w:rPr>
                <w:color w:val="auto"/>
              </w:rPr>
              <w:t>-</w:t>
            </w:r>
            <w:r>
              <w:rPr>
                <w:rFonts w:hint="eastAsia"/>
                <w:color w:val="auto"/>
                <w:lang w:val="en-US" w:eastAsia="zh-CN"/>
              </w:rPr>
              <w:t>8</w:t>
            </w:r>
            <w:r>
              <w:rPr>
                <w:color w:val="auto"/>
              </w:rPr>
              <w:t>。</w:t>
            </w:r>
          </w:p>
          <w:p>
            <w:pPr>
              <w:spacing w:line="240" w:lineRule="auto"/>
              <w:jc w:val="center"/>
              <w:rPr>
                <w:b w:val="0"/>
                <w:bCs w:val="0"/>
                <w:color w:val="auto"/>
              </w:rPr>
            </w:pPr>
            <w:r>
              <w:rPr>
                <w:b w:val="0"/>
                <w:bCs w:val="0"/>
                <w:color w:val="auto"/>
                <w:szCs w:val="21"/>
              </w:rPr>
              <w:t>表</w:t>
            </w:r>
            <w:r>
              <w:rPr>
                <w:rFonts w:hint="eastAsia"/>
                <w:b w:val="0"/>
                <w:bCs w:val="0"/>
                <w:color w:val="auto"/>
                <w:szCs w:val="21"/>
              </w:rPr>
              <w:t>3.8-</w:t>
            </w:r>
            <w:r>
              <w:rPr>
                <w:rFonts w:hint="eastAsia"/>
                <w:b w:val="0"/>
                <w:bCs w:val="0"/>
                <w:color w:val="auto"/>
                <w:szCs w:val="21"/>
                <w:lang w:val="en-US" w:eastAsia="zh-CN"/>
              </w:rPr>
              <w:t>7</w:t>
            </w:r>
            <w:r>
              <w:rPr>
                <w:b w:val="0"/>
                <w:bCs w:val="0"/>
                <w:color w:val="auto"/>
                <w:szCs w:val="21"/>
              </w:rPr>
              <w:t xml:space="preserve"> 建筑施工场界环境噪声排放标准 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2911"/>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24" w:type="pct"/>
                  <w:vAlign w:val="center"/>
                </w:tcPr>
                <w:p>
                  <w:pPr>
                    <w:pStyle w:val="44"/>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方位</w:t>
                  </w:r>
                </w:p>
              </w:tc>
              <w:tc>
                <w:tcPr>
                  <w:tcW w:w="1724" w:type="pct"/>
                  <w:vAlign w:val="center"/>
                </w:tcPr>
                <w:p>
                  <w:pPr>
                    <w:pStyle w:val="44"/>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550" w:type="pct"/>
                  <w:vAlign w:val="center"/>
                </w:tcPr>
                <w:p>
                  <w:pPr>
                    <w:pStyle w:val="44"/>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4" w:type="pct"/>
                  <w:vAlign w:val="center"/>
                </w:tcPr>
                <w:p>
                  <w:pPr>
                    <w:pStyle w:val="44"/>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厂界四周</w:t>
                  </w:r>
                </w:p>
              </w:tc>
              <w:tc>
                <w:tcPr>
                  <w:tcW w:w="1724" w:type="pct"/>
                  <w:vAlign w:val="center"/>
                </w:tcPr>
                <w:p>
                  <w:pPr>
                    <w:pStyle w:val="44"/>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70</w:t>
                  </w:r>
                </w:p>
              </w:tc>
              <w:tc>
                <w:tcPr>
                  <w:tcW w:w="1550" w:type="pct"/>
                  <w:vAlign w:val="center"/>
                </w:tcPr>
                <w:p>
                  <w:pPr>
                    <w:pStyle w:val="44"/>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vAlign w:val="center"/>
                </w:tcPr>
                <w:p>
                  <w:pPr>
                    <w:pStyle w:val="44"/>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注：拟建项目夜间禁止施工、生产。</w:t>
                  </w:r>
                </w:p>
              </w:tc>
            </w:tr>
          </w:tbl>
          <w:p>
            <w:pPr>
              <w:pStyle w:val="13"/>
              <w:spacing w:before="120" w:beforeLines="50" w:line="240" w:lineRule="auto"/>
              <w:jc w:val="center"/>
              <w:rPr>
                <w:rFonts w:ascii="Times New Roman" w:hAnsi="Times New Roman" w:cs="Times New Roman"/>
                <w:b w:val="0"/>
                <w:bCs w:val="0"/>
                <w:color w:val="auto"/>
              </w:rPr>
            </w:pPr>
            <w:r>
              <w:rPr>
                <w:rFonts w:ascii="Times New Roman" w:hAnsi="Times New Roman" w:cs="Times New Roman"/>
                <w:b w:val="0"/>
                <w:bCs w:val="0"/>
                <w:color w:val="auto"/>
              </w:rPr>
              <w:t>表</w:t>
            </w:r>
            <w:r>
              <w:rPr>
                <w:rFonts w:hint="eastAsia" w:ascii="Times New Roman" w:hAnsi="Times New Roman" w:cs="Times New Roman"/>
                <w:b w:val="0"/>
                <w:bCs w:val="0"/>
                <w:color w:val="auto"/>
              </w:rPr>
              <w:t>3.8-</w:t>
            </w:r>
            <w:r>
              <w:rPr>
                <w:rFonts w:hint="eastAsia" w:ascii="Times New Roman" w:hAnsi="Times New Roman" w:cs="Times New Roman"/>
                <w:b w:val="0"/>
                <w:bCs w:val="0"/>
                <w:color w:val="auto"/>
                <w:lang w:val="en-US" w:eastAsia="zh-CN"/>
              </w:rPr>
              <w:t>8</w:t>
            </w:r>
            <w:r>
              <w:rPr>
                <w:rFonts w:ascii="Times New Roman" w:hAnsi="Times New Roman" w:cs="Times New Roman"/>
                <w:b w:val="0"/>
                <w:bCs w:val="0"/>
                <w:color w:val="auto"/>
              </w:rPr>
              <w:t xml:space="preserve"> 工业企业厂界环境噪声排放标准 单位：dB(A)</w:t>
            </w:r>
          </w:p>
          <w:tbl>
            <w:tblPr>
              <w:tblStyle w:val="25"/>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70"/>
              <w:gridCol w:w="3269"/>
              <w:gridCol w:w="1999"/>
              <w:gridCol w:w="18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2" w:type="pct"/>
                  <w:vAlign w:val="center"/>
                </w:tcPr>
                <w:p>
                  <w:pPr>
                    <w:pStyle w:val="13"/>
                    <w:spacing w:line="240" w:lineRule="auto"/>
                    <w:jc w:val="center"/>
                    <w:rPr>
                      <w:rFonts w:ascii="Times New Roman" w:hAnsi="Times New Roman" w:cs="Times New Roman"/>
                      <w:color w:val="auto"/>
                      <w:sz w:val="21"/>
                    </w:rPr>
                  </w:pPr>
                  <w:r>
                    <w:rPr>
                      <w:rFonts w:ascii="Times New Roman" w:hAnsi="Times New Roman" w:cs="Times New Roman"/>
                      <w:color w:val="auto"/>
                      <w:sz w:val="21"/>
                    </w:rPr>
                    <w:t>类别</w:t>
                  </w:r>
                </w:p>
              </w:tc>
              <w:tc>
                <w:tcPr>
                  <w:tcW w:w="1936" w:type="pct"/>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方位</w:t>
                  </w:r>
                </w:p>
              </w:tc>
              <w:tc>
                <w:tcPr>
                  <w:tcW w:w="1184" w:type="pct"/>
                  <w:vAlign w:val="center"/>
                </w:tcPr>
                <w:p>
                  <w:pPr>
                    <w:pStyle w:val="13"/>
                    <w:spacing w:line="240" w:lineRule="auto"/>
                    <w:jc w:val="center"/>
                    <w:rPr>
                      <w:rFonts w:ascii="Times New Roman" w:hAnsi="Times New Roman" w:cs="Times New Roman"/>
                      <w:color w:val="auto"/>
                      <w:sz w:val="21"/>
                    </w:rPr>
                  </w:pPr>
                  <w:r>
                    <w:rPr>
                      <w:rFonts w:ascii="Times New Roman" w:hAnsi="Times New Roman" w:cs="Times New Roman"/>
                      <w:color w:val="auto"/>
                      <w:sz w:val="21"/>
                    </w:rPr>
                    <w:t>昼间</w:t>
                  </w:r>
                </w:p>
              </w:tc>
              <w:tc>
                <w:tcPr>
                  <w:tcW w:w="1125" w:type="pct"/>
                  <w:vAlign w:val="center"/>
                </w:tcPr>
                <w:p>
                  <w:pPr>
                    <w:pStyle w:val="13"/>
                    <w:spacing w:line="240" w:lineRule="auto"/>
                    <w:jc w:val="center"/>
                    <w:rPr>
                      <w:rFonts w:ascii="Times New Roman" w:hAnsi="Times New Roman" w:cs="Times New Roman"/>
                      <w:color w:val="auto"/>
                      <w:sz w:val="21"/>
                    </w:rPr>
                  </w:pPr>
                  <w:r>
                    <w:rPr>
                      <w:rFonts w:ascii="Times New Roman" w:hAnsi="Times New Roman" w:cs="Times New Roman"/>
                      <w:color w:val="auto"/>
                      <w:sz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52" w:type="pct"/>
                  <w:vAlign w:val="center"/>
                </w:tcPr>
                <w:p>
                  <w:pPr>
                    <w:pStyle w:val="13"/>
                    <w:spacing w:line="240" w:lineRule="auto"/>
                    <w:jc w:val="center"/>
                    <w:rPr>
                      <w:rFonts w:ascii="Times New Roman" w:hAnsi="Times New Roman" w:cs="Times New Roman"/>
                      <w:color w:val="auto"/>
                      <w:sz w:val="21"/>
                    </w:rPr>
                  </w:pPr>
                  <w:r>
                    <w:rPr>
                      <w:rFonts w:ascii="Times New Roman" w:hAnsi="Times New Roman" w:cs="Times New Roman"/>
                      <w:color w:val="auto"/>
                      <w:sz w:val="21"/>
                    </w:rPr>
                    <w:t>3类</w:t>
                  </w:r>
                </w:p>
              </w:tc>
              <w:tc>
                <w:tcPr>
                  <w:tcW w:w="1936" w:type="pct"/>
                  <w:vAlign w:val="center"/>
                </w:tcPr>
                <w:p>
                  <w:pPr>
                    <w:spacing w:line="240" w:lineRule="auto"/>
                    <w:jc w:val="center"/>
                    <w:rPr>
                      <w:color w:val="auto"/>
                      <w:sz w:val="21"/>
                      <w:szCs w:val="21"/>
                    </w:rPr>
                  </w:pPr>
                  <w:r>
                    <w:rPr>
                      <w:rFonts w:hint="eastAsia" w:cs="Times New Roman"/>
                      <w:color w:val="auto"/>
                      <w:sz w:val="21"/>
                      <w:szCs w:val="21"/>
                      <w:lang w:eastAsia="zh-CN"/>
                    </w:rPr>
                    <w:t>厂界四周</w:t>
                  </w:r>
                </w:p>
              </w:tc>
              <w:tc>
                <w:tcPr>
                  <w:tcW w:w="1184" w:type="pct"/>
                  <w:vAlign w:val="center"/>
                </w:tcPr>
                <w:p>
                  <w:pPr>
                    <w:pStyle w:val="13"/>
                    <w:spacing w:line="240" w:lineRule="auto"/>
                    <w:jc w:val="center"/>
                    <w:rPr>
                      <w:rFonts w:ascii="Times New Roman" w:hAnsi="Times New Roman" w:cs="Times New Roman"/>
                      <w:color w:val="auto"/>
                      <w:sz w:val="21"/>
                    </w:rPr>
                  </w:pPr>
                  <w:r>
                    <w:rPr>
                      <w:rFonts w:ascii="Times New Roman" w:hAnsi="Times New Roman" w:cs="Times New Roman"/>
                      <w:color w:val="auto"/>
                      <w:sz w:val="21"/>
                    </w:rPr>
                    <w:t>65</w:t>
                  </w:r>
                </w:p>
              </w:tc>
              <w:tc>
                <w:tcPr>
                  <w:tcW w:w="1125" w:type="pct"/>
                  <w:vAlign w:val="center"/>
                </w:tcPr>
                <w:p>
                  <w:pPr>
                    <w:pStyle w:val="13"/>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55</w:t>
                  </w:r>
                </w:p>
              </w:tc>
            </w:tr>
          </w:tbl>
          <w:p>
            <w:pPr>
              <w:pStyle w:val="62"/>
              <w:spacing w:before="0" w:beforeLines="0" w:line="360" w:lineRule="auto"/>
              <w:ind w:left="0" w:leftChars="0" w:right="0" w:rightChars="0" w:firstLine="482" w:firstLineChars="200"/>
              <w:rPr>
                <w:color w:val="auto"/>
              </w:rPr>
            </w:pPr>
            <w:r>
              <w:rPr>
                <w:b/>
                <w:bCs/>
                <w:color w:val="auto"/>
              </w:rPr>
              <w:t>3.</w:t>
            </w:r>
            <w:r>
              <w:rPr>
                <w:rFonts w:hint="eastAsia"/>
                <w:b/>
                <w:bCs/>
                <w:color w:val="auto"/>
                <w:lang w:val="en-US" w:eastAsia="zh-CN"/>
              </w:rPr>
              <w:t>8.4</w:t>
            </w:r>
            <w:r>
              <w:rPr>
                <w:b/>
                <w:bCs/>
                <w:color w:val="auto"/>
              </w:rPr>
              <w:t>固废控制标准</w:t>
            </w:r>
          </w:p>
          <w:p>
            <w:pPr>
              <w:pStyle w:val="62"/>
              <w:spacing w:before="0" w:beforeLines="0" w:line="360" w:lineRule="auto"/>
              <w:ind w:left="0" w:leftChars="0" w:right="0" w:rightChars="0" w:firstLineChars="200"/>
              <w:rPr>
                <w:color w:val="auto"/>
                <w:kern w:val="0"/>
              </w:rPr>
            </w:pPr>
            <w:r>
              <w:rPr>
                <w:rFonts w:hint="eastAsia"/>
                <w:color w:val="auto"/>
                <w:szCs w:val="20"/>
                <w:lang w:eastAsia="zh-CN"/>
              </w:rPr>
              <w:t>拟建</w:t>
            </w:r>
            <w:r>
              <w:rPr>
                <w:color w:val="auto"/>
                <w:szCs w:val="20"/>
              </w:rPr>
              <w:t>项目一般工业废物贮存过程应满足相应防渗、防雨淋、防扬尘等环保要求；一般工业固废执行《一般固体废物分类与代码》（GB/T39198-2020）；危险废物暂存执行《危险废物贮存污染控制标准》(GB</w:t>
            </w:r>
            <w:r>
              <w:rPr>
                <w:rFonts w:hint="eastAsia"/>
                <w:color w:val="auto"/>
                <w:szCs w:val="20"/>
              </w:rPr>
              <w:t>18597—2023）</w:t>
            </w:r>
            <w:r>
              <w:rPr>
                <w:color w:val="auto"/>
                <w:szCs w:val="20"/>
              </w:rPr>
              <w:t>相关要求，危险废物转移执行《</w:t>
            </w:r>
            <w:r>
              <w:rPr>
                <w:rFonts w:hint="eastAsia"/>
                <w:color w:val="auto"/>
                <w:szCs w:val="20"/>
              </w:rPr>
              <w:t>危险废物转移管理办法</w:t>
            </w:r>
            <w:r>
              <w:rPr>
                <w:color w:val="auto"/>
                <w:szCs w:val="20"/>
              </w:rPr>
              <w:t>》中相关要求。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8" w:hRule="atLeast"/>
          <w:jc w:val="center"/>
        </w:trPr>
        <w:tc>
          <w:tcPr>
            <w:tcW w:w="800" w:type="dxa"/>
            <w:vAlign w:val="center"/>
          </w:tcPr>
          <w:p>
            <w:pPr>
              <w:adjustRightInd w:val="0"/>
              <w:snapToGrid w:val="0"/>
              <w:jc w:val="center"/>
              <w:rPr>
                <w:color w:val="auto"/>
                <w:kern w:val="0"/>
                <w:szCs w:val="21"/>
              </w:rPr>
            </w:pPr>
            <w:r>
              <w:rPr>
                <w:color w:val="auto"/>
                <w:kern w:val="0"/>
                <w:szCs w:val="21"/>
              </w:rPr>
              <w:t>总量</w:t>
            </w:r>
          </w:p>
          <w:p>
            <w:pPr>
              <w:adjustRightInd w:val="0"/>
              <w:snapToGrid w:val="0"/>
              <w:jc w:val="center"/>
              <w:rPr>
                <w:color w:val="auto"/>
                <w:kern w:val="0"/>
                <w:szCs w:val="21"/>
              </w:rPr>
            </w:pPr>
            <w:r>
              <w:rPr>
                <w:color w:val="auto"/>
                <w:kern w:val="0"/>
                <w:szCs w:val="21"/>
              </w:rPr>
              <w:t>控制</w:t>
            </w:r>
          </w:p>
          <w:p>
            <w:pPr>
              <w:adjustRightInd w:val="0"/>
              <w:snapToGrid w:val="0"/>
              <w:jc w:val="center"/>
              <w:rPr>
                <w:color w:val="auto"/>
                <w:kern w:val="0"/>
                <w:szCs w:val="21"/>
              </w:rPr>
            </w:pPr>
            <w:r>
              <w:rPr>
                <w:color w:val="auto"/>
                <w:kern w:val="0"/>
                <w:szCs w:val="21"/>
              </w:rPr>
              <w:t>指标</w:t>
            </w:r>
          </w:p>
        </w:tc>
        <w:tc>
          <w:tcPr>
            <w:tcW w:w="8246" w:type="dxa"/>
            <w:vAlign w:val="top"/>
          </w:tcPr>
          <w:p>
            <w:pPr>
              <w:pStyle w:val="62"/>
              <w:spacing w:before="0" w:beforeLines="0"/>
              <w:ind w:left="0" w:leftChars="0" w:right="0" w:rightChars="0" w:firstLine="0"/>
              <w:rPr>
                <w:rFonts w:hint="eastAsia"/>
                <w:color w:val="auto"/>
                <w:kern w:val="0"/>
                <w:szCs w:val="21"/>
                <w:highlight w:val="none"/>
              </w:rPr>
            </w:pPr>
            <w:r>
              <w:rPr>
                <w:rFonts w:hint="eastAsia"/>
                <w:color w:val="auto"/>
                <w:kern w:val="0"/>
                <w:szCs w:val="21"/>
                <w:highlight w:val="none"/>
                <w:lang w:eastAsia="zh-CN"/>
              </w:rPr>
              <w:t>排放至外环境的</w:t>
            </w:r>
            <w:r>
              <w:rPr>
                <w:rFonts w:hint="eastAsia"/>
                <w:color w:val="auto"/>
                <w:kern w:val="0"/>
                <w:szCs w:val="21"/>
                <w:highlight w:val="none"/>
              </w:rPr>
              <w:t>废水：COD：</w:t>
            </w:r>
            <w:r>
              <w:rPr>
                <w:rFonts w:hint="eastAsia" w:ascii="Times New Roman" w:hAnsi="Times New Roman" w:eastAsia="宋体" w:cs="Times New Roman"/>
                <w:color w:val="auto"/>
                <w:lang w:val="en-US" w:eastAsia="zh-CN"/>
              </w:rPr>
              <w:t>0.</w:t>
            </w:r>
            <w:r>
              <w:rPr>
                <w:rFonts w:hint="eastAsia" w:cs="Times New Roman"/>
                <w:color w:val="auto"/>
                <w:lang w:val="en-US" w:eastAsia="zh-CN"/>
              </w:rPr>
              <w:t>2</w:t>
            </w:r>
            <w:r>
              <w:rPr>
                <w:rFonts w:hint="eastAsia"/>
                <w:color w:val="auto"/>
                <w:kern w:val="0"/>
                <w:szCs w:val="21"/>
                <w:highlight w:val="none"/>
              </w:rPr>
              <w:t>t/a；氨氮：0.027</w:t>
            </w:r>
            <w:r>
              <w:rPr>
                <w:rFonts w:hint="eastAsia" w:ascii="Times New Roman" w:hAnsi="Times New Roman" w:eastAsia="宋体" w:cs="Times New Roman"/>
                <w:color w:val="auto"/>
                <w:lang w:val="en-US" w:eastAsia="zh-CN"/>
              </w:rPr>
              <w:t xml:space="preserve"> </w:t>
            </w:r>
            <w:r>
              <w:rPr>
                <w:rFonts w:hint="eastAsia"/>
                <w:color w:val="auto"/>
                <w:kern w:val="0"/>
                <w:szCs w:val="21"/>
                <w:highlight w:val="none"/>
              </w:rPr>
              <w:t>t/a。</w:t>
            </w:r>
          </w:p>
          <w:p>
            <w:pPr>
              <w:pStyle w:val="62"/>
              <w:tabs>
                <w:tab w:val="left" w:pos="7440"/>
              </w:tabs>
              <w:spacing w:before="0" w:beforeLines="0"/>
              <w:ind w:left="0" w:leftChars="0" w:right="0" w:rightChars="0" w:firstLine="0"/>
              <w:rPr>
                <w:rFonts w:hint="eastAsia"/>
                <w:color w:val="auto"/>
                <w:kern w:val="0"/>
                <w:szCs w:val="21"/>
                <w:highlight w:val="none"/>
                <w:lang w:eastAsia="zh-CN"/>
              </w:rPr>
            </w:pPr>
            <w:r>
              <w:rPr>
                <w:rFonts w:hint="eastAsia"/>
                <w:color w:val="auto"/>
                <w:kern w:val="0"/>
                <w:szCs w:val="21"/>
                <w:highlight w:val="none"/>
                <w:lang w:eastAsia="zh-CN"/>
              </w:rPr>
              <w:t>有组织废气：非甲烷总烃：</w:t>
            </w:r>
            <w:r>
              <w:rPr>
                <w:rFonts w:hint="eastAsia"/>
                <w:color w:val="auto"/>
                <w:kern w:val="0"/>
                <w:sz w:val="24"/>
                <w:szCs w:val="24"/>
                <w:highlight w:val="none"/>
                <w:lang w:val="en-US" w:eastAsia="zh-CN"/>
              </w:rPr>
              <w:t>1.832</w:t>
            </w:r>
            <w:r>
              <w:rPr>
                <w:rFonts w:hint="eastAsia"/>
                <w:color w:val="auto"/>
                <w:kern w:val="0"/>
                <w:szCs w:val="21"/>
                <w:highlight w:val="none"/>
              </w:rPr>
              <w:t>t/a</w:t>
            </w:r>
            <w:r>
              <w:rPr>
                <w:rFonts w:hint="eastAsia"/>
                <w:color w:val="auto"/>
                <w:kern w:val="0"/>
                <w:szCs w:val="21"/>
                <w:highlight w:val="none"/>
                <w:lang w:eastAsia="zh-CN"/>
              </w:rPr>
              <w:t>。</w:t>
            </w:r>
          </w:p>
          <w:p>
            <w:pPr>
              <w:pStyle w:val="62"/>
              <w:tabs>
                <w:tab w:val="left" w:pos="7440"/>
              </w:tabs>
              <w:spacing w:before="0" w:beforeLines="0"/>
              <w:ind w:left="0" w:leftChars="0" w:right="0" w:rightChars="0" w:firstLine="0"/>
              <w:rPr>
                <w:rFonts w:hint="eastAsia"/>
                <w:color w:val="auto"/>
                <w:kern w:val="0"/>
                <w:szCs w:val="21"/>
                <w:highlight w:val="none"/>
                <w:lang w:eastAsia="zh-CN"/>
              </w:rPr>
            </w:pPr>
          </w:p>
          <w:p>
            <w:pPr>
              <w:pStyle w:val="62"/>
              <w:tabs>
                <w:tab w:val="left" w:pos="7440"/>
              </w:tabs>
              <w:spacing w:before="0" w:beforeLines="0"/>
              <w:ind w:left="0" w:leftChars="0" w:right="0" w:rightChars="0" w:firstLine="0"/>
              <w:rPr>
                <w:rFonts w:hint="eastAsia"/>
                <w:color w:val="auto"/>
                <w:kern w:val="0"/>
                <w:szCs w:val="21"/>
                <w:highlight w:val="none"/>
                <w:lang w:eastAsia="zh-CN"/>
              </w:rPr>
            </w:pPr>
          </w:p>
          <w:p>
            <w:pPr>
              <w:pStyle w:val="62"/>
              <w:tabs>
                <w:tab w:val="left" w:pos="7440"/>
              </w:tabs>
              <w:spacing w:before="0" w:beforeLines="0"/>
              <w:ind w:left="0" w:leftChars="0" w:right="0" w:rightChars="0" w:firstLine="0"/>
              <w:rPr>
                <w:rFonts w:hint="eastAsia"/>
                <w:color w:val="auto"/>
                <w:kern w:val="0"/>
                <w:szCs w:val="21"/>
                <w:highlight w:val="none"/>
                <w:lang w:eastAsia="zh-CN"/>
              </w:rPr>
            </w:pPr>
          </w:p>
          <w:p>
            <w:pPr>
              <w:pStyle w:val="62"/>
              <w:tabs>
                <w:tab w:val="left" w:pos="7440"/>
              </w:tabs>
              <w:spacing w:before="0" w:beforeLines="0"/>
              <w:ind w:left="0" w:leftChars="0" w:right="0" w:rightChars="0" w:firstLine="0"/>
              <w:rPr>
                <w:rFonts w:hint="eastAsia"/>
                <w:color w:val="auto"/>
                <w:kern w:val="0"/>
                <w:szCs w:val="21"/>
                <w:highlight w:val="none"/>
                <w:lang w:eastAsia="zh-CN"/>
              </w:rPr>
            </w:pPr>
          </w:p>
          <w:p>
            <w:pPr>
              <w:pStyle w:val="62"/>
              <w:tabs>
                <w:tab w:val="left" w:pos="7440"/>
              </w:tabs>
              <w:spacing w:before="0" w:beforeLines="0"/>
              <w:ind w:left="0" w:leftChars="0" w:right="0" w:rightChars="0" w:firstLine="0"/>
              <w:rPr>
                <w:rFonts w:hint="eastAsia"/>
                <w:color w:val="auto"/>
                <w:kern w:val="0"/>
                <w:szCs w:val="21"/>
                <w:highlight w:val="none"/>
                <w:lang w:eastAsia="zh-CN"/>
              </w:rPr>
            </w:pPr>
          </w:p>
          <w:p>
            <w:pPr>
              <w:pStyle w:val="62"/>
              <w:tabs>
                <w:tab w:val="left" w:pos="7440"/>
              </w:tabs>
              <w:spacing w:before="0" w:beforeLines="0"/>
              <w:ind w:left="0" w:leftChars="0" w:right="0" w:rightChars="0" w:firstLine="0"/>
              <w:rPr>
                <w:rFonts w:hint="eastAsia"/>
                <w:color w:val="auto"/>
                <w:kern w:val="0"/>
                <w:szCs w:val="21"/>
                <w:highlight w:val="none"/>
                <w:lang w:eastAsia="zh-CN"/>
              </w:rPr>
            </w:pPr>
          </w:p>
          <w:p>
            <w:pPr>
              <w:pStyle w:val="62"/>
              <w:tabs>
                <w:tab w:val="left" w:pos="7440"/>
              </w:tabs>
              <w:spacing w:before="0" w:beforeLines="0"/>
              <w:ind w:left="0" w:leftChars="0" w:right="0" w:rightChars="0" w:firstLine="0"/>
              <w:rPr>
                <w:rFonts w:hint="eastAsia"/>
                <w:color w:val="auto"/>
                <w:kern w:val="0"/>
                <w:szCs w:val="21"/>
                <w:highlight w:val="none"/>
                <w:lang w:eastAsia="zh-CN"/>
              </w:rPr>
            </w:pPr>
          </w:p>
          <w:p>
            <w:pPr>
              <w:pStyle w:val="62"/>
              <w:tabs>
                <w:tab w:val="left" w:pos="7440"/>
              </w:tabs>
              <w:spacing w:before="0" w:beforeLines="0"/>
              <w:ind w:left="0" w:leftChars="0" w:right="0" w:rightChars="0" w:firstLine="0"/>
              <w:rPr>
                <w:rFonts w:hint="eastAsia"/>
                <w:color w:val="auto"/>
                <w:kern w:val="0"/>
                <w:szCs w:val="21"/>
                <w:highlight w:val="none"/>
                <w:lang w:eastAsia="zh-CN"/>
              </w:rPr>
            </w:pPr>
          </w:p>
          <w:p>
            <w:pPr>
              <w:pStyle w:val="62"/>
              <w:tabs>
                <w:tab w:val="left" w:pos="7440"/>
              </w:tabs>
              <w:spacing w:before="0" w:beforeLines="0"/>
              <w:ind w:left="0" w:leftChars="0" w:right="0" w:rightChars="0" w:firstLine="0"/>
              <w:rPr>
                <w:rFonts w:hint="eastAsia"/>
                <w:color w:val="auto"/>
                <w:kern w:val="0"/>
                <w:szCs w:val="21"/>
                <w:highlight w:val="none"/>
                <w:lang w:val="en-US" w:eastAsia="zh-CN"/>
              </w:rPr>
            </w:pPr>
          </w:p>
        </w:tc>
      </w:tr>
    </w:tbl>
    <w:p>
      <w:pPr>
        <w:pStyle w:val="20"/>
        <w:jc w:val="center"/>
        <w:outlineLvl w:val="0"/>
        <w:rPr>
          <w:rFonts w:ascii="Times New Roman" w:hAnsi="Times New Roman"/>
          <w:snapToGrid w:val="0"/>
          <w:color w:val="auto"/>
          <w:sz w:val="30"/>
          <w:szCs w:val="30"/>
        </w:rPr>
      </w:pPr>
      <w:r>
        <w:rPr>
          <w:rFonts w:ascii="Times New Roman" w:hAnsi="Times New Roman"/>
          <w:snapToGrid w:val="0"/>
          <w:color w:val="auto"/>
          <w:sz w:val="36"/>
          <w:szCs w:val="36"/>
        </w:rPr>
        <w:br w:type="page"/>
      </w:r>
      <w:r>
        <w:rPr>
          <w:rFonts w:hint="eastAsia" w:ascii="Times New Roman" w:hAnsi="Times New Roman"/>
          <w:snapToGrid w:val="0"/>
          <w:color w:val="auto"/>
          <w:sz w:val="30"/>
          <w:szCs w:val="30"/>
        </w:rPr>
        <w:t>四、主要环境影响和保护措施</w:t>
      </w:r>
    </w:p>
    <w:tbl>
      <w:tblPr>
        <w:tblStyle w:val="2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2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418" w:type="pct"/>
            <w:tcMar>
              <w:left w:w="28" w:type="dxa"/>
              <w:right w:w="28" w:type="dxa"/>
            </w:tcMar>
            <w:vAlign w:val="center"/>
          </w:tcPr>
          <w:p>
            <w:pPr>
              <w:pStyle w:val="20"/>
              <w:adjustRightInd w:val="0"/>
              <w:snapToGrid w:val="0"/>
              <w:spacing w:before="0" w:beforeAutospacing="0" w:after="0" w:afterAutospacing="0"/>
              <w:jc w:val="center"/>
              <w:rPr>
                <w:rFonts w:ascii="Times New Roman" w:hAnsi="Times New Roman" w:cs="宋体"/>
                <w:color w:val="auto"/>
                <w:kern w:val="2"/>
                <w:sz w:val="24"/>
                <w:szCs w:val="24"/>
              </w:rPr>
            </w:pPr>
            <w:r>
              <w:rPr>
                <w:rFonts w:hint="eastAsia" w:ascii="Times New Roman" w:hAnsi="Times New Roman" w:cs="宋体"/>
                <w:color w:val="auto"/>
                <w:kern w:val="2"/>
                <w:sz w:val="24"/>
                <w:szCs w:val="24"/>
              </w:rPr>
              <w:t>施工</w:t>
            </w:r>
          </w:p>
          <w:p>
            <w:pPr>
              <w:pStyle w:val="20"/>
              <w:adjustRightInd w:val="0"/>
              <w:snapToGrid w:val="0"/>
              <w:spacing w:before="0" w:beforeAutospacing="0" w:after="0" w:afterAutospacing="0"/>
              <w:jc w:val="center"/>
              <w:rPr>
                <w:rFonts w:ascii="Times New Roman" w:hAnsi="Times New Roman" w:cs="宋体"/>
                <w:color w:val="auto"/>
                <w:kern w:val="2"/>
                <w:sz w:val="24"/>
                <w:szCs w:val="24"/>
              </w:rPr>
            </w:pPr>
            <w:r>
              <w:rPr>
                <w:rFonts w:hint="eastAsia" w:ascii="Times New Roman" w:hAnsi="Times New Roman" w:cs="宋体"/>
                <w:color w:val="auto"/>
                <w:kern w:val="2"/>
                <w:sz w:val="24"/>
                <w:szCs w:val="24"/>
              </w:rPr>
              <w:t>期环</w:t>
            </w:r>
          </w:p>
          <w:p>
            <w:pPr>
              <w:pStyle w:val="20"/>
              <w:adjustRightInd w:val="0"/>
              <w:snapToGrid w:val="0"/>
              <w:spacing w:before="0" w:beforeAutospacing="0" w:after="0" w:afterAutospacing="0"/>
              <w:jc w:val="center"/>
              <w:rPr>
                <w:rFonts w:ascii="Times New Roman" w:hAnsi="Times New Roman" w:cs="宋体"/>
                <w:color w:val="auto"/>
                <w:kern w:val="2"/>
                <w:sz w:val="24"/>
                <w:szCs w:val="24"/>
              </w:rPr>
            </w:pPr>
            <w:r>
              <w:rPr>
                <w:rFonts w:hint="eastAsia" w:ascii="Times New Roman" w:hAnsi="Times New Roman" w:cs="宋体"/>
                <w:color w:val="auto"/>
                <w:kern w:val="2"/>
                <w:sz w:val="24"/>
                <w:szCs w:val="24"/>
              </w:rPr>
              <w:t>境保</w:t>
            </w:r>
          </w:p>
          <w:p>
            <w:pPr>
              <w:pStyle w:val="20"/>
              <w:adjustRightInd w:val="0"/>
              <w:snapToGrid w:val="0"/>
              <w:spacing w:before="0" w:beforeAutospacing="0" w:after="0" w:afterAutospacing="0"/>
              <w:jc w:val="center"/>
              <w:rPr>
                <w:rFonts w:ascii="Times New Roman" w:hAnsi="Times New Roman" w:cs="宋体"/>
                <w:color w:val="auto"/>
                <w:kern w:val="2"/>
                <w:sz w:val="24"/>
                <w:szCs w:val="24"/>
              </w:rPr>
            </w:pPr>
            <w:r>
              <w:rPr>
                <w:rFonts w:hint="eastAsia" w:ascii="Times New Roman" w:hAnsi="Times New Roman" w:cs="宋体"/>
                <w:color w:val="auto"/>
                <w:kern w:val="2"/>
                <w:sz w:val="24"/>
                <w:szCs w:val="24"/>
              </w:rPr>
              <w:t>护措</w:t>
            </w:r>
          </w:p>
          <w:p>
            <w:pPr>
              <w:pStyle w:val="20"/>
              <w:adjustRightInd w:val="0"/>
              <w:snapToGrid w:val="0"/>
              <w:spacing w:before="0" w:beforeAutospacing="0" w:after="0" w:afterAutospacing="0"/>
              <w:jc w:val="center"/>
              <w:rPr>
                <w:rFonts w:ascii="Times New Roman" w:hAnsi="Times New Roman" w:cs="宋体"/>
                <w:bCs/>
                <w:color w:val="auto"/>
                <w:kern w:val="2"/>
                <w:sz w:val="24"/>
                <w:szCs w:val="24"/>
              </w:rPr>
            </w:pPr>
            <w:r>
              <w:rPr>
                <w:rFonts w:hint="eastAsia" w:ascii="Times New Roman" w:hAnsi="Times New Roman" w:cs="宋体"/>
                <w:color w:val="auto"/>
                <w:kern w:val="2"/>
                <w:sz w:val="24"/>
                <w:szCs w:val="24"/>
              </w:rPr>
              <w:t>施</w:t>
            </w:r>
          </w:p>
        </w:tc>
        <w:tc>
          <w:tcPr>
            <w:tcW w:w="4581" w:type="pct"/>
            <w:vAlign w:val="center"/>
          </w:tcPr>
          <w:p>
            <w:pP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4.1施工期环境保护措施</w:t>
            </w:r>
          </w:p>
          <w:p>
            <w:pPr>
              <w:pStyle w:val="15"/>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w:t>
            </w:r>
            <w:r>
              <w:rPr>
                <w:rFonts w:hint="default" w:ascii="Times New Roman" w:hAnsi="Times New Roman" w:cs="Times New Roman"/>
                <w:color w:val="auto"/>
                <w:sz w:val="24"/>
                <w:szCs w:val="24"/>
                <w:lang w:eastAsia="zh-CN"/>
              </w:rPr>
              <w:t>利用</w:t>
            </w:r>
            <w:r>
              <w:rPr>
                <w:rFonts w:hint="default" w:ascii="Times New Roman" w:hAnsi="Times New Roman" w:cs="Times New Roman"/>
                <w:color w:val="auto"/>
                <w:sz w:val="24"/>
                <w:szCs w:val="24"/>
              </w:rPr>
              <w:t>已建闲置厂房，施工期不涉及土木工程，只涉及设备入场和安装调试。施工期影响主要为厂房装修及设备安装产生的一般废气、废水、噪声和固废。</w:t>
            </w:r>
          </w:p>
          <w:p>
            <w:pPr>
              <w:pStyle w:val="15"/>
              <w:numPr>
                <w:ilvl w:val="0"/>
                <w:numId w:val="0"/>
              </w:num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4.1.1</w:t>
            </w:r>
            <w:r>
              <w:rPr>
                <w:rFonts w:hint="default" w:ascii="Times New Roman" w:hAnsi="Times New Roman" w:cs="Times New Roman"/>
                <w:b/>
                <w:bCs/>
                <w:color w:val="auto"/>
                <w:sz w:val="24"/>
                <w:szCs w:val="24"/>
              </w:rPr>
              <w:t>废气</w:t>
            </w:r>
          </w:p>
          <w:p>
            <w:pPr>
              <w:pStyle w:val="15"/>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装修施工阶段，项目主要废气来源为室内墙面打磨时产生的装修废气，主要为粉尘</w:t>
            </w:r>
            <w:r>
              <w:rPr>
                <w:rFonts w:hint="default" w:ascii="Times New Roman" w:hAnsi="Times New Roman" w:cs="Times New Roman"/>
                <w:color w:val="auto"/>
                <w:sz w:val="24"/>
                <w:szCs w:val="24"/>
                <w:lang w:eastAsia="zh-CN"/>
              </w:rPr>
              <w:t>等</w:t>
            </w:r>
            <w:r>
              <w:rPr>
                <w:rFonts w:hint="default" w:ascii="Times New Roman" w:hAnsi="Times New Roman" w:cs="Times New Roman"/>
                <w:color w:val="auto"/>
                <w:sz w:val="24"/>
                <w:szCs w:val="24"/>
              </w:rPr>
              <w:t>，均为无组织排放，由于用量不大，对周围环境不会产生明显影响。</w:t>
            </w:r>
          </w:p>
          <w:p>
            <w:pPr>
              <w:pStyle w:val="15"/>
              <w:numPr>
                <w:ilvl w:val="0"/>
                <w:numId w:val="0"/>
              </w:numPr>
              <w:spacing w:line="360" w:lineRule="auto"/>
              <w:ind w:left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4.1.2</w:t>
            </w:r>
            <w:r>
              <w:rPr>
                <w:rFonts w:hint="default" w:ascii="Times New Roman" w:hAnsi="Times New Roman" w:cs="Times New Roman"/>
                <w:b/>
                <w:bCs/>
                <w:color w:val="auto"/>
                <w:sz w:val="24"/>
                <w:szCs w:val="24"/>
              </w:rPr>
              <w:t>废水</w:t>
            </w:r>
          </w:p>
          <w:p>
            <w:pPr>
              <w:pStyle w:val="15"/>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拟建项目装修过程中，室内清洁等产生少量施工废水，由于量很小，未对周围环境产生明显影响。施工期间，施工人员均在外就餐和住宿，因此，拟建项目施工期产生的生活污水均依托外部设施处理达标后排放。</w:t>
            </w:r>
          </w:p>
          <w:p>
            <w:pPr>
              <w:pStyle w:val="15"/>
              <w:numPr>
                <w:ilvl w:val="0"/>
                <w:numId w:val="0"/>
              </w:numPr>
              <w:spacing w:line="360" w:lineRule="auto"/>
              <w:ind w:left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4.1.3</w:t>
            </w:r>
            <w:r>
              <w:rPr>
                <w:rFonts w:hint="default" w:ascii="Times New Roman" w:hAnsi="Times New Roman" w:cs="Times New Roman"/>
                <w:b/>
                <w:bCs/>
                <w:color w:val="auto"/>
                <w:sz w:val="24"/>
                <w:szCs w:val="24"/>
              </w:rPr>
              <w:t>噪声</w:t>
            </w:r>
          </w:p>
          <w:p>
            <w:pPr>
              <w:pStyle w:val="15"/>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装修期间主要噪声设备有电钻、手工钻、无齿锯、切割机等高噪声设备，噪声值约70～85dB（A）。施工均在室内施工昼间作业，夜间不作业，周围无集中的居民住宅。噪声对环境影响不大。</w:t>
            </w:r>
          </w:p>
          <w:p>
            <w:pPr>
              <w:pStyle w:val="15"/>
              <w:numPr>
                <w:ilvl w:val="0"/>
                <w:numId w:val="0"/>
              </w:numPr>
              <w:spacing w:line="360" w:lineRule="auto"/>
              <w:ind w:left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4.1.4</w:t>
            </w:r>
            <w:r>
              <w:rPr>
                <w:rFonts w:hint="default" w:ascii="Times New Roman" w:hAnsi="Times New Roman" w:cs="Times New Roman"/>
                <w:b/>
                <w:bCs/>
                <w:color w:val="auto"/>
                <w:sz w:val="24"/>
                <w:szCs w:val="24"/>
              </w:rPr>
              <w:t>固废</w:t>
            </w:r>
          </w:p>
          <w:p>
            <w:pPr>
              <w:pStyle w:val="15"/>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施工装修期间会产生装饰废弃物料</w:t>
            </w:r>
            <w:r>
              <w:rPr>
                <w:rFonts w:hint="default" w:ascii="Times New Roman" w:hAnsi="Times New Roman" w:cs="Times New Roman"/>
                <w:color w:val="auto"/>
                <w:sz w:val="24"/>
                <w:szCs w:val="24"/>
                <w:lang w:eastAsia="zh-CN"/>
              </w:rPr>
              <w:t>等</w:t>
            </w:r>
            <w:r>
              <w:rPr>
                <w:rFonts w:hint="default" w:ascii="Times New Roman" w:hAnsi="Times New Roman" w:cs="Times New Roman"/>
                <w:color w:val="auto"/>
                <w:sz w:val="24"/>
                <w:szCs w:val="24"/>
              </w:rPr>
              <w:t>。项目装修期间产生的各类固废分类收集，可综合利用的废物卖入废品收费站，不可利用的则外运到城市建设管理局指定地点填埋处置。由于施工人员均在外就餐和住宿，施工期产生的生活垃圾均依托外部相应设施处理。在对施工期固体废物进行上述处理后，对周围环境影响较小。</w:t>
            </w:r>
          </w:p>
          <w:p>
            <w:pPr>
              <w:pStyle w:val="15"/>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拟建项目工程量较小，施工期较短，施工期影响随施工期完成而消除。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8" w:hRule="atLeast"/>
          <w:jc w:val="center"/>
        </w:trPr>
        <w:tc>
          <w:tcPr>
            <w:tcW w:w="418" w:type="pct"/>
            <w:tcMar>
              <w:left w:w="28" w:type="dxa"/>
              <w:right w:w="28" w:type="dxa"/>
            </w:tcMar>
            <w:vAlign w:val="center"/>
          </w:tcPr>
          <w:p>
            <w:pPr>
              <w:adjustRightInd w:val="0"/>
              <w:snapToGrid w:val="0"/>
              <w:jc w:val="center"/>
              <w:rPr>
                <w:rFonts w:cs="宋体"/>
                <w:bCs/>
                <w:color w:val="auto"/>
                <w:sz w:val="24"/>
                <w:szCs w:val="24"/>
              </w:rPr>
            </w:pPr>
            <w:r>
              <w:rPr>
                <w:rFonts w:hint="eastAsia" w:cs="宋体"/>
                <w:bCs/>
                <w:color w:val="auto"/>
                <w:sz w:val="24"/>
                <w:szCs w:val="24"/>
              </w:rPr>
              <w:t>运营</w:t>
            </w:r>
          </w:p>
          <w:p>
            <w:pPr>
              <w:adjustRightInd w:val="0"/>
              <w:snapToGrid w:val="0"/>
              <w:jc w:val="center"/>
              <w:rPr>
                <w:rFonts w:cs="宋体"/>
                <w:bCs/>
                <w:color w:val="auto"/>
                <w:sz w:val="24"/>
                <w:szCs w:val="24"/>
              </w:rPr>
            </w:pPr>
            <w:r>
              <w:rPr>
                <w:rFonts w:hint="eastAsia" w:cs="宋体"/>
                <w:bCs/>
                <w:color w:val="auto"/>
                <w:sz w:val="24"/>
                <w:szCs w:val="24"/>
              </w:rPr>
              <w:t>期环</w:t>
            </w:r>
          </w:p>
          <w:p>
            <w:pPr>
              <w:adjustRightInd w:val="0"/>
              <w:snapToGrid w:val="0"/>
              <w:jc w:val="center"/>
              <w:rPr>
                <w:rFonts w:cs="宋体"/>
                <w:bCs/>
                <w:color w:val="auto"/>
                <w:sz w:val="24"/>
                <w:szCs w:val="24"/>
              </w:rPr>
            </w:pPr>
            <w:r>
              <w:rPr>
                <w:rFonts w:hint="eastAsia" w:cs="宋体"/>
                <w:bCs/>
                <w:color w:val="auto"/>
                <w:sz w:val="24"/>
                <w:szCs w:val="24"/>
              </w:rPr>
              <w:t>境影</w:t>
            </w:r>
          </w:p>
          <w:p>
            <w:pPr>
              <w:adjustRightInd w:val="0"/>
              <w:snapToGrid w:val="0"/>
              <w:jc w:val="center"/>
              <w:rPr>
                <w:rFonts w:cs="宋体"/>
                <w:bCs/>
                <w:color w:val="auto"/>
                <w:sz w:val="24"/>
                <w:szCs w:val="24"/>
              </w:rPr>
            </w:pPr>
            <w:r>
              <w:rPr>
                <w:rFonts w:hint="eastAsia" w:cs="宋体"/>
                <w:bCs/>
                <w:color w:val="auto"/>
                <w:sz w:val="24"/>
                <w:szCs w:val="24"/>
              </w:rPr>
              <w:t>响和</w:t>
            </w:r>
          </w:p>
          <w:p>
            <w:pPr>
              <w:adjustRightInd w:val="0"/>
              <w:snapToGrid w:val="0"/>
              <w:jc w:val="center"/>
              <w:rPr>
                <w:rFonts w:cs="宋体"/>
                <w:bCs/>
                <w:color w:val="auto"/>
                <w:sz w:val="24"/>
                <w:szCs w:val="24"/>
              </w:rPr>
            </w:pPr>
            <w:r>
              <w:rPr>
                <w:rFonts w:hint="eastAsia" w:cs="宋体"/>
                <w:bCs/>
                <w:color w:val="auto"/>
                <w:sz w:val="24"/>
                <w:szCs w:val="24"/>
              </w:rPr>
              <w:t>保护</w:t>
            </w:r>
          </w:p>
          <w:p>
            <w:pPr>
              <w:adjustRightInd w:val="0"/>
              <w:snapToGrid w:val="0"/>
              <w:jc w:val="center"/>
              <w:rPr>
                <w:rFonts w:cs="宋体"/>
                <w:bCs/>
                <w:color w:val="auto"/>
                <w:sz w:val="24"/>
                <w:szCs w:val="24"/>
              </w:rPr>
            </w:pPr>
            <w:r>
              <w:rPr>
                <w:rFonts w:hint="eastAsia" w:cs="宋体"/>
                <w:bCs/>
                <w:color w:val="auto"/>
                <w:sz w:val="24"/>
                <w:szCs w:val="24"/>
              </w:rPr>
              <w:t>措施</w:t>
            </w:r>
          </w:p>
        </w:tc>
        <w:tc>
          <w:tcPr>
            <w:tcW w:w="4581" w:type="pct"/>
            <w:vAlign w:val="center"/>
          </w:tcPr>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4.2废气环境影响及保护措施</w:t>
            </w:r>
          </w:p>
          <w:p>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4.2.1废气源强分析</w:t>
            </w:r>
          </w:p>
          <w:p>
            <w:pPr>
              <w:pStyle w:val="40"/>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拟建项目营运期产生的废气主要为胶粘废气G1</w:t>
            </w:r>
            <w:r>
              <w:rPr>
                <w:rFonts w:hint="default" w:ascii="Times New Roman" w:hAnsi="Times New Roman" w:cs="Times New Roman"/>
                <w:color w:val="auto"/>
                <w:sz w:val="24"/>
                <w:szCs w:val="24"/>
                <w:lang w:eastAsia="zh-CN"/>
              </w:rPr>
              <w:t>，流延废气G2，拌料废气G3，吹膜废气G</w:t>
            </w:r>
            <w:r>
              <w:rPr>
                <w:rFonts w:hint="default" w:ascii="Times New Roman" w:hAnsi="Times New Roman" w:cs="Times New Roman"/>
                <w:color w:val="auto"/>
                <w:sz w:val="24"/>
                <w:szCs w:val="24"/>
                <w:lang w:val="en-US" w:eastAsia="zh-CN"/>
              </w:rPr>
              <w:t>4、G5，制袋废气G6、G7，食堂废气G8，危废间有机废气G9</w:t>
            </w:r>
            <w:r>
              <w:rPr>
                <w:rFonts w:hint="eastAsia" w:ascii="Times New Roman" w:hAnsi="Times New Roman" w:cs="Times New Roman"/>
                <w:color w:val="auto"/>
                <w:sz w:val="24"/>
                <w:szCs w:val="24"/>
                <w:lang w:val="en-US" w:eastAsia="zh-CN"/>
              </w:rPr>
              <w:t>、生化池废气G10</w:t>
            </w:r>
            <w:r>
              <w:rPr>
                <w:rFonts w:hint="default" w:ascii="Times New Roman" w:hAnsi="Times New Roman" w:cs="Times New Roman"/>
                <w:color w:val="auto"/>
                <w:sz w:val="24"/>
                <w:szCs w:val="24"/>
              </w:rPr>
              <w:t>。</w:t>
            </w:r>
          </w:p>
          <w:p>
            <w:pPr>
              <w:pStyle w:val="40"/>
              <w:spacing w:line="360" w:lineRule="auto"/>
              <w:ind w:left="0" w:leftChars="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w:t>
            </w:r>
            <w:r>
              <w:rPr>
                <w:rFonts w:hint="eastAsia" w:cs="Times New Roman"/>
                <w:color w:val="auto"/>
                <w:sz w:val="24"/>
                <w:szCs w:val="24"/>
                <w:lang w:eastAsia="zh-CN"/>
              </w:rPr>
              <w:t>流延、吹膜</w:t>
            </w:r>
            <w:r>
              <w:rPr>
                <w:rFonts w:hint="default" w:ascii="Times New Roman" w:hAnsi="Times New Roman" w:cs="Times New Roman"/>
                <w:color w:val="auto"/>
                <w:sz w:val="24"/>
                <w:szCs w:val="24"/>
              </w:rPr>
              <w:t>过程因局部受热不均、单体分布不均等原因，会产生少量气溶胶（表征为颗粒物）产生。气溶胶（表征为颗粒物）仅在注塑机局部受热不均情况下产生，根据《合成树脂行业废气的环境影响评价方法分析》([3]王海玥，李厦.合成树脂行业废气的环境影响评价方法分析[J].环境与发展,2020,32(12):14-15)，合成树脂行业颗粒物主要源于破碎、过筛等工艺，本次评价不针对挤塑过程中产生的气溶胶（表征为颗粒物）做定量计算，仅达标排放要求及相应管理要求：运营期设备定期保养，操作过程若发现局部过热情况立即停止生产进行设备检修。</w:t>
            </w:r>
          </w:p>
          <w:p>
            <w:pPr>
              <w:pStyle w:val="40"/>
              <w:spacing w:line="360" w:lineRule="auto"/>
              <w:ind w:left="0" w:leftChars="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同时拟建项目挤塑过程有机废气散发的异味以臭气浓度为评价因子，但臭气浓度随着有机废气的收集、处理得到相应的削减，因此本次环评不对臭气浓度进行定量分析，仅提出达标排放要求及监测计划：要求达到《恶臭污染物排放标准》（GB14554-93）中相应标准。</w:t>
            </w:r>
          </w:p>
          <w:p>
            <w:pPr>
              <w:pStyle w:val="40"/>
              <w:widowControl w:val="0"/>
              <w:numPr>
                <w:ilvl w:val="0"/>
                <w:numId w:val="0"/>
              </w:numPr>
              <w:spacing w:line="360" w:lineRule="auto"/>
              <w:ind w:firstLine="482" w:firstLineChars="20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（1）胶粘废气G1</w:t>
            </w:r>
          </w:p>
          <w:p>
            <w:pPr>
              <w:pStyle w:val="40"/>
              <w:widowControl w:val="0"/>
              <w:numPr>
                <w:ilvl w:val="0"/>
                <w:numId w:val="0"/>
              </w:numPr>
              <w:spacing w:line="360" w:lineRule="auto"/>
              <w:ind w:firstLine="480" w:firstLineChars="200"/>
              <w:jc w:val="both"/>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color w:val="auto"/>
                <w:sz w:val="24"/>
                <w:szCs w:val="24"/>
                <w:lang w:val="en-US" w:eastAsia="zh-CN"/>
              </w:rPr>
              <w:t>拟建项目卷管过程使用白乳胶会产生胶粘废气G1，由建设单位提供的MSDS可知，其有机挥发分最大占比为13%，挥发分以非甲烷总烃计。拟建项目使用白胶约1.2t/a</w:t>
            </w:r>
            <w:r>
              <w:rPr>
                <w:rFonts w:hint="eastAsia" w:ascii="Times New Roman" w:hAnsi="Times New Roman" w:cs="Times New Roman"/>
                <w:color w:val="auto"/>
                <w:sz w:val="24"/>
                <w:szCs w:val="24"/>
                <w:lang w:val="en-US" w:eastAsia="zh-CN"/>
              </w:rPr>
              <w:t>（日生产时长为</w:t>
            </w:r>
            <w:r>
              <w:rPr>
                <w:rFonts w:hint="eastAsia" w:cs="Times New Roman"/>
                <w:color w:val="auto"/>
                <w:sz w:val="24"/>
                <w:szCs w:val="24"/>
                <w:lang w:val="en-US" w:eastAsia="zh-CN"/>
              </w:rPr>
              <w:t>8</w:t>
            </w:r>
            <w:r>
              <w:rPr>
                <w:rFonts w:hint="eastAsia" w:ascii="Times New Roman" w:hAnsi="Times New Roman" w:cs="Times New Roman"/>
                <w:color w:val="auto"/>
                <w:sz w:val="24"/>
                <w:szCs w:val="24"/>
                <w:lang w:val="en-US" w:eastAsia="zh-CN"/>
              </w:rPr>
              <w:t>h，年生产300d）</w:t>
            </w:r>
            <w:r>
              <w:rPr>
                <w:rFonts w:hint="default" w:ascii="Times New Roman" w:hAnsi="Times New Roman" w:cs="Times New Roman"/>
                <w:color w:val="auto"/>
                <w:sz w:val="24"/>
                <w:szCs w:val="24"/>
                <w:lang w:val="en-US" w:eastAsia="zh-CN"/>
              </w:rPr>
              <w:t>，则产生非甲烷总烃0.156t/a。在3台卷管机涂胶位置设置3个集气罩</w:t>
            </w:r>
            <w:r>
              <w:rPr>
                <w:rFonts w:hint="eastAsia" w:ascii="Times New Roman" w:hAnsi="Times New Roman" w:cs="Times New Roman"/>
                <w:color w:val="auto"/>
                <w:sz w:val="24"/>
                <w:szCs w:val="24"/>
                <w:lang w:val="en-US" w:eastAsia="zh-CN"/>
              </w:rPr>
              <w:t>，集气罩规格均为0.3m*0.3m</w:t>
            </w:r>
            <w:r>
              <w:rPr>
                <w:rFonts w:hint="default" w:ascii="Times New Roman" w:hAnsi="Times New Roman" w:cs="Times New Roman"/>
                <w:b w:val="0"/>
                <w:bCs/>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根据简明通风设计手册，集气罩抽风量计算公式如下：</w:t>
            </w:r>
          </w:p>
          <w:p>
            <w:pPr>
              <w:pStyle w:val="40"/>
              <w:spacing w:line="36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Q=L*P*H*V</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式中：Q-风量，m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/s；</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L-集气罩敞开面的周长，</w:t>
            </w:r>
            <w:r>
              <w:rPr>
                <w:rFonts w:hint="default" w:ascii="Times New Roman" w:hAnsi="Times New Roman" w:cs="Times New Roman"/>
                <w:color w:val="auto"/>
                <w:sz w:val="24"/>
                <w:szCs w:val="24"/>
                <w:lang w:val="en-US" w:eastAsia="zh-CN"/>
              </w:rPr>
              <w:t>取1.2</w:t>
            </w:r>
            <w:r>
              <w:rPr>
                <w:rFonts w:hint="default" w:ascii="Times New Roman" w:hAnsi="Times New Roman" w:eastAsia="宋体" w:cs="Times New Roman"/>
                <w:color w:val="auto"/>
                <w:sz w:val="24"/>
                <w:szCs w:val="24"/>
                <w:lang w:val="en-US" w:eastAsia="zh-CN"/>
              </w:rPr>
              <w:t>m；</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H-罩口至有害物源的距离，</w:t>
            </w:r>
            <w:r>
              <w:rPr>
                <w:rFonts w:hint="default" w:ascii="Times New Roman" w:hAnsi="Times New Roman" w:cs="Times New Roman"/>
                <w:color w:val="auto"/>
                <w:sz w:val="24"/>
                <w:szCs w:val="24"/>
                <w:lang w:val="en-US" w:eastAsia="zh-CN"/>
              </w:rPr>
              <w:t>取0.2</w:t>
            </w:r>
            <w:r>
              <w:rPr>
                <w:rFonts w:hint="default" w:ascii="Times New Roman" w:hAnsi="Times New Roman" w:eastAsia="宋体" w:cs="Times New Roman"/>
                <w:color w:val="auto"/>
                <w:sz w:val="24"/>
                <w:szCs w:val="24"/>
                <w:lang w:val="en-US" w:eastAsia="zh-CN"/>
              </w:rPr>
              <w:t>m；</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V-边缘控制点的控制风速，m/s，</w:t>
            </w:r>
            <w:r>
              <w:rPr>
                <w:rFonts w:hint="default" w:ascii="Times New Roman" w:hAnsi="Times New Roman" w:cs="Times New Roman"/>
                <w:color w:val="auto"/>
                <w:sz w:val="24"/>
                <w:szCs w:val="24"/>
                <w:lang w:val="en-US" w:eastAsia="zh-CN"/>
              </w:rPr>
              <w:t>属于“</w:t>
            </w:r>
            <w:r>
              <w:rPr>
                <w:rFonts w:hint="default" w:ascii="Times New Roman" w:hAnsi="Times New Roman" w:eastAsia="宋体" w:cs="Times New Roman"/>
                <w:color w:val="auto"/>
                <w:sz w:val="24"/>
                <w:szCs w:val="24"/>
                <w:lang w:val="en-US" w:eastAsia="zh-CN"/>
              </w:rPr>
              <w:t>以较低的初速度放散到尚属平静的空气中</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取</w:t>
            </w:r>
            <w:r>
              <w:rPr>
                <w:rFonts w:hint="default" w:ascii="Times New Roman" w:hAnsi="Times New Roman"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P-考虑沿高度分布不均匀的安全系数，取1.4；</w:t>
            </w:r>
          </w:p>
          <w:p>
            <w:pPr>
              <w:pStyle w:val="40"/>
              <w:widowControl w:val="0"/>
              <w:numPr>
                <w:ilvl w:val="0"/>
                <w:numId w:val="0"/>
              </w:numPr>
              <w:spacing w:line="360" w:lineRule="auto"/>
              <w:ind w:firstLine="468" w:firstLineChars="200"/>
              <w:jc w:val="both"/>
              <w:rPr>
                <w:rFonts w:hint="default" w:ascii="Times New Roman" w:hAnsi="Times New Roman" w:cs="Times New Roman"/>
                <w:b w:val="0"/>
                <w:bCs/>
                <w:color w:val="auto"/>
                <w:sz w:val="24"/>
                <w:szCs w:val="24"/>
                <w:highlight w:val="none"/>
                <w:lang w:val="en-US" w:eastAsia="zh-CN"/>
              </w:rPr>
            </w:pPr>
            <w:r>
              <w:rPr>
                <w:rFonts w:hint="default" w:ascii="Times New Roman" w:hAnsi="Times New Roman" w:eastAsia="宋体" w:cs="Times New Roman"/>
                <w:color w:val="auto"/>
                <w:spacing w:val="-3"/>
                <w:sz w:val="24"/>
                <w:szCs w:val="24"/>
                <w:lang w:eastAsia="zh-CN"/>
              </w:rPr>
              <w:t>经计算，单个</w:t>
            </w:r>
            <w:r>
              <w:rPr>
                <w:rFonts w:hint="default" w:ascii="Times New Roman" w:hAnsi="Times New Roman" w:cs="Times New Roman"/>
                <w:color w:val="auto"/>
                <w:spacing w:val="-3"/>
                <w:sz w:val="24"/>
                <w:szCs w:val="24"/>
                <w:lang w:val="en-US" w:eastAsia="zh-CN"/>
              </w:rPr>
              <w:t>集气罩</w:t>
            </w:r>
            <w:r>
              <w:rPr>
                <w:rFonts w:hint="default" w:ascii="Times New Roman" w:hAnsi="Times New Roman" w:eastAsia="宋体" w:cs="Times New Roman"/>
                <w:color w:val="auto"/>
                <w:spacing w:val="-3"/>
                <w:sz w:val="24"/>
                <w:szCs w:val="24"/>
                <w:lang w:eastAsia="zh-CN"/>
              </w:rPr>
              <w:t>风量为</w:t>
            </w:r>
            <w:r>
              <w:rPr>
                <w:rFonts w:hint="default" w:ascii="Times New Roman" w:hAnsi="Times New Roman" w:cs="Times New Roman"/>
                <w:color w:val="auto"/>
                <w:spacing w:val="-3"/>
                <w:sz w:val="24"/>
                <w:szCs w:val="24"/>
                <w:lang w:val="en-US" w:eastAsia="zh-CN"/>
              </w:rPr>
              <w:t>604.8</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w:t>
            </w:r>
            <w:r>
              <w:rPr>
                <w:rFonts w:hint="default" w:ascii="Times New Roman" w:hAnsi="Times New Roman" w:cs="Times New Roman"/>
                <w:color w:val="auto"/>
                <w:spacing w:val="-3"/>
                <w:sz w:val="24"/>
                <w:szCs w:val="24"/>
                <w:lang w:val="en-US" w:eastAsia="zh-CN"/>
              </w:rPr>
              <w:t>则</w:t>
            </w:r>
            <w:r>
              <w:rPr>
                <w:rFonts w:hint="default" w:ascii="Times New Roman" w:hAnsi="Times New Roman" w:eastAsia="宋体" w:cs="Times New Roman"/>
                <w:color w:val="auto"/>
                <w:spacing w:val="-3"/>
                <w:sz w:val="24"/>
                <w:szCs w:val="24"/>
                <w:lang w:val="en-US" w:eastAsia="zh-CN"/>
              </w:rPr>
              <w:t>风机</w:t>
            </w:r>
            <w:r>
              <w:rPr>
                <w:rFonts w:hint="default" w:ascii="Times New Roman" w:hAnsi="Times New Roman" w:cs="Times New Roman"/>
                <w:color w:val="auto"/>
                <w:spacing w:val="-3"/>
                <w:sz w:val="24"/>
                <w:szCs w:val="24"/>
                <w:lang w:val="en-US" w:eastAsia="zh-CN"/>
              </w:rPr>
              <w:t>a总</w:t>
            </w:r>
            <w:r>
              <w:rPr>
                <w:rFonts w:hint="default" w:ascii="Times New Roman" w:hAnsi="Times New Roman" w:eastAsia="宋体" w:cs="Times New Roman"/>
                <w:color w:val="auto"/>
                <w:spacing w:val="-3"/>
                <w:sz w:val="24"/>
                <w:szCs w:val="24"/>
                <w:lang w:val="en-US" w:eastAsia="zh-CN"/>
              </w:rPr>
              <w:t>风量</w:t>
            </w:r>
            <w:r>
              <w:rPr>
                <w:rFonts w:hint="default" w:ascii="Times New Roman" w:hAnsi="Times New Roman" w:cs="Times New Roman"/>
                <w:color w:val="auto"/>
                <w:spacing w:val="-3"/>
                <w:sz w:val="24"/>
                <w:szCs w:val="24"/>
                <w:lang w:val="en-US" w:eastAsia="zh-CN"/>
              </w:rPr>
              <w:t>为1814.4</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/h，取</w:t>
            </w:r>
            <w:r>
              <w:rPr>
                <w:rFonts w:hint="default" w:ascii="Times New Roman" w:hAnsi="Times New Roman" w:cs="Times New Roman"/>
                <w:color w:val="auto"/>
                <w:spacing w:val="-3"/>
                <w:sz w:val="24"/>
                <w:szCs w:val="24"/>
                <w:lang w:val="en-US" w:eastAsia="zh-CN"/>
              </w:rPr>
              <w:t>2000</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w:t>
            </w:r>
            <w:r>
              <w:rPr>
                <w:rFonts w:hint="default" w:ascii="Times New Roman" w:hAnsi="Times New Roman" w:cs="Times New Roman"/>
                <w:color w:val="auto"/>
                <w:spacing w:val="-3"/>
                <w:sz w:val="24"/>
                <w:szCs w:val="24"/>
                <w:lang w:val="en-US" w:eastAsia="zh-CN"/>
              </w:rPr>
              <w:t>风量，收集效率取80%</w:t>
            </w:r>
            <w:r>
              <w:rPr>
                <w:rFonts w:hint="eastAsia" w:cs="Times New Roman"/>
                <w:color w:val="auto"/>
                <w:spacing w:val="-3"/>
                <w:sz w:val="24"/>
                <w:szCs w:val="24"/>
                <w:lang w:val="en-US" w:eastAsia="zh-CN"/>
              </w:rPr>
              <w:t>，处理效率取60%</w:t>
            </w:r>
            <w:r>
              <w:rPr>
                <w:rFonts w:hint="default" w:ascii="Times New Roman" w:hAnsi="Times New Roman" w:cs="Times New Roman"/>
                <w:color w:val="auto"/>
                <w:spacing w:val="-3"/>
                <w:sz w:val="24"/>
                <w:szCs w:val="24"/>
                <w:lang w:val="en-US" w:eastAsia="zh-CN"/>
              </w:rPr>
              <w:t>。</w:t>
            </w:r>
            <w:r>
              <w:rPr>
                <w:rFonts w:hint="eastAsia" w:ascii="Times New Roman" w:hAnsi="Times New Roman" w:cs="Times New Roman"/>
                <w:color w:val="auto"/>
                <w:spacing w:val="-3"/>
                <w:sz w:val="24"/>
                <w:szCs w:val="24"/>
                <w:lang w:val="en-US" w:eastAsia="zh-CN"/>
              </w:rPr>
              <w:t>拟建项目胶粘废气经集气罩收集后通过“</w:t>
            </w:r>
            <w:r>
              <w:rPr>
                <w:rFonts w:hint="eastAsia" w:cs="Times New Roman"/>
                <w:color w:val="auto"/>
                <w:spacing w:val="-3"/>
                <w:sz w:val="24"/>
                <w:szCs w:val="24"/>
                <w:lang w:val="en-US" w:eastAsia="zh-CN"/>
              </w:rPr>
              <w:t>活性炭吸附</w:t>
            </w:r>
            <w:r>
              <w:rPr>
                <w:rFonts w:hint="eastAsia" w:ascii="Times New Roman" w:hAnsi="Times New Roman" w:cs="Times New Roman"/>
                <w:color w:val="auto"/>
                <w:spacing w:val="-3"/>
                <w:sz w:val="24"/>
                <w:szCs w:val="24"/>
                <w:lang w:val="en-US" w:eastAsia="zh-CN"/>
              </w:rPr>
              <w:t>”处理后通过15m高排气筒DA001排放。</w:t>
            </w:r>
          </w:p>
          <w:p>
            <w:pPr>
              <w:pStyle w:val="40"/>
              <w:widowControl w:val="0"/>
              <w:numPr>
                <w:ilvl w:val="0"/>
                <w:numId w:val="0"/>
              </w:numPr>
              <w:spacing w:line="360" w:lineRule="auto"/>
              <w:ind w:left="480" w:leftChars="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（2）流延废气G2</w:t>
            </w:r>
          </w:p>
          <w:p>
            <w:pPr>
              <w:pStyle w:val="40"/>
              <w:widowControl w:val="0"/>
              <w:numPr>
                <w:ilvl w:val="0"/>
                <w:numId w:val="0"/>
              </w:numPr>
              <w:spacing w:line="360"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拟建项目流延过程产生的流延废气G2，参照《工业源产排污核算方法和系数手册》中“2921 塑料薄膜制造行业系数表——工艺‘挤出’”里挥发性有机物（以非甲烷总烃计）产污系数以“2.5千克/吨-产品”，项目年产缠绕膜17500t，其中有流延工艺的缠绕膜</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500t/a</w:t>
            </w:r>
            <w:r>
              <w:rPr>
                <w:rFonts w:hint="eastAsia" w:ascii="Times New Roman" w:hAnsi="Times New Roman" w:cs="Times New Roman"/>
                <w:color w:val="auto"/>
                <w:sz w:val="24"/>
                <w:szCs w:val="24"/>
                <w:lang w:val="en-US" w:eastAsia="zh-CN"/>
              </w:rPr>
              <w:t>（日生产时长为</w:t>
            </w:r>
            <w:r>
              <w:rPr>
                <w:rFonts w:hint="eastAsia" w:cs="Times New Roman"/>
                <w:color w:val="auto"/>
                <w:sz w:val="24"/>
                <w:szCs w:val="24"/>
                <w:lang w:val="en-US" w:eastAsia="zh-CN"/>
              </w:rPr>
              <w:t>8</w:t>
            </w:r>
            <w:r>
              <w:rPr>
                <w:rFonts w:hint="eastAsia" w:ascii="Times New Roman" w:hAnsi="Times New Roman" w:cs="Times New Roman"/>
                <w:color w:val="auto"/>
                <w:sz w:val="24"/>
                <w:szCs w:val="24"/>
                <w:lang w:val="en-US" w:eastAsia="zh-CN"/>
              </w:rPr>
              <w:t>h，年生产300d）</w:t>
            </w:r>
            <w:r>
              <w:rPr>
                <w:rFonts w:hint="default" w:ascii="Times New Roman" w:hAnsi="Times New Roman" w:cs="Times New Roman"/>
                <w:color w:val="auto"/>
                <w:sz w:val="24"/>
                <w:szCs w:val="24"/>
                <w:lang w:val="en-US" w:eastAsia="zh-CN"/>
              </w:rPr>
              <w:t>，则非甲烷总烃产生量为</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.75t/a。在5台流延机缠绕膜挤出口上方分别设置一个集气罩，共5个集气罩</w:t>
            </w:r>
            <w:r>
              <w:rPr>
                <w:rFonts w:hint="eastAsia" w:ascii="Times New Roman" w:hAnsi="Times New Roman" w:cs="Times New Roman"/>
                <w:color w:val="auto"/>
                <w:sz w:val="24"/>
                <w:szCs w:val="24"/>
                <w:lang w:val="en-US" w:eastAsia="zh-CN"/>
              </w:rPr>
              <w:t>，集气罩规格均为0.</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m*0.</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根据简明通风设计手册，集气罩抽风量计算公式如下：</w:t>
            </w:r>
          </w:p>
          <w:p>
            <w:pPr>
              <w:pStyle w:val="40"/>
              <w:spacing w:line="36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Q=L*P*H*V</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式中：Q-风量，m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/s；</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L-集气罩敞开面的周长，</w:t>
            </w:r>
            <w:r>
              <w:rPr>
                <w:rFonts w:hint="default" w:ascii="Times New Roman" w:hAnsi="Times New Roman" w:cs="Times New Roman"/>
                <w:color w:val="auto"/>
                <w:sz w:val="24"/>
                <w:szCs w:val="24"/>
                <w:lang w:val="en-US" w:eastAsia="zh-CN"/>
              </w:rPr>
              <w:t>取2.4</w:t>
            </w:r>
            <w:r>
              <w:rPr>
                <w:rFonts w:hint="default" w:ascii="Times New Roman" w:hAnsi="Times New Roman" w:eastAsia="宋体" w:cs="Times New Roman"/>
                <w:color w:val="auto"/>
                <w:sz w:val="24"/>
                <w:szCs w:val="24"/>
                <w:lang w:val="en-US" w:eastAsia="zh-CN"/>
              </w:rPr>
              <w:t>m；</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H-罩口至有害物源的距离，</w:t>
            </w:r>
            <w:r>
              <w:rPr>
                <w:rFonts w:hint="default" w:ascii="Times New Roman" w:hAnsi="Times New Roman" w:cs="Times New Roman"/>
                <w:color w:val="auto"/>
                <w:sz w:val="24"/>
                <w:szCs w:val="24"/>
                <w:lang w:val="en-US" w:eastAsia="zh-CN"/>
              </w:rPr>
              <w:t>取0.3</w:t>
            </w:r>
            <w:r>
              <w:rPr>
                <w:rFonts w:hint="default" w:ascii="Times New Roman" w:hAnsi="Times New Roman" w:eastAsia="宋体" w:cs="Times New Roman"/>
                <w:color w:val="auto"/>
                <w:sz w:val="24"/>
                <w:szCs w:val="24"/>
                <w:lang w:val="en-US" w:eastAsia="zh-CN"/>
              </w:rPr>
              <w:t>m；</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V-边缘控制点的控制风速，m/s，</w:t>
            </w:r>
            <w:r>
              <w:rPr>
                <w:rFonts w:hint="default" w:ascii="Times New Roman" w:hAnsi="Times New Roman" w:cs="Times New Roman"/>
                <w:color w:val="auto"/>
                <w:sz w:val="24"/>
                <w:szCs w:val="24"/>
                <w:lang w:val="en-US" w:eastAsia="zh-CN"/>
              </w:rPr>
              <w:t>属于“</w:t>
            </w:r>
            <w:r>
              <w:rPr>
                <w:rFonts w:hint="default" w:ascii="Times New Roman" w:hAnsi="Times New Roman" w:eastAsia="宋体" w:cs="Times New Roman"/>
                <w:color w:val="auto"/>
                <w:sz w:val="24"/>
                <w:szCs w:val="24"/>
                <w:lang w:val="en-US" w:eastAsia="zh-CN"/>
              </w:rPr>
              <w:t>以较低的初速度放散到尚属平静的空气中</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取</w:t>
            </w:r>
            <w:r>
              <w:rPr>
                <w:rFonts w:hint="default" w:ascii="Times New Roman" w:hAnsi="Times New Roman"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w:t>
            </w:r>
          </w:p>
          <w:p>
            <w:pPr>
              <w:pStyle w:val="4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P-考虑沿高度分布不均匀的安全系数，取1.4；</w:t>
            </w:r>
          </w:p>
          <w:p>
            <w:pPr>
              <w:pStyle w:val="40"/>
              <w:widowControl w:val="0"/>
              <w:numPr>
                <w:ilvl w:val="0"/>
                <w:numId w:val="0"/>
              </w:numPr>
              <w:spacing w:line="360" w:lineRule="auto"/>
              <w:ind w:firstLine="468" w:firstLineChars="200"/>
              <w:jc w:val="both"/>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pacing w:val="-3"/>
                <w:sz w:val="24"/>
                <w:szCs w:val="24"/>
                <w:lang w:eastAsia="zh-CN"/>
              </w:rPr>
              <w:t>经计算，单个</w:t>
            </w:r>
            <w:r>
              <w:rPr>
                <w:rFonts w:hint="default" w:ascii="Times New Roman" w:hAnsi="Times New Roman" w:cs="Times New Roman"/>
                <w:color w:val="auto"/>
                <w:spacing w:val="-3"/>
                <w:sz w:val="24"/>
                <w:szCs w:val="24"/>
                <w:lang w:val="en-US" w:eastAsia="zh-CN"/>
              </w:rPr>
              <w:t>集气罩</w:t>
            </w:r>
            <w:r>
              <w:rPr>
                <w:rFonts w:hint="default" w:ascii="Times New Roman" w:hAnsi="Times New Roman" w:eastAsia="宋体" w:cs="Times New Roman"/>
                <w:color w:val="auto"/>
                <w:spacing w:val="-3"/>
                <w:sz w:val="24"/>
                <w:szCs w:val="24"/>
                <w:lang w:eastAsia="zh-CN"/>
              </w:rPr>
              <w:t>风量为</w:t>
            </w:r>
            <w:r>
              <w:rPr>
                <w:rFonts w:hint="default" w:ascii="Times New Roman" w:hAnsi="Times New Roman" w:cs="Times New Roman"/>
                <w:color w:val="auto"/>
                <w:spacing w:val="-3"/>
                <w:sz w:val="24"/>
                <w:szCs w:val="24"/>
                <w:lang w:val="en-US" w:eastAsia="zh-CN"/>
              </w:rPr>
              <w:t>1814.4</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w:t>
            </w:r>
            <w:r>
              <w:rPr>
                <w:rFonts w:hint="default" w:ascii="Times New Roman" w:hAnsi="Times New Roman" w:cs="Times New Roman"/>
                <w:color w:val="auto"/>
                <w:spacing w:val="-3"/>
                <w:sz w:val="24"/>
                <w:szCs w:val="24"/>
                <w:lang w:val="en-US" w:eastAsia="zh-CN"/>
              </w:rPr>
              <w:t>则</w:t>
            </w:r>
            <w:r>
              <w:rPr>
                <w:rFonts w:hint="default" w:ascii="Times New Roman" w:hAnsi="Times New Roman" w:eastAsia="宋体" w:cs="Times New Roman"/>
                <w:color w:val="auto"/>
                <w:spacing w:val="-3"/>
                <w:sz w:val="24"/>
                <w:szCs w:val="24"/>
                <w:lang w:val="en-US" w:eastAsia="zh-CN"/>
              </w:rPr>
              <w:t>风机</w:t>
            </w:r>
            <w:r>
              <w:rPr>
                <w:rFonts w:hint="eastAsia" w:ascii="Times New Roman" w:hAnsi="Times New Roman" w:cs="Times New Roman"/>
                <w:color w:val="auto"/>
                <w:spacing w:val="-3"/>
                <w:sz w:val="24"/>
                <w:szCs w:val="24"/>
                <w:lang w:val="en-US" w:eastAsia="zh-CN"/>
              </w:rPr>
              <w:t>b</w:t>
            </w:r>
            <w:r>
              <w:rPr>
                <w:rFonts w:hint="default" w:ascii="Times New Roman" w:hAnsi="Times New Roman" w:cs="Times New Roman"/>
                <w:color w:val="auto"/>
                <w:spacing w:val="-3"/>
                <w:sz w:val="24"/>
                <w:szCs w:val="24"/>
                <w:lang w:val="en-US" w:eastAsia="zh-CN"/>
              </w:rPr>
              <w:t>总</w:t>
            </w:r>
            <w:r>
              <w:rPr>
                <w:rFonts w:hint="default" w:ascii="Times New Roman" w:hAnsi="Times New Roman" w:eastAsia="宋体" w:cs="Times New Roman"/>
                <w:color w:val="auto"/>
                <w:spacing w:val="-3"/>
                <w:sz w:val="24"/>
                <w:szCs w:val="24"/>
                <w:lang w:val="en-US" w:eastAsia="zh-CN"/>
              </w:rPr>
              <w:t>风量</w:t>
            </w:r>
            <w:r>
              <w:rPr>
                <w:rFonts w:hint="default" w:ascii="Times New Roman" w:hAnsi="Times New Roman" w:cs="Times New Roman"/>
                <w:color w:val="auto"/>
                <w:spacing w:val="-3"/>
                <w:sz w:val="24"/>
                <w:szCs w:val="24"/>
                <w:lang w:val="en-US" w:eastAsia="zh-CN"/>
              </w:rPr>
              <w:t>为9072</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/h，取</w:t>
            </w:r>
            <w:r>
              <w:rPr>
                <w:rFonts w:hint="default" w:ascii="Times New Roman" w:hAnsi="Times New Roman" w:cs="Times New Roman"/>
                <w:color w:val="auto"/>
                <w:spacing w:val="-3"/>
                <w:sz w:val="24"/>
                <w:szCs w:val="24"/>
                <w:lang w:val="en-US" w:eastAsia="zh-CN"/>
              </w:rPr>
              <w:t>9</w:t>
            </w:r>
            <w:r>
              <w:rPr>
                <w:rFonts w:hint="eastAsia" w:ascii="Times New Roman" w:hAnsi="Times New Roman" w:cs="Times New Roman"/>
                <w:color w:val="auto"/>
                <w:spacing w:val="-3"/>
                <w:sz w:val="24"/>
                <w:szCs w:val="24"/>
                <w:lang w:val="en-US" w:eastAsia="zh-CN"/>
              </w:rPr>
              <w:t>2</w:t>
            </w:r>
            <w:r>
              <w:rPr>
                <w:rFonts w:hint="default" w:ascii="Times New Roman" w:hAnsi="Times New Roman" w:cs="Times New Roman"/>
                <w:color w:val="auto"/>
                <w:spacing w:val="-3"/>
                <w:sz w:val="24"/>
                <w:szCs w:val="24"/>
                <w:lang w:val="en-US" w:eastAsia="zh-CN"/>
              </w:rPr>
              <w:t>00</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w:t>
            </w:r>
            <w:r>
              <w:rPr>
                <w:rFonts w:hint="default" w:ascii="Times New Roman" w:hAnsi="Times New Roman" w:cs="Times New Roman"/>
                <w:color w:val="auto"/>
                <w:spacing w:val="-3"/>
                <w:sz w:val="24"/>
                <w:szCs w:val="24"/>
                <w:lang w:val="en-US" w:eastAsia="zh-CN"/>
              </w:rPr>
              <w:t>风量，收集效率取70%。</w:t>
            </w:r>
            <w:r>
              <w:rPr>
                <w:rFonts w:hint="eastAsia" w:ascii="Times New Roman" w:hAnsi="Times New Roman" w:cs="Times New Roman"/>
                <w:color w:val="auto"/>
                <w:spacing w:val="-3"/>
                <w:sz w:val="24"/>
                <w:szCs w:val="24"/>
                <w:lang w:val="en-US" w:eastAsia="zh-CN"/>
              </w:rPr>
              <w:t>拟建项目流延废气经集气罩收集后通过“</w:t>
            </w:r>
            <w:r>
              <w:rPr>
                <w:rFonts w:hint="eastAsia" w:cs="Times New Roman"/>
                <w:color w:val="auto"/>
                <w:spacing w:val="-3"/>
                <w:sz w:val="24"/>
                <w:szCs w:val="24"/>
                <w:lang w:val="en-US" w:eastAsia="zh-CN"/>
              </w:rPr>
              <w:t>二级活性炭吸附</w:t>
            </w:r>
            <w:r>
              <w:rPr>
                <w:rFonts w:hint="eastAsia" w:ascii="Times New Roman" w:hAnsi="Times New Roman" w:cs="Times New Roman"/>
                <w:color w:val="auto"/>
                <w:spacing w:val="-3"/>
                <w:sz w:val="24"/>
                <w:szCs w:val="24"/>
                <w:lang w:val="en-US" w:eastAsia="zh-CN"/>
              </w:rPr>
              <w:t>”处理后通过15m高排气筒DA002排放。</w:t>
            </w:r>
          </w:p>
          <w:p>
            <w:pPr>
              <w:pStyle w:val="66"/>
              <w:ind w:firstLine="48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拌料废气G3</w:t>
            </w:r>
          </w:p>
          <w:p>
            <w:pPr>
              <w:pStyle w:val="99"/>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color w:val="auto"/>
                <w:kern w:val="2"/>
                <w:sz w:val="24"/>
                <w:szCs w:val="24"/>
                <w:highlight w:val="none"/>
                <w:lang w:val="en-US" w:eastAsia="zh-CN" w:bidi="ar-SA"/>
              </w:rPr>
              <w:t xml:space="preserve"> </w:t>
            </w:r>
            <w:r>
              <w:rPr>
                <w:rFonts w:hint="default" w:ascii="Times New Roman" w:hAnsi="Times New Roman" w:cs="Times New Roman"/>
                <w:b w:val="0"/>
                <w:bCs w:val="0"/>
                <w:color w:val="auto"/>
                <w:sz w:val="24"/>
                <w:szCs w:val="24"/>
                <w:lang w:val="en-US" w:eastAsia="zh-CN"/>
              </w:rPr>
              <w:t>拟建项目</w:t>
            </w:r>
            <w:r>
              <w:rPr>
                <w:rFonts w:hint="eastAsia" w:ascii="Times New Roman" w:hAnsi="Times New Roman" w:cs="Times New Roman"/>
                <w:b w:val="0"/>
                <w:bCs w:val="0"/>
                <w:color w:val="auto"/>
                <w:sz w:val="24"/>
                <w:szCs w:val="24"/>
                <w:lang w:val="en-US" w:eastAsia="zh-CN"/>
              </w:rPr>
              <w:t>拌料</w:t>
            </w:r>
            <w:r>
              <w:rPr>
                <w:rFonts w:hint="default" w:ascii="Times New Roman" w:hAnsi="Times New Roman" w:cs="Times New Roman"/>
                <w:b w:val="0"/>
                <w:bCs w:val="0"/>
                <w:color w:val="auto"/>
                <w:sz w:val="24"/>
                <w:szCs w:val="24"/>
                <w:lang w:val="en-US" w:eastAsia="zh-CN"/>
              </w:rPr>
              <w:t>过程使用的原料聚乙烯PP和色母PE颗粒，均为大颗粒状，拌料产生的粉尘较少，不进行定量分析，</w:t>
            </w:r>
            <w:r>
              <w:rPr>
                <w:rFonts w:hint="default" w:ascii="Times New Roman" w:hAnsi="Times New Roman" w:cs="Times New Roman"/>
                <w:color w:val="auto"/>
                <w:sz w:val="24"/>
                <w:szCs w:val="24"/>
                <w:lang w:val="en-US" w:eastAsia="zh-CN"/>
              </w:rPr>
              <w:t>仅提出环保要求：加强车间通风。</w:t>
            </w:r>
          </w:p>
          <w:p>
            <w:pPr>
              <w:pStyle w:val="40"/>
              <w:widowControl w:val="0"/>
              <w:numPr>
                <w:ilvl w:val="0"/>
                <w:numId w:val="0"/>
              </w:numPr>
              <w:spacing w:line="360" w:lineRule="auto"/>
              <w:jc w:val="both"/>
              <w:rPr>
                <w:rFonts w:hint="default" w:ascii="Times New Roman" w:hAnsi="Times New Roman" w:cs="Times New Roman"/>
                <w:b w:val="0"/>
                <w:bCs/>
                <w:color w:val="auto"/>
                <w:kern w:val="2"/>
                <w:sz w:val="24"/>
                <w:szCs w:val="24"/>
                <w:highlight w:val="none"/>
                <w:lang w:val="en-US" w:eastAsia="zh-CN" w:bidi="ar-SA"/>
              </w:rPr>
            </w:pPr>
            <w:r>
              <w:rPr>
                <w:rFonts w:hint="default" w:ascii="Times New Roman" w:hAnsi="Times New Roman" w:cs="Times New Roman"/>
                <w:b w:val="0"/>
                <w:bCs/>
                <w:color w:val="auto"/>
                <w:kern w:val="2"/>
                <w:sz w:val="24"/>
                <w:szCs w:val="24"/>
                <w:highlight w:val="none"/>
                <w:lang w:val="en-US" w:eastAsia="zh-CN" w:bidi="ar-SA"/>
              </w:rPr>
              <w:t xml:space="preserve">    </w:t>
            </w:r>
            <w:r>
              <w:rPr>
                <w:rFonts w:hint="default" w:ascii="Times New Roman" w:hAnsi="Times New Roman" w:cs="Times New Roman"/>
                <w:b/>
                <w:bCs w:val="0"/>
                <w:color w:val="auto"/>
                <w:kern w:val="2"/>
                <w:sz w:val="24"/>
                <w:szCs w:val="24"/>
                <w:highlight w:val="none"/>
                <w:lang w:val="en-US" w:eastAsia="zh-CN" w:bidi="ar-SA"/>
              </w:rPr>
              <w:t>（4）吹膜废气G4、G5</w:t>
            </w:r>
          </w:p>
          <w:p>
            <w:pPr>
              <w:pStyle w:val="20"/>
              <w:spacing w:before="0" w:beforeAutospacing="0" w:after="0" w:afterAutospacing="0" w:line="360" w:lineRule="auto"/>
              <w:ind w:firstLine="480" w:firstLineChars="200"/>
              <w:jc w:val="both"/>
              <w:outlineLvl w:val="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拟建项目吹膜过程会产生吹膜废气G4、G5，参照《工业源产排污核算方法和系数手册》中“08树脂纤维加工 吹塑件——工艺‘吹塑成型’”里挥发性有机物（以非甲烷总烃计）产污系数以“1.2千克/吨-产品”，项目年产平口袋7000t/a</w:t>
            </w:r>
            <w:r>
              <w:rPr>
                <w:rFonts w:hint="eastAsia" w:ascii="Times New Roman" w:hAnsi="Times New Roman" w:cs="Times New Roman"/>
                <w:color w:val="auto"/>
                <w:sz w:val="24"/>
                <w:szCs w:val="24"/>
                <w:lang w:val="en-US" w:eastAsia="zh-CN"/>
              </w:rPr>
              <w:t>（日生产时长为24h，年生产300d）</w:t>
            </w:r>
            <w:r>
              <w:rPr>
                <w:rFonts w:hint="default" w:ascii="Times New Roman" w:hAnsi="Times New Roman" w:cs="Times New Roman"/>
                <w:color w:val="auto"/>
                <w:sz w:val="24"/>
                <w:szCs w:val="24"/>
                <w:lang w:val="en-US" w:eastAsia="zh-CN"/>
              </w:rPr>
              <w:t>，年产气柱膜3000t/a</w:t>
            </w:r>
            <w:r>
              <w:rPr>
                <w:rFonts w:hint="eastAsia" w:ascii="Times New Roman" w:hAnsi="Times New Roman" w:cs="Times New Roman"/>
                <w:color w:val="auto"/>
                <w:sz w:val="24"/>
                <w:szCs w:val="24"/>
                <w:lang w:val="en-US" w:eastAsia="zh-CN"/>
              </w:rPr>
              <w:t>（日生产时长为16h，年生产300d）</w:t>
            </w:r>
            <w:r>
              <w:rPr>
                <w:rFonts w:hint="default" w:ascii="Times New Roman" w:hAnsi="Times New Roman" w:cs="Times New Roman"/>
                <w:color w:val="auto"/>
                <w:sz w:val="24"/>
                <w:szCs w:val="24"/>
                <w:lang w:val="en-US" w:eastAsia="zh-CN"/>
              </w:rPr>
              <w:t>，则平口袋</w:t>
            </w:r>
            <w:r>
              <w:rPr>
                <w:rFonts w:hint="eastAsia" w:ascii="Times New Roman" w:hAnsi="Times New Roman" w:cs="Times New Roman"/>
                <w:color w:val="auto"/>
                <w:sz w:val="24"/>
                <w:szCs w:val="24"/>
                <w:lang w:val="en-US" w:eastAsia="zh-CN"/>
              </w:rPr>
              <w:t>吹膜产生的</w:t>
            </w:r>
            <w:r>
              <w:rPr>
                <w:rFonts w:hint="default" w:ascii="Times New Roman" w:hAnsi="Times New Roman" w:cs="Times New Roman"/>
                <w:color w:val="auto"/>
                <w:sz w:val="24"/>
                <w:szCs w:val="24"/>
                <w:lang w:val="en-US" w:eastAsia="zh-CN"/>
              </w:rPr>
              <w:t>非甲烷总烃量</w:t>
            </w:r>
            <w:r>
              <w:rPr>
                <w:rFonts w:hint="eastAsia" w:ascii="Times New Roman" w:hAnsi="Times New Roman" w:cs="Times New Roman"/>
                <w:color w:val="auto"/>
                <w:sz w:val="24"/>
                <w:szCs w:val="24"/>
                <w:lang w:val="en-US" w:eastAsia="zh-CN"/>
              </w:rPr>
              <w:t>8.4</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，气柱膜吹膜产生的非甲烷总烃为3.6</w:t>
            </w:r>
            <w:r>
              <w:rPr>
                <w:rFonts w:hint="default" w:ascii="Times New Roman" w:hAnsi="Times New Roman" w:cs="Times New Roman"/>
                <w:color w:val="auto"/>
                <w:sz w:val="24"/>
                <w:szCs w:val="24"/>
                <w:lang w:val="en-US" w:eastAsia="zh-CN"/>
              </w:rPr>
              <w:t>t/a。</w:t>
            </w:r>
          </w:p>
          <w:p>
            <w:pPr>
              <w:pStyle w:val="40"/>
              <w:widowControl w:val="0"/>
              <w:numPr>
                <w:ilvl w:val="0"/>
                <w:numId w:val="0"/>
              </w:numPr>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拟建项目</w:t>
            </w:r>
            <w:r>
              <w:rPr>
                <w:rFonts w:hint="default" w:ascii="Times New Roman" w:hAnsi="Times New Roman" w:eastAsia="宋体" w:cs="Times New Roman"/>
                <w:color w:val="auto"/>
                <w:kern w:val="2"/>
                <w:sz w:val="24"/>
                <w:szCs w:val="24"/>
                <w:lang w:val="en-US" w:eastAsia="zh-CN" w:bidi="ar-SA"/>
              </w:rPr>
              <w:t>塑料包装</w:t>
            </w:r>
            <w:r>
              <w:rPr>
                <w:rFonts w:hint="default" w:ascii="Times New Roman" w:hAnsi="Times New Roman" w:eastAsia="宋体" w:cs="Times New Roman"/>
                <w:color w:val="auto"/>
                <w:sz w:val="24"/>
                <w:szCs w:val="24"/>
                <w:lang w:val="en-US" w:eastAsia="zh-CN"/>
              </w:rPr>
              <w:t>生产</w:t>
            </w:r>
            <w:r>
              <w:rPr>
                <w:rFonts w:hint="default" w:ascii="Times New Roman" w:hAnsi="Times New Roman" w:cs="Times New Roman"/>
                <w:color w:val="auto"/>
                <w:sz w:val="24"/>
                <w:szCs w:val="24"/>
                <w:lang w:val="en-US" w:eastAsia="zh-CN"/>
              </w:rPr>
              <w:t>共设3台吹膜机和2台气柱膜机</w:t>
            </w:r>
            <w:r>
              <w:rPr>
                <w:rFonts w:hint="default" w:ascii="Times New Roman" w:hAnsi="Times New Roman" w:eastAsia="宋体" w:cs="Times New Roman"/>
                <w:color w:val="auto"/>
                <w:sz w:val="24"/>
                <w:szCs w:val="24"/>
                <w:lang w:val="en-US" w:eastAsia="zh-CN"/>
              </w:rPr>
              <w:t>，共5个集气罩，</w:t>
            </w:r>
            <w:r>
              <w:rPr>
                <w:rFonts w:hint="default" w:ascii="Times New Roman" w:hAnsi="Times New Roman" w:cs="Times New Roman"/>
                <w:color w:val="auto"/>
                <w:sz w:val="24"/>
                <w:szCs w:val="24"/>
                <w:lang w:val="en-US" w:eastAsia="zh-CN"/>
              </w:rPr>
              <w:t>吹膜机</w:t>
            </w:r>
            <w:r>
              <w:rPr>
                <w:rFonts w:hint="default" w:ascii="Times New Roman" w:hAnsi="Times New Roman" w:eastAsia="宋体" w:cs="Times New Roman"/>
                <w:color w:val="auto"/>
                <w:sz w:val="24"/>
                <w:szCs w:val="24"/>
                <w:lang w:val="en-US" w:eastAsia="zh-CN"/>
              </w:rPr>
              <w:t>集气罩规格均为0.</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m*0.</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气柱膜机</w:t>
            </w:r>
            <w:r>
              <w:rPr>
                <w:rFonts w:hint="eastAsia" w:ascii="Times New Roman" w:hAnsi="Times New Roman" w:cs="Times New Roman"/>
                <w:color w:val="auto"/>
                <w:sz w:val="24"/>
                <w:szCs w:val="24"/>
                <w:lang w:val="en-US" w:eastAsia="zh-CN"/>
              </w:rPr>
              <w:t>集气罩规格均为</w:t>
            </w:r>
            <w:r>
              <w:rPr>
                <w:rFonts w:hint="default"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m*0.</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m</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color w:val="auto"/>
                <w:kern w:val="0"/>
                <w:sz w:val="24"/>
                <w:szCs w:val="24"/>
                <w:lang w:val="en-US" w:eastAsia="zh-CN" w:bidi="ar-SA"/>
              </w:rPr>
              <w:t>集气罩距离废气产生点距离为0.3m，根据简明通风设计手册，上吸式集气罩抽风量计算公式如下：</w:t>
            </w:r>
          </w:p>
          <w:p>
            <w:pPr>
              <w:spacing w:line="360" w:lineRule="auto"/>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Q=L*P*H*V</w:t>
            </w:r>
          </w:p>
          <w:p>
            <w:pPr>
              <w:spacing w:line="360" w:lineRule="auto"/>
              <w:ind w:firstLine="417" w:firstLineChars="174"/>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式中：Q-风量，m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/s；</w:t>
            </w:r>
          </w:p>
          <w:p>
            <w:pPr>
              <w:spacing w:line="360" w:lineRule="auto"/>
              <w:ind w:firstLine="1135" w:firstLineChars="473"/>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L-集气罩敞开面的周长，</w:t>
            </w:r>
            <w:r>
              <w:rPr>
                <w:rFonts w:hint="eastAsia" w:ascii="Times New Roman" w:hAnsi="Times New Roman" w:cs="Times New Roman"/>
                <w:color w:val="auto"/>
                <w:kern w:val="0"/>
                <w:sz w:val="24"/>
                <w:szCs w:val="24"/>
                <w:lang w:val="en-US" w:eastAsia="zh-CN" w:bidi="ar-SA"/>
              </w:rPr>
              <w:t>取2.6</w:t>
            </w:r>
            <w:r>
              <w:rPr>
                <w:rFonts w:hint="default" w:ascii="Times New Roman" w:hAnsi="Times New Roman" w:eastAsia="宋体" w:cs="Times New Roman"/>
                <w:color w:val="auto"/>
                <w:kern w:val="0"/>
                <w:sz w:val="24"/>
                <w:szCs w:val="24"/>
                <w:lang w:val="en-US" w:eastAsia="zh-CN" w:bidi="ar-SA"/>
              </w:rPr>
              <w:t>m</w:t>
            </w:r>
            <w:r>
              <w:rPr>
                <w:rFonts w:hint="eastAsia" w:ascii="Times New Roman" w:hAnsi="Times New Roman" w:cs="Times New Roman"/>
                <w:color w:val="auto"/>
                <w:kern w:val="0"/>
                <w:sz w:val="24"/>
                <w:szCs w:val="24"/>
                <w:lang w:val="en-US" w:eastAsia="zh-CN" w:bidi="ar-SA"/>
              </w:rPr>
              <w:t>或1.2m</w:t>
            </w:r>
            <w:r>
              <w:rPr>
                <w:rFonts w:hint="default" w:ascii="Times New Roman" w:hAnsi="Times New Roman" w:eastAsia="宋体" w:cs="Times New Roman"/>
                <w:color w:val="auto"/>
                <w:kern w:val="0"/>
                <w:sz w:val="24"/>
                <w:szCs w:val="24"/>
                <w:lang w:val="en-US" w:eastAsia="zh-CN" w:bidi="ar-SA"/>
              </w:rPr>
              <w:t>；</w:t>
            </w:r>
          </w:p>
          <w:p>
            <w:pPr>
              <w:spacing w:line="360" w:lineRule="auto"/>
              <w:ind w:firstLine="1135" w:firstLineChars="473"/>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H-罩口至有害物源的距离，m；</w:t>
            </w:r>
          </w:p>
          <w:p>
            <w:pPr>
              <w:spacing w:line="360" w:lineRule="auto"/>
              <w:ind w:firstLine="1135" w:firstLineChars="473"/>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V-边缘控制点的控制风速，m/s，取0.5；</w:t>
            </w:r>
          </w:p>
          <w:p>
            <w:pPr>
              <w:spacing w:line="360" w:lineRule="auto"/>
              <w:ind w:firstLine="1135" w:firstLineChars="473"/>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P-考虑沿高度分布不均匀的安全系数，取1.4；</w:t>
            </w:r>
          </w:p>
          <w:p>
            <w:pPr>
              <w:pStyle w:val="40"/>
              <w:widowControl w:val="0"/>
              <w:numPr>
                <w:ilvl w:val="0"/>
                <w:numId w:val="0"/>
              </w:numPr>
              <w:spacing w:line="360" w:lineRule="auto"/>
              <w:ind w:firstLine="468"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pacing w:val="-3"/>
                <w:sz w:val="24"/>
                <w:szCs w:val="24"/>
                <w:lang w:eastAsia="zh-CN"/>
              </w:rPr>
              <w:t>经计算，</w:t>
            </w:r>
            <w:r>
              <w:rPr>
                <w:rFonts w:hint="default" w:ascii="Times New Roman" w:hAnsi="Times New Roman" w:eastAsia="宋体" w:cs="Times New Roman"/>
                <w:color w:val="auto"/>
                <w:spacing w:val="-3"/>
                <w:sz w:val="24"/>
                <w:szCs w:val="24"/>
                <w:lang w:val="en-US" w:eastAsia="zh-CN"/>
              </w:rPr>
              <w:t>风机</w:t>
            </w:r>
            <w:r>
              <w:rPr>
                <w:rFonts w:hint="eastAsia" w:cs="Times New Roman"/>
                <w:color w:val="auto"/>
                <w:spacing w:val="-3"/>
                <w:sz w:val="24"/>
                <w:szCs w:val="24"/>
                <w:lang w:val="en-US" w:eastAsia="zh-CN"/>
              </w:rPr>
              <w:t>c</w:t>
            </w:r>
            <w:r>
              <w:rPr>
                <w:rFonts w:hint="default" w:ascii="Times New Roman" w:hAnsi="Times New Roman" w:cs="Times New Roman"/>
                <w:color w:val="auto"/>
                <w:spacing w:val="-3"/>
                <w:sz w:val="24"/>
                <w:szCs w:val="24"/>
                <w:lang w:val="en-US" w:eastAsia="zh-CN"/>
              </w:rPr>
              <w:t>总</w:t>
            </w:r>
            <w:r>
              <w:rPr>
                <w:rFonts w:hint="default" w:ascii="Times New Roman" w:hAnsi="Times New Roman" w:eastAsia="宋体" w:cs="Times New Roman"/>
                <w:color w:val="auto"/>
                <w:spacing w:val="-3"/>
                <w:sz w:val="24"/>
                <w:szCs w:val="24"/>
                <w:lang w:val="en-US" w:eastAsia="zh-CN"/>
              </w:rPr>
              <w:t>风量</w:t>
            </w:r>
            <w:r>
              <w:rPr>
                <w:rFonts w:hint="default" w:ascii="Times New Roman" w:hAnsi="Times New Roman" w:cs="Times New Roman"/>
                <w:color w:val="auto"/>
                <w:spacing w:val="-3"/>
                <w:sz w:val="24"/>
                <w:szCs w:val="24"/>
                <w:lang w:val="en-US" w:eastAsia="zh-CN"/>
              </w:rPr>
              <w:t>为</w:t>
            </w:r>
            <w:r>
              <w:rPr>
                <w:rFonts w:hint="eastAsia" w:cs="Times New Roman"/>
                <w:color w:val="auto"/>
                <w:spacing w:val="-3"/>
                <w:sz w:val="24"/>
                <w:szCs w:val="24"/>
                <w:lang w:val="en-US" w:eastAsia="zh-CN"/>
              </w:rPr>
              <w:t>7711.2</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/h，取</w:t>
            </w:r>
            <w:r>
              <w:rPr>
                <w:rFonts w:hint="eastAsia" w:cs="Times New Roman"/>
                <w:color w:val="auto"/>
                <w:spacing w:val="-3"/>
                <w:sz w:val="24"/>
                <w:szCs w:val="24"/>
                <w:lang w:val="en-US" w:eastAsia="zh-CN"/>
              </w:rPr>
              <w:t>8000</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w:t>
            </w:r>
            <w:r>
              <w:rPr>
                <w:rFonts w:hint="default" w:ascii="Times New Roman" w:hAnsi="Times New Roman" w:cs="Times New Roman"/>
                <w:color w:val="auto"/>
                <w:spacing w:val="-3"/>
                <w:sz w:val="24"/>
                <w:szCs w:val="24"/>
                <w:lang w:val="en-US" w:eastAsia="zh-CN"/>
              </w:rPr>
              <w:t>风量，收集效率取70%。</w:t>
            </w:r>
            <w:r>
              <w:rPr>
                <w:rFonts w:hint="eastAsia" w:ascii="Times New Roman" w:hAnsi="Times New Roman" w:cs="Times New Roman"/>
                <w:color w:val="auto"/>
                <w:spacing w:val="-3"/>
                <w:sz w:val="24"/>
                <w:szCs w:val="24"/>
                <w:lang w:val="en-US" w:eastAsia="zh-CN"/>
              </w:rPr>
              <w:t>拟建项目吹膜废气经集气罩收集后</w:t>
            </w:r>
            <w:r>
              <w:rPr>
                <w:rFonts w:hint="eastAsia" w:cs="Times New Roman"/>
                <w:color w:val="auto"/>
                <w:spacing w:val="-3"/>
                <w:sz w:val="24"/>
                <w:szCs w:val="24"/>
                <w:lang w:val="en-US" w:eastAsia="zh-CN"/>
              </w:rPr>
              <w:t>与</w:t>
            </w:r>
            <w:r>
              <w:rPr>
                <w:rFonts w:hint="eastAsia" w:ascii="Times New Roman" w:hAnsi="Times New Roman" w:cs="Times New Roman"/>
                <w:color w:val="auto"/>
                <w:spacing w:val="-3"/>
                <w:sz w:val="24"/>
                <w:szCs w:val="24"/>
                <w:lang w:val="en-US" w:eastAsia="zh-CN"/>
              </w:rPr>
              <w:t>流延废气一同通过“</w:t>
            </w:r>
            <w:r>
              <w:rPr>
                <w:rFonts w:hint="eastAsia" w:cs="Times New Roman"/>
                <w:color w:val="auto"/>
                <w:spacing w:val="-3"/>
                <w:sz w:val="24"/>
                <w:szCs w:val="24"/>
                <w:lang w:val="en-US" w:eastAsia="zh-CN"/>
              </w:rPr>
              <w:t>二级活性炭吸附</w:t>
            </w:r>
            <w:r>
              <w:rPr>
                <w:rFonts w:hint="eastAsia" w:ascii="Times New Roman" w:hAnsi="Times New Roman" w:cs="Times New Roman"/>
                <w:color w:val="auto"/>
                <w:spacing w:val="-3"/>
                <w:sz w:val="24"/>
                <w:szCs w:val="24"/>
                <w:lang w:val="en-US" w:eastAsia="zh-CN"/>
              </w:rPr>
              <w:t>”处理后通过15m高排气筒DA002排放。</w:t>
            </w:r>
            <w:r>
              <w:rPr>
                <w:rFonts w:hint="eastAsia" w:cs="Times New Roman"/>
                <w:color w:val="auto"/>
                <w:spacing w:val="-3"/>
                <w:sz w:val="24"/>
                <w:szCs w:val="24"/>
                <w:lang w:val="en-US" w:eastAsia="zh-CN"/>
              </w:rPr>
              <w:t>风机b和风机c串联总风量为17200</w:t>
            </w:r>
            <w:r>
              <w:rPr>
                <w:rFonts w:hint="default" w:ascii="Times New Roman" w:hAnsi="Times New Roman" w:eastAsia="宋体" w:cs="Times New Roman"/>
                <w:color w:val="auto"/>
                <w:spacing w:val="-3"/>
                <w:sz w:val="24"/>
                <w:szCs w:val="24"/>
                <w:lang w:val="en-US" w:eastAsia="zh-CN"/>
              </w:rPr>
              <w:t>m</w:t>
            </w:r>
            <w:r>
              <w:rPr>
                <w:rFonts w:hint="default" w:ascii="Times New Roman" w:hAnsi="Times New Roman" w:eastAsia="宋体" w:cs="Times New Roman"/>
                <w:color w:val="auto"/>
                <w:spacing w:val="-3"/>
                <w:sz w:val="24"/>
                <w:szCs w:val="24"/>
                <w:vertAlign w:val="superscript"/>
                <w:lang w:val="en-US" w:eastAsia="zh-CN"/>
              </w:rPr>
              <w:t>3</w:t>
            </w:r>
            <w:r>
              <w:rPr>
                <w:rFonts w:hint="default" w:ascii="Times New Roman" w:hAnsi="Times New Roman" w:eastAsia="宋体" w:cs="Times New Roman"/>
                <w:color w:val="auto"/>
                <w:spacing w:val="-3"/>
                <w:sz w:val="24"/>
                <w:szCs w:val="24"/>
                <w:lang w:val="en-US" w:eastAsia="zh-CN"/>
              </w:rPr>
              <w:t>/h</w:t>
            </w:r>
            <w:r>
              <w:rPr>
                <w:rFonts w:hint="eastAsia" w:ascii="Times New Roman" w:hAnsi="Times New Roman" w:eastAsia="宋体" w:cs="Times New Roman"/>
                <w:color w:val="auto"/>
                <w:spacing w:val="-3"/>
                <w:sz w:val="24"/>
                <w:szCs w:val="24"/>
                <w:lang w:val="en-US" w:eastAsia="zh-CN"/>
              </w:rPr>
              <w:t>。</w:t>
            </w:r>
          </w:p>
          <w:p>
            <w:pPr>
              <w:pStyle w:val="33"/>
              <w:jc w:val="both"/>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（5）制袋废气G6、G7</w:t>
            </w:r>
          </w:p>
          <w:p>
            <w:pPr>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lang w:eastAsia="zh-CN"/>
              </w:rPr>
              <w:t>项目制袋过程加热会产生少量制袋废气G6、G7，不进行定量分析，仅提出环保要求：加强车间通风。</w:t>
            </w:r>
          </w:p>
          <w:p>
            <w:pPr>
              <w:spacing w:line="360" w:lineRule="auto"/>
              <w:ind w:firstLine="482" w:firstLineChars="200"/>
              <w:rPr>
                <w:rFonts w:hint="default" w:ascii="Times New Roman" w:hAnsi="Times New Roman" w:eastAsia="宋体" w:cs="Times New Roman"/>
                <w:b/>
                <w:bCs w:val="0"/>
                <w:color w:val="auto"/>
                <w:sz w:val="24"/>
                <w:szCs w:val="24"/>
                <w:lang w:eastAsia="zh-CN"/>
              </w:rPr>
            </w:pP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lang w:val="en-US" w:eastAsia="zh-CN"/>
              </w:rPr>
              <w:t>6</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lang w:val="en-US" w:eastAsia="zh-CN"/>
              </w:rPr>
              <w:t>食堂废气G8</w:t>
            </w:r>
          </w:p>
          <w:p>
            <w:pPr>
              <w:spacing w:line="360" w:lineRule="auto"/>
              <w:ind w:firstLine="480" w:firstLineChars="20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拟建项目日最大用餐人数为</w:t>
            </w:r>
            <w:r>
              <w:rPr>
                <w:rFonts w:hint="default" w:ascii="Times New Roman" w:hAnsi="Times New Roman" w:cs="Times New Roman"/>
                <w:bCs/>
                <w:color w:val="auto"/>
                <w:kern w:val="2"/>
                <w:sz w:val="24"/>
                <w:szCs w:val="24"/>
                <w:lang w:val="en-US" w:eastAsia="zh-CN" w:bidi="ar-SA"/>
              </w:rPr>
              <w:t>50</w:t>
            </w:r>
            <w:r>
              <w:rPr>
                <w:rFonts w:hint="default" w:ascii="Times New Roman" w:hAnsi="Times New Roman" w:eastAsia="宋体" w:cs="Times New Roman"/>
                <w:bCs/>
                <w:color w:val="auto"/>
                <w:kern w:val="2"/>
                <w:sz w:val="24"/>
                <w:szCs w:val="24"/>
                <w:lang w:val="en-US" w:eastAsia="zh-CN" w:bidi="ar-SA"/>
              </w:rPr>
              <w:t>人，食堂在炒菜过程会产生油烟和非甲烷总烃</w:t>
            </w:r>
            <w:r>
              <w:rPr>
                <w:rFonts w:hint="default" w:ascii="Times New Roman" w:hAnsi="Times New Roman"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由于非甲烷产生量极少，本次环评不做定量分析</w:t>
            </w:r>
            <w:r>
              <w:rPr>
                <w:rFonts w:hint="default" w:ascii="Times New Roman" w:hAnsi="Times New Roman"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，根据相关资料和调查统计，一般食堂的食用油耗油系数为25g/人·d，则食用油耗量</w:t>
            </w:r>
            <w:r>
              <w:rPr>
                <w:rFonts w:hint="default" w:ascii="Times New Roman" w:hAnsi="Times New Roman" w:cs="Times New Roman"/>
                <w:bCs/>
                <w:color w:val="auto"/>
                <w:kern w:val="2"/>
                <w:sz w:val="24"/>
                <w:szCs w:val="24"/>
                <w:lang w:val="en-US" w:eastAsia="zh-CN" w:bidi="ar-SA"/>
              </w:rPr>
              <w:t>1.25</w:t>
            </w:r>
            <w:r>
              <w:rPr>
                <w:rFonts w:hint="default" w:ascii="Times New Roman" w:hAnsi="Times New Roman" w:eastAsia="宋体" w:cs="Times New Roman"/>
                <w:bCs/>
                <w:color w:val="auto"/>
                <w:kern w:val="2"/>
                <w:sz w:val="24"/>
                <w:szCs w:val="24"/>
                <w:lang w:val="en-US" w:eastAsia="zh-CN" w:bidi="ar-SA"/>
              </w:rPr>
              <w:t>kg/d，年食用油的用量为</w:t>
            </w:r>
            <w:r>
              <w:rPr>
                <w:rFonts w:hint="default" w:ascii="Times New Roman" w:hAnsi="Times New Roman" w:cs="Times New Roman"/>
                <w:bCs/>
                <w:color w:val="auto"/>
                <w:kern w:val="2"/>
                <w:sz w:val="24"/>
                <w:szCs w:val="24"/>
                <w:lang w:val="en-US" w:eastAsia="zh-CN" w:bidi="ar-SA"/>
              </w:rPr>
              <w:t>0.375</w:t>
            </w:r>
            <w:r>
              <w:rPr>
                <w:rFonts w:hint="default" w:ascii="Times New Roman" w:hAnsi="Times New Roman" w:eastAsia="宋体" w:cs="Times New Roman"/>
                <w:bCs/>
                <w:color w:val="auto"/>
                <w:kern w:val="2"/>
                <w:sz w:val="24"/>
                <w:szCs w:val="24"/>
                <w:lang w:val="en-US" w:eastAsia="zh-CN" w:bidi="ar-SA"/>
              </w:rPr>
              <w:t>t（年工作日为</w:t>
            </w:r>
            <w:r>
              <w:rPr>
                <w:rFonts w:hint="default" w:ascii="Times New Roman" w:hAnsi="Times New Roman" w:cs="Times New Roman"/>
                <w:bCs/>
                <w:color w:val="auto"/>
                <w:kern w:val="2"/>
                <w:sz w:val="24"/>
                <w:szCs w:val="24"/>
                <w:lang w:val="en-US" w:eastAsia="zh-CN" w:bidi="ar-SA"/>
              </w:rPr>
              <w:t>300</w:t>
            </w:r>
            <w:r>
              <w:rPr>
                <w:rFonts w:hint="default" w:ascii="Times New Roman" w:hAnsi="Times New Roman" w:eastAsia="宋体" w:cs="Times New Roman"/>
                <w:bCs/>
                <w:color w:val="auto"/>
                <w:kern w:val="2"/>
                <w:sz w:val="24"/>
                <w:szCs w:val="24"/>
                <w:lang w:val="en-US" w:eastAsia="zh-CN" w:bidi="ar-SA"/>
              </w:rPr>
              <w:t>d），每餐烹饪时间取</w:t>
            </w:r>
            <w:r>
              <w:rPr>
                <w:rFonts w:hint="default" w:ascii="Times New Roman" w:hAnsi="Times New Roman"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h，每日烹饪</w:t>
            </w:r>
            <w:r>
              <w:rPr>
                <w:rFonts w:hint="default" w:ascii="Times New Roman" w:hAnsi="Times New Roman"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餐，</w:t>
            </w:r>
            <w:r>
              <w:rPr>
                <w:rFonts w:hint="default" w:ascii="Times New Roman" w:hAnsi="Times New Roman" w:cs="Times New Roman"/>
                <w:bCs/>
                <w:color w:val="auto"/>
                <w:kern w:val="2"/>
                <w:sz w:val="24"/>
                <w:szCs w:val="24"/>
                <w:lang w:val="en-US" w:eastAsia="zh-CN" w:bidi="ar-SA"/>
              </w:rPr>
              <w:t>即</w:t>
            </w:r>
            <w:r>
              <w:rPr>
                <w:rFonts w:hint="default" w:ascii="Times New Roman" w:hAnsi="Times New Roman" w:eastAsia="宋体" w:cs="Times New Roman"/>
                <w:bCs/>
                <w:color w:val="auto"/>
                <w:kern w:val="2"/>
                <w:sz w:val="24"/>
                <w:szCs w:val="24"/>
                <w:lang w:val="en-US" w:eastAsia="zh-CN" w:bidi="ar-SA"/>
              </w:rPr>
              <w:t>烹饪时间</w:t>
            </w:r>
            <w:r>
              <w:rPr>
                <w:rFonts w:hint="default" w:ascii="Times New Roman" w:hAnsi="Times New Roman" w:cs="Times New Roman"/>
                <w:bCs/>
                <w:color w:val="auto"/>
                <w:kern w:val="2"/>
                <w:sz w:val="24"/>
                <w:szCs w:val="24"/>
                <w:lang w:val="en-US" w:eastAsia="zh-CN" w:bidi="ar-SA"/>
              </w:rPr>
              <w:t>1800h/a。</w:t>
            </w:r>
            <w:r>
              <w:rPr>
                <w:rFonts w:hint="default" w:ascii="Times New Roman" w:hAnsi="Times New Roman" w:eastAsia="宋体" w:cs="Times New Roman"/>
                <w:bCs/>
                <w:color w:val="auto"/>
                <w:kern w:val="2"/>
                <w:sz w:val="24"/>
                <w:szCs w:val="24"/>
                <w:lang w:val="en-US" w:eastAsia="zh-CN" w:bidi="ar-SA"/>
              </w:rPr>
              <w:t>一般油烟和油的挥发量占总耗油量的1</w:t>
            </w:r>
            <w:r>
              <w:rPr>
                <w:rFonts w:hint="default" w:ascii="Times New Roman" w:hAnsi="Times New Roman"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～3</w:t>
            </w:r>
            <w:r>
              <w:rPr>
                <w:rFonts w:hint="default" w:ascii="Times New Roman" w:hAnsi="Times New Roman"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之间，取</w:t>
            </w:r>
            <w:r>
              <w:rPr>
                <w:rFonts w:hint="default" w:ascii="Times New Roman" w:hAnsi="Times New Roman" w:cs="Times New Roman"/>
                <w:bCs/>
                <w:color w:val="auto"/>
                <w:kern w:val="2"/>
                <w:sz w:val="24"/>
                <w:szCs w:val="24"/>
                <w:lang w:val="en-US" w:eastAsia="zh-CN" w:bidi="ar-SA"/>
              </w:rPr>
              <w:t>最大值3%</w:t>
            </w:r>
            <w:r>
              <w:rPr>
                <w:rFonts w:hint="default" w:ascii="Times New Roman" w:hAnsi="Times New Roman" w:eastAsia="宋体" w:cs="Times New Roman"/>
                <w:bCs/>
                <w:color w:val="auto"/>
                <w:kern w:val="2"/>
                <w:sz w:val="24"/>
                <w:szCs w:val="24"/>
                <w:lang w:val="en-US" w:eastAsia="zh-CN" w:bidi="ar-SA"/>
              </w:rPr>
              <w:t>，则</w:t>
            </w:r>
            <w:r>
              <w:rPr>
                <w:rFonts w:hint="default" w:ascii="Times New Roman" w:hAnsi="Times New Roman" w:cs="Times New Roman"/>
                <w:bCs/>
                <w:color w:val="auto"/>
                <w:kern w:val="2"/>
                <w:sz w:val="24"/>
                <w:szCs w:val="24"/>
                <w:lang w:val="en-US" w:eastAsia="zh-CN" w:bidi="ar-SA"/>
              </w:rPr>
              <w:t>油烟</w:t>
            </w:r>
            <w:r>
              <w:rPr>
                <w:rFonts w:hint="default" w:ascii="Times New Roman" w:hAnsi="Times New Roman" w:eastAsia="宋体" w:cs="Times New Roman"/>
                <w:bCs/>
                <w:color w:val="auto"/>
                <w:kern w:val="2"/>
                <w:sz w:val="24"/>
                <w:szCs w:val="24"/>
                <w:lang w:val="en-US" w:eastAsia="zh-CN" w:bidi="ar-SA"/>
              </w:rPr>
              <w:t>的产生量为</w:t>
            </w:r>
            <w:r>
              <w:rPr>
                <w:rFonts w:hint="default" w:ascii="Times New Roman" w:hAnsi="Times New Roman" w:cs="Times New Roman"/>
                <w:bCs/>
                <w:color w:val="auto"/>
                <w:kern w:val="2"/>
                <w:sz w:val="24"/>
                <w:szCs w:val="24"/>
                <w:lang w:val="en-US" w:eastAsia="zh-CN" w:bidi="ar-SA"/>
              </w:rPr>
              <w:t>0.011</w:t>
            </w:r>
            <w:r>
              <w:rPr>
                <w:rFonts w:hint="default" w:ascii="Times New Roman" w:hAnsi="Times New Roman" w:eastAsia="宋体" w:cs="Times New Roman"/>
                <w:bCs/>
                <w:color w:val="auto"/>
                <w:kern w:val="2"/>
                <w:sz w:val="24"/>
                <w:szCs w:val="24"/>
                <w:lang w:val="en-US" w:eastAsia="zh-CN" w:bidi="ar-SA"/>
              </w:rPr>
              <w:t>t/a（0.</w:t>
            </w:r>
            <w:r>
              <w:rPr>
                <w:rFonts w:hint="default" w:ascii="Times New Roman" w:hAnsi="Times New Roman" w:cs="Times New Roman"/>
                <w:bCs/>
                <w:color w:val="auto"/>
                <w:kern w:val="2"/>
                <w:sz w:val="24"/>
                <w:szCs w:val="24"/>
                <w:lang w:val="en-US" w:eastAsia="zh-CN" w:bidi="ar-SA"/>
              </w:rPr>
              <w:t>006</w:t>
            </w:r>
            <w:r>
              <w:rPr>
                <w:rFonts w:hint="default" w:ascii="Times New Roman" w:hAnsi="Times New Roman" w:eastAsia="宋体" w:cs="Times New Roman"/>
                <w:bCs/>
                <w:color w:val="auto"/>
                <w:kern w:val="2"/>
                <w:sz w:val="24"/>
                <w:szCs w:val="24"/>
                <w:lang w:val="en-US" w:eastAsia="zh-CN" w:bidi="ar-SA"/>
              </w:rPr>
              <w:t>kg/h）。</w:t>
            </w:r>
          </w:p>
          <w:p>
            <w:pPr>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kern w:val="2"/>
                <w:sz w:val="24"/>
                <w:szCs w:val="24"/>
                <w:lang w:val="en-US" w:eastAsia="zh-CN" w:bidi="ar-SA"/>
              </w:rPr>
              <w:t>根据建设单位提供的资料，食堂内设</w:t>
            </w:r>
            <w:r>
              <w:rPr>
                <w:rFonts w:hint="default" w:ascii="Times New Roman" w:hAnsi="Times New Roman"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个灶头，按每个灶头基准风量为2000m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/h，正常工况下食堂油烟产生浓度为</w:t>
            </w:r>
            <w:r>
              <w:rPr>
                <w:rFonts w:hint="default" w:ascii="Times New Roman" w:hAnsi="Times New Roman" w:cs="Times New Roman"/>
                <w:bCs/>
                <w:color w:val="auto"/>
                <w:kern w:val="2"/>
                <w:sz w:val="24"/>
                <w:szCs w:val="24"/>
                <w:lang w:val="en-US" w:eastAsia="zh-CN" w:bidi="ar-SA"/>
              </w:rPr>
              <w:t>1</w:t>
            </w:r>
            <w:r>
              <w:rPr>
                <w:rFonts w:hint="default" w:ascii="Times New Roman" w:hAnsi="Times New Roman" w:eastAsia="宋体" w:cs="Times New Roman"/>
                <w:bCs/>
                <w:color w:val="auto"/>
                <w:kern w:val="2"/>
                <w:sz w:val="24"/>
                <w:szCs w:val="24"/>
                <w:lang w:val="en-US" w:eastAsia="zh-CN" w:bidi="ar-SA"/>
              </w:rPr>
              <w:t>mg/m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。拟建项目在灶头上方设集气罩（收集效率为80%），安装台油烟净化器（油烟去除效率达90%），集气罩收集的</w:t>
            </w:r>
            <w:r>
              <w:rPr>
                <w:rFonts w:hint="eastAsia" w:cs="Times New Roman"/>
                <w:bCs/>
                <w:color w:val="auto"/>
                <w:kern w:val="2"/>
                <w:sz w:val="24"/>
                <w:szCs w:val="24"/>
                <w:lang w:val="en-US" w:eastAsia="zh-CN" w:bidi="ar-SA"/>
              </w:rPr>
              <w:t>食堂废气</w:t>
            </w:r>
            <w:r>
              <w:rPr>
                <w:rFonts w:hint="default" w:ascii="Times New Roman" w:hAnsi="Times New Roman" w:eastAsia="宋体" w:cs="Times New Roman"/>
                <w:bCs/>
                <w:color w:val="auto"/>
                <w:kern w:val="2"/>
                <w:sz w:val="24"/>
                <w:szCs w:val="24"/>
                <w:lang w:val="en-US" w:eastAsia="zh-CN" w:bidi="ar-SA"/>
              </w:rPr>
              <w:t>经引风机</w:t>
            </w:r>
            <w:r>
              <w:rPr>
                <w:rFonts w:hint="eastAsia" w:cs="Times New Roman"/>
                <w:bCs/>
                <w:color w:val="auto"/>
                <w:kern w:val="2"/>
                <w:sz w:val="24"/>
                <w:szCs w:val="24"/>
                <w:lang w:val="en-US" w:eastAsia="zh-CN" w:bidi="ar-SA"/>
              </w:rPr>
              <w:t>d</w:t>
            </w:r>
            <w:r>
              <w:rPr>
                <w:rFonts w:hint="default" w:ascii="Times New Roman" w:hAnsi="Times New Roman" w:eastAsia="宋体" w:cs="Times New Roman"/>
                <w:bCs/>
                <w:color w:val="auto"/>
                <w:kern w:val="2"/>
                <w:sz w:val="24"/>
                <w:szCs w:val="24"/>
                <w:lang w:val="en-US" w:eastAsia="zh-CN" w:bidi="ar-SA"/>
              </w:rPr>
              <w:t>（风量为</w:t>
            </w:r>
            <w:r>
              <w:rPr>
                <w:rFonts w:hint="default" w:ascii="Times New Roman" w:hAnsi="Times New Roman" w:cs="Times New Roman"/>
                <w:bCs/>
                <w:color w:val="auto"/>
                <w:kern w:val="2"/>
                <w:sz w:val="24"/>
                <w:szCs w:val="24"/>
                <w:lang w:val="en-US" w:eastAsia="zh-CN" w:bidi="ar-SA"/>
              </w:rPr>
              <w:t>6</w:t>
            </w:r>
            <w:r>
              <w:rPr>
                <w:rFonts w:hint="default" w:ascii="Times New Roman" w:hAnsi="Times New Roman" w:eastAsia="宋体" w:cs="Times New Roman"/>
                <w:bCs/>
                <w:color w:val="auto"/>
                <w:kern w:val="2"/>
                <w:sz w:val="24"/>
                <w:szCs w:val="24"/>
                <w:lang w:val="en-US" w:eastAsia="zh-CN" w:bidi="ar-SA"/>
              </w:rPr>
              <w:t>000m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/h）引入油烟净化器处理后</w:t>
            </w:r>
            <w:r>
              <w:rPr>
                <w:rFonts w:hint="default" w:ascii="Times New Roman" w:hAnsi="Times New Roman" w:cs="Times New Roman"/>
                <w:bCs/>
                <w:color w:val="auto"/>
                <w:kern w:val="2"/>
                <w:sz w:val="24"/>
                <w:szCs w:val="24"/>
                <w:lang w:val="en-US" w:eastAsia="zh-CN" w:bidi="ar-SA"/>
              </w:rPr>
              <w:t>引至</w:t>
            </w:r>
            <w:r>
              <w:rPr>
                <w:rFonts w:hint="default" w:ascii="Times New Roman" w:hAnsi="Times New Roman" w:eastAsia="宋体" w:cs="Times New Roman"/>
                <w:bCs/>
                <w:color w:val="auto"/>
                <w:kern w:val="2"/>
                <w:sz w:val="24"/>
                <w:szCs w:val="24"/>
                <w:lang w:val="en-US" w:eastAsia="zh-CN" w:bidi="ar-SA"/>
              </w:rPr>
              <w:t>DA00</w:t>
            </w:r>
            <w:r>
              <w:rPr>
                <w:rFonts w:hint="eastAsia" w:ascii="Times New Roman" w:hAnsi="Times New Roman" w:cs="Times New Roman"/>
                <w:bCs/>
                <w:color w:val="auto"/>
                <w:kern w:val="2"/>
                <w:sz w:val="24"/>
                <w:szCs w:val="24"/>
                <w:lang w:val="en-US" w:eastAsia="zh-CN" w:bidi="ar-SA"/>
              </w:rPr>
              <w:t>4</w:t>
            </w:r>
            <w:r>
              <w:rPr>
                <w:rFonts w:hint="default" w:ascii="Times New Roman" w:hAnsi="Times New Roman" w:eastAsia="宋体" w:cs="Times New Roman"/>
                <w:bCs/>
                <w:color w:val="auto"/>
                <w:kern w:val="2"/>
                <w:sz w:val="24"/>
                <w:szCs w:val="24"/>
                <w:lang w:val="en-US" w:eastAsia="zh-CN" w:bidi="ar-SA"/>
              </w:rPr>
              <w:t>排气筒</w:t>
            </w:r>
            <w:r>
              <w:rPr>
                <w:rFonts w:hint="default" w:ascii="Times New Roman" w:hAnsi="Times New Roman" w:cs="Times New Roman"/>
                <w:bCs/>
                <w:color w:val="auto"/>
                <w:kern w:val="2"/>
                <w:sz w:val="24"/>
                <w:szCs w:val="24"/>
                <w:lang w:val="en-US" w:eastAsia="zh-CN" w:bidi="ar-SA"/>
              </w:rPr>
              <w:t>楼顶排放</w:t>
            </w:r>
            <w:r>
              <w:rPr>
                <w:rFonts w:hint="default" w:ascii="Times New Roman" w:hAnsi="Times New Roman" w:eastAsia="宋体" w:cs="Times New Roman"/>
                <w:bCs/>
                <w:color w:val="auto"/>
                <w:kern w:val="2"/>
                <w:sz w:val="24"/>
                <w:szCs w:val="24"/>
                <w:lang w:val="en-US" w:eastAsia="zh-CN" w:bidi="ar-SA"/>
              </w:rPr>
              <w:t>，油烟有组织排放量为</w:t>
            </w:r>
            <w:r>
              <w:rPr>
                <w:rFonts w:hint="default" w:ascii="Times New Roman" w:hAnsi="Times New Roman" w:cs="Times New Roman"/>
                <w:bCs/>
                <w:color w:val="auto"/>
                <w:kern w:val="2"/>
                <w:sz w:val="24"/>
                <w:szCs w:val="24"/>
                <w:lang w:val="en-US" w:eastAsia="zh-CN" w:bidi="ar-SA"/>
              </w:rPr>
              <w:t>0.00</w:t>
            </w:r>
            <w:r>
              <w:rPr>
                <w:rFonts w:hint="eastAsia" w:ascii="Times New Roman" w:hAnsi="Times New Roman" w:cs="Times New Roman"/>
                <w:bCs/>
                <w:color w:val="auto"/>
                <w:kern w:val="2"/>
                <w:sz w:val="24"/>
                <w:szCs w:val="24"/>
                <w:lang w:val="en-US" w:eastAsia="zh-CN" w:bidi="ar-SA"/>
              </w:rPr>
              <w:t>09</w:t>
            </w:r>
            <w:r>
              <w:rPr>
                <w:rFonts w:hint="default" w:ascii="Times New Roman" w:hAnsi="Times New Roman" w:eastAsia="宋体" w:cs="Times New Roman"/>
                <w:bCs/>
                <w:color w:val="auto"/>
                <w:kern w:val="2"/>
                <w:sz w:val="24"/>
                <w:szCs w:val="24"/>
                <w:lang w:val="en-US" w:eastAsia="zh-CN" w:bidi="ar-SA"/>
              </w:rPr>
              <w:t>t/a（</w:t>
            </w:r>
            <w:r>
              <w:rPr>
                <w:rFonts w:hint="default" w:ascii="Times New Roman" w:hAnsi="Times New Roman" w:cs="Times New Roman"/>
                <w:bCs/>
                <w:color w:val="auto"/>
                <w:kern w:val="2"/>
                <w:sz w:val="24"/>
                <w:szCs w:val="24"/>
                <w:lang w:val="en-US" w:eastAsia="zh-CN" w:bidi="ar-SA"/>
              </w:rPr>
              <w:t>0.00</w:t>
            </w:r>
            <w:r>
              <w:rPr>
                <w:rFonts w:hint="eastAsia" w:ascii="Times New Roman" w:hAnsi="Times New Roman" w:cs="Times New Roman"/>
                <w:bCs/>
                <w:color w:val="auto"/>
                <w:kern w:val="2"/>
                <w:sz w:val="24"/>
                <w:szCs w:val="24"/>
                <w:lang w:val="en-US" w:eastAsia="zh-CN" w:bidi="ar-SA"/>
              </w:rPr>
              <w:t>0</w:t>
            </w:r>
            <w:r>
              <w:rPr>
                <w:rFonts w:hint="default" w:ascii="Times New Roman" w:hAnsi="Times New Roman" w:cs="Times New Roman"/>
                <w:bCs/>
                <w:color w:val="auto"/>
                <w:kern w:val="2"/>
                <w:sz w:val="24"/>
                <w:szCs w:val="24"/>
                <w:lang w:val="en-US" w:eastAsia="zh-CN" w:bidi="ar-SA"/>
              </w:rPr>
              <w:t>5</w:t>
            </w:r>
            <w:r>
              <w:rPr>
                <w:rFonts w:hint="default" w:ascii="Times New Roman" w:hAnsi="Times New Roman" w:eastAsia="宋体" w:cs="Times New Roman"/>
                <w:bCs/>
                <w:color w:val="auto"/>
                <w:kern w:val="2"/>
                <w:sz w:val="24"/>
                <w:szCs w:val="24"/>
                <w:lang w:val="en-US" w:eastAsia="zh-CN" w:bidi="ar-SA"/>
              </w:rPr>
              <w:t>kg/h），排放浓度为0.</w:t>
            </w:r>
            <w:r>
              <w:rPr>
                <w:rFonts w:hint="eastAsia" w:ascii="Times New Roman" w:hAnsi="Times New Roman" w:cs="Times New Roman"/>
                <w:bCs/>
                <w:color w:val="auto"/>
                <w:kern w:val="2"/>
                <w:sz w:val="24"/>
                <w:szCs w:val="24"/>
                <w:lang w:val="en-US" w:eastAsia="zh-CN" w:bidi="ar-SA"/>
              </w:rPr>
              <w:t>08</w:t>
            </w:r>
            <w:r>
              <w:rPr>
                <w:rFonts w:hint="default" w:ascii="Times New Roman" w:hAnsi="Times New Roman" w:eastAsia="宋体" w:cs="Times New Roman"/>
                <w:bCs/>
                <w:color w:val="auto"/>
                <w:kern w:val="2"/>
                <w:sz w:val="24"/>
                <w:szCs w:val="24"/>
                <w:lang w:val="en-US" w:eastAsia="zh-CN" w:bidi="ar-SA"/>
              </w:rPr>
              <w:t>mg/m</w:t>
            </w:r>
            <w:r>
              <w:rPr>
                <w:rFonts w:hint="default"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cs="Times New Roman"/>
                <w:bCs/>
                <w:color w:val="auto"/>
                <w:kern w:val="2"/>
                <w:sz w:val="24"/>
                <w:szCs w:val="24"/>
                <w:lang w:val="en-US" w:eastAsia="zh-CN" w:bidi="ar-SA"/>
              </w:rPr>
              <w:t>。</w:t>
            </w:r>
          </w:p>
          <w:p>
            <w:pPr>
              <w:spacing w:line="360" w:lineRule="auto"/>
              <w:ind w:firstLine="482" w:firstLineChars="200"/>
              <w:rPr>
                <w:rFonts w:hint="default" w:ascii="Times New Roman" w:hAnsi="Times New Roman" w:eastAsia="宋体" w:cs="Times New Roman"/>
                <w:b/>
                <w:bCs w:val="0"/>
                <w:color w:val="auto"/>
                <w:sz w:val="24"/>
                <w:szCs w:val="24"/>
                <w:lang w:eastAsia="zh-CN"/>
              </w:rPr>
            </w:pP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lang w:val="en-US" w:eastAsia="zh-CN"/>
              </w:rPr>
              <w:t>7</w:t>
            </w:r>
            <w:r>
              <w:rPr>
                <w:rFonts w:hint="default" w:ascii="Times New Roman" w:hAnsi="Times New Roman" w:cs="Times New Roman"/>
                <w:b/>
                <w:bCs w:val="0"/>
                <w:color w:val="auto"/>
                <w:sz w:val="24"/>
                <w:szCs w:val="24"/>
                <w:lang w:eastAsia="zh-CN"/>
              </w:rPr>
              <w:t>）危废间有机废气G9</w:t>
            </w:r>
          </w:p>
          <w:p>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拟建</w:t>
            </w:r>
            <w:r>
              <w:rPr>
                <w:rFonts w:hint="default" w:ascii="Times New Roman" w:hAnsi="Times New Roman" w:eastAsia="宋体" w:cs="Times New Roman"/>
                <w:bCs/>
                <w:color w:val="auto"/>
                <w:sz w:val="24"/>
                <w:szCs w:val="24"/>
              </w:rPr>
              <w:t>项目危险废物暂存间暂存有</w:t>
            </w:r>
            <w:r>
              <w:rPr>
                <w:rFonts w:hint="eastAsia" w:cs="Times New Roman"/>
                <w:bCs/>
                <w:color w:val="auto"/>
                <w:sz w:val="24"/>
                <w:szCs w:val="24"/>
                <w:lang w:eastAsia="zh-CN"/>
              </w:rPr>
              <w:t>废活性炭</w:t>
            </w:r>
            <w:r>
              <w:rPr>
                <w:rFonts w:hint="default" w:ascii="Times New Roman" w:hAnsi="Times New Roman" w:eastAsia="宋体" w:cs="Times New Roman"/>
                <w:bCs/>
                <w:color w:val="auto"/>
                <w:sz w:val="24"/>
                <w:szCs w:val="24"/>
              </w:rPr>
              <w:t>等</w:t>
            </w:r>
            <w:r>
              <w:rPr>
                <w:rFonts w:hint="default" w:ascii="Times New Roman" w:hAnsi="Times New Roman" w:eastAsia="宋体" w:cs="Times New Roman"/>
                <w:bCs/>
                <w:color w:val="auto"/>
                <w:sz w:val="24"/>
                <w:szCs w:val="24"/>
                <w:lang w:val="en-US" w:eastAsia="zh-CN"/>
              </w:rPr>
              <w:t>危废</w:t>
            </w:r>
            <w:r>
              <w:rPr>
                <w:rFonts w:hint="default" w:ascii="Times New Roman" w:hAnsi="Times New Roman" w:eastAsia="宋体" w:cs="Times New Roman"/>
                <w:bCs/>
                <w:color w:val="auto"/>
                <w:sz w:val="24"/>
                <w:szCs w:val="24"/>
              </w:rPr>
              <w:t>，可能会产生</w:t>
            </w:r>
            <w:r>
              <w:rPr>
                <w:rFonts w:hint="default" w:ascii="Times New Roman" w:hAnsi="Times New Roman" w:cs="Times New Roman"/>
                <w:b w:val="0"/>
                <w:bCs w:val="0"/>
                <w:color w:val="auto"/>
                <w:sz w:val="24"/>
                <w:szCs w:val="24"/>
                <w:highlight w:val="none"/>
                <w:lang w:eastAsia="zh-CN"/>
              </w:rPr>
              <w:t>危废间有机废气</w:t>
            </w:r>
            <w:r>
              <w:rPr>
                <w:rFonts w:hint="default" w:ascii="Times New Roman" w:hAnsi="Times New Roman" w:cs="Times New Roman"/>
                <w:b w:val="0"/>
                <w:bCs w:val="0"/>
                <w:color w:val="auto"/>
                <w:sz w:val="24"/>
                <w:szCs w:val="24"/>
                <w:highlight w:val="none"/>
                <w:lang w:val="en-US" w:eastAsia="zh-CN"/>
              </w:rPr>
              <w:t>G</w:t>
            </w:r>
            <w:r>
              <w:rPr>
                <w:rFonts w:hint="eastAsia" w:ascii="Times New Roman" w:hAnsi="Times New Roman" w:cs="Times New Roman"/>
                <w:b w:val="0"/>
                <w:bCs w:val="0"/>
                <w:color w:val="auto"/>
                <w:sz w:val="24"/>
                <w:szCs w:val="24"/>
                <w:highlight w:val="none"/>
                <w:lang w:val="en-US" w:eastAsia="zh-CN"/>
              </w:rPr>
              <w:t>9</w:t>
            </w:r>
            <w:r>
              <w:rPr>
                <w:rFonts w:hint="default" w:ascii="Times New Roman" w:hAnsi="Times New Roman" w:eastAsia="宋体" w:cs="Times New Roman"/>
                <w:bCs/>
                <w:color w:val="auto"/>
                <w:sz w:val="24"/>
                <w:szCs w:val="24"/>
              </w:rPr>
              <w:t>，按照</w:t>
            </w:r>
            <w:r>
              <w:rPr>
                <w:rFonts w:hint="default" w:ascii="Times New Roman" w:hAnsi="Times New Roman" w:cs="Times New Roman"/>
                <w:color w:val="auto"/>
                <w:sz w:val="24"/>
                <w:szCs w:val="24"/>
                <w:lang w:eastAsia="zh-CN"/>
              </w:rPr>
              <w:t>《危险废物贮存污染控制标准》（GB18597—2023）</w:t>
            </w:r>
            <w:r>
              <w:rPr>
                <w:rFonts w:hint="default" w:ascii="Times New Roman" w:hAnsi="Times New Roman" w:cs="Times New Roman"/>
                <w:color w:val="auto"/>
                <w:sz w:val="24"/>
                <w:szCs w:val="24"/>
                <w:lang w:val="en-US" w:eastAsia="zh-CN"/>
              </w:rPr>
              <w:t>中的要求</w:t>
            </w:r>
            <w:r>
              <w:rPr>
                <w:rFonts w:hint="default" w:ascii="Times New Roman" w:hAnsi="Times New Roman" w:eastAsia="宋体" w:cs="Times New Roman"/>
                <w:bCs/>
                <w:color w:val="auto"/>
                <w:sz w:val="24"/>
                <w:szCs w:val="24"/>
              </w:rPr>
              <w:t>，危险废物暂存间设置抽风</w:t>
            </w:r>
            <w:r>
              <w:rPr>
                <w:rFonts w:hint="eastAsia" w:cs="Times New Roman"/>
                <w:bCs/>
                <w:color w:val="auto"/>
                <w:sz w:val="24"/>
                <w:szCs w:val="24"/>
                <w:lang w:eastAsia="zh-CN"/>
              </w:rPr>
              <w:t>收集装置，</w:t>
            </w:r>
            <w:r>
              <w:rPr>
                <w:rFonts w:hint="default" w:ascii="Times New Roman" w:hAnsi="Times New Roman" w:cs="Times New Roman"/>
                <w:b w:val="0"/>
                <w:bCs w:val="0"/>
                <w:color w:val="auto"/>
                <w:sz w:val="24"/>
                <w:szCs w:val="24"/>
                <w:highlight w:val="none"/>
                <w:lang w:eastAsia="zh-CN"/>
              </w:rPr>
              <w:t>危废间有机废气</w:t>
            </w:r>
            <w:r>
              <w:rPr>
                <w:rFonts w:hint="eastAsia" w:ascii="Times New Roman" w:hAnsi="Times New Roman" w:cs="Times New Roman"/>
                <w:b w:val="0"/>
                <w:bCs w:val="0"/>
                <w:color w:val="auto"/>
                <w:sz w:val="24"/>
                <w:szCs w:val="24"/>
                <w:highlight w:val="none"/>
                <w:lang w:eastAsia="zh-CN"/>
              </w:rPr>
              <w:t>通过收集后经“</w:t>
            </w:r>
            <w:r>
              <w:rPr>
                <w:rFonts w:hint="eastAsia" w:cs="Times New Roman"/>
                <w:b w:val="0"/>
                <w:bCs w:val="0"/>
                <w:color w:val="auto"/>
                <w:sz w:val="24"/>
                <w:szCs w:val="24"/>
                <w:highlight w:val="none"/>
                <w:lang w:eastAsia="zh-CN"/>
              </w:rPr>
              <w:t>活性炭吸附</w:t>
            </w:r>
            <w:r>
              <w:rPr>
                <w:rFonts w:hint="eastAsia" w:ascii="Times New Roman" w:hAnsi="Times New Roman" w:cs="Times New Roman"/>
                <w:b w:val="0"/>
                <w:bCs w:val="0"/>
                <w:color w:val="auto"/>
                <w:sz w:val="24"/>
                <w:szCs w:val="24"/>
                <w:highlight w:val="none"/>
                <w:lang w:eastAsia="zh-CN"/>
              </w:rPr>
              <w:t>”处理后通过15m高排气筒DA003排放</w:t>
            </w:r>
            <w:r>
              <w:rPr>
                <w:rFonts w:hint="default" w:ascii="Times New Roman" w:hAnsi="Times New Roman" w:eastAsia="宋体" w:cs="Times New Roman"/>
                <w:bCs/>
                <w:color w:val="auto"/>
                <w:sz w:val="24"/>
                <w:szCs w:val="24"/>
                <w:lang w:eastAsia="zh-CN"/>
              </w:rPr>
              <w:t>。</w:t>
            </w:r>
            <w:r>
              <w:rPr>
                <w:rFonts w:hint="eastAsia" w:cs="Times New Roman"/>
                <w:bCs/>
                <w:color w:val="auto"/>
                <w:sz w:val="24"/>
                <w:szCs w:val="24"/>
                <w:lang w:eastAsia="zh-CN"/>
              </w:rPr>
              <w:t>已知拟建项目活性炭吸附粘胶、流延、吹膜废气非甲烷总烃的量为9.336t/a，废活性炭在危废间内释放的有机废气量占吸附量的</w:t>
            </w:r>
            <w:r>
              <w:rPr>
                <w:rFonts w:hint="eastAsia" w:cs="Times New Roman"/>
                <w:bCs/>
                <w:color w:val="auto"/>
                <w:sz w:val="24"/>
                <w:szCs w:val="24"/>
                <w:lang w:val="en-US" w:eastAsia="zh-CN"/>
              </w:rPr>
              <w:t>0.1~0.3%，按0.3%计，即释放量为0.028t/a，危废间处于密闭状态，收集效率取90%，由于危废间有机废气产生浓度较低，活性炭处理效率取30%，则项目危废间有机废气有组织产生量为0.025t/a，未收集的废气以无组织形式排放，为0.003t/a。</w:t>
            </w:r>
          </w:p>
          <w:p>
            <w:pPr>
              <w:pStyle w:val="66"/>
              <w:ind w:firstLine="480"/>
              <w:rPr>
                <w:rFonts w:hint="eastAsia" w:ascii="Times New Roman" w:hAnsi="Times New Roman" w:eastAsia="宋体"/>
                <w:bCs/>
                <w:color w:val="auto"/>
                <w:sz w:val="24"/>
              </w:rPr>
            </w:pPr>
            <w:r>
              <w:rPr>
                <w:rFonts w:hint="eastAsia" w:ascii="Times New Roman" w:hAnsi="Times New Roman" w:eastAsia="宋体"/>
                <w:bCs/>
                <w:color w:val="auto"/>
                <w:sz w:val="24"/>
              </w:rPr>
              <w:t>根据简明通风设计手册，全屋通风量可按换气次数而定，抽风量计算公式如下：</w:t>
            </w:r>
          </w:p>
          <w:p>
            <w:pPr>
              <w:spacing w:line="360" w:lineRule="auto"/>
              <w:ind w:firstLine="417" w:firstLineChars="174"/>
              <w:jc w:val="center"/>
              <w:rPr>
                <w:rFonts w:hint="eastAsia" w:ascii="Times New Roman" w:hAnsi="Times New Roman" w:eastAsia="宋体" w:cs="宋体"/>
                <w:bCs/>
                <w:color w:val="auto"/>
                <w:sz w:val="24"/>
              </w:rPr>
            </w:pPr>
            <w:r>
              <w:rPr>
                <w:rFonts w:hint="eastAsia" w:ascii="Times New Roman" w:hAnsi="Times New Roman" w:eastAsia="宋体" w:cs="宋体"/>
                <w:bCs/>
                <w:color w:val="auto"/>
                <w:sz w:val="24"/>
              </w:rPr>
              <w:t>L=n*L</w:t>
            </w:r>
            <w:r>
              <w:rPr>
                <w:rFonts w:hint="eastAsia" w:ascii="Times New Roman" w:hAnsi="Times New Roman" w:eastAsia="宋体" w:cs="宋体"/>
                <w:bCs/>
                <w:color w:val="auto"/>
                <w:sz w:val="24"/>
                <w:vertAlign w:val="subscript"/>
              </w:rPr>
              <w:t>f</w:t>
            </w:r>
          </w:p>
          <w:p>
            <w:pPr>
              <w:spacing w:line="360" w:lineRule="auto"/>
              <w:ind w:firstLine="417" w:firstLineChars="174"/>
              <w:rPr>
                <w:rFonts w:ascii="Times New Roman" w:hAnsi="Times New Roman" w:eastAsia="宋体"/>
                <w:color w:val="auto"/>
              </w:rPr>
            </w:pPr>
            <w:r>
              <w:rPr>
                <w:rFonts w:hint="eastAsia" w:ascii="Times New Roman" w:hAnsi="Times New Roman" w:eastAsia="宋体" w:cs="宋体"/>
                <w:bCs/>
                <w:color w:val="auto"/>
                <w:sz w:val="24"/>
              </w:rPr>
              <w:t>式中：L-全面通风量，m</w:t>
            </w:r>
            <w:r>
              <w:rPr>
                <w:rFonts w:hint="eastAsia" w:ascii="Times New Roman" w:hAnsi="Times New Roman" w:eastAsia="宋体" w:cs="宋体"/>
                <w:bCs/>
                <w:color w:val="auto"/>
                <w:sz w:val="24"/>
                <w:vertAlign w:val="superscript"/>
              </w:rPr>
              <w:t>3</w:t>
            </w:r>
            <w:r>
              <w:rPr>
                <w:rFonts w:hint="eastAsia" w:ascii="Times New Roman" w:hAnsi="Times New Roman" w:eastAsia="宋体" w:cs="宋体"/>
                <w:bCs/>
                <w:color w:val="auto"/>
                <w:sz w:val="24"/>
              </w:rPr>
              <w:t>/h；</w:t>
            </w:r>
          </w:p>
          <w:p>
            <w:pPr>
              <w:spacing w:line="360" w:lineRule="auto"/>
              <w:ind w:firstLine="1200" w:firstLineChars="500"/>
              <w:rPr>
                <w:rFonts w:hint="eastAsia" w:ascii="Times New Roman" w:hAnsi="Times New Roman" w:eastAsia="宋体" w:cs="宋体"/>
                <w:bCs/>
                <w:color w:val="auto"/>
                <w:sz w:val="24"/>
              </w:rPr>
            </w:pPr>
            <w:r>
              <w:rPr>
                <w:rFonts w:hint="eastAsia" w:ascii="Times New Roman" w:hAnsi="Times New Roman" w:eastAsia="宋体" w:cs="宋体"/>
                <w:bCs/>
                <w:color w:val="auto"/>
                <w:sz w:val="24"/>
              </w:rPr>
              <w:t>n-换气次数，1/h，n</w:t>
            </w:r>
            <w:r>
              <w:rPr>
                <w:rFonts w:hint="eastAsia" w:ascii="Times New Roman" w:hAnsi="Times New Roman" w:eastAsia="宋体" w:cs="宋体"/>
                <w:bCs/>
                <w:color w:val="auto"/>
                <w:sz w:val="24"/>
                <w:lang w:eastAsia="zh-CN"/>
              </w:rPr>
              <w:t>取</w:t>
            </w:r>
            <w:r>
              <w:rPr>
                <w:rFonts w:hint="eastAsia" w:ascii="Times New Roman" w:hAnsi="Times New Roman" w:eastAsia="宋体" w:cs="宋体"/>
                <w:bCs/>
                <w:color w:val="auto"/>
                <w:sz w:val="24"/>
                <w:lang w:val="en-US" w:eastAsia="zh-CN"/>
              </w:rPr>
              <w:t>30</w:t>
            </w:r>
            <w:r>
              <w:rPr>
                <w:rFonts w:hint="eastAsia" w:ascii="Times New Roman" w:hAnsi="Times New Roman" w:eastAsia="宋体" w:cs="宋体"/>
                <w:bCs/>
                <w:color w:val="auto"/>
                <w:sz w:val="24"/>
              </w:rPr>
              <w:t>；</w:t>
            </w:r>
          </w:p>
          <w:p>
            <w:pPr>
              <w:spacing w:line="360" w:lineRule="auto"/>
              <w:ind w:firstLine="1135" w:firstLineChars="473"/>
              <w:rPr>
                <w:rFonts w:hint="eastAsia" w:ascii="Times New Roman" w:hAnsi="Times New Roman" w:eastAsia="宋体" w:cs="宋体"/>
                <w:bCs/>
                <w:color w:val="auto"/>
                <w:sz w:val="24"/>
              </w:rPr>
            </w:pPr>
            <w:r>
              <w:rPr>
                <w:rFonts w:hint="eastAsia" w:ascii="Times New Roman" w:hAnsi="Times New Roman" w:eastAsia="宋体" w:cs="宋体"/>
                <w:bCs/>
                <w:color w:val="auto"/>
                <w:sz w:val="24"/>
              </w:rPr>
              <w:t>L</w:t>
            </w:r>
            <w:r>
              <w:rPr>
                <w:rFonts w:hint="eastAsia" w:ascii="Times New Roman" w:hAnsi="Times New Roman" w:eastAsia="宋体" w:cs="宋体"/>
                <w:bCs/>
                <w:color w:val="auto"/>
                <w:sz w:val="24"/>
                <w:vertAlign w:val="subscript"/>
              </w:rPr>
              <w:t>f</w:t>
            </w:r>
            <w:r>
              <w:rPr>
                <w:rFonts w:hint="eastAsia" w:ascii="Times New Roman" w:hAnsi="Times New Roman" w:eastAsia="宋体" w:cs="宋体"/>
                <w:bCs/>
                <w:color w:val="auto"/>
                <w:sz w:val="24"/>
              </w:rPr>
              <w:t>-通风房间体积，</w:t>
            </w:r>
            <w:r>
              <w:rPr>
                <w:rFonts w:hint="eastAsia" w:ascii="Times New Roman" w:hAnsi="Times New Roman" w:eastAsia="宋体" w:cs="宋体"/>
                <w:bCs/>
                <w:color w:val="auto"/>
                <w:sz w:val="24"/>
                <w:lang w:val="en-US" w:eastAsia="zh-CN"/>
              </w:rPr>
              <w:t>4*2.5*3=30</w:t>
            </w:r>
            <w:r>
              <w:rPr>
                <w:rFonts w:hint="eastAsia" w:ascii="Times New Roman" w:hAnsi="Times New Roman" w:eastAsia="宋体" w:cs="宋体"/>
                <w:bCs/>
                <w:color w:val="auto"/>
                <w:sz w:val="24"/>
              </w:rPr>
              <w:t>m</w:t>
            </w:r>
            <w:r>
              <w:rPr>
                <w:rFonts w:hint="eastAsia" w:ascii="Times New Roman" w:hAnsi="Times New Roman" w:eastAsia="宋体" w:cs="宋体"/>
                <w:bCs/>
                <w:color w:val="auto"/>
                <w:sz w:val="24"/>
                <w:vertAlign w:val="superscript"/>
              </w:rPr>
              <w:t>3</w:t>
            </w:r>
            <w:r>
              <w:rPr>
                <w:rFonts w:hint="eastAsia" w:ascii="Times New Roman" w:hAnsi="Times New Roman" w:eastAsia="宋体" w:cs="宋体"/>
                <w:bCs/>
                <w:color w:val="auto"/>
                <w:sz w:val="24"/>
              </w:rPr>
              <w:t>；</w:t>
            </w:r>
          </w:p>
          <w:p>
            <w:pPr>
              <w:spacing w:line="360" w:lineRule="auto"/>
              <w:ind w:firstLine="480" w:firstLineChars="200"/>
              <w:rPr>
                <w:rFonts w:hint="eastAsia" w:eastAsia="宋体"/>
                <w:color w:val="auto"/>
                <w:lang w:eastAsia="zh-CN"/>
              </w:rPr>
            </w:pPr>
            <w:r>
              <w:rPr>
                <w:rFonts w:hint="eastAsia" w:ascii="Times New Roman" w:hAnsi="Times New Roman" w:eastAsia="宋体" w:cs="宋体"/>
                <w:bCs/>
                <w:color w:val="auto"/>
                <w:sz w:val="24"/>
              </w:rPr>
              <w:t>根据上式计算，</w:t>
            </w:r>
            <w:r>
              <w:rPr>
                <w:rFonts w:hint="eastAsia" w:ascii="Times New Roman" w:hAnsi="Times New Roman" w:eastAsia="宋体" w:cs="宋体"/>
                <w:bCs/>
                <w:color w:val="auto"/>
                <w:sz w:val="24"/>
                <w:lang w:val="en-US" w:eastAsia="zh-CN"/>
              </w:rPr>
              <w:t>风机e</w:t>
            </w:r>
            <w:r>
              <w:rPr>
                <w:rFonts w:hint="eastAsia" w:ascii="Times New Roman" w:hAnsi="Times New Roman" w:eastAsia="宋体" w:cs="宋体"/>
                <w:bCs/>
                <w:color w:val="auto"/>
                <w:sz w:val="24"/>
              </w:rPr>
              <w:t>风量</w:t>
            </w:r>
            <w:r>
              <w:rPr>
                <w:rFonts w:hint="eastAsia" w:ascii="Times New Roman" w:hAnsi="Times New Roman" w:eastAsia="宋体" w:cs="宋体"/>
                <w:bCs/>
                <w:color w:val="auto"/>
                <w:sz w:val="24"/>
                <w:lang w:val="en-US" w:eastAsia="zh-CN"/>
              </w:rPr>
              <w:t>为900</w:t>
            </w:r>
            <w:r>
              <w:rPr>
                <w:rFonts w:hint="eastAsia" w:ascii="Times New Roman" w:hAnsi="Times New Roman" w:eastAsia="宋体" w:cs="宋体"/>
                <w:bCs/>
                <w:color w:val="auto"/>
                <w:sz w:val="24"/>
              </w:rPr>
              <w:t>m</w:t>
            </w:r>
            <w:r>
              <w:rPr>
                <w:rFonts w:hint="eastAsia" w:ascii="Times New Roman" w:hAnsi="Times New Roman" w:eastAsia="宋体" w:cs="宋体"/>
                <w:bCs/>
                <w:color w:val="auto"/>
                <w:sz w:val="24"/>
                <w:vertAlign w:val="superscript"/>
              </w:rPr>
              <w:t>3</w:t>
            </w:r>
            <w:r>
              <w:rPr>
                <w:rFonts w:hint="eastAsia" w:ascii="Times New Roman" w:hAnsi="Times New Roman" w:eastAsia="宋体" w:cs="宋体"/>
                <w:bCs/>
                <w:color w:val="auto"/>
                <w:sz w:val="24"/>
              </w:rPr>
              <w:t>/h。</w:t>
            </w:r>
          </w:p>
          <w:p>
            <w:pPr>
              <w:pStyle w:val="24"/>
              <w:numPr>
                <w:ilvl w:val="0"/>
                <w:numId w:val="2"/>
              </w:numPr>
              <w:ind w:left="0" w:leftChars="0" w:firstLine="482" w:firstLineChars="200"/>
              <w:rPr>
                <w:rFonts w:hint="eastAsia" w:ascii="Times New Roman" w:hAnsi="Times New Roman" w:eastAsia="宋体" w:cs="Times New Roman"/>
                <w:b/>
                <w:bCs w:val="0"/>
                <w:color w:val="auto"/>
                <w:sz w:val="24"/>
                <w:szCs w:val="24"/>
                <w:lang w:eastAsia="zh-CN"/>
              </w:rPr>
            </w:pPr>
            <w:r>
              <w:rPr>
                <w:rFonts w:hint="eastAsia" w:ascii="Times New Roman" w:hAnsi="Times New Roman" w:eastAsia="宋体" w:cs="Times New Roman"/>
                <w:b/>
                <w:bCs w:val="0"/>
                <w:color w:val="auto"/>
                <w:sz w:val="24"/>
                <w:szCs w:val="24"/>
                <w:lang w:eastAsia="zh-CN"/>
              </w:rPr>
              <w:t>生化池废气</w:t>
            </w:r>
            <w:r>
              <w:rPr>
                <w:rFonts w:hint="eastAsia" w:ascii="Times New Roman" w:hAnsi="Times New Roman" w:eastAsia="宋体" w:cs="Times New Roman"/>
                <w:b/>
                <w:bCs w:val="0"/>
                <w:color w:val="auto"/>
                <w:sz w:val="24"/>
                <w:szCs w:val="24"/>
                <w:lang w:val="en-US" w:eastAsia="zh-CN"/>
              </w:rPr>
              <w:t>G10</w:t>
            </w:r>
          </w:p>
          <w:p>
            <w:pPr>
              <w:numPr>
                <w:ilvl w:val="0"/>
                <w:numId w:val="0"/>
              </w:numPr>
              <w:rPr>
                <w:rFonts w:hint="default"/>
                <w:color w:val="auto"/>
                <w:lang w:val="en-US" w:eastAsia="zh-CN"/>
              </w:rPr>
            </w:pPr>
            <w:r>
              <w:rPr>
                <w:rFonts w:hint="eastAsia"/>
                <w:color w:val="auto"/>
                <w:lang w:val="en-US" w:eastAsia="zh-CN"/>
              </w:rPr>
              <w:t xml:space="preserve">    拟建项目生化池处理废水过程产生生化池废气G10（</w:t>
            </w:r>
            <w:r>
              <w:rPr>
                <w:rFonts w:hint="eastAsia" w:ascii="Times New Roman" w:cs="Times New Roman"/>
                <w:color w:val="auto"/>
                <w:kern w:val="2"/>
              </w:rPr>
              <w:t>臭气浓度</w:t>
            </w:r>
            <w:r>
              <w:rPr>
                <w:rFonts w:hint="eastAsia" w:cs="Times New Roman"/>
                <w:color w:val="auto"/>
                <w:lang w:bidi="ar"/>
              </w:rPr>
              <w:t>、</w:t>
            </w:r>
            <w:r>
              <w:rPr>
                <w:rFonts w:ascii="Times New Roman" w:cs="Times New Roman"/>
                <w:color w:val="auto"/>
              </w:rPr>
              <w:t>H</w:t>
            </w:r>
            <w:r>
              <w:rPr>
                <w:rFonts w:ascii="Times New Roman" w:cs="Times New Roman"/>
                <w:color w:val="auto"/>
                <w:vertAlign w:val="subscript"/>
              </w:rPr>
              <w:t>2</w:t>
            </w:r>
            <w:r>
              <w:rPr>
                <w:rFonts w:ascii="Times New Roman" w:cs="Times New Roman"/>
                <w:color w:val="auto"/>
              </w:rPr>
              <w:t>S、NH</w:t>
            </w:r>
            <w:r>
              <w:rPr>
                <w:rFonts w:ascii="Times New Roman" w:cs="Times New Roman"/>
                <w:color w:val="auto"/>
                <w:vertAlign w:val="subscript"/>
              </w:rPr>
              <w:t>3</w:t>
            </w:r>
            <w:r>
              <w:rPr>
                <w:rFonts w:hint="eastAsia"/>
                <w:color w:val="auto"/>
                <w:lang w:val="en-US" w:eastAsia="zh-CN"/>
              </w:rPr>
              <w:t>），在生化池顶部设置专用管道，生化池废气通过专用管道引至屋顶排放。</w:t>
            </w:r>
          </w:p>
          <w:p>
            <w:pPr>
              <w:keepNext w:val="0"/>
              <w:keepLines w:val="0"/>
              <w:widowControl/>
              <w:suppressLineNumbers w:val="0"/>
              <w:ind w:firstLine="48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4.2.2废气产排情况</w:t>
            </w:r>
          </w:p>
          <w:p>
            <w:pPr>
              <w:pStyle w:val="99"/>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表4.2-</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  拟建项目废气产排情况</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1"/>
              <w:gridCol w:w="867"/>
              <w:gridCol w:w="474"/>
              <w:gridCol w:w="357"/>
              <w:gridCol w:w="1034"/>
              <w:gridCol w:w="850"/>
              <w:gridCol w:w="687"/>
              <w:gridCol w:w="887"/>
              <w:gridCol w:w="1034"/>
              <w:gridCol w:w="850"/>
              <w:gridCol w:w="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方式</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废气量</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产污工序</w:t>
                  </w:r>
                </w:p>
              </w:tc>
              <w:tc>
                <w:tcPr>
                  <w:tcW w:w="22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606" w:type="pct"/>
                  <w:gridSpan w:val="3"/>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产生情况</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1615" w:type="pct"/>
                  <w:gridSpan w:val="3"/>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22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速率</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（kg/h）</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速率</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（kg/h）</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000" w:type="pct"/>
                  <w:gridSpan w:val="11"/>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卷管（胶粘）时长</w:t>
                  </w:r>
                  <w:r>
                    <w:rPr>
                      <w:rFonts w:hint="default" w:ascii="Times New Roman" w:hAnsi="Times New Roman" w:cs="Times New Roman"/>
                      <w:color w:val="auto"/>
                      <w:w w:val="100"/>
                      <w:kern w:val="2"/>
                      <w:sz w:val="21"/>
                      <w:szCs w:val="21"/>
                      <w:lang w:val="en-US" w:eastAsia="zh-CN" w:bidi="ar-SA"/>
                    </w:rPr>
                    <w:t>（</w:t>
                  </w:r>
                  <w:r>
                    <w:rPr>
                      <w:rFonts w:hint="eastAsia" w:ascii="Times New Roman" w:hAnsi="Times New Roman" w:cs="Times New Roman"/>
                      <w:color w:val="auto"/>
                      <w:w w:val="100"/>
                      <w:kern w:val="2"/>
                      <w:sz w:val="21"/>
                      <w:szCs w:val="21"/>
                      <w:lang w:val="en-US" w:eastAsia="zh-CN" w:bidi="ar-SA"/>
                    </w:rPr>
                    <w:t>2400</w:t>
                  </w:r>
                  <w:r>
                    <w:rPr>
                      <w:rFonts w:hint="default" w:ascii="Times New Roman" w:hAnsi="Times New Roman" w:cs="Times New Roman"/>
                      <w:color w:val="auto"/>
                      <w:w w:val="100"/>
                      <w:kern w:val="2"/>
                      <w:sz w:val="21"/>
                      <w:szCs w:val="21"/>
                      <w:lang w:val="en-US" w:eastAsia="zh-CN" w:bidi="ar-SA"/>
                    </w:rPr>
                    <w:t>h/a）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DA001</w:t>
                  </w:r>
                  <w:r>
                    <w:rPr>
                      <w:rFonts w:hint="default" w:ascii="Times New Roman" w:hAnsi="Times New Roman" w:cs="Times New Roman"/>
                      <w:color w:val="auto"/>
                      <w:sz w:val="21"/>
                      <w:szCs w:val="21"/>
                    </w:rPr>
                    <w:t>排气筒</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000</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卷管（胶粘）</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lang w:eastAsia="zh-CN"/>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26</w:t>
                  </w:r>
                </w:p>
              </w:tc>
              <w:tc>
                <w:tcPr>
                  <w:tcW w:w="53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0.052</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0.125</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胶</w:t>
                  </w:r>
                  <w:r>
                    <w:rPr>
                      <w:rFonts w:hint="default" w:ascii="Times New Roman" w:hAnsi="Times New Roman" w:eastAsia="宋体" w:cs="Times New Roman"/>
                      <w:color w:val="auto"/>
                      <w:w w:val="100"/>
                      <w:kern w:val="2"/>
                      <w:sz w:val="21"/>
                      <w:szCs w:val="21"/>
                      <w:lang w:val="en-US" w:eastAsia="zh-CN" w:bidi="ar-SA"/>
                    </w:rPr>
                    <w:t>粘废气经集气罩收集后通过“</w:t>
                  </w:r>
                  <w:r>
                    <w:rPr>
                      <w:rFonts w:hint="eastAsia" w:cs="Times New Roman"/>
                      <w:color w:val="auto"/>
                      <w:w w:val="100"/>
                      <w:kern w:val="2"/>
                      <w:sz w:val="21"/>
                      <w:szCs w:val="21"/>
                      <w:lang w:val="en-US" w:eastAsia="zh-CN" w:bidi="ar-SA"/>
                    </w:rPr>
                    <w:t>活性炭吸附</w:t>
                  </w:r>
                  <w:r>
                    <w:rPr>
                      <w:rFonts w:hint="default" w:ascii="Times New Roman" w:hAnsi="Times New Roman" w:eastAsia="宋体" w:cs="Times New Roman"/>
                      <w:color w:val="auto"/>
                      <w:w w:val="100"/>
                      <w:kern w:val="2"/>
                      <w:sz w:val="21"/>
                      <w:szCs w:val="21"/>
                      <w:lang w:val="en-US" w:eastAsia="zh-CN" w:bidi="ar-SA"/>
                    </w:rPr>
                    <w:t>”处理后通过15m高排气筒DA001排放</w:t>
                  </w:r>
                  <w:r>
                    <w:rPr>
                      <w:rFonts w:hint="eastAsia" w:ascii="Times New Roman" w:hAnsi="Times New Roman" w:cs="Times New Roman"/>
                      <w:color w:val="auto"/>
                      <w:w w:val="100"/>
                      <w:kern w:val="2"/>
                      <w:sz w:val="21"/>
                      <w:szCs w:val="21"/>
                      <w:lang w:val="en-US" w:eastAsia="zh-CN" w:bidi="ar-SA"/>
                    </w:rPr>
                    <w:t>，收集效率取80%，处理效率取60%</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10.5</w:t>
                  </w:r>
                </w:p>
              </w:tc>
              <w:tc>
                <w:tcPr>
                  <w:tcW w:w="53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0.021</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eastAsia"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eastAsia"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臭气浓度</w:t>
                  </w:r>
                </w:p>
              </w:tc>
              <w:tc>
                <w:tcPr>
                  <w:tcW w:w="646"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531"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429"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eastAsia"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531"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438"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lang w:eastAsia="zh-CN"/>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0.013</w:t>
                  </w:r>
                </w:p>
              </w:tc>
              <w:tc>
                <w:tcPr>
                  <w:tcW w:w="429"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0.031</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加强车间通风</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0.013</w:t>
                  </w:r>
                </w:p>
              </w:tc>
              <w:tc>
                <w:tcPr>
                  <w:tcW w:w="438"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0.031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eastAsia="zh-CN"/>
                    </w:rPr>
                    <w:t>臭气浓度</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531"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429"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531"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438"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11"/>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流延</w:t>
                  </w:r>
                  <w:r>
                    <w:rPr>
                      <w:rFonts w:hint="default" w:ascii="Times New Roman" w:hAnsi="Times New Roman" w:cs="Times New Roman"/>
                      <w:color w:val="auto"/>
                      <w:w w:val="100"/>
                      <w:kern w:val="2"/>
                      <w:sz w:val="21"/>
                      <w:szCs w:val="21"/>
                      <w:lang w:val="en-US" w:eastAsia="zh-CN" w:bidi="ar-SA"/>
                    </w:rPr>
                    <w:t>（</w:t>
                  </w:r>
                  <w:r>
                    <w:rPr>
                      <w:rFonts w:hint="eastAsia" w:cs="Times New Roman"/>
                      <w:color w:val="auto"/>
                      <w:w w:val="100"/>
                      <w:kern w:val="2"/>
                      <w:sz w:val="21"/>
                      <w:szCs w:val="21"/>
                      <w:lang w:val="en-US" w:eastAsia="zh-CN" w:bidi="ar-SA"/>
                    </w:rPr>
                    <w:t>24</w:t>
                  </w:r>
                  <w:r>
                    <w:rPr>
                      <w:rFonts w:hint="eastAsia" w:ascii="Times New Roman" w:hAnsi="Times New Roman" w:cs="Times New Roman"/>
                      <w:color w:val="auto"/>
                      <w:w w:val="100"/>
                      <w:kern w:val="2"/>
                      <w:sz w:val="21"/>
                      <w:szCs w:val="21"/>
                      <w:lang w:val="en-US" w:eastAsia="zh-CN" w:bidi="ar-SA"/>
                    </w:rPr>
                    <w:t>0</w:t>
                  </w:r>
                  <w:r>
                    <w:rPr>
                      <w:rFonts w:hint="default" w:ascii="Times New Roman" w:hAnsi="Times New Roman" w:cs="Times New Roman"/>
                      <w:color w:val="auto"/>
                      <w:w w:val="100"/>
                      <w:kern w:val="2"/>
                      <w:sz w:val="21"/>
                      <w:szCs w:val="21"/>
                      <w:lang w:val="en-US" w:eastAsia="zh-CN" w:bidi="ar-SA"/>
                    </w:rPr>
                    <w:t>0h/a）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排气筒</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17200</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流延</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63.6</w:t>
                  </w:r>
                </w:p>
              </w:tc>
              <w:tc>
                <w:tcPr>
                  <w:tcW w:w="53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1.094</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2.625</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流延废气</w:t>
                  </w:r>
                  <w:r>
                    <w:rPr>
                      <w:rFonts w:hint="eastAsia" w:cs="Times New Roman"/>
                      <w:color w:val="auto"/>
                      <w:w w:val="100"/>
                      <w:kern w:val="2"/>
                      <w:sz w:val="21"/>
                      <w:szCs w:val="21"/>
                      <w:lang w:val="en-US" w:eastAsia="zh-CN" w:bidi="ar-SA"/>
                    </w:rPr>
                    <w:t>与吹膜废气一同</w:t>
                  </w:r>
                  <w:r>
                    <w:rPr>
                      <w:rFonts w:hint="default" w:ascii="Times New Roman" w:hAnsi="Times New Roman" w:cs="Times New Roman"/>
                      <w:color w:val="auto"/>
                      <w:w w:val="100"/>
                      <w:kern w:val="2"/>
                      <w:sz w:val="21"/>
                      <w:szCs w:val="21"/>
                      <w:lang w:val="en-US" w:eastAsia="zh-CN" w:bidi="ar-SA"/>
                    </w:rPr>
                    <w:t>经集气罩收集后通过“</w:t>
                  </w:r>
                  <w:r>
                    <w:rPr>
                      <w:rFonts w:hint="eastAsia" w:cs="Times New Roman"/>
                      <w:color w:val="auto"/>
                      <w:w w:val="100"/>
                      <w:kern w:val="2"/>
                      <w:sz w:val="21"/>
                      <w:szCs w:val="21"/>
                      <w:lang w:val="en-US" w:eastAsia="zh-CN" w:bidi="ar-SA"/>
                    </w:rPr>
                    <w:t>二级活性炭</w:t>
                  </w:r>
                  <w:r>
                    <w:rPr>
                      <w:rFonts w:hint="default" w:ascii="Times New Roman" w:hAnsi="Times New Roman" w:cs="Times New Roman"/>
                      <w:color w:val="auto"/>
                      <w:w w:val="100"/>
                      <w:kern w:val="2"/>
                      <w:sz w:val="21"/>
                      <w:szCs w:val="21"/>
                      <w:lang w:val="en-US" w:eastAsia="zh-CN" w:bidi="ar-SA"/>
                    </w:rPr>
                    <w:t>吸附”处理后通过15m高排气筒DA002排放</w:t>
                  </w:r>
                  <w:r>
                    <w:rPr>
                      <w:rFonts w:hint="eastAsia" w:ascii="Times New Roman" w:hAnsi="Times New Roman" w:cs="Times New Roman"/>
                      <w:color w:val="auto"/>
                      <w:w w:val="100"/>
                      <w:kern w:val="2"/>
                      <w:sz w:val="21"/>
                      <w:szCs w:val="21"/>
                      <w:lang w:val="en-US" w:eastAsia="zh-CN" w:bidi="ar-SA"/>
                    </w:rPr>
                    <w:t>。收集效率取70%，处理效率取</w:t>
                  </w:r>
                  <w:r>
                    <w:rPr>
                      <w:rFonts w:hint="eastAsia" w:cs="Times New Roman"/>
                      <w:color w:val="auto"/>
                      <w:w w:val="100"/>
                      <w:kern w:val="2"/>
                      <w:sz w:val="21"/>
                      <w:szCs w:val="21"/>
                      <w:lang w:val="en-US" w:eastAsia="zh-CN" w:bidi="ar-SA"/>
                    </w:rPr>
                    <w:t>84</w:t>
                  </w:r>
                  <w:r>
                    <w:rPr>
                      <w:rFonts w:hint="eastAsia" w:ascii="Times New Roman" w:hAnsi="Times New Roman" w:cs="Times New Roman"/>
                      <w:color w:val="auto"/>
                      <w:w w:val="100"/>
                      <w:kern w:val="2"/>
                      <w:sz w:val="21"/>
                      <w:szCs w:val="21"/>
                      <w:lang w:val="en-US" w:eastAsia="zh-CN" w:bidi="ar-SA"/>
                    </w:rPr>
                    <w:t>%</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10.2</w:t>
                  </w:r>
                </w:p>
              </w:tc>
              <w:tc>
                <w:tcPr>
                  <w:tcW w:w="53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0.175</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4" w:hRule="atLeast"/>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0"/>
                      <w:sz w:val="21"/>
                      <w:szCs w:val="21"/>
                      <w:highlight w:val="none"/>
                      <w:lang w:val="en-US" w:eastAsia="zh-CN" w:bidi="ar"/>
                    </w:rPr>
                    <w:t>臭气浓度</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53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53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无组织</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lang w:eastAsia="zh-CN"/>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0.469</w:t>
                  </w:r>
                </w:p>
              </w:tc>
              <w:tc>
                <w:tcPr>
                  <w:tcW w:w="429"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1.125</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加强车间通风</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0.469</w:t>
                  </w:r>
                </w:p>
              </w:tc>
              <w:tc>
                <w:tcPr>
                  <w:tcW w:w="438"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1.125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kern w:val="0"/>
                      <w:sz w:val="21"/>
                      <w:szCs w:val="21"/>
                      <w:highlight w:val="none"/>
                      <w:lang w:val="en-US" w:eastAsia="zh-CN" w:bidi="ar"/>
                    </w:rPr>
                    <w:t>臭气浓度</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11"/>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平口袋吹膜时长（</w:t>
                  </w:r>
                  <w:r>
                    <w:rPr>
                      <w:rFonts w:hint="eastAsia" w:ascii="Times New Roman" w:hAnsi="Times New Roman" w:cs="Times New Roman"/>
                      <w:color w:val="auto"/>
                      <w:w w:val="100"/>
                      <w:kern w:val="2"/>
                      <w:sz w:val="21"/>
                      <w:szCs w:val="21"/>
                      <w:lang w:val="en-US" w:eastAsia="zh-CN" w:bidi="ar-SA"/>
                    </w:rPr>
                    <w:t>720</w:t>
                  </w:r>
                  <w:r>
                    <w:rPr>
                      <w:rFonts w:hint="default" w:ascii="Times New Roman" w:hAnsi="Times New Roman" w:cs="Times New Roman"/>
                      <w:color w:val="auto"/>
                      <w:w w:val="100"/>
                      <w:kern w:val="2"/>
                      <w:sz w:val="21"/>
                      <w:szCs w:val="21"/>
                      <w:lang w:val="en-US" w:eastAsia="zh-CN" w:bidi="ar-SA"/>
                    </w:rPr>
                    <w:t>0h/a</w:t>
                  </w:r>
                  <w:r>
                    <w:rPr>
                      <w:rFonts w:hint="eastAsia" w:ascii="Times New Roman" w:hAnsi="Times New Roman" w:cs="Times New Roman"/>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2</w:t>
                  </w:r>
                  <w:r>
                    <w:rPr>
                      <w:rFonts w:hint="default" w:ascii="Times New Roman" w:hAnsi="Times New Roman" w:cs="Times New Roman"/>
                      <w:color w:val="auto"/>
                      <w:sz w:val="21"/>
                      <w:szCs w:val="21"/>
                    </w:rPr>
                    <w:t>排气筒</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17200</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平口袋吹膜</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47.5</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0.817</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5.88</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流延废气</w:t>
                  </w:r>
                  <w:r>
                    <w:rPr>
                      <w:rFonts w:hint="eastAsia" w:cs="Times New Roman"/>
                      <w:color w:val="auto"/>
                      <w:w w:val="100"/>
                      <w:kern w:val="2"/>
                      <w:sz w:val="21"/>
                      <w:szCs w:val="21"/>
                      <w:lang w:val="en-US" w:eastAsia="zh-CN" w:bidi="ar-SA"/>
                    </w:rPr>
                    <w:t>与吹膜废气一同</w:t>
                  </w:r>
                  <w:r>
                    <w:rPr>
                      <w:rFonts w:hint="default" w:ascii="Times New Roman" w:hAnsi="Times New Roman" w:cs="Times New Roman"/>
                      <w:color w:val="auto"/>
                      <w:w w:val="100"/>
                      <w:kern w:val="2"/>
                      <w:sz w:val="21"/>
                      <w:szCs w:val="21"/>
                      <w:lang w:val="en-US" w:eastAsia="zh-CN" w:bidi="ar-SA"/>
                    </w:rPr>
                    <w:t>经集气罩收集后通过“</w:t>
                  </w:r>
                  <w:r>
                    <w:rPr>
                      <w:rFonts w:hint="eastAsia" w:cs="Times New Roman"/>
                      <w:color w:val="auto"/>
                      <w:w w:val="100"/>
                      <w:kern w:val="2"/>
                      <w:sz w:val="21"/>
                      <w:szCs w:val="21"/>
                      <w:lang w:val="en-US" w:eastAsia="zh-CN" w:bidi="ar-SA"/>
                    </w:rPr>
                    <w:t>二级活性炭</w:t>
                  </w:r>
                  <w:r>
                    <w:rPr>
                      <w:rFonts w:hint="default" w:ascii="Times New Roman" w:hAnsi="Times New Roman" w:cs="Times New Roman"/>
                      <w:color w:val="auto"/>
                      <w:w w:val="100"/>
                      <w:kern w:val="2"/>
                      <w:sz w:val="21"/>
                      <w:szCs w:val="21"/>
                      <w:lang w:val="en-US" w:eastAsia="zh-CN" w:bidi="ar-SA"/>
                    </w:rPr>
                    <w:t>吸附”处理后通过15m高排气筒DA002排放</w:t>
                  </w:r>
                  <w:r>
                    <w:rPr>
                      <w:rFonts w:hint="eastAsia" w:ascii="Times New Roman" w:hAnsi="Times New Roman" w:cs="Times New Roman"/>
                      <w:color w:val="auto"/>
                      <w:w w:val="100"/>
                      <w:kern w:val="2"/>
                      <w:sz w:val="21"/>
                      <w:szCs w:val="21"/>
                      <w:lang w:val="en-US" w:eastAsia="zh-CN" w:bidi="ar-SA"/>
                    </w:rPr>
                    <w:t>。收集效率取70%，处理效率取</w:t>
                  </w:r>
                  <w:r>
                    <w:rPr>
                      <w:rFonts w:hint="eastAsia" w:cs="Times New Roman"/>
                      <w:color w:val="auto"/>
                      <w:w w:val="100"/>
                      <w:kern w:val="2"/>
                      <w:sz w:val="21"/>
                      <w:szCs w:val="21"/>
                      <w:lang w:val="en-US" w:eastAsia="zh-CN" w:bidi="ar-SA"/>
                    </w:rPr>
                    <w:t>84</w:t>
                  </w:r>
                  <w:r>
                    <w:rPr>
                      <w:rFonts w:hint="eastAsia" w:ascii="Times New Roman" w:hAnsi="Times New Roman" w:cs="Times New Roman"/>
                      <w:color w:val="auto"/>
                      <w:w w:val="100"/>
                      <w:kern w:val="2"/>
                      <w:sz w:val="21"/>
                      <w:szCs w:val="21"/>
                      <w:lang w:val="en-US" w:eastAsia="zh-CN" w:bidi="ar-SA"/>
                    </w:rPr>
                    <w:t>%</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0.131</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0.941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臭气浓度</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无组织</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0.35</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2.52</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加强车间通风</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0.35</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臭气浓度</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000" w:type="pct"/>
                  <w:gridSpan w:val="11"/>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气柱膜吹膜时长（</w:t>
                  </w:r>
                  <w:r>
                    <w:rPr>
                      <w:rFonts w:hint="eastAsia" w:cs="Times New Roman"/>
                      <w:color w:val="auto"/>
                      <w:sz w:val="21"/>
                      <w:szCs w:val="21"/>
                      <w:lang w:val="en-US" w:eastAsia="zh-CN"/>
                    </w:rPr>
                    <w:t>4800</w:t>
                  </w:r>
                  <w:r>
                    <w:rPr>
                      <w:rFonts w:hint="eastAsia" w:ascii="Times New Roman" w:hAnsi="Times New Roman" w:cs="Times New Roman"/>
                      <w:color w:val="auto"/>
                      <w:sz w:val="21"/>
                      <w:szCs w:val="21"/>
                      <w:lang w:val="en-US" w:eastAsia="zh-CN"/>
                    </w:rPr>
                    <w:t>h/a</w:t>
                  </w:r>
                  <w:r>
                    <w:rPr>
                      <w:rFonts w:hint="eastAsia" w:ascii="Times New Roman" w:hAnsi="Times New Roman" w:cs="Times New Roman"/>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2</w:t>
                  </w:r>
                  <w:r>
                    <w:rPr>
                      <w:rFonts w:hint="default" w:ascii="Times New Roman" w:hAnsi="Times New Roman" w:cs="Times New Roman"/>
                      <w:color w:val="auto"/>
                      <w:sz w:val="21"/>
                      <w:szCs w:val="21"/>
                    </w:rPr>
                    <w:t>排气筒</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17200</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气柱膜吹膜</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30.5</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0.525</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2.52</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流延废气</w:t>
                  </w:r>
                  <w:r>
                    <w:rPr>
                      <w:rFonts w:hint="eastAsia" w:cs="Times New Roman"/>
                      <w:color w:val="auto"/>
                      <w:w w:val="100"/>
                      <w:kern w:val="2"/>
                      <w:sz w:val="21"/>
                      <w:szCs w:val="21"/>
                      <w:lang w:val="en-US" w:eastAsia="zh-CN" w:bidi="ar-SA"/>
                    </w:rPr>
                    <w:t>与吹膜废气一同</w:t>
                  </w:r>
                  <w:r>
                    <w:rPr>
                      <w:rFonts w:hint="default" w:ascii="Times New Roman" w:hAnsi="Times New Roman" w:cs="Times New Roman"/>
                      <w:color w:val="auto"/>
                      <w:w w:val="100"/>
                      <w:kern w:val="2"/>
                      <w:sz w:val="21"/>
                      <w:szCs w:val="21"/>
                      <w:lang w:val="en-US" w:eastAsia="zh-CN" w:bidi="ar-SA"/>
                    </w:rPr>
                    <w:t>经集气罩收集后通过“</w:t>
                  </w:r>
                  <w:r>
                    <w:rPr>
                      <w:rFonts w:hint="eastAsia" w:cs="Times New Roman"/>
                      <w:color w:val="auto"/>
                      <w:w w:val="100"/>
                      <w:kern w:val="2"/>
                      <w:sz w:val="21"/>
                      <w:szCs w:val="21"/>
                      <w:lang w:val="en-US" w:eastAsia="zh-CN" w:bidi="ar-SA"/>
                    </w:rPr>
                    <w:t>二级活性炭</w:t>
                  </w:r>
                  <w:r>
                    <w:rPr>
                      <w:rFonts w:hint="default" w:ascii="Times New Roman" w:hAnsi="Times New Roman" w:cs="Times New Roman"/>
                      <w:color w:val="auto"/>
                      <w:w w:val="100"/>
                      <w:kern w:val="2"/>
                      <w:sz w:val="21"/>
                      <w:szCs w:val="21"/>
                      <w:lang w:val="en-US" w:eastAsia="zh-CN" w:bidi="ar-SA"/>
                    </w:rPr>
                    <w:t>吸附”处理后通过15m高排气筒DA002排放</w:t>
                  </w:r>
                  <w:r>
                    <w:rPr>
                      <w:rFonts w:hint="eastAsia" w:ascii="Times New Roman" w:hAnsi="Times New Roman" w:cs="Times New Roman"/>
                      <w:color w:val="auto"/>
                      <w:w w:val="100"/>
                      <w:kern w:val="2"/>
                      <w:sz w:val="21"/>
                      <w:szCs w:val="21"/>
                      <w:lang w:val="en-US" w:eastAsia="zh-CN" w:bidi="ar-SA"/>
                    </w:rPr>
                    <w:t>。收集效率取70%，处理效率取</w:t>
                  </w:r>
                  <w:r>
                    <w:rPr>
                      <w:rFonts w:hint="eastAsia" w:cs="Times New Roman"/>
                      <w:color w:val="auto"/>
                      <w:w w:val="100"/>
                      <w:kern w:val="2"/>
                      <w:sz w:val="21"/>
                      <w:szCs w:val="21"/>
                      <w:lang w:val="en-US" w:eastAsia="zh-CN" w:bidi="ar-SA"/>
                    </w:rPr>
                    <w:t>84</w:t>
                  </w:r>
                  <w:r>
                    <w:rPr>
                      <w:rFonts w:hint="eastAsia" w:ascii="Times New Roman" w:hAnsi="Times New Roman" w:cs="Times New Roman"/>
                      <w:color w:val="auto"/>
                      <w:w w:val="100"/>
                      <w:kern w:val="2"/>
                      <w:sz w:val="21"/>
                      <w:szCs w:val="21"/>
                      <w:lang w:val="en-US" w:eastAsia="zh-CN" w:bidi="ar-SA"/>
                    </w:rPr>
                    <w:t>%</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0.084</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7" w:hRule="atLeast"/>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臭气浓度</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无组织</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0.225</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1.08</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加强车间通风</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0.225</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臭气浓度</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11"/>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危废间有机废气</w:t>
                  </w:r>
                  <w:r>
                    <w:rPr>
                      <w:rFonts w:hint="eastAsia" w:ascii="Times New Roman" w:hAnsi="Times New Roman" w:cs="Times New Roman"/>
                      <w:color w:val="auto"/>
                      <w:sz w:val="21"/>
                      <w:szCs w:val="21"/>
                      <w:lang w:eastAsia="zh-CN"/>
                    </w:rPr>
                    <w:t>释放时长（</w:t>
                  </w:r>
                  <w:r>
                    <w:rPr>
                      <w:rFonts w:hint="eastAsia" w:cs="Times New Roman"/>
                      <w:color w:val="auto"/>
                      <w:sz w:val="21"/>
                      <w:szCs w:val="21"/>
                      <w:lang w:val="en-US" w:eastAsia="zh-CN"/>
                    </w:rPr>
                    <w:t>7200</w:t>
                  </w:r>
                  <w:r>
                    <w:rPr>
                      <w:rFonts w:hint="eastAsia" w:ascii="Times New Roman" w:hAnsi="Times New Roman" w:cs="Times New Roman"/>
                      <w:color w:val="auto"/>
                      <w:sz w:val="21"/>
                      <w:szCs w:val="21"/>
                      <w:lang w:val="en-US" w:eastAsia="zh-CN"/>
                    </w:rPr>
                    <w:t>h/a</w:t>
                  </w:r>
                  <w:r>
                    <w:rPr>
                      <w:rFonts w:hint="eastAsia" w:ascii="Times New Roman" w:hAnsi="Times New Roman" w:cs="Times New Roman"/>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3</w:t>
                  </w:r>
                  <w:r>
                    <w:rPr>
                      <w:rFonts w:hint="default" w:ascii="Times New Roman" w:hAnsi="Times New Roman" w:cs="Times New Roman"/>
                      <w:color w:val="auto"/>
                      <w:sz w:val="21"/>
                      <w:szCs w:val="21"/>
                    </w:rPr>
                    <w:t>排气筒</w:t>
                  </w:r>
                </w:p>
              </w:tc>
              <w:tc>
                <w:tcPr>
                  <w:tcW w:w="54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900</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危废间有机废气</w:t>
                  </w:r>
                </w:p>
              </w:tc>
              <w:tc>
                <w:tcPr>
                  <w:tcW w:w="223" w:type="pct"/>
                  <w:tcMar>
                    <w:top w:w="28" w:type="dxa"/>
                    <w:left w:w="28" w:type="dxa"/>
                    <w:bottom w:w="28" w:type="dxa"/>
                    <w:right w:w="28" w:type="dxa"/>
                  </w:tcMar>
                  <w:vAlign w:val="center"/>
                </w:tcPr>
                <w:p>
                  <w:pPr>
                    <w:pStyle w:val="41"/>
                    <w:spacing w:line="240" w:lineRule="auto"/>
                    <w:jc w:val="center"/>
                    <w:rPr>
                      <w:rFonts w:hint="eastAsia"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0.003</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0.025</w:t>
                  </w:r>
                </w:p>
              </w:tc>
              <w:tc>
                <w:tcPr>
                  <w:tcW w:w="554"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color w:val="auto"/>
                      <w:sz w:val="21"/>
                      <w:highlight w:val="none"/>
                      <w:lang w:val="en-US" w:eastAsia="zh-CN"/>
                    </w:rPr>
                    <w:t>危废间废气</w:t>
                  </w:r>
                  <w:r>
                    <w:rPr>
                      <w:rFonts w:hint="default"/>
                      <w:color w:val="auto"/>
                      <w:sz w:val="21"/>
                      <w:highlight w:val="none"/>
                      <w:lang w:val="en-US" w:eastAsia="zh-CN"/>
                    </w:rPr>
                    <w:t>通过</w:t>
                  </w:r>
                  <w:r>
                    <w:rPr>
                      <w:rFonts w:hint="eastAsia"/>
                      <w:color w:val="auto"/>
                      <w:sz w:val="21"/>
                      <w:highlight w:val="none"/>
                      <w:lang w:val="en-US" w:eastAsia="zh-CN"/>
                    </w:rPr>
                    <w:t>收集后经</w:t>
                  </w:r>
                  <w:r>
                    <w:rPr>
                      <w:rFonts w:hint="default"/>
                      <w:color w:val="auto"/>
                      <w:sz w:val="21"/>
                      <w:highlight w:val="none"/>
                      <w:lang w:val="en-US" w:eastAsia="zh-CN"/>
                    </w:rPr>
                    <w:t>“</w:t>
                  </w:r>
                  <w:r>
                    <w:rPr>
                      <w:rFonts w:hint="eastAsia"/>
                      <w:color w:val="auto"/>
                      <w:sz w:val="21"/>
                      <w:highlight w:val="none"/>
                      <w:lang w:val="en-US" w:eastAsia="zh-CN"/>
                    </w:rPr>
                    <w:t>活性炭吸附</w:t>
                  </w:r>
                  <w:r>
                    <w:rPr>
                      <w:rFonts w:hint="default"/>
                      <w:color w:val="auto"/>
                      <w:sz w:val="21"/>
                      <w:highlight w:val="none"/>
                      <w:lang w:val="en-US" w:eastAsia="zh-CN"/>
                    </w:rPr>
                    <w:t>”处理后通过15m高排气筒DA003排放</w:t>
                  </w:r>
                  <w:r>
                    <w:rPr>
                      <w:rFonts w:hint="eastAsia"/>
                      <w:color w:val="auto"/>
                      <w:sz w:val="21"/>
                      <w:highlight w:val="none"/>
                      <w:lang w:val="en-US" w:eastAsia="zh-CN"/>
                    </w:rPr>
                    <w:t>；收集效率取90%，处理效率取30%</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0.0025</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无组织</w:t>
                  </w:r>
                </w:p>
              </w:tc>
              <w:tc>
                <w:tcPr>
                  <w:tcW w:w="54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eastAsia"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非甲烷总烃</w:t>
                  </w:r>
                </w:p>
              </w:tc>
              <w:tc>
                <w:tcPr>
                  <w:tcW w:w="646"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0.0004</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0.003</w:t>
                  </w:r>
                </w:p>
              </w:tc>
              <w:tc>
                <w:tcPr>
                  <w:tcW w:w="554"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加强车间通风</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0.0004</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11"/>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食堂</w:t>
                  </w:r>
                  <w:r>
                    <w:rPr>
                      <w:rFonts w:hint="default" w:ascii="Times New Roman" w:hAnsi="Times New Roman" w:eastAsia="宋体" w:cs="Times New Roman"/>
                      <w:color w:val="auto"/>
                      <w:sz w:val="21"/>
                      <w:szCs w:val="21"/>
                      <w:lang w:val="en-US" w:eastAsia="zh-CN"/>
                    </w:rPr>
                    <w:t>烹饪</w:t>
                  </w:r>
                  <w:r>
                    <w:rPr>
                      <w:rFonts w:hint="eastAsia" w:ascii="Times New Roman" w:hAnsi="Times New Roman" w:eastAsia="宋体" w:cs="Times New Roman"/>
                      <w:color w:val="auto"/>
                      <w:sz w:val="21"/>
                      <w:szCs w:val="21"/>
                      <w:lang w:eastAsia="zh-CN"/>
                    </w:rPr>
                    <w:t>时长（</w:t>
                  </w:r>
                  <w:r>
                    <w:rPr>
                      <w:rFonts w:hint="eastAsia" w:ascii="Times New Roman" w:hAnsi="Times New Roman" w:cs="Times New Roman"/>
                      <w:color w:val="auto"/>
                      <w:sz w:val="21"/>
                      <w:szCs w:val="21"/>
                      <w:lang w:val="en-US" w:eastAsia="zh-CN"/>
                    </w:rPr>
                    <w:t>1800h/a</w:t>
                  </w:r>
                  <w:r>
                    <w:rPr>
                      <w:rFonts w:hint="eastAsia" w:ascii="Times New Roman" w:hAnsi="Times New Roman" w:cs="Times New Roman"/>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排气筒</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6000</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食堂</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cs="Times New Roman"/>
                      <w:color w:val="auto"/>
                      <w:w w:val="100"/>
                      <w:kern w:val="2"/>
                      <w:sz w:val="21"/>
                      <w:szCs w:val="20"/>
                      <w:lang w:val="en-US" w:eastAsia="zh-CN" w:bidi="ar-SA"/>
                    </w:rPr>
                    <w:t>油烟</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0.8</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0.005</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0.009</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在灶头上方设集气罩（收集效率为80%），安装台油烟净化器（油烟去除效率达90%），集气罩收集的</w:t>
                  </w:r>
                  <w:r>
                    <w:rPr>
                      <w:rFonts w:hint="eastAsia" w:cs="Times New Roman"/>
                      <w:color w:val="auto"/>
                      <w:w w:val="100"/>
                      <w:kern w:val="2"/>
                      <w:sz w:val="21"/>
                      <w:szCs w:val="21"/>
                      <w:lang w:val="en-US" w:eastAsia="zh-CN" w:bidi="ar-SA"/>
                    </w:rPr>
                    <w:t>食堂废气</w:t>
                  </w:r>
                  <w:r>
                    <w:rPr>
                      <w:rFonts w:hint="default" w:ascii="Times New Roman" w:hAnsi="Times New Roman" w:cs="Times New Roman"/>
                      <w:color w:val="auto"/>
                      <w:w w:val="100"/>
                      <w:kern w:val="2"/>
                      <w:sz w:val="21"/>
                      <w:szCs w:val="21"/>
                      <w:lang w:val="en-US" w:eastAsia="zh-CN" w:bidi="ar-SA"/>
                    </w:rPr>
                    <w:t>经引风机引入油烟净化器处理后引至DA004排气筒</w:t>
                  </w:r>
                  <w:r>
                    <w:rPr>
                      <w:rFonts w:hint="eastAsia" w:ascii="Times New Roman" w:hAnsi="Times New Roman" w:cs="Times New Roman"/>
                      <w:color w:val="auto"/>
                      <w:w w:val="100"/>
                      <w:kern w:val="2"/>
                      <w:sz w:val="21"/>
                      <w:szCs w:val="21"/>
                      <w:lang w:val="en-US" w:eastAsia="zh-CN" w:bidi="ar-SA"/>
                    </w:rPr>
                    <w:t>15m</w:t>
                  </w:r>
                  <w:r>
                    <w:rPr>
                      <w:rFonts w:hint="default" w:ascii="Times New Roman" w:hAnsi="Times New Roman" w:cs="Times New Roman"/>
                      <w:color w:val="auto"/>
                      <w:w w:val="100"/>
                      <w:kern w:val="2"/>
                      <w:sz w:val="21"/>
                      <w:szCs w:val="21"/>
                      <w:lang w:val="en-US" w:eastAsia="zh-CN" w:bidi="ar-SA"/>
                    </w:rPr>
                    <w:t>排放</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0.16</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cs="Times New Roman"/>
                      <w:color w:val="auto"/>
                      <w:w w:val="100"/>
                      <w:kern w:val="2"/>
                      <w:sz w:val="21"/>
                      <w:szCs w:val="20"/>
                      <w:lang w:val="en-US" w:eastAsia="zh-CN" w:bidi="ar-SA"/>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无组织</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cs="Times New Roman"/>
                      <w:color w:val="auto"/>
                      <w:w w:val="100"/>
                      <w:kern w:val="2"/>
                      <w:sz w:val="21"/>
                      <w:szCs w:val="20"/>
                      <w:lang w:val="en-US" w:eastAsia="zh-CN" w:bidi="ar-SA"/>
                    </w:rPr>
                    <w:t>油烟</w:t>
                  </w:r>
                </w:p>
              </w:tc>
              <w:tc>
                <w:tcPr>
                  <w:tcW w:w="646"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0.002</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加强食堂通风</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0.001</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cs="Times New Roman"/>
                      <w:color w:val="auto"/>
                      <w:w w:val="100"/>
                      <w:kern w:val="2"/>
                      <w:sz w:val="21"/>
                      <w:szCs w:val="20"/>
                      <w:lang w:val="en-US" w:eastAsia="zh-CN" w:bidi="ar-SA"/>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54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拌料</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颗粒物</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少量</w:t>
                  </w:r>
                </w:p>
              </w:tc>
              <w:tc>
                <w:tcPr>
                  <w:tcW w:w="554"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加强车间通风</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制袋</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非甲烷总烃</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少量</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加强车间通风</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eastAsia" w:ascii="Times New Roman" w:hAnsi="Times New Roman" w:cs="Times New Roman"/>
                      <w:color w:val="auto"/>
                      <w:w w:val="100"/>
                      <w:kern w:val="2"/>
                      <w:sz w:val="21"/>
                      <w:szCs w:val="21"/>
                      <w:lang w:val="en-US" w:eastAsia="zh-CN" w:bidi="ar-SA"/>
                    </w:rPr>
                  </w:pPr>
                </w:p>
              </w:tc>
              <w:tc>
                <w:tcPr>
                  <w:tcW w:w="223" w:type="pct"/>
                  <w:tcMar>
                    <w:top w:w="28" w:type="dxa"/>
                    <w:left w:w="28" w:type="dxa"/>
                    <w:bottom w:w="28" w:type="dxa"/>
                    <w:right w:w="28" w:type="dxa"/>
                  </w:tcMar>
                  <w:vAlign w:val="center"/>
                </w:tcPr>
                <w:p>
                  <w:pPr>
                    <w:pStyle w:val="41"/>
                    <w:spacing w:line="240" w:lineRule="auto"/>
                    <w:jc w:val="center"/>
                    <w:rPr>
                      <w:rFonts w:hint="eastAsia" w:ascii="Times New Roman" w:hAnsi="Times New Roman"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臭气浓度</w:t>
                  </w: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w:t>
                  </w:r>
                </w:p>
              </w:tc>
              <w:tc>
                <w:tcPr>
                  <w:tcW w:w="42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p>
              </w:tc>
              <w:tc>
                <w:tcPr>
                  <w:tcW w:w="64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w:t>
                  </w:r>
                </w:p>
              </w:tc>
              <w:tc>
                <w:tcPr>
                  <w:tcW w:w="43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kern w:val="0"/>
                      <w:sz w:val="21"/>
                      <w:szCs w:val="21"/>
                      <w:highlight w:val="none"/>
                      <w:lang w:val="en-US" w:eastAsia="zh-CN" w:bidi="ar"/>
                    </w:rPr>
                    <w:t>危废存放</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非甲烷总烃</w:t>
                  </w: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w w:val="100"/>
                      <w:kern w:val="2"/>
                      <w:sz w:val="21"/>
                      <w:szCs w:val="21"/>
                      <w:lang w:val="en-US" w:eastAsia="zh-CN" w:bidi="ar-SA"/>
                    </w:rPr>
                    <w:t>危险废物暂存间设置抽风装置、管道引至屋顶排放</w:t>
                  </w: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w w:val="100"/>
                      <w:kern w:val="2"/>
                      <w:sz w:val="21"/>
                      <w:szCs w:val="21"/>
                      <w:lang w:val="en-US" w:eastAsia="zh-CN" w:bidi="ar-SA"/>
                    </w:rPr>
                  </w:pPr>
                  <w:r>
                    <w:rPr>
                      <w:rFonts w:hint="default" w:ascii="Times New Roman" w:hAnsi="Times New Roman" w:cs="Times New Roman"/>
                      <w:color w:val="auto"/>
                      <w:kern w:val="0"/>
                      <w:sz w:val="21"/>
                      <w:szCs w:val="21"/>
                      <w:highlight w:val="none"/>
                      <w:lang w:val="en-US" w:eastAsia="zh-CN" w:bidi="ar"/>
                    </w:rPr>
                    <w:t>臭气浓度</w:t>
                  </w: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无组织</w:t>
                  </w:r>
                </w:p>
              </w:tc>
              <w:tc>
                <w:tcPr>
                  <w:tcW w:w="54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生化池处理</w:t>
                  </w: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臭气浓度</w:t>
                  </w: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c>
                <w:tcPr>
                  <w:tcW w:w="55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color w:val="auto"/>
                      <w:lang w:val="en-US" w:eastAsia="zh-CN"/>
                    </w:rPr>
                    <w:t>生化池顶部设置专用管道引至屋顶排放</w:t>
                  </w: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r>
                    <w:rPr>
                      <w:rFonts w:ascii="Times New Roman" w:cs="Times New Roman"/>
                      <w:color w:val="auto"/>
                      <w:sz w:val="21"/>
                      <w:szCs w:val="21"/>
                    </w:rPr>
                    <w:t>H</w:t>
                  </w:r>
                  <w:r>
                    <w:rPr>
                      <w:rFonts w:ascii="Times New Roman" w:cs="Times New Roman"/>
                      <w:color w:val="auto"/>
                      <w:sz w:val="21"/>
                      <w:szCs w:val="21"/>
                      <w:vertAlign w:val="subscript"/>
                    </w:rPr>
                    <w:t>2</w:t>
                  </w:r>
                  <w:r>
                    <w:rPr>
                      <w:rFonts w:ascii="Times New Roman" w:cs="Times New Roman"/>
                      <w:color w:val="auto"/>
                      <w:sz w:val="21"/>
                      <w:szCs w:val="21"/>
                    </w:rPr>
                    <w:t>S</w:t>
                  </w: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4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2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p>
              </w:tc>
              <w:tc>
                <w:tcPr>
                  <w:tcW w:w="22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kern w:val="0"/>
                      <w:sz w:val="21"/>
                      <w:szCs w:val="21"/>
                      <w:highlight w:val="none"/>
                      <w:lang w:val="en-US" w:eastAsia="zh-CN" w:bidi="ar"/>
                    </w:rPr>
                  </w:pPr>
                  <w:r>
                    <w:rPr>
                      <w:rFonts w:ascii="Times New Roman" w:cs="Times New Roman"/>
                      <w:color w:val="auto"/>
                      <w:sz w:val="21"/>
                      <w:szCs w:val="21"/>
                    </w:rPr>
                    <w:t>NH</w:t>
                  </w:r>
                  <w:r>
                    <w:rPr>
                      <w:rFonts w:ascii="Times New Roman" w:cs="Times New Roman"/>
                      <w:color w:val="auto"/>
                      <w:sz w:val="21"/>
                      <w:szCs w:val="21"/>
                      <w:vertAlign w:val="subscript"/>
                    </w:rPr>
                    <w:t>3</w:t>
                  </w: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9"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c>
                <w:tcPr>
                  <w:tcW w:w="55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val="en-US" w:eastAsia="zh-CN"/>
                    </w:rPr>
                  </w:pPr>
                </w:p>
              </w:tc>
              <w:tc>
                <w:tcPr>
                  <w:tcW w:w="646"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31"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38"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r>
          </w:tbl>
          <w:p>
            <w:pPr>
              <w:pStyle w:val="99"/>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b/>
                <w:bCs/>
                <w:color w:val="auto"/>
                <w:kern w:val="0"/>
                <w:sz w:val="24"/>
                <w:szCs w:val="24"/>
                <w:lang w:val="en-US" w:eastAsia="zh-CN" w:bidi="ar"/>
              </w:rPr>
              <w:t>4.2.3废气非正常工况分析</w:t>
            </w:r>
          </w:p>
          <w:p>
            <w:pPr>
              <w:pStyle w:val="99"/>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bCs/>
                <w:color w:val="auto"/>
                <w:sz w:val="24"/>
                <w:szCs w:val="24"/>
                <w:lang w:val="en-US" w:eastAsia="zh-CN"/>
              </w:rPr>
              <w:t>拟建项目非正常工况</w:t>
            </w:r>
            <w:r>
              <w:rPr>
                <w:rFonts w:hint="default" w:ascii="Times New Roman" w:hAnsi="Times New Roman" w:cs="Times New Roman"/>
                <w:bCs/>
                <w:color w:val="auto"/>
                <w:sz w:val="24"/>
                <w:szCs w:val="24"/>
                <w:lang w:val="en-US" w:eastAsia="zh-CN"/>
              </w:rPr>
              <w:t>考虑针对</w:t>
            </w:r>
            <w:r>
              <w:rPr>
                <w:rFonts w:hint="eastAsia" w:ascii="Times New Roman" w:hAnsi="Times New Roman" w:cs="Times New Roman"/>
                <w:bCs/>
                <w:color w:val="auto"/>
                <w:sz w:val="24"/>
                <w:szCs w:val="24"/>
                <w:lang w:val="en-US" w:eastAsia="zh-CN"/>
              </w:rPr>
              <w:t>有组织废气</w:t>
            </w:r>
            <w:r>
              <w:rPr>
                <w:rFonts w:hint="default" w:ascii="Times New Roman" w:hAnsi="Times New Roman" w:cs="Times New Roman"/>
                <w:bCs/>
                <w:color w:val="auto"/>
                <w:sz w:val="24"/>
                <w:szCs w:val="24"/>
                <w:lang w:val="en-US" w:eastAsia="zh-CN"/>
              </w:rPr>
              <w:t>处理装置</w:t>
            </w:r>
            <w:r>
              <w:rPr>
                <w:rFonts w:hint="eastAsia" w:ascii="Times New Roman" w:hAnsi="Times New Roman" w:cs="Times New Roman"/>
                <w:bCs/>
                <w:color w:val="auto"/>
                <w:sz w:val="24"/>
                <w:szCs w:val="24"/>
                <w:lang w:val="en-US" w:eastAsia="zh-CN"/>
              </w:rPr>
              <w:t>设备故障</w:t>
            </w:r>
            <w:r>
              <w:rPr>
                <w:rFonts w:hint="default" w:ascii="Times New Roman" w:hAnsi="Times New Roman" w:eastAsia="宋体" w:cs="Times New Roman"/>
                <w:bCs/>
                <w:color w:val="auto"/>
                <w:sz w:val="24"/>
                <w:szCs w:val="24"/>
                <w:lang w:val="en-US" w:eastAsia="zh-CN"/>
              </w:rPr>
              <w:t>，导致废气效率大大降低。</w:t>
            </w:r>
            <w:r>
              <w:rPr>
                <w:rFonts w:hint="eastAsia" w:ascii="Times New Roman" w:hAnsi="Times New Roman" w:eastAsia="宋体" w:cs="宋体"/>
                <w:bCs/>
                <w:color w:val="auto"/>
                <w:sz w:val="24"/>
                <w:lang w:val="en-US" w:eastAsia="zh-CN"/>
              </w:rPr>
              <w:t>考虑非正常工况</w:t>
            </w:r>
            <w:r>
              <w:rPr>
                <w:rFonts w:hint="eastAsia" w:ascii="Times New Roman" w:cs="宋体"/>
                <w:bCs/>
                <w:color w:val="auto"/>
                <w:sz w:val="24"/>
                <w:lang w:val="en-US" w:eastAsia="zh-CN"/>
              </w:rPr>
              <w:t>阶段废气正常收集，处理效率</w:t>
            </w:r>
            <w:r>
              <w:rPr>
                <w:rFonts w:hint="eastAsia" w:ascii="Times New Roman" w:hAnsi="Times New Roman" w:eastAsia="宋体" w:cs="宋体"/>
                <w:bCs/>
                <w:color w:val="auto"/>
                <w:sz w:val="24"/>
                <w:lang w:val="en-US" w:eastAsia="zh-CN"/>
              </w:rPr>
              <w:t>为</w:t>
            </w:r>
            <w:r>
              <w:rPr>
                <w:rFonts w:hint="eastAsia" w:ascii="Times New Roman" w:cs="宋体"/>
                <w:bCs/>
                <w:color w:val="auto"/>
                <w:sz w:val="24"/>
                <w:lang w:val="en-US" w:eastAsia="zh-CN"/>
              </w:rPr>
              <w:t>0</w:t>
            </w:r>
            <w:r>
              <w:rPr>
                <w:rFonts w:hint="eastAsia" w:ascii="Times New Roman" w:hAnsi="Times New Roman" w:eastAsia="宋体" w:cs="宋体"/>
                <w:bCs/>
                <w:color w:val="auto"/>
                <w:sz w:val="24"/>
                <w:lang w:val="en-US" w:eastAsia="zh-CN"/>
              </w:rPr>
              <w:t>，</w:t>
            </w:r>
            <w:r>
              <w:rPr>
                <w:rFonts w:hint="eastAsia" w:ascii="Times New Roman" w:cs="Times New Roman"/>
                <w:color w:val="auto"/>
              </w:rPr>
              <w:t>以4h非正常工况分析</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lang w:val="en-US" w:eastAsia="zh-CN"/>
              </w:rPr>
              <w:t>详见表4.2-</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pPr>
              <w:pStyle w:val="99"/>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表4.2-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拟建项目</w:t>
            </w:r>
            <w:r>
              <w:rPr>
                <w:rFonts w:hint="default" w:ascii="Times New Roman" w:hAnsi="Times New Roman" w:cs="Times New Roman"/>
                <w:color w:val="auto"/>
                <w:sz w:val="24"/>
                <w:szCs w:val="24"/>
                <w:lang w:eastAsia="zh-CN"/>
              </w:rPr>
              <w:t>非正常工况有组织</w:t>
            </w:r>
            <w:r>
              <w:rPr>
                <w:rFonts w:hint="default" w:ascii="Times New Roman" w:hAnsi="Times New Roman" w:cs="Times New Roman"/>
                <w:color w:val="auto"/>
                <w:sz w:val="24"/>
                <w:szCs w:val="24"/>
              </w:rPr>
              <w:t>废气产排情况</w:t>
            </w:r>
          </w:p>
          <w:tbl>
            <w:tblPr>
              <w:tblStyle w:val="2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6"/>
              <w:gridCol w:w="821"/>
              <w:gridCol w:w="450"/>
              <w:gridCol w:w="295"/>
              <w:gridCol w:w="1049"/>
              <w:gridCol w:w="864"/>
              <w:gridCol w:w="1375"/>
              <w:gridCol w:w="1297"/>
              <w:gridCol w:w="1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方式</w:t>
                  </w:r>
                </w:p>
              </w:tc>
              <w:tc>
                <w:tcPr>
                  <w:tcW w:w="51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废气量</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28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产污工序</w:t>
                  </w:r>
                </w:p>
              </w:tc>
              <w:tc>
                <w:tcPr>
                  <w:tcW w:w="18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195" w:type="pct"/>
                  <w:gridSpan w:val="2"/>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产生情况</w:t>
                  </w:r>
                </w:p>
              </w:tc>
              <w:tc>
                <w:tcPr>
                  <w:tcW w:w="2452" w:type="pct"/>
                  <w:gridSpan w:val="3"/>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51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28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18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655"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540"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产生速率</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（kg/h）</w:t>
                  </w:r>
                </w:p>
              </w:tc>
              <w:tc>
                <w:tcPr>
                  <w:tcW w:w="85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810"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（kg/h）</w:t>
                  </w:r>
                </w:p>
              </w:tc>
              <w:tc>
                <w:tcPr>
                  <w:tcW w:w="782"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kg</w:t>
                  </w:r>
                  <w:r>
                    <w:rPr>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DA001</w:t>
                  </w:r>
                  <w:r>
                    <w:rPr>
                      <w:rFonts w:hint="default" w:ascii="Times New Roman" w:hAnsi="Times New Roman" w:cs="Times New Roman"/>
                      <w:color w:val="auto"/>
                      <w:sz w:val="21"/>
                      <w:szCs w:val="21"/>
                    </w:rPr>
                    <w:t>排气筒</w:t>
                  </w:r>
                </w:p>
              </w:tc>
              <w:tc>
                <w:tcPr>
                  <w:tcW w:w="51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000</w:t>
                  </w:r>
                </w:p>
              </w:tc>
              <w:tc>
                <w:tcPr>
                  <w:tcW w:w="28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卷管（胶粘）</w:t>
                  </w:r>
                </w:p>
              </w:tc>
              <w:tc>
                <w:tcPr>
                  <w:tcW w:w="184"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非甲烷总烃</w:t>
                  </w:r>
                </w:p>
              </w:tc>
              <w:tc>
                <w:tcPr>
                  <w:tcW w:w="655"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26</w:t>
                  </w:r>
                </w:p>
              </w:tc>
              <w:tc>
                <w:tcPr>
                  <w:tcW w:w="540"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0.052</w:t>
                  </w:r>
                </w:p>
              </w:tc>
              <w:tc>
                <w:tcPr>
                  <w:tcW w:w="85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26</w:t>
                  </w:r>
                </w:p>
              </w:tc>
              <w:tc>
                <w:tcPr>
                  <w:tcW w:w="810"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w w:val="100"/>
                      <w:kern w:val="2"/>
                      <w:sz w:val="21"/>
                      <w:szCs w:val="21"/>
                      <w:lang w:val="en-US" w:eastAsia="zh-CN" w:bidi="ar-SA"/>
                    </w:rPr>
                    <w:t>0.052</w:t>
                  </w:r>
                </w:p>
              </w:tc>
              <w:tc>
                <w:tcPr>
                  <w:tcW w:w="782"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p>
              </w:tc>
              <w:tc>
                <w:tcPr>
                  <w:tcW w:w="513" w:type="pct"/>
                  <w:vMerge w:val="continue"/>
                  <w:tcMar>
                    <w:top w:w="28" w:type="dxa"/>
                    <w:left w:w="28" w:type="dxa"/>
                    <w:bottom w:w="28" w:type="dxa"/>
                    <w:right w:w="28" w:type="dxa"/>
                  </w:tcMar>
                  <w:vAlign w:val="center"/>
                </w:tcPr>
                <w:p>
                  <w:pPr>
                    <w:pStyle w:val="41"/>
                    <w:spacing w:line="240" w:lineRule="auto"/>
                    <w:jc w:val="center"/>
                    <w:rPr>
                      <w:rFonts w:hint="eastAsia" w:ascii="Times New Roman" w:hAnsi="Times New Roman" w:cs="Times New Roman"/>
                      <w:color w:val="auto"/>
                      <w:sz w:val="21"/>
                      <w:szCs w:val="21"/>
                      <w:lang w:val="en-US" w:eastAsia="zh-CN"/>
                    </w:rPr>
                  </w:pPr>
                </w:p>
              </w:tc>
              <w:tc>
                <w:tcPr>
                  <w:tcW w:w="281" w:type="pct"/>
                  <w:vMerge w:val="continue"/>
                  <w:tcMar>
                    <w:top w:w="28" w:type="dxa"/>
                    <w:left w:w="28" w:type="dxa"/>
                    <w:bottom w:w="28" w:type="dxa"/>
                    <w:right w:w="28" w:type="dxa"/>
                  </w:tcMar>
                  <w:vAlign w:val="center"/>
                </w:tcPr>
                <w:p>
                  <w:pPr>
                    <w:pStyle w:val="41"/>
                    <w:spacing w:line="240" w:lineRule="auto"/>
                    <w:jc w:val="center"/>
                    <w:rPr>
                      <w:rFonts w:hint="eastAsia" w:ascii="Times New Roman" w:hAnsi="Times New Roman" w:cs="Times New Roman"/>
                      <w:color w:val="auto"/>
                      <w:sz w:val="21"/>
                      <w:szCs w:val="21"/>
                      <w:lang w:eastAsia="zh-CN"/>
                    </w:rPr>
                  </w:pPr>
                </w:p>
              </w:tc>
              <w:tc>
                <w:tcPr>
                  <w:tcW w:w="184"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0"/>
                      <w:sz w:val="21"/>
                      <w:szCs w:val="21"/>
                      <w:highlight w:val="none"/>
                      <w:lang w:val="en-US" w:eastAsia="zh-CN" w:bidi="ar"/>
                    </w:rPr>
                    <w:t>臭气浓度</w:t>
                  </w:r>
                </w:p>
              </w:tc>
              <w:tc>
                <w:tcPr>
                  <w:tcW w:w="655"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40" w:type="pct"/>
                  <w:tcMar>
                    <w:top w:w="28" w:type="dxa"/>
                    <w:left w:w="28" w:type="dxa"/>
                    <w:bottom w:w="28" w:type="dxa"/>
                    <w:right w:w="28" w:type="dxa"/>
                  </w:tcMar>
                  <w:vAlign w:val="center"/>
                </w:tcPr>
                <w:p>
                  <w:pPr>
                    <w:pStyle w:val="41"/>
                    <w:spacing w:line="240" w:lineRule="auto"/>
                    <w:ind w:firstLine="0" w:firstLineChars="0"/>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859"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810" w:type="pct"/>
                  <w:tcMar>
                    <w:top w:w="28" w:type="dxa"/>
                    <w:left w:w="28" w:type="dxa"/>
                    <w:bottom w:w="28" w:type="dxa"/>
                    <w:right w:w="28" w:type="dxa"/>
                  </w:tcMar>
                  <w:vAlign w:val="center"/>
                </w:tcPr>
                <w:p>
                  <w:pPr>
                    <w:pStyle w:val="41"/>
                    <w:spacing w:line="240" w:lineRule="auto"/>
                    <w:ind w:firstLine="0" w:firstLineChars="0"/>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782"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排气筒</w:t>
                  </w:r>
                </w:p>
              </w:tc>
              <w:tc>
                <w:tcPr>
                  <w:tcW w:w="51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17200</w:t>
                  </w:r>
                </w:p>
              </w:tc>
              <w:tc>
                <w:tcPr>
                  <w:tcW w:w="28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eastAsia="zh-CN"/>
                    </w:rPr>
                    <w:t>流延</w:t>
                  </w:r>
                  <w:r>
                    <w:rPr>
                      <w:rFonts w:hint="eastAsia" w:cs="Times New Roman"/>
                      <w:color w:val="auto"/>
                      <w:sz w:val="21"/>
                      <w:szCs w:val="21"/>
                      <w:lang w:eastAsia="zh-CN"/>
                    </w:rPr>
                    <w:t>、</w:t>
                  </w:r>
                  <w:r>
                    <w:rPr>
                      <w:rFonts w:hint="eastAsia" w:cs="Times New Roman"/>
                      <w:color w:val="auto"/>
                      <w:sz w:val="21"/>
                      <w:szCs w:val="21"/>
                      <w:lang w:val="en-US" w:eastAsia="zh-CN"/>
                    </w:rPr>
                    <w:t>吹膜</w:t>
                  </w:r>
                </w:p>
              </w:tc>
              <w:tc>
                <w:tcPr>
                  <w:tcW w:w="18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lang w:eastAsia="zh-CN"/>
                    </w:rPr>
                    <w:t>非甲烷总烃</w:t>
                  </w:r>
                </w:p>
              </w:tc>
              <w:tc>
                <w:tcPr>
                  <w:tcW w:w="655"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fldChar w:fldCharType="begin"/>
                  </w:r>
                  <w:r>
                    <w:rPr>
                      <w:rFonts w:hint="eastAsia" w:cs="Times New Roman"/>
                      <w:color w:val="auto"/>
                      <w:w w:val="100"/>
                      <w:kern w:val="2"/>
                      <w:sz w:val="21"/>
                      <w:szCs w:val="21"/>
                      <w:lang w:val="en-US" w:eastAsia="zh-CN" w:bidi="ar-SA"/>
                    </w:rPr>
                    <w:instrText xml:space="preserve"> = sum(A1:A3) \* MERGEFORMAT </w:instrText>
                  </w:r>
                  <w:r>
                    <w:rPr>
                      <w:rFonts w:hint="eastAsia" w:cs="Times New Roman"/>
                      <w:color w:val="auto"/>
                      <w:w w:val="100"/>
                      <w:kern w:val="2"/>
                      <w:sz w:val="21"/>
                      <w:szCs w:val="21"/>
                      <w:lang w:val="en-US" w:eastAsia="zh-CN" w:bidi="ar-SA"/>
                    </w:rPr>
                    <w:fldChar w:fldCharType="separate"/>
                  </w:r>
                  <w:r>
                    <w:rPr>
                      <w:rFonts w:hint="eastAsia" w:cs="Times New Roman"/>
                      <w:color w:val="auto"/>
                      <w:w w:val="100"/>
                      <w:kern w:val="2"/>
                      <w:sz w:val="21"/>
                      <w:szCs w:val="21"/>
                      <w:lang w:val="en-US" w:eastAsia="zh-CN" w:bidi="ar-SA"/>
                    </w:rPr>
                    <w:t>141.6</w:t>
                  </w:r>
                  <w:r>
                    <w:rPr>
                      <w:rFonts w:hint="eastAsia" w:cs="Times New Roman"/>
                      <w:color w:val="auto"/>
                      <w:w w:val="100"/>
                      <w:kern w:val="2"/>
                      <w:sz w:val="21"/>
                      <w:szCs w:val="21"/>
                      <w:lang w:val="en-US" w:eastAsia="zh-CN" w:bidi="ar-SA"/>
                    </w:rPr>
                    <w:fldChar w:fldCharType="end"/>
                  </w:r>
                </w:p>
              </w:tc>
              <w:tc>
                <w:tcPr>
                  <w:tcW w:w="540"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fldChar w:fldCharType="begin"/>
                  </w:r>
                  <w:r>
                    <w:rPr>
                      <w:rFonts w:hint="eastAsia" w:cs="Times New Roman"/>
                      <w:color w:val="auto"/>
                      <w:w w:val="100"/>
                      <w:kern w:val="2"/>
                      <w:sz w:val="21"/>
                      <w:szCs w:val="21"/>
                      <w:lang w:val="en-US" w:eastAsia="zh-CN" w:bidi="ar-SA"/>
                    </w:rPr>
                    <w:instrText xml:space="preserve"> = sum(B1:B3) \* MERGEFORMAT </w:instrText>
                  </w:r>
                  <w:r>
                    <w:rPr>
                      <w:rFonts w:hint="eastAsia" w:cs="Times New Roman"/>
                      <w:color w:val="auto"/>
                      <w:w w:val="100"/>
                      <w:kern w:val="2"/>
                      <w:sz w:val="21"/>
                      <w:szCs w:val="21"/>
                      <w:lang w:val="en-US" w:eastAsia="zh-CN" w:bidi="ar-SA"/>
                    </w:rPr>
                    <w:fldChar w:fldCharType="separate"/>
                  </w:r>
                  <w:r>
                    <w:rPr>
                      <w:rFonts w:hint="eastAsia" w:cs="Times New Roman"/>
                      <w:color w:val="auto"/>
                      <w:w w:val="100"/>
                      <w:kern w:val="2"/>
                      <w:sz w:val="21"/>
                      <w:szCs w:val="21"/>
                      <w:lang w:val="en-US" w:eastAsia="zh-CN" w:bidi="ar-SA"/>
                    </w:rPr>
                    <w:t>2.436</w:t>
                  </w:r>
                  <w:r>
                    <w:rPr>
                      <w:rFonts w:hint="eastAsia" w:cs="Times New Roman"/>
                      <w:color w:val="auto"/>
                      <w:w w:val="100"/>
                      <w:kern w:val="2"/>
                      <w:sz w:val="21"/>
                      <w:szCs w:val="21"/>
                      <w:lang w:val="en-US" w:eastAsia="zh-CN" w:bidi="ar-SA"/>
                    </w:rPr>
                    <w:fldChar w:fldCharType="end"/>
                  </w:r>
                </w:p>
              </w:tc>
              <w:tc>
                <w:tcPr>
                  <w:tcW w:w="85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fldChar w:fldCharType="begin"/>
                  </w:r>
                  <w:r>
                    <w:rPr>
                      <w:rFonts w:hint="eastAsia" w:cs="Times New Roman"/>
                      <w:color w:val="auto"/>
                      <w:w w:val="100"/>
                      <w:kern w:val="2"/>
                      <w:sz w:val="21"/>
                      <w:szCs w:val="21"/>
                      <w:lang w:val="en-US" w:eastAsia="zh-CN" w:bidi="ar-SA"/>
                    </w:rPr>
                    <w:instrText xml:space="preserve"> = sum(A1:A3) \* MERGEFORMAT </w:instrText>
                  </w:r>
                  <w:r>
                    <w:rPr>
                      <w:rFonts w:hint="eastAsia" w:cs="Times New Roman"/>
                      <w:color w:val="auto"/>
                      <w:w w:val="100"/>
                      <w:kern w:val="2"/>
                      <w:sz w:val="21"/>
                      <w:szCs w:val="21"/>
                      <w:lang w:val="en-US" w:eastAsia="zh-CN" w:bidi="ar-SA"/>
                    </w:rPr>
                    <w:fldChar w:fldCharType="separate"/>
                  </w:r>
                  <w:r>
                    <w:rPr>
                      <w:rFonts w:hint="eastAsia" w:cs="Times New Roman"/>
                      <w:color w:val="auto"/>
                      <w:w w:val="100"/>
                      <w:kern w:val="2"/>
                      <w:sz w:val="21"/>
                      <w:szCs w:val="21"/>
                      <w:lang w:val="en-US" w:eastAsia="zh-CN" w:bidi="ar-SA"/>
                    </w:rPr>
                    <w:t>141.6</w:t>
                  </w:r>
                  <w:r>
                    <w:rPr>
                      <w:rFonts w:hint="eastAsia" w:cs="Times New Roman"/>
                      <w:color w:val="auto"/>
                      <w:w w:val="100"/>
                      <w:kern w:val="2"/>
                      <w:sz w:val="21"/>
                      <w:szCs w:val="21"/>
                      <w:lang w:val="en-US" w:eastAsia="zh-CN" w:bidi="ar-SA"/>
                    </w:rPr>
                    <w:fldChar w:fldCharType="end"/>
                  </w:r>
                </w:p>
              </w:tc>
              <w:tc>
                <w:tcPr>
                  <w:tcW w:w="810"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fldChar w:fldCharType="begin"/>
                  </w:r>
                  <w:r>
                    <w:rPr>
                      <w:rFonts w:hint="eastAsia" w:cs="Times New Roman"/>
                      <w:color w:val="auto"/>
                      <w:w w:val="100"/>
                      <w:kern w:val="2"/>
                      <w:sz w:val="21"/>
                      <w:szCs w:val="21"/>
                      <w:lang w:val="en-US" w:eastAsia="zh-CN" w:bidi="ar-SA"/>
                    </w:rPr>
                    <w:instrText xml:space="preserve"> = sum(B1:B3) \* MERGEFORMAT </w:instrText>
                  </w:r>
                  <w:r>
                    <w:rPr>
                      <w:rFonts w:hint="eastAsia" w:cs="Times New Roman"/>
                      <w:color w:val="auto"/>
                      <w:w w:val="100"/>
                      <w:kern w:val="2"/>
                      <w:sz w:val="21"/>
                      <w:szCs w:val="21"/>
                      <w:lang w:val="en-US" w:eastAsia="zh-CN" w:bidi="ar-SA"/>
                    </w:rPr>
                    <w:fldChar w:fldCharType="separate"/>
                  </w:r>
                  <w:r>
                    <w:rPr>
                      <w:rFonts w:hint="eastAsia" w:cs="Times New Roman"/>
                      <w:color w:val="auto"/>
                      <w:w w:val="100"/>
                      <w:kern w:val="2"/>
                      <w:sz w:val="21"/>
                      <w:szCs w:val="21"/>
                      <w:lang w:val="en-US" w:eastAsia="zh-CN" w:bidi="ar-SA"/>
                    </w:rPr>
                    <w:t>2.436</w:t>
                  </w:r>
                  <w:r>
                    <w:rPr>
                      <w:rFonts w:hint="eastAsia" w:cs="Times New Roman"/>
                      <w:color w:val="auto"/>
                      <w:w w:val="100"/>
                      <w:kern w:val="2"/>
                      <w:sz w:val="21"/>
                      <w:szCs w:val="21"/>
                      <w:lang w:val="en-US" w:eastAsia="zh-CN" w:bidi="ar-SA"/>
                    </w:rPr>
                    <w:fldChar w:fldCharType="end"/>
                  </w:r>
                </w:p>
              </w:tc>
              <w:tc>
                <w:tcPr>
                  <w:tcW w:w="782"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51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28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184"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highlight w:val="none"/>
                      <w:lang w:val="en-US" w:eastAsia="zh-CN" w:bidi="ar"/>
                    </w:rPr>
                    <w:t>臭气浓度</w:t>
                  </w:r>
                </w:p>
              </w:tc>
              <w:tc>
                <w:tcPr>
                  <w:tcW w:w="655"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40"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85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810"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782"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排气筒</w:t>
                  </w:r>
                </w:p>
              </w:tc>
              <w:tc>
                <w:tcPr>
                  <w:tcW w:w="513"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w:t>
                  </w:r>
                </w:p>
              </w:tc>
              <w:tc>
                <w:tcPr>
                  <w:tcW w:w="281"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危废间</w:t>
                  </w:r>
                </w:p>
              </w:tc>
              <w:tc>
                <w:tcPr>
                  <w:tcW w:w="18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lang w:eastAsia="zh-CN"/>
                    </w:rPr>
                    <w:t>非甲烷总烃</w:t>
                  </w:r>
                </w:p>
              </w:tc>
              <w:tc>
                <w:tcPr>
                  <w:tcW w:w="655"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3.3</w:t>
                  </w:r>
                </w:p>
              </w:tc>
              <w:tc>
                <w:tcPr>
                  <w:tcW w:w="540"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0.003</w:t>
                  </w:r>
                </w:p>
              </w:tc>
              <w:tc>
                <w:tcPr>
                  <w:tcW w:w="85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3.3</w:t>
                  </w:r>
                </w:p>
              </w:tc>
              <w:tc>
                <w:tcPr>
                  <w:tcW w:w="810"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0.003</w:t>
                  </w:r>
                </w:p>
              </w:tc>
              <w:tc>
                <w:tcPr>
                  <w:tcW w:w="782"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排气筒</w:t>
                  </w:r>
                </w:p>
              </w:tc>
              <w:tc>
                <w:tcPr>
                  <w:tcW w:w="51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6000</w:t>
                  </w:r>
                </w:p>
              </w:tc>
              <w:tc>
                <w:tcPr>
                  <w:tcW w:w="281"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eastAsia="zh-CN"/>
                    </w:rPr>
                    <w:t>食堂</w:t>
                  </w:r>
                </w:p>
              </w:tc>
              <w:tc>
                <w:tcPr>
                  <w:tcW w:w="18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cs="Times New Roman"/>
                      <w:color w:val="auto"/>
                      <w:w w:val="100"/>
                      <w:kern w:val="2"/>
                      <w:sz w:val="21"/>
                      <w:szCs w:val="20"/>
                      <w:lang w:val="en-US" w:eastAsia="zh-CN" w:bidi="ar-SA"/>
                    </w:rPr>
                    <w:t>油烟</w:t>
                  </w:r>
                </w:p>
              </w:tc>
              <w:tc>
                <w:tcPr>
                  <w:tcW w:w="655"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0.8</w:t>
                  </w:r>
                </w:p>
              </w:tc>
              <w:tc>
                <w:tcPr>
                  <w:tcW w:w="540"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0.005</w:t>
                  </w:r>
                </w:p>
              </w:tc>
              <w:tc>
                <w:tcPr>
                  <w:tcW w:w="85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0.8</w:t>
                  </w:r>
                </w:p>
              </w:tc>
              <w:tc>
                <w:tcPr>
                  <w:tcW w:w="810"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0.005</w:t>
                  </w:r>
                </w:p>
              </w:tc>
              <w:tc>
                <w:tcPr>
                  <w:tcW w:w="782"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51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281"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p>
              </w:tc>
              <w:tc>
                <w:tcPr>
                  <w:tcW w:w="18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cs="Times New Roman"/>
                      <w:color w:val="auto"/>
                      <w:w w:val="100"/>
                      <w:kern w:val="2"/>
                      <w:sz w:val="21"/>
                      <w:szCs w:val="20"/>
                      <w:lang w:val="en-US" w:eastAsia="zh-CN" w:bidi="ar-SA"/>
                    </w:rPr>
                    <w:t>非甲烷总烃</w:t>
                  </w:r>
                </w:p>
              </w:tc>
              <w:tc>
                <w:tcPr>
                  <w:tcW w:w="655"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540"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859"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810" w:type="pct"/>
                  <w:tcMar>
                    <w:top w:w="28" w:type="dxa"/>
                    <w:left w:w="28" w:type="dxa"/>
                    <w:bottom w:w="28" w:type="dxa"/>
                    <w:right w:w="28" w:type="dxa"/>
                  </w:tcMar>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w:t>
                  </w:r>
                </w:p>
              </w:tc>
              <w:tc>
                <w:tcPr>
                  <w:tcW w:w="782"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少量</w:t>
                  </w:r>
                </w:p>
              </w:tc>
            </w:tr>
          </w:tbl>
          <w:p>
            <w:pPr>
              <w:pStyle w:val="40"/>
              <w:widowControl w:val="0"/>
              <w:numPr>
                <w:ilvl w:val="0"/>
                <w:numId w:val="0"/>
              </w:numPr>
              <w:spacing w:line="336" w:lineRule="auto"/>
              <w:ind w:firstLine="480" w:firstLineChars="200"/>
              <w:jc w:val="left"/>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在非正常工况下，项目最大生产负荷生产情况下有组织排放</w:t>
            </w:r>
            <w:r>
              <w:rPr>
                <w:rFonts w:hint="default" w:ascii="Times New Roman" w:hAnsi="Times New Roman" w:cs="Times New Roman"/>
                <w:color w:val="auto"/>
                <w:sz w:val="24"/>
                <w:szCs w:val="24"/>
                <w:lang w:eastAsia="zh-CN"/>
              </w:rPr>
              <w:t>超标</w:t>
            </w:r>
            <w:r>
              <w:rPr>
                <w:rFonts w:hint="default" w:ascii="Times New Roman" w:hAnsi="Times New Roman" w:cs="Times New Roman"/>
                <w:color w:val="auto"/>
                <w:sz w:val="24"/>
                <w:szCs w:val="24"/>
              </w:rPr>
              <w:t>，本次评价优先提出相应的污染控制与减缓措施：定期更换活性炭</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定期保养风机、</w:t>
            </w:r>
            <w:r>
              <w:rPr>
                <w:rFonts w:hint="eastAsia" w:ascii="Times New Roman" w:hAnsi="Times New Roman" w:cs="Times New Roman"/>
                <w:color w:val="auto"/>
                <w:sz w:val="24"/>
                <w:szCs w:val="24"/>
                <w:lang w:eastAsia="zh-CN"/>
              </w:rPr>
              <w:t>清洁</w:t>
            </w:r>
            <w:r>
              <w:rPr>
                <w:rFonts w:hint="default" w:ascii="Times New Roman" w:hAnsi="Times New Roman" w:cs="Times New Roman"/>
                <w:color w:val="auto"/>
                <w:sz w:val="24"/>
                <w:szCs w:val="24"/>
              </w:rPr>
              <w:t>废气处理设施，减轻对环境的污染</w:t>
            </w:r>
            <w:r>
              <w:rPr>
                <w:rFonts w:hint="default" w:ascii="Times New Roman" w:hAnsi="Times New Roman" w:cs="Times New Roman"/>
                <w:color w:val="auto"/>
                <w:sz w:val="24"/>
                <w:szCs w:val="24"/>
                <w:lang w:eastAsia="zh-CN"/>
              </w:rPr>
              <w:t>；加强设备检查，若发现非正常工况，立即停止运行。</w:t>
            </w:r>
          </w:p>
          <w:p>
            <w:pPr>
              <w:keepNext w:val="0"/>
              <w:keepLines w:val="0"/>
              <w:widowControl/>
              <w:suppressLineNumbers w:val="0"/>
              <w:ind w:firstLine="482"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4.2.3</w:t>
            </w:r>
            <w:r>
              <w:rPr>
                <w:rFonts w:hint="default" w:ascii="Times New Roman" w:hAnsi="Times New Roman" w:cs="Times New Roman"/>
                <w:b/>
                <w:bCs/>
                <w:color w:val="auto"/>
                <w:kern w:val="0"/>
                <w:sz w:val="24"/>
                <w:szCs w:val="24"/>
                <w:lang w:bidi="ar"/>
              </w:rPr>
              <w:t xml:space="preserve">废气治理可行性分析及达标分析 </w:t>
            </w:r>
          </w:p>
          <w:p>
            <w:pPr>
              <w:widowControl/>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val="en-US" w:eastAsia="zh-CN" w:bidi="ar"/>
              </w:rPr>
              <w:t>1）废气治理设施可行性分析</w:t>
            </w:r>
          </w:p>
          <w:p>
            <w:pPr>
              <w:widowControl/>
              <w:ind w:firstLine="480" w:firstLineChars="200"/>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根据《重庆市典型工业有机废气处理适宜技术选择指南（2015版）》，有机物浓度在300mg/m</w:t>
            </w:r>
            <w:r>
              <w:rPr>
                <w:rFonts w:hint="default" w:ascii="Times New Roman" w:hAnsi="Times New Roman" w:cs="Times New Roman"/>
                <w:color w:val="auto"/>
                <w:kern w:val="0"/>
                <w:sz w:val="24"/>
                <w:szCs w:val="24"/>
                <w:vertAlign w:val="superscript"/>
                <w:lang w:bidi="ar"/>
              </w:rPr>
              <w:t>3</w:t>
            </w:r>
            <w:r>
              <w:rPr>
                <w:rFonts w:hint="default" w:ascii="Times New Roman" w:hAnsi="Times New Roman" w:cs="Times New Roman"/>
                <w:color w:val="auto"/>
                <w:kern w:val="0"/>
                <w:sz w:val="24"/>
                <w:szCs w:val="24"/>
                <w:lang w:bidi="ar"/>
              </w:rPr>
              <w:t>以下，有机废气可经</w:t>
            </w:r>
            <w:r>
              <w:rPr>
                <w:rFonts w:hint="default" w:ascii="Times New Roman" w:hAnsi="Times New Roman" w:cs="Times New Roman"/>
                <w:color w:val="auto"/>
                <w:kern w:val="0"/>
                <w:sz w:val="24"/>
                <w:szCs w:val="24"/>
                <w:lang w:eastAsia="zh-CN" w:bidi="ar"/>
              </w:rPr>
              <w:t>“级</w:t>
            </w:r>
            <w:r>
              <w:rPr>
                <w:rFonts w:hint="default" w:ascii="Times New Roman" w:hAnsi="Times New Roman" w:cs="Times New Roman"/>
                <w:color w:val="auto"/>
                <w:kern w:val="0"/>
                <w:sz w:val="24"/>
                <w:szCs w:val="24"/>
                <w:lang w:bidi="ar"/>
              </w:rPr>
              <w:t>活性炭</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装置</w:t>
            </w:r>
            <w:r>
              <w:rPr>
                <w:rFonts w:hint="default" w:ascii="Times New Roman" w:hAnsi="Times New Roman" w:cs="Times New Roman"/>
                <w:color w:val="auto"/>
                <w:kern w:val="0"/>
                <w:sz w:val="24"/>
                <w:szCs w:val="24"/>
                <w:lang w:eastAsia="zh-CN" w:bidi="ar"/>
              </w:rPr>
              <w:t>处理</w:t>
            </w:r>
            <w:r>
              <w:rPr>
                <w:rFonts w:hint="default" w:ascii="Times New Roman" w:hAnsi="Times New Roman" w:cs="Times New Roman"/>
                <w:color w:val="auto"/>
                <w:kern w:val="0"/>
                <w:sz w:val="24"/>
                <w:szCs w:val="24"/>
                <w:lang w:bidi="ar"/>
              </w:rPr>
              <w:t>后引至排气筒排放。根据《吸附法工业有机废气治理工程技术规范》。活性炭吸附法要求预处理后颗粒物浓度≤1mg/m</w:t>
            </w:r>
            <w:r>
              <w:rPr>
                <w:rFonts w:hint="default" w:ascii="Times New Roman" w:hAnsi="Times New Roman" w:cs="Times New Roman"/>
                <w:color w:val="auto"/>
                <w:kern w:val="0"/>
                <w:sz w:val="24"/>
                <w:szCs w:val="24"/>
                <w:vertAlign w:val="superscript"/>
                <w:lang w:bidi="ar"/>
              </w:rPr>
              <w:t>3</w:t>
            </w:r>
            <w:r>
              <w:rPr>
                <w:rFonts w:hint="default" w:ascii="Times New Roman" w:hAnsi="Times New Roman" w:cs="Times New Roman"/>
                <w:color w:val="auto"/>
                <w:kern w:val="0"/>
                <w:sz w:val="24"/>
                <w:szCs w:val="24"/>
                <w:lang w:bidi="ar"/>
              </w:rPr>
              <w:t>；有机废气收集的初始温度不大于40℃，通过管道降温后温度小于40℃。</w:t>
            </w:r>
            <w:r>
              <w:rPr>
                <w:rFonts w:hint="default" w:ascii="Times New Roman" w:hAnsi="Times New Roman" w:cs="Times New Roman"/>
                <w:color w:val="auto"/>
                <w:kern w:val="0"/>
                <w:sz w:val="24"/>
                <w:szCs w:val="24"/>
                <w:lang w:eastAsia="zh-CN" w:bidi="ar"/>
              </w:rPr>
              <w:t>干式过滤处理后的颗粒物浓度</w:t>
            </w:r>
            <w:r>
              <w:rPr>
                <w:rFonts w:hint="default" w:ascii="Times New Roman" w:hAnsi="Times New Roman" w:cs="Times New Roman"/>
                <w:color w:val="auto"/>
                <w:kern w:val="0"/>
                <w:sz w:val="24"/>
                <w:szCs w:val="24"/>
                <w:lang w:bidi="ar"/>
              </w:rPr>
              <w:t>≤1mg/m</w:t>
            </w:r>
            <w:r>
              <w:rPr>
                <w:rFonts w:hint="default" w:ascii="Times New Roman" w:hAnsi="Times New Roman" w:cs="Times New Roman"/>
                <w:color w:val="auto"/>
                <w:kern w:val="0"/>
                <w:sz w:val="24"/>
                <w:szCs w:val="24"/>
                <w:vertAlign w:val="superscript"/>
                <w:lang w:bidi="ar"/>
              </w:rPr>
              <w:t>3</w:t>
            </w:r>
            <w:r>
              <w:rPr>
                <w:rFonts w:hint="default" w:ascii="Times New Roman" w:hAnsi="Times New Roman" w:cs="Times New Roman"/>
                <w:color w:val="auto"/>
                <w:kern w:val="0"/>
                <w:sz w:val="24"/>
                <w:szCs w:val="24"/>
                <w:lang w:eastAsia="zh-CN" w:bidi="ar"/>
              </w:rPr>
              <w:t>，且</w:t>
            </w:r>
            <w:r>
              <w:rPr>
                <w:rFonts w:hint="default" w:ascii="Times New Roman" w:hAnsi="Times New Roman" w:cs="Times New Roman"/>
                <w:color w:val="auto"/>
                <w:kern w:val="0"/>
                <w:sz w:val="24"/>
                <w:szCs w:val="24"/>
                <w:lang w:bidi="ar"/>
              </w:rPr>
              <w:t>有机废气</w:t>
            </w:r>
            <w:r>
              <w:rPr>
                <w:rFonts w:hint="default" w:ascii="Times New Roman" w:hAnsi="Times New Roman" w:cs="Times New Roman"/>
                <w:color w:val="auto"/>
                <w:kern w:val="0"/>
                <w:sz w:val="24"/>
                <w:szCs w:val="24"/>
                <w:lang w:eastAsia="zh-CN" w:bidi="ar"/>
              </w:rPr>
              <w:t>初始温度</w:t>
            </w:r>
            <w:r>
              <w:rPr>
                <w:rFonts w:hint="default" w:ascii="Times New Roman" w:hAnsi="Times New Roman" w:cs="Times New Roman"/>
                <w:color w:val="auto"/>
                <w:kern w:val="0"/>
                <w:sz w:val="24"/>
                <w:szCs w:val="24"/>
                <w:lang w:bidi="ar"/>
              </w:rPr>
              <w:t>低于40℃，满足吸附法工业有机废气治理技术规范要求。</w:t>
            </w:r>
          </w:p>
          <w:p>
            <w:pPr>
              <w:widowControl/>
              <w:ind w:firstLine="480" w:firstLineChars="200"/>
              <w:rPr>
                <w:rFonts w:hint="default" w:ascii="Times New Roman" w:hAnsi="Times New Roman" w:eastAsia="宋体" w:cs="Times New Roman"/>
                <w:color w:val="auto"/>
                <w:kern w:val="0"/>
                <w:sz w:val="24"/>
                <w:szCs w:val="24"/>
                <w:lang w:eastAsia="zh-CN" w:bidi="ar"/>
              </w:rPr>
            </w:pPr>
            <w:r>
              <w:rPr>
                <w:rFonts w:hint="default" w:ascii="Times New Roman" w:hAnsi="Times New Roman" w:cs="Times New Roman"/>
                <w:color w:val="auto"/>
                <w:kern w:val="0"/>
                <w:sz w:val="24"/>
                <w:szCs w:val="24"/>
                <w:lang w:eastAsia="zh-CN" w:bidi="ar"/>
              </w:rPr>
              <w:t>拟建</w:t>
            </w:r>
            <w:r>
              <w:rPr>
                <w:rFonts w:hint="default" w:ascii="Times New Roman" w:hAnsi="Times New Roman" w:cs="Times New Roman"/>
                <w:color w:val="auto"/>
                <w:kern w:val="0"/>
                <w:sz w:val="24"/>
                <w:szCs w:val="24"/>
                <w:lang w:bidi="ar"/>
              </w:rPr>
              <w:t>项目的臭气浓度源于非甲烷总烃，随着非甲烷总烃的削减，臭气浓度相应削减，本次环评不针对臭气浓度进行定量计算，提出达标排放要求</w:t>
            </w:r>
            <w:r>
              <w:rPr>
                <w:rFonts w:hint="default" w:ascii="Times New Roman" w:hAnsi="Times New Roman" w:cs="Times New Roman"/>
                <w:color w:val="auto"/>
                <w:kern w:val="0"/>
                <w:sz w:val="24"/>
                <w:szCs w:val="24"/>
                <w:lang w:eastAsia="zh-CN" w:bidi="ar"/>
              </w:rPr>
              <w:t>。</w:t>
            </w:r>
          </w:p>
          <w:p>
            <w:pPr>
              <w:widowControl/>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eastAsia="zh-CN" w:bidi="ar"/>
              </w:rPr>
              <w:t>结合参照结合参照《排污许可证申请与核发技术规范》中推荐的可行技术，</w:t>
            </w:r>
            <w:r>
              <w:rPr>
                <w:rFonts w:hint="default" w:ascii="Times New Roman" w:hAnsi="Times New Roman" w:cs="Times New Roman"/>
                <w:color w:val="auto"/>
                <w:kern w:val="0"/>
                <w:sz w:val="24"/>
                <w:szCs w:val="24"/>
                <w:lang w:bidi="ar"/>
              </w:rPr>
              <w:t>拟建项目有机废气采用活性炭吸附技术</w:t>
            </w:r>
            <w:r>
              <w:rPr>
                <w:rFonts w:hint="eastAsia" w:ascii="Times New Roman" w:hAnsi="Times New Roman" w:cs="Times New Roman"/>
                <w:color w:val="auto"/>
                <w:kern w:val="0"/>
                <w:sz w:val="24"/>
                <w:szCs w:val="24"/>
                <w:lang w:eastAsia="zh-CN" w:bidi="ar"/>
              </w:rPr>
              <w:t>可行</w:t>
            </w:r>
            <w:r>
              <w:rPr>
                <w:rFonts w:hint="default" w:ascii="Times New Roman" w:hAnsi="Times New Roman" w:cs="Times New Roman"/>
                <w:color w:val="auto"/>
                <w:kern w:val="0"/>
                <w:sz w:val="24"/>
                <w:szCs w:val="24"/>
                <w:lang w:val="en-US" w:eastAsia="zh-CN" w:bidi="ar"/>
              </w:rPr>
              <w:t>。</w:t>
            </w:r>
          </w:p>
          <w:p>
            <w:pPr>
              <w:widowControl/>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kern w:val="0"/>
                <w:sz w:val="24"/>
                <w:szCs w:val="24"/>
                <w:lang w:bidi="ar"/>
              </w:rPr>
              <w:t>活性炭吸附：活性炭的多孔结构提供了大量的表面积，从而使其非常容易达到吸收收集杂质的目的。就像磁力一样，所有的分子之间都具有相互引力。正因为如此，活性炭孔壁上的大量的分子可以产生强大的引力，从而达到将介质中的杂质吸引到孔径中的目的。</w:t>
            </w:r>
            <w:r>
              <w:rPr>
                <w:rFonts w:hint="default" w:ascii="Times New Roman" w:hAnsi="Times New Roman" w:cs="Times New Roman"/>
                <w:color w:val="auto"/>
                <w:sz w:val="24"/>
                <w:szCs w:val="24"/>
              </w:rPr>
              <w:t>根据《2020年挥发性有机物治理攻坚方案》（环大气【2020】33号），采用活性炭吸附技术的，应选择碘值不低于800毫克/克的活性炭，并按设计要求足量添加、及时更换。</w:t>
            </w:r>
            <w:r>
              <w:rPr>
                <w:rFonts w:hint="default" w:ascii="Times New Roman" w:hAnsi="Times New Roman" w:cs="Times New Roman"/>
                <w:bCs/>
                <w:color w:val="auto"/>
                <w:sz w:val="24"/>
                <w:szCs w:val="24"/>
                <w:highlight w:val="none"/>
                <w:lang w:val="en-US" w:eastAsia="zh-CN"/>
              </w:rPr>
              <w:t>根据京环发[2015]33号《北京市环境保护局关于印发《挥发性有机物排污费征收细则》的通知》，一级固定床活性炭吸附VOCs去除效率为30%-90%，项目选用蜂窝活性炭，碘吸附值大于800mg/g，</w:t>
            </w:r>
            <w:r>
              <w:rPr>
                <w:rFonts w:hint="eastAsia" w:ascii="Times New Roman" w:hAnsi="Times New Roman" w:cs="Times New Roman"/>
                <w:bCs/>
                <w:color w:val="auto"/>
                <w:sz w:val="24"/>
                <w:szCs w:val="24"/>
                <w:highlight w:val="none"/>
                <w:lang w:val="en-US" w:eastAsia="zh-CN"/>
              </w:rPr>
              <w:t>一级活性炭</w:t>
            </w:r>
            <w:r>
              <w:rPr>
                <w:rFonts w:hint="default" w:ascii="Times New Roman" w:hAnsi="Times New Roman" w:cs="Times New Roman"/>
                <w:bCs/>
                <w:color w:val="auto"/>
                <w:sz w:val="24"/>
                <w:szCs w:val="24"/>
                <w:highlight w:val="none"/>
                <w:lang w:val="en-US" w:eastAsia="zh-CN"/>
              </w:rPr>
              <w:t>对VOCs去除效率取60%</w:t>
            </w:r>
            <w:r>
              <w:rPr>
                <w:rFonts w:hint="eastAsia" w:cs="Times New Roman"/>
                <w:bCs/>
                <w:color w:val="auto"/>
                <w:sz w:val="24"/>
                <w:szCs w:val="24"/>
                <w:highlight w:val="none"/>
                <w:lang w:val="en-US" w:eastAsia="zh-CN"/>
              </w:rPr>
              <w:t>（危废间有机废气产生浓度较低，去除效率取30%）</w:t>
            </w:r>
            <w:r>
              <w:rPr>
                <w:rFonts w:hint="default"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二级活性炭</w:t>
            </w:r>
            <w:r>
              <w:rPr>
                <w:rFonts w:hint="default" w:ascii="Times New Roman" w:hAnsi="Times New Roman" w:cs="Times New Roman"/>
                <w:bCs/>
                <w:color w:val="auto"/>
                <w:sz w:val="24"/>
                <w:szCs w:val="24"/>
                <w:highlight w:val="none"/>
                <w:lang w:val="en-US" w:eastAsia="zh-CN"/>
              </w:rPr>
              <w:t>吸附VOCs去除效率按公式：1-（1-效率1）*（1-效率2）</w:t>
            </w:r>
            <w:r>
              <w:rPr>
                <w:rFonts w:hint="eastAsia" w:ascii="Times New Roman" w:hAnsi="Times New Roman" w:cs="Times New Roman"/>
                <w:bCs/>
                <w:color w:val="auto"/>
                <w:sz w:val="24"/>
                <w:szCs w:val="24"/>
                <w:highlight w:val="none"/>
                <w:lang w:val="en-US" w:eastAsia="zh-CN"/>
              </w:rPr>
              <w:t>确定为84%</w:t>
            </w:r>
            <w:r>
              <w:rPr>
                <w:rFonts w:hint="default" w:ascii="Times New Roman" w:hAnsi="Times New Roman" w:cs="Times New Roman"/>
                <w:color w:val="auto"/>
                <w:kern w:val="0"/>
                <w:sz w:val="24"/>
                <w:szCs w:val="24"/>
                <w:lang w:bidi="ar"/>
              </w:rPr>
              <w:t>。</w:t>
            </w:r>
            <w:r>
              <w:rPr>
                <w:rFonts w:hint="eastAsia" w:cs="Times New Roman"/>
                <w:color w:val="auto"/>
                <w:kern w:val="0"/>
                <w:sz w:val="24"/>
                <w:szCs w:val="24"/>
                <w:lang w:eastAsia="zh-CN" w:bidi="ar"/>
              </w:rPr>
              <w:t>项目活性炭一个月更换一次。</w:t>
            </w:r>
          </w:p>
          <w:p>
            <w:pPr>
              <w:widowControl/>
              <w:ind w:firstLine="480" w:firstLineChars="200"/>
              <w:jc w:val="left"/>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因此，拟建项目采用的污染防治设施工艺是可行的。</w:t>
            </w:r>
          </w:p>
          <w:p>
            <w:pPr>
              <w:widowControl/>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（2）废气治理达标性分析</w:t>
            </w:r>
          </w:p>
          <w:p>
            <w:pPr>
              <w:widowControl/>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项目废气排放达标分析，考虑设备同时运行，计算污染物最大排放速率及浓度时，本次达标分析考虑运营期产生的废气进行分析，并考虑项目</w:t>
            </w:r>
            <w:r>
              <w:rPr>
                <w:rFonts w:hint="eastAsia" w:ascii="Times New Roman" w:hAnsi="Times New Roman" w:eastAsia="宋体" w:cs="Times New Roman"/>
                <w:bCs/>
                <w:color w:val="auto"/>
                <w:sz w:val="24"/>
                <w:szCs w:val="24"/>
                <w:highlight w:val="none"/>
                <w:lang w:val="en-US" w:eastAsia="zh-CN"/>
              </w:rPr>
              <w:t>流延、吹膜</w:t>
            </w:r>
            <w:r>
              <w:rPr>
                <w:rFonts w:hint="default" w:ascii="Times New Roman" w:hAnsi="Times New Roman" w:eastAsia="宋体" w:cs="Times New Roman"/>
                <w:bCs/>
                <w:color w:val="auto"/>
                <w:sz w:val="24"/>
                <w:szCs w:val="24"/>
                <w:highlight w:val="none"/>
                <w:lang w:val="en-US" w:eastAsia="zh-CN"/>
              </w:rPr>
              <w:t>同时作业最不利情况考虑。</w:t>
            </w:r>
          </w:p>
          <w:p>
            <w:pPr>
              <w:pStyle w:val="99"/>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表4.2-4 拟建项目废气排放口基本情况表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00"/>
              <w:gridCol w:w="1865"/>
              <w:gridCol w:w="875"/>
              <w:gridCol w:w="579"/>
              <w:gridCol w:w="1136"/>
              <w:gridCol w:w="546"/>
              <w:gridCol w:w="729"/>
              <w:gridCol w:w="723"/>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 w:hRule="atLeast"/>
                <w:jc w:val="center"/>
              </w:trPr>
              <w:tc>
                <w:tcPr>
                  <w:tcW w:w="1000" w:type="dxa"/>
                  <w:vMerge w:val="restart"/>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865" w:type="dxa"/>
                  <w:vMerge w:val="restart"/>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排放标准</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及标准号</w:t>
                  </w:r>
                </w:p>
              </w:tc>
              <w:tc>
                <w:tcPr>
                  <w:tcW w:w="875" w:type="dxa"/>
                  <w:vMerge w:val="restart"/>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w:t>
                  </w:r>
                </w:p>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因子</w:t>
                  </w:r>
                </w:p>
              </w:tc>
              <w:tc>
                <w:tcPr>
                  <w:tcW w:w="2261" w:type="dxa"/>
                  <w:gridSpan w:val="3"/>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排放标准限值</w:t>
                  </w:r>
                </w:p>
              </w:tc>
              <w:tc>
                <w:tcPr>
                  <w:tcW w:w="2001" w:type="dxa"/>
                  <w:gridSpan w:val="3"/>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 w:hRule="atLeast"/>
                <w:jc w:val="center"/>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1865" w:type="dxa"/>
                  <w:vMerge w:val="continue"/>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875" w:type="dxa"/>
                  <w:vMerge w:val="continue"/>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速率限值kg/h</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速率kg/h</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79" w:hRule="atLeast"/>
                <w:jc w:val="center"/>
              </w:trPr>
              <w:tc>
                <w:tcPr>
                  <w:tcW w:w="1000" w:type="dxa"/>
                  <w:vMerge w:val="restart"/>
                  <w:tcBorders>
                    <w:top w:val="single" w:color="auto" w:sz="4" w:space="0"/>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DA001排气筒</w:t>
                  </w:r>
                </w:p>
              </w:tc>
              <w:tc>
                <w:tcPr>
                  <w:tcW w:w="1865" w:type="dxa"/>
                  <w:vMerge w:val="restart"/>
                  <w:tcBorders>
                    <w:top w:val="single" w:color="auto" w:sz="4" w:space="0"/>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《涂料、油墨及胶粘剂工业大气污染物排放标准》（GB37824—2019）中大气污染物特别排放限值</w:t>
                  </w: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非甲烷总烃</w:t>
                  </w:r>
                </w:p>
              </w:tc>
              <w:tc>
                <w:tcPr>
                  <w:tcW w:w="1715" w:type="dxa"/>
                  <w:gridSpan w:val="2"/>
                  <w:tcBorders>
                    <w:top w:val="single" w:color="auto" w:sz="4" w:space="0"/>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10.5</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0.021</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79" w:hRule="atLeast"/>
                <w:jc w:val="center"/>
              </w:trPr>
              <w:tc>
                <w:tcPr>
                  <w:tcW w:w="1000"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p>
              </w:tc>
              <w:tc>
                <w:tcPr>
                  <w:tcW w:w="1865"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臭气浓度</w:t>
                  </w:r>
                </w:p>
              </w:tc>
              <w:tc>
                <w:tcPr>
                  <w:tcW w:w="1715" w:type="dxa"/>
                  <w:gridSpan w:val="2"/>
                  <w:tcBorders>
                    <w:top w:val="single" w:color="auto" w:sz="4" w:space="0"/>
                    <w:left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000</w:t>
                  </w:r>
                  <w:r>
                    <w:rPr>
                      <w:rFonts w:hint="eastAsia" w:ascii="Times New Roman" w:hAnsi="Times New Roman" w:eastAsia="宋体" w:cs="Times New Roman"/>
                      <w:color w:val="auto"/>
                      <w:kern w:val="0"/>
                      <w:sz w:val="21"/>
                      <w:szCs w:val="21"/>
                      <w:lang w:val="en-GB" w:eastAsia="zh-CN"/>
                    </w:rPr>
                    <w:t>(</w:t>
                  </w:r>
                  <w:r>
                    <w:rPr>
                      <w:rFonts w:ascii="Times New Roman" w:hAnsi="Times New Roman" w:eastAsia="宋体" w:cs="Times New Roman"/>
                      <w:color w:val="auto"/>
                      <w:kern w:val="0"/>
                      <w:sz w:val="21"/>
                      <w:szCs w:val="21"/>
                      <w:lang w:val="en-GB"/>
                    </w:rPr>
                    <w:t>无量纲</w:t>
                  </w:r>
                  <w:r>
                    <w:rPr>
                      <w:rFonts w:hint="eastAsia" w:ascii="Times New Roman" w:hAnsi="Times New Roman" w:eastAsia="宋体" w:cs="Times New Roman"/>
                      <w:color w:val="auto"/>
                      <w:kern w:val="0"/>
                      <w:sz w:val="21"/>
                      <w:szCs w:val="21"/>
                      <w:lang w:val="en-GB" w:eastAsia="zh-CN"/>
                    </w:rPr>
                    <w:t>)</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排气筒</w:t>
                  </w:r>
                </w:p>
              </w:tc>
              <w:tc>
                <w:tcPr>
                  <w:tcW w:w="1865"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《合成树脂工业污染物排放标准》（GB31572-2015）中的特别排放标准限值</w:t>
                  </w:r>
                  <w:r>
                    <w:rPr>
                      <w:rFonts w:hint="eastAsia" w:ascii="Times New Roman" w:hAnsi="Times New Roman" w:eastAsia="宋体" w:cs="Times New Roman"/>
                      <w:color w:val="auto"/>
                      <w:sz w:val="21"/>
                      <w:szCs w:val="21"/>
                      <w:lang w:val="en-US" w:eastAsia="zh-CN"/>
                    </w:rPr>
                    <w:t>；《恶臭污染物排放标准》（GB14554-93）</w:t>
                  </w: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非甲烷总烃</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 sum(A1:A3) \* MERGEFORMAT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22.7</w:t>
                  </w:r>
                  <w:r>
                    <w:rPr>
                      <w:rFonts w:hint="eastAsia" w:ascii="Times New Roman" w:hAnsi="Times New Roman" w:eastAsia="宋体" w:cs="Times New Roman"/>
                      <w:color w:val="auto"/>
                      <w:sz w:val="21"/>
                      <w:szCs w:val="21"/>
                      <w:lang w:val="en-US" w:eastAsia="zh-CN"/>
                    </w:rPr>
                    <w:fldChar w:fldCharType="end"/>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 sum(B1:B3) \* MERGEFORMAT </w:instrText>
                  </w:r>
                  <w:r>
                    <w:rPr>
                      <w:rFonts w:hint="eastAsia"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0.39</w:t>
                  </w:r>
                  <w:r>
                    <w:rPr>
                      <w:rFonts w:hint="eastAsia" w:ascii="Times New Roman" w:hAnsi="Times New Roman" w:eastAsia="宋体" w:cs="Times New Roman"/>
                      <w:color w:val="auto"/>
                      <w:sz w:val="21"/>
                      <w:szCs w:val="21"/>
                      <w:lang w:val="en-US" w:eastAsia="zh-CN"/>
                    </w:rPr>
                    <w:fldChar w:fldCharType="end"/>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p>
              </w:tc>
              <w:tc>
                <w:tcPr>
                  <w:tcW w:w="1865"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臭气浓度</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000</w:t>
                  </w:r>
                  <w:r>
                    <w:rPr>
                      <w:rFonts w:hint="eastAsia" w:ascii="Times New Roman" w:hAnsi="Times New Roman" w:eastAsia="宋体" w:cs="Times New Roman"/>
                      <w:color w:val="auto"/>
                      <w:kern w:val="0"/>
                      <w:sz w:val="21"/>
                      <w:szCs w:val="21"/>
                      <w:lang w:val="en-GB" w:eastAsia="zh-CN"/>
                    </w:rPr>
                    <w:t>(</w:t>
                  </w:r>
                  <w:r>
                    <w:rPr>
                      <w:rFonts w:ascii="Times New Roman" w:hAnsi="Times New Roman" w:eastAsia="宋体" w:cs="Times New Roman"/>
                      <w:color w:val="auto"/>
                      <w:kern w:val="0"/>
                      <w:sz w:val="21"/>
                      <w:szCs w:val="21"/>
                      <w:lang w:val="en-GB"/>
                    </w:rPr>
                    <w:t>无量纲</w:t>
                  </w:r>
                  <w:r>
                    <w:rPr>
                      <w:rFonts w:hint="eastAsia" w:ascii="Times New Roman" w:hAnsi="Times New Roman" w:eastAsia="宋体" w:cs="Times New Roman"/>
                      <w:color w:val="auto"/>
                      <w:kern w:val="0"/>
                      <w:sz w:val="21"/>
                      <w:szCs w:val="21"/>
                      <w:lang w:val="en-GB" w:eastAsia="zh-CN"/>
                    </w:rPr>
                    <w:t>)</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排气筒</w:t>
                  </w:r>
                </w:p>
              </w:tc>
              <w:tc>
                <w:tcPr>
                  <w:tcW w:w="1865"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eastAsia="zh-CN"/>
                    </w:rPr>
                    <w:t>非甲烷总烃</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60</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1.1</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firstLine="0" w:firstLineChars="0"/>
                    <w:jc w:val="center"/>
                    <w:rPr>
                      <w:rFonts w:hint="eastAsia" w:ascii="Times New Roman" w:hAnsi="Times New Roman" w:eastAsia="宋体" w:cs="Times New Roman"/>
                      <w:color w:val="auto"/>
                      <w:w w:val="100"/>
                      <w:kern w:val="2"/>
                      <w:sz w:val="21"/>
                      <w:szCs w:val="21"/>
                      <w:lang w:val="en-US" w:eastAsia="zh-CN" w:bidi="ar-SA"/>
                    </w:rPr>
                  </w:pPr>
                  <w:r>
                    <w:rPr>
                      <w:rFonts w:hint="eastAsia" w:cs="Times New Roman"/>
                      <w:color w:val="auto"/>
                      <w:sz w:val="21"/>
                      <w:szCs w:val="21"/>
                      <w:lang w:val="en-US" w:eastAsia="zh-CN"/>
                    </w:rPr>
                    <w:t>0.001</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排气筒</w:t>
                  </w:r>
                </w:p>
              </w:tc>
              <w:tc>
                <w:tcPr>
                  <w:tcW w:w="1865"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《餐饮业大气污染物排放标准》（DB50/859-2018）</w:t>
                  </w: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油烟</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0.16</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firstLine="0" w:firstLineChars="0"/>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0.001</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p>
              </w:tc>
              <w:tc>
                <w:tcPr>
                  <w:tcW w:w="1865"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非甲烷总烃</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厂界无组织</w:t>
                  </w:r>
                </w:p>
              </w:tc>
              <w:tc>
                <w:tcPr>
                  <w:tcW w:w="1865"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《合成树脂工业污染物排放标准》（GB31572-2015）</w:t>
                  </w: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非甲烷总烃</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98"/>
                    <w:spacing w:line="240" w:lineRule="exact"/>
                    <w:ind w:firstLine="0" w:firstLineChars="0"/>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lang w:val="en-US" w:eastAsia="zh-CN"/>
                    </w:rPr>
                    <w:t>4.0</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continue"/>
                  <w:tcBorders>
                    <w:left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sz w:val="21"/>
                      <w:szCs w:val="21"/>
                      <w:lang w:val="en-US" w:eastAsia="zh-CN"/>
                    </w:rPr>
                  </w:pPr>
                </w:p>
              </w:tc>
              <w:tc>
                <w:tcPr>
                  <w:tcW w:w="1865"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875"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颗粒物</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98"/>
                    <w:spacing w:line="240" w:lineRule="exact"/>
                    <w:ind w:firstLine="0" w:firstLineChars="0"/>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lang w:val="en-US" w:eastAsia="zh-CN"/>
                    </w:rPr>
                    <w:t>1.0</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p>
              </w:tc>
              <w:tc>
                <w:tcPr>
                  <w:tcW w:w="1865"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《恶臭污染物排放标准》（GB14554-93）</w:t>
                  </w:r>
                </w:p>
              </w:tc>
              <w:tc>
                <w:tcPr>
                  <w:tcW w:w="87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0"/>
                      <w:sz w:val="21"/>
                      <w:szCs w:val="21"/>
                      <w:lang w:val="en-GB"/>
                    </w:rPr>
                    <w:t>臭气浓度</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ascii="Times New Roman" w:hAnsi="Times New Roman" w:eastAsia="宋体" w:cs="Times New Roman"/>
                      <w:color w:val="auto"/>
                      <w:kern w:val="0"/>
                      <w:sz w:val="21"/>
                      <w:szCs w:val="21"/>
                      <w:lang w:val="en-GB"/>
                    </w:rPr>
                    <w:t>20</w:t>
                  </w:r>
                  <w:r>
                    <w:rPr>
                      <w:rFonts w:hint="eastAsia" w:ascii="Times New Roman" w:hAnsi="Times New Roman" w:eastAsia="宋体" w:cs="Times New Roman"/>
                      <w:color w:val="auto"/>
                      <w:kern w:val="0"/>
                      <w:sz w:val="21"/>
                      <w:szCs w:val="21"/>
                      <w:lang w:val="en-GB" w:eastAsia="zh-CN"/>
                    </w:rPr>
                    <w:t>(</w:t>
                  </w:r>
                  <w:r>
                    <w:rPr>
                      <w:rFonts w:ascii="Times New Roman" w:hAnsi="Times New Roman" w:eastAsia="宋体" w:cs="Times New Roman"/>
                      <w:color w:val="auto"/>
                      <w:kern w:val="0"/>
                      <w:sz w:val="21"/>
                      <w:szCs w:val="21"/>
                      <w:lang w:val="en-GB"/>
                    </w:rPr>
                    <w:t>无量纲</w:t>
                  </w:r>
                  <w:r>
                    <w:rPr>
                      <w:rFonts w:hint="eastAsia" w:ascii="Times New Roman" w:hAnsi="Times New Roman" w:eastAsia="宋体" w:cs="Times New Roman"/>
                      <w:color w:val="auto"/>
                      <w:kern w:val="0"/>
                      <w:sz w:val="21"/>
                      <w:szCs w:val="21"/>
                      <w:lang w:val="en-GB" w:eastAsia="zh-CN"/>
                    </w:rPr>
                    <w:t>)</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p>
              </w:tc>
              <w:tc>
                <w:tcPr>
                  <w:tcW w:w="1865"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87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000"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p>
              </w:tc>
              <w:tc>
                <w:tcPr>
                  <w:tcW w:w="1865" w:type="dxa"/>
                  <w:vMerge w:val="continue"/>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p>
              </w:tc>
              <w:tc>
                <w:tcPr>
                  <w:tcW w:w="87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NH</w:t>
                  </w:r>
                  <w:r>
                    <w:rPr>
                      <w:rFonts w:hint="eastAsia"/>
                      <w:color w:val="auto"/>
                      <w:sz w:val="21"/>
                      <w:szCs w:val="21"/>
                      <w:vertAlign w:val="subscript"/>
                      <w:lang w:val="en-US" w:eastAsia="zh-CN"/>
                    </w:rPr>
                    <w:t>3</w:t>
                  </w:r>
                </w:p>
              </w:tc>
              <w:tc>
                <w:tcPr>
                  <w:tcW w:w="1715" w:type="dxa"/>
                  <w:gridSpan w:val="2"/>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546"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1000"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厂房外无组织</w:t>
                  </w:r>
                </w:p>
              </w:tc>
              <w:tc>
                <w:tcPr>
                  <w:tcW w:w="1865" w:type="dxa"/>
                  <w:vMerge w:val="restart"/>
                  <w:tcBorders>
                    <w:left w:val="single" w:color="auto" w:sz="4" w:space="0"/>
                    <w:right w:val="single" w:color="auto" w:sz="4" w:space="0"/>
                  </w:tcBorders>
                  <w:vAlign w:val="center"/>
                </w:tcPr>
                <w:p>
                  <w:pPr>
                    <w:pStyle w:val="41"/>
                    <w:spacing w:line="240" w:lineRule="auto"/>
                    <w:jc w:val="center"/>
                    <w:rPr>
                      <w:rFonts w:hint="default" w:ascii="Times New Roman" w:hAnsi="Times New Roman" w:cs="Times New Roman"/>
                      <w:color w:val="auto"/>
                      <w:sz w:val="21"/>
                      <w:szCs w:val="21"/>
                    </w:rPr>
                  </w:pPr>
                  <w:r>
                    <w:rPr>
                      <w:rFonts w:hint="eastAsia"/>
                      <w:color w:val="auto"/>
                    </w:rPr>
                    <w:t>《挥发性有机物无组织排放控制标准》（GB37822-2019）</w:t>
                  </w:r>
                  <w:r>
                    <w:rPr>
                      <w:rFonts w:hint="eastAsia"/>
                      <w:color w:val="auto"/>
                      <w:lang w:eastAsia="zh-CN"/>
                    </w:rPr>
                    <w:t>特别</w:t>
                  </w:r>
                  <w:r>
                    <w:rPr>
                      <w:rFonts w:hint="eastAsia"/>
                      <w:color w:val="auto"/>
                    </w:rPr>
                    <w:t>排放限值</w:t>
                  </w:r>
                </w:p>
              </w:tc>
              <w:tc>
                <w:tcPr>
                  <w:tcW w:w="875"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非甲烷总烃</w:t>
                  </w:r>
                </w:p>
              </w:tc>
              <w:tc>
                <w:tcPr>
                  <w:tcW w:w="579" w:type="dxa"/>
                  <w:tcBorders>
                    <w:top w:val="single" w:color="auto" w:sz="4" w:space="0"/>
                    <w:left w:val="single" w:color="auto" w:sz="4" w:space="0"/>
                    <w:bottom w:val="single" w:color="auto" w:sz="4" w:space="0"/>
                    <w:right w:val="single" w:color="auto" w:sz="4" w:space="0"/>
                  </w:tcBorders>
                  <w:vAlign w:val="center"/>
                </w:tcPr>
                <w:p>
                  <w:pPr>
                    <w:pStyle w:val="98"/>
                    <w:spacing w:line="240" w:lineRule="exact"/>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6mg/m</w:t>
                  </w:r>
                  <w:r>
                    <w:rPr>
                      <w:rFonts w:hint="eastAsia"/>
                      <w:color w:val="auto"/>
                      <w:vertAlign w:val="superscript"/>
                      <w:lang w:val="en-US" w:eastAsia="zh-CN"/>
                    </w:rPr>
                    <w:t>3</w:t>
                  </w:r>
                </w:p>
              </w:tc>
              <w:tc>
                <w:tcPr>
                  <w:tcW w:w="1136" w:type="dxa"/>
                  <w:tcBorders>
                    <w:top w:val="single" w:color="auto" w:sz="4" w:space="0"/>
                    <w:left w:val="single" w:color="auto" w:sz="4" w:space="0"/>
                    <w:right w:val="single" w:color="auto" w:sz="4" w:space="0"/>
                  </w:tcBorders>
                  <w:vAlign w:val="center"/>
                </w:tcPr>
                <w:p>
                  <w:pPr>
                    <w:pStyle w:val="98"/>
                    <w:spacing w:line="240" w:lineRule="exact"/>
                    <w:ind w:firstLine="0" w:firstLineChars="0"/>
                    <w:rPr>
                      <w:rFonts w:hint="eastAsia" w:ascii="Times New Roman" w:hAnsi="Times New Roman" w:eastAsia="宋体" w:cs="Times New Roman"/>
                      <w:color w:val="auto"/>
                      <w:kern w:val="2"/>
                      <w:sz w:val="21"/>
                      <w:szCs w:val="21"/>
                      <w:lang w:val="en-US" w:eastAsia="zh-CN" w:bidi="ar-SA"/>
                    </w:rPr>
                  </w:pPr>
                  <w:r>
                    <w:rPr>
                      <w:rFonts w:hint="default"/>
                      <w:color w:val="auto"/>
                      <w:lang w:val="en-US" w:eastAsia="zh-CN"/>
                    </w:rPr>
                    <w:t>监控点处1h平均浓度值</w:t>
                  </w:r>
                </w:p>
              </w:tc>
              <w:tc>
                <w:tcPr>
                  <w:tcW w:w="546" w:type="dxa"/>
                  <w:vMerge w:val="restart"/>
                  <w:tcBorders>
                    <w:top w:val="single" w:color="auto" w:sz="4" w:space="0"/>
                    <w:left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729" w:type="dxa"/>
                  <w:vMerge w:val="restart"/>
                  <w:tcBorders>
                    <w:top w:val="single" w:color="auto" w:sz="4" w:space="0"/>
                    <w:left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723" w:type="dxa"/>
                  <w:vMerge w:val="restart"/>
                  <w:tcBorders>
                    <w:top w:val="single" w:color="auto" w:sz="4" w:space="0"/>
                    <w:left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549" w:type="dxa"/>
                  <w:vMerge w:val="restart"/>
                  <w:tcBorders>
                    <w:top w:val="single" w:color="auto" w:sz="4" w:space="0"/>
                    <w:left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1000" w:type="dxa"/>
                  <w:vMerge w:val="continue"/>
                  <w:tcBorders>
                    <w:left w:val="single" w:color="auto" w:sz="4" w:space="0"/>
                    <w:right w:val="single" w:color="auto" w:sz="4" w:space="0"/>
                  </w:tcBorders>
                  <w:vAlign w:val="center"/>
                </w:tcPr>
                <w:p>
                  <w:pPr>
                    <w:pStyle w:val="41"/>
                    <w:spacing w:line="240" w:lineRule="auto"/>
                    <w:jc w:val="center"/>
                    <w:rPr>
                      <w:color w:val="auto"/>
                    </w:rPr>
                  </w:pPr>
                </w:p>
              </w:tc>
              <w:tc>
                <w:tcPr>
                  <w:tcW w:w="1865" w:type="dxa"/>
                  <w:vMerge w:val="continue"/>
                  <w:tcBorders>
                    <w:left w:val="single" w:color="auto" w:sz="4" w:space="0"/>
                    <w:right w:val="single" w:color="auto" w:sz="4" w:space="0"/>
                  </w:tcBorders>
                  <w:vAlign w:val="center"/>
                </w:tcPr>
                <w:p>
                  <w:pPr>
                    <w:pStyle w:val="41"/>
                    <w:spacing w:line="240" w:lineRule="auto"/>
                    <w:jc w:val="center"/>
                    <w:rPr>
                      <w:color w:val="auto"/>
                    </w:rPr>
                  </w:pPr>
                </w:p>
              </w:tc>
              <w:tc>
                <w:tcPr>
                  <w:tcW w:w="875" w:type="dxa"/>
                  <w:vMerge w:val="continue"/>
                  <w:tcBorders>
                    <w:left w:val="single" w:color="auto" w:sz="4" w:space="0"/>
                    <w:bottom w:val="single" w:color="auto" w:sz="4" w:space="0"/>
                    <w:right w:val="single" w:color="auto" w:sz="4" w:space="0"/>
                  </w:tcBorders>
                  <w:vAlign w:val="center"/>
                </w:tcPr>
                <w:p>
                  <w:pPr>
                    <w:pStyle w:val="41"/>
                    <w:spacing w:line="240" w:lineRule="auto"/>
                    <w:jc w:val="center"/>
                    <w:rPr>
                      <w:color w:val="auto"/>
                    </w:rPr>
                  </w:pPr>
                </w:p>
              </w:tc>
              <w:tc>
                <w:tcPr>
                  <w:tcW w:w="579" w:type="dxa"/>
                  <w:tcBorders>
                    <w:top w:val="single" w:color="auto" w:sz="4" w:space="0"/>
                    <w:left w:val="single" w:color="auto" w:sz="4" w:space="0"/>
                    <w:bottom w:val="single" w:color="auto" w:sz="4" w:space="0"/>
                    <w:right w:val="single" w:color="auto" w:sz="4" w:space="0"/>
                  </w:tcBorders>
                  <w:vAlign w:val="center"/>
                </w:tcPr>
                <w:p>
                  <w:pPr>
                    <w:pStyle w:val="98"/>
                    <w:spacing w:line="240" w:lineRule="exact"/>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20mg/m</w:t>
                  </w:r>
                  <w:r>
                    <w:rPr>
                      <w:rFonts w:hint="eastAsia"/>
                      <w:color w:val="auto"/>
                      <w:vertAlign w:val="superscript"/>
                      <w:lang w:val="en-US" w:eastAsia="zh-CN"/>
                    </w:rPr>
                    <w:t>3</w:t>
                  </w:r>
                </w:p>
              </w:tc>
              <w:tc>
                <w:tcPr>
                  <w:tcW w:w="1136" w:type="dxa"/>
                  <w:tcBorders>
                    <w:left w:val="single" w:color="auto" w:sz="4" w:space="0"/>
                    <w:bottom w:val="single" w:color="auto" w:sz="4" w:space="0"/>
                    <w:right w:val="single" w:color="auto" w:sz="4" w:space="0"/>
                  </w:tcBorders>
                  <w:vAlign w:val="center"/>
                </w:tcPr>
                <w:p>
                  <w:pPr>
                    <w:pStyle w:val="98"/>
                    <w:spacing w:line="240" w:lineRule="exact"/>
                    <w:ind w:firstLine="0" w:firstLineChars="0"/>
                    <w:rPr>
                      <w:rFonts w:hint="eastAsia" w:ascii="Times New Roman" w:hAnsi="Times New Roman" w:eastAsia="宋体" w:cs="Times New Roman"/>
                      <w:color w:val="auto"/>
                      <w:kern w:val="2"/>
                      <w:sz w:val="21"/>
                      <w:szCs w:val="21"/>
                      <w:lang w:val="en-US" w:eastAsia="zh-CN" w:bidi="ar-SA"/>
                    </w:rPr>
                  </w:pPr>
                  <w:r>
                    <w:rPr>
                      <w:rFonts w:hint="default"/>
                      <w:color w:val="auto"/>
                      <w:lang w:val="en-US" w:eastAsia="zh-CN"/>
                    </w:rPr>
                    <w:t>监测点任意一次浓度值</w:t>
                  </w:r>
                </w:p>
              </w:tc>
              <w:tc>
                <w:tcPr>
                  <w:tcW w:w="546" w:type="dxa"/>
                  <w:vMerge w:val="continue"/>
                  <w:tcBorders>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p>
              </w:tc>
              <w:tc>
                <w:tcPr>
                  <w:tcW w:w="729" w:type="dxa"/>
                  <w:vMerge w:val="continue"/>
                  <w:tcBorders>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p>
              </w:tc>
              <w:tc>
                <w:tcPr>
                  <w:tcW w:w="723" w:type="dxa"/>
                  <w:vMerge w:val="continue"/>
                  <w:tcBorders>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p>
              </w:tc>
              <w:tc>
                <w:tcPr>
                  <w:tcW w:w="549" w:type="dxa"/>
                  <w:vMerge w:val="continue"/>
                  <w:tcBorders>
                    <w:left w:val="single" w:color="auto" w:sz="4" w:space="0"/>
                    <w:bottom w:val="single" w:color="auto" w:sz="4" w:space="0"/>
                    <w:right w:val="single" w:color="auto" w:sz="4" w:space="0"/>
                  </w:tcBorders>
                  <w:vAlign w:val="center"/>
                </w:tcPr>
                <w:p>
                  <w:pPr>
                    <w:pStyle w:val="41"/>
                    <w:spacing w:line="240" w:lineRule="auto"/>
                    <w:jc w:val="center"/>
                    <w:rPr>
                      <w:rFonts w:hint="eastAsia"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8002" w:type="dxa"/>
                  <w:gridSpan w:val="9"/>
                  <w:tcBorders>
                    <w:left w:val="single" w:color="auto" w:sz="4" w:space="0"/>
                    <w:right w:val="single" w:color="auto" w:sz="4" w:space="0"/>
                  </w:tcBorders>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注：</w:t>
                  </w:r>
                  <w:r>
                    <w:rPr>
                      <w:rFonts w:hint="eastAsia"/>
                      <w:color w:val="auto"/>
                      <w:szCs w:val="21"/>
                      <w:lang w:eastAsia="zh-CN"/>
                    </w:rPr>
                    <w:t>拟建项目单位产品</w:t>
                  </w:r>
                  <w:r>
                    <w:rPr>
                      <w:rFonts w:hint="eastAsia"/>
                      <w:color w:val="auto"/>
                      <w:szCs w:val="21"/>
                      <w:lang w:val="en-US" w:eastAsia="zh-CN"/>
                    </w:rPr>
                    <w:t>缠绕膜、吹膜产品的</w:t>
                  </w:r>
                  <w:r>
                    <w:rPr>
                      <w:rFonts w:hint="eastAsia"/>
                      <w:color w:val="auto"/>
                      <w:szCs w:val="21"/>
                      <w:lang w:eastAsia="zh-CN"/>
                    </w:rPr>
                    <w:t>非甲烷总烃</w:t>
                  </w:r>
                  <w:r>
                    <w:rPr>
                      <w:rFonts w:hint="eastAsia"/>
                      <w:color w:val="auto"/>
                      <w:szCs w:val="21"/>
                      <w:lang w:val="en-US" w:eastAsia="zh-CN"/>
                    </w:rPr>
                    <w:t>有组织</w:t>
                  </w:r>
                  <w:r>
                    <w:rPr>
                      <w:rFonts w:hint="eastAsia"/>
                      <w:color w:val="auto"/>
                      <w:szCs w:val="21"/>
                      <w:lang w:eastAsia="zh-CN"/>
                    </w:rPr>
                    <w:t>排放量为</w:t>
                  </w:r>
                  <w:r>
                    <w:rPr>
                      <w:rFonts w:hint="eastAsia"/>
                      <w:color w:val="auto"/>
                      <w:szCs w:val="21"/>
                      <w:lang w:val="en-US" w:eastAsia="zh-CN"/>
                    </w:rPr>
                    <w:t>0.28kg/t产品、0.134kg/t产品</w:t>
                  </w:r>
                  <w:r>
                    <w:rPr>
                      <w:rFonts w:hint="eastAsia"/>
                      <w:color w:val="auto"/>
                      <w:sz w:val="21"/>
                      <w:szCs w:val="21"/>
                      <w:lang w:eastAsia="zh-CN"/>
                    </w:rPr>
                    <w:t>，</w:t>
                  </w:r>
                  <w:r>
                    <w:rPr>
                      <w:rFonts w:hint="eastAsia"/>
                      <w:color w:val="auto"/>
                      <w:sz w:val="21"/>
                      <w:szCs w:val="21"/>
                      <w:lang w:val="en-US" w:eastAsia="zh-CN"/>
                    </w:rPr>
                    <w:t>满足《合成树脂工业污染物排放标准》（GB31572-2015）中“单位产品非甲烷总烃排放量0.3kg/t产品”限值要求。</w:t>
                  </w:r>
                </w:p>
              </w:tc>
            </w:tr>
          </w:tbl>
          <w:p>
            <w:pPr>
              <w:pStyle w:val="99"/>
              <w:spacing w:line="360" w:lineRule="auto"/>
              <w:ind w:firstLine="480" w:firstLine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color w:val="auto"/>
                <w:kern w:val="2"/>
                <w:sz w:val="24"/>
                <w:szCs w:val="24"/>
                <w:lang w:val="en-US" w:eastAsia="zh-CN" w:bidi="ar-SA"/>
              </w:rPr>
              <w:t>由上表可知，</w:t>
            </w:r>
            <w:r>
              <w:rPr>
                <w:rFonts w:ascii="Times New Roman" w:cs="Times New Roman"/>
                <w:color w:val="auto"/>
                <w:kern w:val="2"/>
                <w:lang w:val="en-GB"/>
              </w:rPr>
              <w:t>拟建项目营运期</w:t>
            </w:r>
            <w:r>
              <w:rPr>
                <w:rFonts w:hint="eastAsia" w:ascii="Times New Roman" w:cs="Times New Roman"/>
                <w:color w:val="auto"/>
                <w:kern w:val="2"/>
                <w:lang w:val="en-GB" w:eastAsia="zh-CN"/>
              </w:rPr>
              <w:t>经处理后排放</w:t>
            </w:r>
            <w:bookmarkStart w:id="2" w:name="_GoBack"/>
            <w:bookmarkEnd w:id="2"/>
            <w:r>
              <w:rPr>
                <w:rFonts w:ascii="Times New Roman" w:cs="Times New Roman"/>
                <w:color w:val="auto"/>
                <w:kern w:val="2"/>
                <w:lang w:val="en-GB"/>
              </w:rPr>
              <w:t>的</w:t>
            </w:r>
            <w:r>
              <w:rPr>
                <w:rFonts w:hint="eastAsia" w:ascii="Times New Roman" w:cs="Times New Roman"/>
                <w:color w:val="auto"/>
                <w:kern w:val="2"/>
                <w:lang w:val="en-GB" w:eastAsia="zh-CN"/>
              </w:rPr>
              <w:t>胶粘废气的非甲烷总烃满足</w:t>
            </w:r>
            <w:r>
              <w:rPr>
                <w:rFonts w:hint="eastAsia" w:ascii="Times New Roman" w:hAnsi="Times New Roman" w:cs="Times New Roman"/>
                <w:color w:val="auto"/>
                <w:sz w:val="24"/>
                <w:szCs w:val="24"/>
                <w:lang w:eastAsia="zh-CN"/>
              </w:rPr>
              <w:t>《涂料、油墨及胶粘剂工业大气污染物排放标准》（GB37824—2019）</w:t>
            </w:r>
            <w:r>
              <w:rPr>
                <w:rFonts w:hint="default" w:ascii="Times New Roman" w:hAnsi="Times New Roman" w:cs="Times New Roman"/>
                <w:bCs/>
                <w:color w:val="auto"/>
                <w:lang w:val="en-GB" w:eastAsia="zh-CN"/>
              </w:rPr>
              <w:t>中大气污染物特别排放限值</w:t>
            </w:r>
            <w:r>
              <w:rPr>
                <w:rFonts w:hint="eastAsia" w:ascii="Times New Roman" w:cs="Times New Roman"/>
                <w:color w:val="auto"/>
                <w:kern w:val="2"/>
                <w:lang w:val="en-GB" w:eastAsia="zh-CN"/>
              </w:rPr>
              <w:t>；流延废气、拌料废气、吹膜废气、制袋废气的颗粒物、非甲烷总烃</w:t>
            </w:r>
            <w:r>
              <w:rPr>
                <w:rFonts w:ascii="Times New Roman" w:cs="Times New Roman"/>
                <w:color w:val="auto"/>
                <w:kern w:val="2"/>
                <w:lang w:val="en-GB"/>
              </w:rPr>
              <w:t>满足《合成树脂工业污染物排放标准》（GB31572-2015）中的特别</w:t>
            </w:r>
            <w:r>
              <w:rPr>
                <w:rFonts w:ascii="Times New Roman" w:cs="Times New Roman"/>
                <w:color w:val="auto"/>
                <w:kern w:val="2"/>
              </w:rPr>
              <w:t>排放</w:t>
            </w:r>
            <w:r>
              <w:rPr>
                <w:rFonts w:ascii="Times New Roman" w:cs="Times New Roman"/>
                <w:color w:val="auto"/>
                <w:kern w:val="2"/>
                <w:lang w:val="en-GB"/>
              </w:rPr>
              <w:t>标准限值；厂房外非甲烷总烃满足</w:t>
            </w:r>
            <w:r>
              <w:rPr>
                <w:rFonts w:ascii="Times New Roman" w:cs="Times New Roman"/>
                <w:color w:val="auto"/>
                <w:kern w:val="2"/>
              </w:rPr>
              <w:t>《挥发性有机物无组织排放控制标准》（GB37822-2019）特别排放限值</w:t>
            </w:r>
            <w:r>
              <w:rPr>
                <w:rFonts w:hint="eastAsia" w:ascii="Times New Roman" w:cs="Times New Roman"/>
                <w:color w:val="auto"/>
                <w:kern w:val="2"/>
              </w:rPr>
              <w:t>；臭气浓度</w:t>
            </w:r>
            <w:r>
              <w:rPr>
                <w:rFonts w:hint="eastAsia" w:cs="Times New Roman"/>
                <w:color w:val="auto"/>
                <w:lang w:bidi="ar"/>
              </w:rPr>
              <w:t>、</w:t>
            </w:r>
            <w:r>
              <w:rPr>
                <w:rFonts w:ascii="Times New Roman" w:cs="Times New Roman"/>
                <w:color w:val="auto"/>
              </w:rPr>
              <w:t>H</w:t>
            </w:r>
            <w:r>
              <w:rPr>
                <w:rFonts w:ascii="Times New Roman" w:cs="Times New Roman"/>
                <w:color w:val="auto"/>
                <w:vertAlign w:val="subscript"/>
              </w:rPr>
              <w:t>2</w:t>
            </w:r>
            <w:r>
              <w:rPr>
                <w:rFonts w:ascii="Times New Roman" w:cs="Times New Roman"/>
                <w:color w:val="auto"/>
              </w:rPr>
              <w:t>S、NH</w:t>
            </w:r>
            <w:r>
              <w:rPr>
                <w:rFonts w:ascii="Times New Roman" w:cs="Times New Roman"/>
                <w:color w:val="auto"/>
                <w:vertAlign w:val="subscript"/>
              </w:rPr>
              <w:t>3</w:t>
            </w:r>
            <w:r>
              <w:rPr>
                <w:rFonts w:ascii="Times New Roman" w:cs="Times New Roman"/>
                <w:color w:val="auto"/>
              </w:rPr>
              <w:t>满足《恶臭污染物排放标准》（GB14554-93）相关标准要求</w:t>
            </w:r>
            <w:r>
              <w:rPr>
                <w:rFonts w:hint="eastAsia" w:ascii="Times New Roman" w:cs="Times New Roman"/>
                <w:color w:val="auto"/>
                <w:szCs w:val="22"/>
                <w:lang w:eastAsia="zh-CN"/>
              </w:rPr>
              <w:t>；食堂烹饪产生的油烟、非甲烷总烃满足</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餐饮业大气污染物排放标准</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（DB50/859-2018）</w:t>
            </w:r>
            <w:r>
              <w:rPr>
                <w:rFonts w:hint="eastAsia" w:ascii="Times New Roman" w:hAnsi="Times New Roman" w:eastAsia="宋体"/>
                <w:color w:val="auto"/>
                <w:sz w:val="24"/>
                <w:lang w:eastAsia="zh-CN"/>
              </w:rPr>
              <w:t>。</w:t>
            </w:r>
          </w:p>
          <w:p>
            <w:pPr>
              <w:keepNext w:val="0"/>
              <w:keepLines w:val="0"/>
              <w:widowControl/>
              <w:suppressLineNumbers w:val="0"/>
              <w:ind w:firstLine="482" w:firstLine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4.2.4大气排放口基本情况</w:t>
            </w:r>
          </w:p>
          <w:p>
            <w:pPr>
              <w:keepNext w:val="0"/>
              <w:keepLines w:val="0"/>
              <w:widowControl/>
              <w:suppressLineNumbers w:val="0"/>
              <w:ind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废气排放口基本情况见表4.2-</w:t>
            </w:r>
            <w:r>
              <w:rPr>
                <w:rFonts w:hint="default" w:ascii="Times New Roman" w:hAnsi="Times New Roman"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p>
          <w:p>
            <w:pPr>
              <w:keepNext w:val="0"/>
              <w:keepLines w:val="0"/>
              <w:widowControl/>
              <w:suppressLineNumbers w:val="0"/>
              <w:spacing w:line="240" w:lineRule="auto"/>
              <w:jc w:val="center"/>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表4.2-</w:t>
            </w:r>
            <w:r>
              <w:rPr>
                <w:rFonts w:hint="default" w:ascii="Times New Roman" w:hAnsi="Times New Roman" w:cs="Times New Roman"/>
                <w:color w:val="auto"/>
                <w:kern w:val="0"/>
                <w:sz w:val="24"/>
                <w:szCs w:val="24"/>
                <w:highlight w:val="none"/>
                <w:lang w:val="en-US" w:eastAsia="zh-CN" w:bidi="ar"/>
              </w:rPr>
              <w:t xml:space="preserve">5 </w:t>
            </w:r>
            <w:r>
              <w:rPr>
                <w:rFonts w:hint="default" w:ascii="Times New Roman" w:hAnsi="Times New Roman" w:eastAsia="宋体" w:cs="Times New Roman"/>
                <w:color w:val="auto"/>
                <w:kern w:val="0"/>
                <w:sz w:val="24"/>
                <w:szCs w:val="24"/>
                <w:highlight w:val="none"/>
                <w:lang w:val="en-US" w:eastAsia="zh-CN" w:bidi="ar"/>
              </w:rPr>
              <w:t>废气排放口基本情况一览表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731"/>
              <w:gridCol w:w="1365"/>
              <w:gridCol w:w="1232"/>
              <w:gridCol w:w="709"/>
              <w:gridCol w:w="634"/>
              <w:gridCol w:w="742"/>
              <w:gridCol w:w="648"/>
              <w:gridCol w:w="742"/>
              <w:gridCol w:w="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w:t>
                  </w:r>
                </w:p>
              </w:tc>
              <w:tc>
                <w:tcPr>
                  <w:tcW w:w="457"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排放口名称</w:t>
                  </w:r>
                </w:p>
              </w:tc>
              <w:tc>
                <w:tcPr>
                  <w:tcW w:w="1623" w:type="pct"/>
                  <w:gridSpan w:val="2"/>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排放口地理坐标</w:t>
                  </w:r>
                </w:p>
              </w:tc>
              <w:tc>
                <w:tcPr>
                  <w:tcW w:w="443"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排放口类型</w:t>
                  </w:r>
                </w:p>
              </w:tc>
              <w:tc>
                <w:tcPr>
                  <w:tcW w:w="39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排气筒高度（m）</w:t>
                  </w:r>
                </w:p>
              </w:tc>
              <w:tc>
                <w:tcPr>
                  <w:tcW w:w="46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排气筒内径（m）</w:t>
                  </w:r>
                </w:p>
              </w:tc>
              <w:tc>
                <w:tcPr>
                  <w:tcW w:w="405"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排气温度（℃）</w:t>
                  </w:r>
                </w:p>
              </w:tc>
              <w:tc>
                <w:tcPr>
                  <w:tcW w:w="464"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废气量</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346" w:type="pct"/>
                  <w:vMerge w:val="restar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出口流速（</w:t>
                  </w:r>
                  <w:r>
                    <w:rPr>
                      <w:rFonts w:hint="eastAsia" w:cs="Times New Roman"/>
                      <w:color w:val="auto"/>
                      <w:sz w:val="21"/>
                      <w:szCs w:val="21"/>
                      <w:highlight w:val="none"/>
                      <w:lang w:val="en-US" w:eastAsia="zh-CN"/>
                    </w:rPr>
                    <w:t>m/s</w:t>
                  </w:r>
                  <w:r>
                    <w:rPr>
                      <w:rFonts w:hint="eastAsia"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457"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5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76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443"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39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46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405"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464"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346" w:type="pct"/>
                  <w:vMerge w:val="continue"/>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8"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DA001</w:t>
                  </w:r>
                </w:p>
              </w:tc>
              <w:tc>
                <w:tcPr>
                  <w:tcW w:w="457"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胶粘</w:t>
                  </w:r>
                  <w:r>
                    <w:rPr>
                      <w:rFonts w:hint="eastAsia" w:ascii="Times New Roman" w:hAnsi="Times New Roman" w:cs="Times New Roman"/>
                      <w:color w:val="auto"/>
                      <w:sz w:val="21"/>
                      <w:szCs w:val="21"/>
                      <w:lang w:eastAsia="zh-CN"/>
                    </w:rPr>
                    <w:t>废气排气口</w:t>
                  </w:r>
                </w:p>
              </w:tc>
              <w:tc>
                <w:tcPr>
                  <w:tcW w:w="85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106°06′32.53</w:t>
                  </w:r>
                  <w:r>
                    <w:rPr>
                      <w:rFonts w:hint="eastAsia" w:cs="Times New Roman"/>
                      <w:color w:val="auto"/>
                      <w:sz w:val="21"/>
                      <w:szCs w:val="21"/>
                      <w:lang w:val="en-US" w:eastAsia="zh-CN"/>
                    </w:rPr>
                    <w:t>0</w:t>
                  </w:r>
                  <w:r>
                    <w:rPr>
                      <w:rFonts w:hint="default" w:ascii="Times New Roman" w:hAnsi="Times New Roman" w:cs="Times New Roman"/>
                      <w:color w:val="auto"/>
                      <w:sz w:val="21"/>
                      <w:szCs w:val="21"/>
                    </w:rPr>
                    <w:t xml:space="preserve">″ </w:t>
                  </w:r>
                </w:p>
              </w:tc>
              <w:tc>
                <w:tcPr>
                  <w:tcW w:w="76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29°51′26.66</w:t>
                  </w:r>
                  <w:r>
                    <w:rPr>
                      <w:rFonts w:hint="eastAsia" w:cs="Times New Roman"/>
                      <w:color w:val="auto"/>
                      <w:sz w:val="21"/>
                      <w:szCs w:val="21"/>
                      <w:lang w:val="en-US" w:eastAsia="zh-CN"/>
                    </w:rPr>
                    <w:t>0</w:t>
                  </w:r>
                  <w:r>
                    <w:rPr>
                      <w:rFonts w:hint="default" w:ascii="Times New Roman" w:hAnsi="Times New Roman" w:cs="Times New Roman"/>
                      <w:color w:val="auto"/>
                      <w:sz w:val="21"/>
                      <w:szCs w:val="21"/>
                    </w:rPr>
                    <w:t>″</w:t>
                  </w:r>
                </w:p>
              </w:tc>
              <w:tc>
                <w:tcPr>
                  <w:tcW w:w="443" w:type="pct"/>
                  <w:tcMar>
                    <w:top w:w="28" w:type="dxa"/>
                    <w:left w:w="28" w:type="dxa"/>
                    <w:bottom w:w="28" w:type="dxa"/>
                    <w:right w:w="28" w:type="dxa"/>
                  </w:tcMar>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一般排放口</w:t>
                  </w:r>
                </w:p>
              </w:tc>
              <w:tc>
                <w:tcPr>
                  <w:tcW w:w="39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405"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25</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p>
              </w:tc>
              <w:tc>
                <w:tcPr>
                  <w:tcW w:w="3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8"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2</w:t>
                  </w:r>
                </w:p>
              </w:tc>
              <w:tc>
                <w:tcPr>
                  <w:tcW w:w="457"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流延</w:t>
                  </w:r>
                  <w:r>
                    <w:rPr>
                      <w:rFonts w:hint="eastAsia" w:cs="Times New Roman"/>
                      <w:color w:val="auto"/>
                      <w:sz w:val="21"/>
                      <w:szCs w:val="21"/>
                      <w:lang w:eastAsia="zh-CN"/>
                    </w:rPr>
                    <w:t>、吹膜</w:t>
                  </w:r>
                  <w:r>
                    <w:rPr>
                      <w:rFonts w:hint="eastAsia" w:ascii="Times New Roman" w:hAnsi="Times New Roman" w:cs="Times New Roman"/>
                      <w:color w:val="auto"/>
                      <w:sz w:val="21"/>
                      <w:szCs w:val="21"/>
                      <w:lang w:eastAsia="zh-CN"/>
                    </w:rPr>
                    <w:t>废气排气口</w:t>
                  </w:r>
                </w:p>
              </w:tc>
              <w:tc>
                <w:tcPr>
                  <w:tcW w:w="85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106°06′32.33</w:t>
                  </w:r>
                  <w:r>
                    <w:rPr>
                      <w:rFonts w:hint="eastAsia" w:cs="Times New Roman"/>
                      <w:color w:val="auto"/>
                      <w:sz w:val="21"/>
                      <w:szCs w:val="21"/>
                      <w:lang w:val="en-US" w:eastAsia="zh-CN"/>
                    </w:rPr>
                    <w:t>0</w:t>
                  </w:r>
                  <w:r>
                    <w:rPr>
                      <w:rFonts w:hint="default" w:ascii="Times New Roman" w:hAnsi="Times New Roman" w:cs="Times New Roman"/>
                      <w:color w:val="auto"/>
                      <w:sz w:val="21"/>
                      <w:szCs w:val="21"/>
                    </w:rPr>
                    <w:t xml:space="preserve">″  </w:t>
                  </w:r>
                </w:p>
              </w:tc>
              <w:tc>
                <w:tcPr>
                  <w:tcW w:w="76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29°51′27.89</w:t>
                  </w:r>
                  <w:r>
                    <w:rPr>
                      <w:rFonts w:hint="eastAsia" w:cs="Times New Roman"/>
                      <w:color w:val="auto"/>
                      <w:sz w:val="21"/>
                      <w:szCs w:val="21"/>
                      <w:lang w:val="en-US" w:eastAsia="zh-CN"/>
                    </w:rPr>
                    <w:t>0</w:t>
                  </w:r>
                  <w:r>
                    <w:rPr>
                      <w:rFonts w:hint="default" w:ascii="Times New Roman" w:hAnsi="Times New Roman" w:cs="Times New Roman"/>
                      <w:color w:val="auto"/>
                      <w:sz w:val="21"/>
                      <w:szCs w:val="21"/>
                    </w:rPr>
                    <w:t>″</w:t>
                  </w:r>
                </w:p>
              </w:tc>
              <w:tc>
                <w:tcPr>
                  <w:tcW w:w="443" w:type="pct"/>
                  <w:tcMar>
                    <w:top w:w="28" w:type="dxa"/>
                    <w:left w:w="28" w:type="dxa"/>
                    <w:bottom w:w="28" w:type="dxa"/>
                    <w:right w:w="28" w:type="dxa"/>
                  </w:tcMar>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一般排放口</w:t>
                  </w:r>
                </w:p>
              </w:tc>
              <w:tc>
                <w:tcPr>
                  <w:tcW w:w="39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405"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25</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17200</w:t>
                  </w:r>
                </w:p>
              </w:tc>
              <w:tc>
                <w:tcPr>
                  <w:tcW w:w="3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8"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3</w:t>
                  </w:r>
                </w:p>
              </w:tc>
              <w:tc>
                <w:tcPr>
                  <w:tcW w:w="457"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危废间有机</w:t>
                  </w:r>
                  <w:r>
                    <w:rPr>
                      <w:rFonts w:hint="eastAsia" w:ascii="Times New Roman" w:hAnsi="Times New Roman" w:cs="Times New Roman"/>
                      <w:color w:val="auto"/>
                      <w:sz w:val="21"/>
                      <w:szCs w:val="21"/>
                      <w:lang w:eastAsia="zh-CN"/>
                    </w:rPr>
                    <w:t>废气排气筒</w:t>
                  </w:r>
                </w:p>
              </w:tc>
              <w:tc>
                <w:tcPr>
                  <w:tcW w:w="85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106°06′32.99</w:t>
                  </w:r>
                  <w:r>
                    <w:rPr>
                      <w:rFonts w:hint="eastAsia" w:cs="Times New Roman"/>
                      <w:color w:val="auto"/>
                      <w:sz w:val="21"/>
                      <w:szCs w:val="21"/>
                      <w:lang w:val="en-US" w:eastAsia="zh-CN"/>
                    </w:rPr>
                    <w:t>0</w:t>
                  </w:r>
                  <w:r>
                    <w:rPr>
                      <w:rFonts w:hint="default" w:ascii="Times New Roman" w:hAnsi="Times New Roman" w:cs="Times New Roman"/>
                      <w:color w:val="auto"/>
                      <w:sz w:val="21"/>
                      <w:szCs w:val="21"/>
                    </w:rPr>
                    <w:t>″</w:t>
                  </w:r>
                </w:p>
              </w:tc>
              <w:tc>
                <w:tcPr>
                  <w:tcW w:w="76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29°51′26.54</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p>
              </w:tc>
              <w:tc>
                <w:tcPr>
                  <w:tcW w:w="443" w:type="pct"/>
                  <w:tcMar>
                    <w:top w:w="28" w:type="dxa"/>
                    <w:left w:w="28" w:type="dxa"/>
                    <w:bottom w:w="28" w:type="dxa"/>
                    <w:right w:w="28" w:type="dxa"/>
                  </w:tcMar>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一般排放口</w:t>
                  </w:r>
                </w:p>
              </w:tc>
              <w:tc>
                <w:tcPr>
                  <w:tcW w:w="39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0.15</w:t>
                  </w:r>
                </w:p>
              </w:tc>
              <w:tc>
                <w:tcPr>
                  <w:tcW w:w="405"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25</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p>
              </w:tc>
              <w:tc>
                <w:tcPr>
                  <w:tcW w:w="3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8"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4</w:t>
                  </w:r>
                </w:p>
              </w:tc>
              <w:tc>
                <w:tcPr>
                  <w:tcW w:w="457" w:type="pct"/>
                  <w:tcMar>
                    <w:top w:w="28" w:type="dxa"/>
                    <w:left w:w="28" w:type="dxa"/>
                    <w:bottom w:w="28" w:type="dxa"/>
                    <w:right w:w="28" w:type="dxa"/>
                  </w:tcMar>
                  <w:vAlign w:val="center"/>
                </w:tcPr>
                <w:p>
                  <w:pPr>
                    <w:pStyle w:val="41"/>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食堂废气排气筒</w:t>
                  </w:r>
                </w:p>
              </w:tc>
              <w:tc>
                <w:tcPr>
                  <w:tcW w:w="85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106°06′32.74</w:t>
                  </w:r>
                  <w:r>
                    <w:rPr>
                      <w:rFonts w:hint="eastAsia" w:cs="Times New Roman"/>
                      <w:color w:val="auto"/>
                      <w:sz w:val="21"/>
                      <w:szCs w:val="21"/>
                      <w:lang w:val="en-US" w:eastAsia="zh-CN"/>
                    </w:rPr>
                    <w:t>0</w:t>
                  </w:r>
                  <w:r>
                    <w:rPr>
                      <w:rFonts w:hint="default" w:ascii="Times New Roman" w:hAnsi="Times New Roman" w:cs="Times New Roman"/>
                      <w:color w:val="auto"/>
                      <w:sz w:val="21"/>
                      <w:szCs w:val="21"/>
                    </w:rPr>
                    <w:t xml:space="preserve">″ </w:t>
                  </w:r>
                </w:p>
              </w:tc>
              <w:tc>
                <w:tcPr>
                  <w:tcW w:w="76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29°51′25.73</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p>
              </w:tc>
              <w:tc>
                <w:tcPr>
                  <w:tcW w:w="443" w:type="pct"/>
                  <w:tcMar>
                    <w:top w:w="28" w:type="dxa"/>
                    <w:left w:w="28" w:type="dxa"/>
                    <w:bottom w:w="28" w:type="dxa"/>
                    <w:right w:w="28" w:type="dxa"/>
                  </w:tcMar>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一般排放口</w:t>
                  </w:r>
                </w:p>
              </w:tc>
              <w:tc>
                <w:tcPr>
                  <w:tcW w:w="396"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0.35</w:t>
                  </w:r>
                </w:p>
              </w:tc>
              <w:tc>
                <w:tcPr>
                  <w:tcW w:w="405"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25</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6000</w:t>
                  </w:r>
                </w:p>
              </w:tc>
              <w:tc>
                <w:tcPr>
                  <w:tcW w:w="34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57"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面源</w:t>
                  </w:r>
                </w:p>
              </w:tc>
              <w:tc>
                <w:tcPr>
                  <w:tcW w:w="85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106°06′32.58</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 xml:space="preserve">″ </w:t>
                  </w:r>
                </w:p>
              </w:tc>
              <w:tc>
                <w:tcPr>
                  <w:tcW w:w="769"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29°51′27.57</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w:t>
                  </w:r>
                </w:p>
              </w:tc>
              <w:tc>
                <w:tcPr>
                  <w:tcW w:w="443"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96"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05" w:type="pct"/>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64" w:type="pct"/>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6" w:type="pct"/>
                  <w:tcMar>
                    <w:top w:w="28" w:type="dxa"/>
                    <w:left w:w="28" w:type="dxa"/>
                    <w:bottom w:w="28" w:type="dxa"/>
                    <w:right w:w="28" w:type="dxa"/>
                  </w:tcMar>
                  <w:vAlign w:val="center"/>
                </w:tcPr>
                <w:p>
                  <w:pPr>
                    <w:pStyle w:val="41"/>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keepNext w:val="0"/>
              <w:keepLines w:val="0"/>
              <w:widowControl/>
              <w:suppressLineNumbers w:val="0"/>
              <w:ind w:firstLine="482"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4.2.</w:t>
            </w:r>
            <w:r>
              <w:rPr>
                <w:rFonts w:hint="default" w:ascii="Times New Roman" w:hAnsi="Times New Roman" w:cs="Times New Roman"/>
                <w:b/>
                <w:bCs/>
                <w:color w:val="auto"/>
                <w:kern w:val="0"/>
                <w:sz w:val="24"/>
                <w:szCs w:val="24"/>
                <w:lang w:val="en-US" w:eastAsia="zh-CN" w:bidi="ar"/>
              </w:rPr>
              <w:t>5监测计划</w:t>
            </w:r>
            <w:r>
              <w:rPr>
                <w:rFonts w:hint="default" w:ascii="Times New Roman" w:hAnsi="Times New Roman" w:eastAsia="宋体" w:cs="Times New Roman"/>
                <w:b/>
                <w:bCs/>
                <w:color w:val="auto"/>
                <w:kern w:val="0"/>
                <w:sz w:val="24"/>
                <w:szCs w:val="24"/>
                <w:lang w:val="en-US" w:eastAsia="zh-CN" w:bidi="ar"/>
              </w:rPr>
              <w:t xml:space="preserve"> </w:t>
            </w:r>
          </w:p>
          <w:p>
            <w:pPr>
              <w:pStyle w:val="104"/>
              <w:ind w:firstLine="48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根据《固定污染源排污许可分类管理名录》（2019年版），项目属于</w:t>
            </w:r>
            <w:r>
              <w:rPr>
                <w:rFonts w:hint="eastAsia" w:cs="Times New Roman"/>
                <w:color w:val="auto"/>
                <w:sz w:val="24"/>
                <w:szCs w:val="24"/>
                <w:lang w:eastAsia="zh-CN"/>
              </w:rPr>
              <w:t>“二十四、橡胶和塑料制品业</w:t>
            </w:r>
            <w:r>
              <w:rPr>
                <w:rFonts w:hint="eastAsia" w:cs="Times New Roman"/>
                <w:color w:val="auto"/>
                <w:sz w:val="24"/>
                <w:szCs w:val="24"/>
                <w:lang w:val="en-US" w:eastAsia="zh-CN"/>
              </w:rPr>
              <w:t xml:space="preserve"> 62.塑料制品业292</w:t>
            </w:r>
            <w:r>
              <w:rPr>
                <w:rFonts w:hint="eastAsia" w:cs="Times New Roman"/>
                <w:color w:val="auto"/>
                <w:sz w:val="24"/>
                <w:szCs w:val="24"/>
                <w:lang w:eastAsia="zh-CN"/>
              </w:rPr>
              <w:t>”</w:t>
            </w:r>
            <w:r>
              <w:rPr>
                <w:rFonts w:hint="default" w:ascii="Times New Roman" w:hAnsi="Times New Roman" w:cs="Times New Roman"/>
                <w:color w:val="auto"/>
                <w:sz w:val="24"/>
                <w:szCs w:val="24"/>
              </w:rPr>
              <w:t>中</w:t>
            </w:r>
            <w:r>
              <w:rPr>
                <w:rFonts w:hint="eastAsia" w:cs="Times New Roman"/>
                <w:color w:val="auto"/>
                <w:sz w:val="24"/>
                <w:szCs w:val="24"/>
                <w:lang w:eastAsia="zh-CN"/>
              </w:rPr>
              <w:t>“年产1万吨及以上涉及改性的塑料薄膜制造2921，塑料丝、绳和编织品制造2923，塑料零件及其他塑料制品制造2929”</w:t>
            </w:r>
            <w:r>
              <w:rPr>
                <w:rFonts w:hint="default" w:ascii="Times New Roman" w:hAnsi="Times New Roman" w:cs="Times New Roman"/>
                <w:color w:val="auto"/>
                <w:sz w:val="24"/>
                <w:szCs w:val="24"/>
              </w:rPr>
              <w:t>，实行排污简化管理。需要申请取得排污许可证，应当在全国排污许可证管理信息平台申报排污许可证</w:t>
            </w:r>
            <w:r>
              <w:rPr>
                <w:rFonts w:hint="eastAsia" w:cs="Times New Roman"/>
                <w:color w:val="auto"/>
                <w:sz w:val="24"/>
                <w:szCs w:val="24"/>
                <w:lang w:eastAsia="zh-CN"/>
              </w:rPr>
              <w:t>。</w:t>
            </w:r>
          </w:p>
          <w:p>
            <w:pPr>
              <w:pStyle w:val="104"/>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家标准《环境保护图形标志》（GB15562.1-1995）排放口（源）、《环境保护图形标志》（GB15562.2-1995）固体废物贮存（处置）场和国家环保总局《排污口规范化整治要求(试行)》及《重庆市环境保护局关于印发重庆市排污口规范化清理整治实施方案的通知》（渝环发〔2012〕26号）的技术要求，建设单位所有排放口必须按照“便于采样、便于计量监测、便于日常现场监督检查”的原则和规范化要求，设置排污口标志牌，绘制建设单位排污口布置图。</w:t>
            </w:r>
          </w:p>
          <w:p>
            <w:pPr>
              <w:pStyle w:val="104"/>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废气排放口设置要求如下：</w:t>
            </w:r>
          </w:p>
          <w:p>
            <w:pPr>
              <w:pStyle w:val="104"/>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①所有废气排气筒应修建采样平台，设置监测采样口，采样口的设置应符合《污染源技术规范》要求；采样口必须设置常备电源。</w:t>
            </w:r>
          </w:p>
          <w:p>
            <w:pPr>
              <w:keepNext w:val="0"/>
              <w:keepLines w:val="0"/>
              <w:widowControl/>
              <w:suppressLineNumbers w:val="0"/>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②排气筒应设置、注明以下内容：标准编号、污染源名称及型号；排放高度、出口直径；排气量、最大允许排放浓度；排放大气污染物的名称、排放强度（kg/h）和最大允许排放量。按照建设项目环境保护管理有关规定，需要对本项目营运期的废气污染源和周围环境进行定期监测，以了解环境保护治理设施的运行情况，为拟定正确的环境保护计划提供依据。</w:t>
            </w:r>
          </w:p>
          <w:p>
            <w:pPr>
              <w:keepNext w:val="0"/>
              <w:keepLines w:val="0"/>
              <w:widowControl/>
              <w:suppressLineNumbers w:val="0"/>
              <w:ind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rPr>
              <w:t>根据《排污单位自行监测技术指南 橡胶和塑料制品工业》（HJ 1207-2021）</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rPr>
              <w:t>《排污单位自行监测技术指南 总则》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HJ819-2017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w:t>
            </w:r>
            <w:r>
              <w:rPr>
                <w:rFonts w:hint="default" w:ascii="Times New Roman" w:hAnsi="Times New Roman" w:eastAsia="宋体" w:cs="Times New Roman"/>
                <w:color w:val="auto"/>
                <w:kern w:val="0"/>
                <w:sz w:val="24"/>
                <w:szCs w:val="24"/>
                <w:lang w:val="en-US" w:eastAsia="zh-CN" w:bidi="ar"/>
              </w:rPr>
              <w:t>，废气监测计划如下。</w:t>
            </w:r>
          </w:p>
          <w:p>
            <w:pPr>
              <w:pStyle w:val="36"/>
              <w:spacing w:line="240" w:lineRule="auto"/>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表</w:t>
            </w:r>
            <w:r>
              <w:rPr>
                <w:rFonts w:hint="default" w:ascii="Times New Roman" w:hAnsi="Times New Roman" w:cs="Times New Roman"/>
                <w:color w:val="auto"/>
                <w:sz w:val="24"/>
                <w:szCs w:val="24"/>
              </w:rPr>
              <w:t>4.2-</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 xml:space="preserve"> 拟建项目废气监测点位、指标及最低监测频次</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991"/>
              <w:gridCol w:w="1535"/>
              <w:gridCol w:w="260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生产单元</w:t>
                  </w:r>
                </w:p>
              </w:tc>
              <w:tc>
                <w:tcPr>
                  <w:tcW w:w="619"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959"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监测指标</w:t>
                  </w:r>
                </w:p>
              </w:tc>
              <w:tc>
                <w:tcPr>
                  <w:tcW w:w="1630"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c>
                <w:tcPr>
                  <w:tcW w:w="964"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826"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卷管（胶粘）</w:t>
                  </w:r>
                </w:p>
              </w:tc>
              <w:tc>
                <w:tcPr>
                  <w:tcW w:w="619"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DA</w:t>
                  </w:r>
                  <w:r>
                    <w:rPr>
                      <w:rFonts w:hint="default" w:ascii="Times New Roman" w:hAnsi="Times New Roman" w:cs="Times New Roman"/>
                      <w:color w:val="auto"/>
                      <w:sz w:val="21"/>
                      <w:szCs w:val="21"/>
                    </w:rPr>
                    <w:t>001排气筒进、出口</w:t>
                  </w:r>
                </w:p>
              </w:tc>
              <w:tc>
                <w:tcPr>
                  <w:tcW w:w="95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废气量、非甲烷总烃、臭气浓度</w:t>
                  </w:r>
                </w:p>
              </w:tc>
              <w:tc>
                <w:tcPr>
                  <w:tcW w:w="1630"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《涂料、油墨及胶粘剂工业大气污染物排放标准》（GB37824—2019）</w:t>
                  </w:r>
                  <w:r>
                    <w:rPr>
                      <w:rFonts w:hint="eastAsia" w:cs="Times New Roman"/>
                      <w:color w:val="auto"/>
                      <w:sz w:val="21"/>
                      <w:szCs w:val="21"/>
                      <w:lang w:eastAsia="zh-CN"/>
                    </w:rPr>
                    <w:t>；臭气浓度执行《恶臭污染物排放标准》（GB14554-93）</w:t>
                  </w:r>
                </w:p>
              </w:tc>
              <w:tc>
                <w:tcPr>
                  <w:tcW w:w="964"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验收时监测1次，以后</w:t>
                  </w:r>
                  <w:r>
                    <w:rPr>
                      <w:rFonts w:hint="eastAsia" w:cs="Times New Roman"/>
                      <w:color w:val="auto"/>
                      <w:sz w:val="21"/>
                      <w:szCs w:val="21"/>
                      <w:lang w:eastAsia="zh-CN"/>
                    </w:rPr>
                    <w:t>半</w:t>
                  </w:r>
                  <w:r>
                    <w:rPr>
                      <w:rFonts w:hint="default" w:ascii="Times New Roman" w:hAnsi="Times New Roman" w:cs="Times New Roman"/>
                      <w:color w:val="auto"/>
                      <w:sz w:val="21"/>
                      <w:szCs w:val="21"/>
                    </w:rPr>
                    <w:t>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82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流延、吹膜</w:t>
                  </w:r>
                </w:p>
              </w:tc>
              <w:tc>
                <w:tcPr>
                  <w:tcW w:w="619" w:type="pc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DA</w:t>
                  </w: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02</w:t>
                  </w:r>
                  <w:r>
                    <w:rPr>
                      <w:rFonts w:hint="default" w:ascii="Times New Roman" w:hAnsi="Times New Roman" w:cs="Times New Roman"/>
                      <w:color w:val="auto"/>
                      <w:sz w:val="21"/>
                      <w:szCs w:val="21"/>
                    </w:rPr>
                    <w:t>排气筒进、出口</w:t>
                  </w:r>
                </w:p>
              </w:tc>
              <w:tc>
                <w:tcPr>
                  <w:tcW w:w="95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废气量、非甲烷总烃、臭气浓度</w:t>
                  </w:r>
                </w:p>
              </w:tc>
              <w:tc>
                <w:tcPr>
                  <w:tcW w:w="1630" w:type="pct"/>
                  <w:vMerge w:val="restart"/>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非甲烷总烃执行</w:t>
                  </w:r>
                  <w:r>
                    <w:rPr>
                      <w:rFonts w:hint="default" w:ascii="Times New Roman" w:hAnsi="Times New Roman" w:cs="Times New Roman"/>
                      <w:color w:val="auto"/>
                      <w:sz w:val="21"/>
                      <w:szCs w:val="21"/>
                    </w:rPr>
                    <w:t>《合成树脂工业污染物排放标准》（GB31572-2015）</w:t>
                  </w:r>
                  <w:r>
                    <w:rPr>
                      <w:rFonts w:hint="eastAsia" w:cs="Times New Roman"/>
                      <w:color w:val="auto"/>
                      <w:sz w:val="21"/>
                      <w:szCs w:val="21"/>
                      <w:lang w:eastAsia="zh-CN"/>
                    </w:rPr>
                    <w:t>；臭气浓度执行《恶臭污染物排放标准》（GB14554-93）</w:t>
                  </w:r>
                </w:p>
              </w:tc>
              <w:tc>
                <w:tcPr>
                  <w:tcW w:w="964" w:type="pct"/>
                  <w:vMerge w:val="restart"/>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非甲烷总烃</w:t>
                  </w:r>
                  <w:r>
                    <w:rPr>
                      <w:rFonts w:hint="default" w:ascii="Times New Roman" w:hAnsi="Times New Roman" w:cs="Times New Roman"/>
                      <w:color w:val="auto"/>
                      <w:sz w:val="21"/>
                      <w:szCs w:val="21"/>
                    </w:rPr>
                    <w:t>验收时监测1次，以后</w:t>
                  </w:r>
                  <w:r>
                    <w:rPr>
                      <w:rFonts w:hint="eastAsia" w:ascii="Times New Roman" w:hAnsi="Times New Roman" w:cs="Times New Roman"/>
                      <w:color w:val="auto"/>
                      <w:sz w:val="21"/>
                      <w:szCs w:val="21"/>
                      <w:lang w:eastAsia="zh-CN"/>
                    </w:rPr>
                    <w:t>半</w:t>
                  </w:r>
                  <w:r>
                    <w:rPr>
                      <w:rFonts w:hint="default" w:ascii="Times New Roman" w:hAnsi="Times New Roman" w:cs="Times New Roman"/>
                      <w:color w:val="auto"/>
                      <w:sz w:val="21"/>
                      <w:szCs w:val="21"/>
                    </w:rPr>
                    <w:t>年/1次</w:t>
                  </w:r>
                  <w:r>
                    <w:rPr>
                      <w:rFonts w:hint="eastAsia" w:ascii="Times New Roman" w:hAnsi="Times New Roman" w:cs="Times New Roman"/>
                      <w:color w:val="auto"/>
                      <w:sz w:val="21"/>
                      <w:szCs w:val="21"/>
                      <w:lang w:eastAsia="zh-CN"/>
                    </w:rPr>
                    <w:t>；臭气浓度验收时</w:t>
                  </w:r>
                  <w:r>
                    <w:rPr>
                      <w:rFonts w:hint="default" w:ascii="Times New Roman" w:hAnsi="Times New Roman" w:cs="Times New Roman"/>
                      <w:color w:val="auto"/>
                      <w:sz w:val="21"/>
                      <w:szCs w:val="21"/>
                    </w:rPr>
                    <w:t>监测1次，以后</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危废间</w:t>
                  </w:r>
                </w:p>
              </w:tc>
              <w:tc>
                <w:tcPr>
                  <w:tcW w:w="619" w:type="pc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DA</w:t>
                  </w: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排气筒进、出口</w:t>
                  </w:r>
                </w:p>
              </w:tc>
              <w:tc>
                <w:tcPr>
                  <w:tcW w:w="959"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废气量、非甲烷总烃</w:t>
                  </w:r>
                </w:p>
              </w:tc>
              <w:tc>
                <w:tcPr>
                  <w:tcW w:w="1630" w:type="pct"/>
                  <w:vMerge w:val="continue"/>
                  <w:vAlign w:val="center"/>
                </w:tcPr>
                <w:p>
                  <w:pPr>
                    <w:spacing w:line="240" w:lineRule="auto"/>
                    <w:jc w:val="center"/>
                    <w:rPr>
                      <w:rFonts w:hint="default" w:ascii="Times New Roman" w:hAnsi="Times New Roman" w:cs="Times New Roman"/>
                      <w:color w:val="auto"/>
                      <w:sz w:val="21"/>
                      <w:szCs w:val="21"/>
                    </w:rPr>
                  </w:pPr>
                </w:p>
              </w:tc>
              <w:tc>
                <w:tcPr>
                  <w:tcW w:w="964" w:type="pct"/>
                  <w:vMerge w:val="continue"/>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restar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食堂</w:t>
                  </w:r>
                </w:p>
              </w:tc>
              <w:tc>
                <w:tcPr>
                  <w:tcW w:w="619" w:type="pct"/>
                  <w:vMerge w:val="restart"/>
                  <w:vAlign w:val="center"/>
                </w:tcPr>
                <w:p>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DA</w:t>
                  </w: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排气筒进、出口</w:t>
                  </w:r>
                </w:p>
              </w:tc>
              <w:tc>
                <w:tcPr>
                  <w:tcW w:w="95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废气量、油烟</w:t>
                  </w:r>
                </w:p>
              </w:tc>
              <w:tc>
                <w:tcPr>
                  <w:tcW w:w="1630" w:type="pct"/>
                  <w:vMerge w:val="restar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《餐饮业大气污染物排放标准》（DB50/859-2018）</w:t>
                  </w:r>
                </w:p>
              </w:tc>
              <w:tc>
                <w:tcPr>
                  <w:tcW w:w="964" w:type="pct"/>
                  <w:vMerge w:val="restart"/>
                  <w:vAlign w:val="center"/>
                </w:tcPr>
                <w:p>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验收时</w:t>
                  </w:r>
                  <w:r>
                    <w:rPr>
                      <w:rFonts w:hint="default" w:ascii="Times New Roman" w:hAnsi="Times New Roman" w:cs="Times New Roman"/>
                      <w:color w:val="auto"/>
                      <w:sz w:val="21"/>
                      <w:szCs w:val="21"/>
                    </w:rPr>
                    <w:t>监测1次，以后</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vAlign w:val="center"/>
                </w:tcPr>
                <w:p>
                  <w:pPr>
                    <w:spacing w:line="240" w:lineRule="auto"/>
                    <w:jc w:val="center"/>
                    <w:rPr>
                      <w:rFonts w:hint="default" w:ascii="Times New Roman" w:hAnsi="Times New Roman" w:cs="Times New Roman"/>
                      <w:color w:val="auto"/>
                      <w:sz w:val="21"/>
                      <w:szCs w:val="21"/>
                      <w:lang w:val="en-US" w:eastAsia="zh-CN"/>
                    </w:rPr>
                  </w:pPr>
                </w:p>
              </w:tc>
              <w:tc>
                <w:tcPr>
                  <w:tcW w:w="619" w:type="pct"/>
                  <w:vMerge w:val="continue"/>
                  <w:vAlign w:val="center"/>
                </w:tcPr>
                <w:p>
                  <w:pPr>
                    <w:spacing w:line="240" w:lineRule="auto"/>
                    <w:jc w:val="center"/>
                    <w:rPr>
                      <w:rFonts w:hint="default" w:ascii="Times New Roman" w:hAnsi="Times New Roman" w:cs="Times New Roman"/>
                      <w:color w:val="auto"/>
                      <w:sz w:val="21"/>
                      <w:szCs w:val="21"/>
                      <w:lang w:eastAsia="zh-CN"/>
                    </w:rPr>
                  </w:pPr>
                </w:p>
              </w:tc>
              <w:tc>
                <w:tcPr>
                  <w:tcW w:w="95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非甲烷总烃</w:t>
                  </w:r>
                </w:p>
              </w:tc>
              <w:tc>
                <w:tcPr>
                  <w:tcW w:w="1630" w:type="pct"/>
                  <w:vMerge w:val="continue"/>
                  <w:vAlign w:val="center"/>
                </w:tcPr>
                <w:p>
                  <w:pPr>
                    <w:spacing w:line="240" w:lineRule="auto"/>
                    <w:jc w:val="center"/>
                    <w:rPr>
                      <w:rFonts w:hint="default" w:ascii="Times New Roman" w:hAnsi="Times New Roman" w:cs="Times New Roman"/>
                      <w:color w:val="auto"/>
                      <w:sz w:val="21"/>
                      <w:szCs w:val="21"/>
                    </w:rPr>
                  </w:pPr>
                </w:p>
              </w:tc>
              <w:tc>
                <w:tcPr>
                  <w:tcW w:w="964" w:type="pct"/>
                  <w:vMerge w:val="continue"/>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26" w:type="pct"/>
                  <w:vMerge w:val="restart"/>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拟建项目运营期</w:t>
                  </w:r>
                </w:p>
              </w:tc>
              <w:tc>
                <w:tcPr>
                  <w:tcW w:w="619" w:type="pct"/>
                  <w:vMerge w:val="restart"/>
                  <w:vAlign w:val="center"/>
                </w:tcPr>
                <w:p>
                  <w:pPr>
                    <w:pStyle w:val="90"/>
                    <w:spacing w:line="240" w:lineRule="auto"/>
                    <w:ind w:firstLine="0" w:firstLineChars="0"/>
                    <w:jc w:val="center"/>
                    <w:rPr>
                      <w:rFonts w:hint="eastAsia"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rPr>
                    <w:t>厂界外下风向</w:t>
                  </w:r>
                  <w:r>
                    <w:rPr>
                      <w:rFonts w:hint="eastAsia" w:cs="Times New Roman"/>
                      <w:b w:val="0"/>
                      <w:bCs w:val="0"/>
                      <w:color w:val="auto"/>
                      <w:sz w:val="21"/>
                      <w:szCs w:val="21"/>
                      <w:lang w:eastAsia="zh-CN"/>
                    </w:rPr>
                    <w:t>无组织（最高浓度点）</w:t>
                  </w:r>
                </w:p>
              </w:tc>
              <w:tc>
                <w:tcPr>
                  <w:tcW w:w="959" w:type="pct"/>
                  <w:vAlign w:val="center"/>
                </w:tcPr>
                <w:p>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颗粒物、</w:t>
                  </w:r>
                  <w:r>
                    <w:rPr>
                      <w:rFonts w:hint="default" w:ascii="Times New Roman" w:hAnsi="Times New Roman" w:cs="Times New Roman"/>
                      <w:color w:val="auto"/>
                      <w:sz w:val="21"/>
                      <w:szCs w:val="21"/>
                    </w:rPr>
                    <w:t>非甲烷总烃</w:t>
                  </w:r>
                </w:p>
              </w:tc>
              <w:tc>
                <w:tcPr>
                  <w:tcW w:w="1630"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《合成树脂工业污染物排放标准》（GB31572-2015）</w:t>
                  </w:r>
                </w:p>
              </w:tc>
              <w:tc>
                <w:tcPr>
                  <w:tcW w:w="964" w:type="pct"/>
                  <w:vMerge w:val="restar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验收时监测1次，以后1年/1次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vAlign w:val="center"/>
                </w:tcPr>
                <w:p>
                  <w:pPr>
                    <w:spacing w:line="240" w:lineRule="auto"/>
                    <w:jc w:val="center"/>
                    <w:rPr>
                      <w:rFonts w:hint="default" w:ascii="Times New Roman" w:hAnsi="Times New Roman" w:cs="Times New Roman"/>
                      <w:color w:val="auto"/>
                      <w:sz w:val="21"/>
                      <w:szCs w:val="21"/>
                    </w:rPr>
                  </w:pPr>
                </w:p>
              </w:tc>
              <w:tc>
                <w:tcPr>
                  <w:tcW w:w="619" w:type="pct"/>
                  <w:vMerge w:val="continue"/>
                  <w:vAlign w:val="center"/>
                </w:tcPr>
                <w:p>
                  <w:pPr>
                    <w:pStyle w:val="90"/>
                    <w:spacing w:line="240" w:lineRule="auto"/>
                    <w:ind w:firstLine="0" w:firstLineChars="0"/>
                    <w:jc w:val="center"/>
                    <w:rPr>
                      <w:rFonts w:hint="default" w:ascii="Times New Roman" w:hAnsi="Times New Roman" w:cs="Times New Roman"/>
                      <w:b w:val="0"/>
                      <w:bCs w:val="0"/>
                      <w:color w:val="auto"/>
                      <w:sz w:val="21"/>
                      <w:szCs w:val="21"/>
                    </w:rPr>
                  </w:pPr>
                </w:p>
              </w:tc>
              <w:tc>
                <w:tcPr>
                  <w:tcW w:w="959"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臭气浓度</w:t>
                  </w:r>
                  <w:r>
                    <w:rPr>
                      <w:rFonts w:hint="eastAsia" w:cs="Times New Roman"/>
                      <w:color w:val="auto"/>
                      <w:sz w:val="21"/>
                      <w:szCs w:val="21"/>
                      <w:lang w:bidi="ar"/>
                    </w:rPr>
                    <w:t>、</w:t>
                  </w:r>
                  <w:r>
                    <w:rPr>
                      <w:rFonts w:ascii="Times New Roman" w:cs="Times New Roman"/>
                      <w:color w:val="auto"/>
                      <w:sz w:val="21"/>
                      <w:szCs w:val="21"/>
                    </w:rPr>
                    <w:t>H</w:t>
                  </w:r>
                  <w:r>
                    <w:rPr>
                      <w:rFonts w:ascii="Times New Roman" w:cs="Times New Roman"/>
                      <w:color w:val="auto"/>
                      <w:sz w:val="21"/>
                      <w:szCs w:val="21"/>
                      <w:vertAlign w:val="subscript"/>
                    </w:rPr>
                    <w:t>2</w:t>
                  </w:r>
                  <w:r>
                    <w:rPr>
                      <w:rFonts w:ascii="Times New Roman" w:cs="Times New Roman"/>
                      <w:color w:val="auto"/>
                      <w:sz w:val="21"/>
                      <w:szCs w:val="21"/>
                    </w:rPr>
                    <w:t>S、NH</w:t>
                  </w:r>
                  <w:r>
                    <w:rPr>
                      <w:rFonts w:ascii="Times New Roman" w:cs="Times New Roman"/>
                      <w:color w:val="auto"/>
                      <w:sz w:val="21"/>
                      <w:szCs w:val="21"/>
                      <w:vertAlign w:val="subscript"/>
                    </w:rPr>
                    <w:t>3</w:t>
                  </w:r>
                </w:p>
              </w:tc>
              <w:tc>
                <w:tcPr>
                  <w:tcW w:w="1630"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《恶臭污染物排放标准》（GB14554-93）相关标准</w:t>
                  </w:r>
                </w:p>
              </w:tc>
              <w:tc>
                <w:tcPr>
                  <w:tcW w:w="964" w:type="pct"/>
                  <w:vMerge w:val="continue"/>
                  <w:vAlign w:val="center"/>
                </w:tcPr>
                <w:p>
                  <w:pPr>
                    <w:spacing w:line="240" w:lineRule="auto"/>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pct"/>
                  <w:vMerge w:val="continue"/>
                  <w:vAlign w:val="center"/>
                </w:tcPr>
                <w:p>
                  <w:pPr>
                    <w:spacing w:line="240" w:lineRule="auto"/>
                    <w:jc w:val="center"/>
                    <w:rPr>
                      <w:rFonts w:hint="default" w:ascii="Times New Roman" w:hAnsi="Times New Roman" w:cs="Times New Roman"/>
                      <w:color w:val="auto"/>
                      <w:sz w:val="21"/>
                      <w:szCs w:val="21"/>
                    </w:rPr>
                  </w:pPr>
                </w:p>
              </w:tc>
              <w:tc>
                <w:tcPr>
                  <w:tcW w:w="619" w:type="pct"/>
                  <w:vAlign w:val="center"/>
                </w:tcPr>
                <w:p>
                  <w:pPr>
                    <w:pStyle w:val="90"/>
                    <w:spacing w:line="240" w:lineRule="auto"/>
                    <w:ind w:firstLine="0" w:firstLineChars="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厂房外无组织（最高浓度点）</w:t>
                  </w:r>
                </w:p>
              </w:tc>
              <w:tc>
                <w:tcPr>
                  <w:tcW w:w="959" w:type="pct"/>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1630"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《挥发性有机物无组织排放控制标准》（GB37822-2019）</w:t>
                  </w:r>
                </w:p>
              </w:tc>
              <w:tc>
                <w:tcPr>
                  <w:tcW w:w="964" w:type="pc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验收时监测1次，以后1年/1次</w:t>
                  </w:r>
                </w:p>
              </w:tc>
            </w:tr>
          </w:tbl>
          <w:p>
            <w:pPr>
              <w:pStyle w:val="104"/>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4.2.6大气环境影响分析结论 </w:t>
            </w:r>
          </w:p>
          <w:p>
            <w:pPr>
              <w:pStyle w:val="104"/>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（1）环境质量现状</w:t>
            </w:r>
          </w:p>
          <w:p>
            <w:pPr>
              <w:pStyle w:val="104"/>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eastAsia="zh-CN"/>
              </w:rPr>
              <w:t>《2021年重庆市生态环境状况公报》</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铜梁</w:t>
            </w:r>
            <w:r>
              <w:rPr>
                <w:rFonts w:hint="default" w:ascii="Times New Roman" w:hAnsi="Times New Roman" w:cs="Times New Roman"/>
                <w:color w:val="auto"/>
                <w:sz w:val="24"/>
                <w:szCs w:val="24"/>
              </w:rPr>
              <w:t>区SO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、CO、PM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满足《环境空气质量标准》（GB3095-2012）中二级标准， 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年均浓度超标，区域属于不达标区，采取铜梁区已发布《铜梁区环境空气质量限期达标规划（2017-2025年）》方案后，可改善区域环境质量达标情况。</w:t>
            </w:r>
          </w:p>
          <w:p>
            <w:pPr>
              <w:pStyle w:val="104"/>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（2）自然环境概况及环境敏感保护目标调查</w:t>
            </w:r>
          </w:p>
          <w:p>
            <w:pPr>
              <w:pStyle w:val="104"/>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拟建项目位于</w:t>
            </w:r>
            <w:r>
              <w:rPr>
                <w:rFonts w:hint="default" w:ascii="Times New Roman" w:hAnsi="Times New Roman" w:cs="Times New Roman"/>
                <w:color w:val="auto"/>
                <w:sz w:val="24"/>
                <w:szCs w:val="24"/>
                <w:lang w:val="en-US" w:eastAsia="zh-CN"/>
              </w:rPr>
              <w:t>重庆市铜梁区铜合大道523号</w:t>
            </w:r>
            <w:r>
              <w:rPr>
                <w:rFonts w:hint="default" w:ascii="Times New Roman" w:hAnsi="Times New Roman" w:cs="Times New Roman"/>
                <w:color w:val="auto"/>
                <w:sz w:val="24"/>
                <w:szCs w:val="24"/>
              </w:rPr>
              <w:t>，项目厂界外</w:t>
            </w:r>
            <w:r>
              <w:rPr>
                <w:rFonts w:hint="eastAsia"/>
                <w:color w:val="auto"/>
                <w:kern w:val="0"/>
                <w:highlight w:val="none"/>
                <w:lang w:val="en-US" w:eastAsia="zh-CN"/>
              </w:rPr>
              <w:t>50</w:t>
            </w:r>
            <w:r>
              <w:rPr>
                <w:rFonts w:hint="eastAsia" w:ascii="Times New Roman" w:hAnsi="Times New Roman" w:cs="Times New Roman"/>
                <w:color w:val="auto"/>
                <w:lang w:val="en-US" w:eastAsia="zh-CN"/>
              </w:rPr>
              <w:t>0m范围内无</w:t>
            </w:r>
            <w:r>
              <w:rPr>
                <w:rFonts w:hint="eastAsia" w:cs="Times New Roman"/>
                <w:color w:val="auto"/>
                <w:lang w:val="en-US" w:eastAsia="zh-CN"/>
              </w:rPr>
              <w:t>环境</w:t>
            </w:r>
            <w:r>
              <w:rPr>
                <w:rFonts w:hint="eastAsia" w:ascii="Times New Roman" w:hAnsi="Times New Roman" w:cs="Times New Roman"/>
                <w:color w:val="auto"/>
                <w:lang w:val="en-US" w:eastAsia="zh-CN"/>
              </w:rPr>
              <w:t>敏感点分布</w:t>
            </w:r>
            <w:r>
              <w:rPr>
                <w:rFonts w:hint="default" w:ascii="Times New Roman" w:hAnsi="Times New Roman" w:cs="Times New Roman"/>
                <w:color w:val="auto"/>
                <w:sz w:val="24"/>
                <w:szCs w:val="24"/>
              </w:rPr>
              <w:t>。除此外无其他珍稀动植物、饮用水源保护区、自然保护区、风景名胜区等环境保护目标。</w:t>
            </w:r>
          </w:p>
          <w:p>
            <w:pPr>
              <w:pStyle w:val="104"/>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（3）环境保护措施及环境影响</w:t>
            </w:r>
          </w:p>
          <w:p>
            <w:pPr>
              <w:pStyle w:val="104"/>
              <w:ind w:firstLine="480"/>
              <w:rPr>
                <w:rFonts w:hint="default" w:ascii="Times New Roman" w:hAnsi="Times New Roman" w:eastAsia="宋体" w:cs="Times New Roman"/>
                <w:b/>
                <w:snapToGrid w:val="0"/>
                <w:color w:val="auto"/>
                <w:sz w:val="24"/>
                <w:szCs w:val="24"/>
                <w:lang w:val="en-US" w:eastAsia="zh-CN"/>
              </w:rPr>
            </w:pPr>
            <w:r>
              <w:rPr>
                <w:rFonts w:hint="default" w:ascii="Times New Roman" w:hAnsi="Times New Roman" w:cs="Times New Roman"/>
                <w:color w:val="auto"/>
                <w:sz w:val="24"/>
                <w:szCs w:val="24"/>
              </w:rPr>
              <w:t>拟建项目严格按照评价提出的环保措施实施后，废气可实现达标排放，不会对区域环境空气质量产生明显影响</w:t>
            </w:r>
            <w:r>
              <w:rPr>
                <w:rFonts w:hint="default" w:ascii="Times New Roman" w:hAnsi="Times New Roman" w:cs="Times New Roman"/>
                <w:color w:val="auto"/>
                <w:sz w:val="24"/>
                <w:szCs w:val="24"/>
                <w:lang w:eastAsia="zh-CN"/>
              </w:rPr>
              <w:t>。</w:t>
            </w:r>
          </w:p>
          <w:p>
            <w:pPr>
              <w:pStyle w:val="99"/>
              <w:spacing w:line="360" w:lineRule="auto"/>
              <w:rPr>
                <w:rFonts w:hint="default" w:ascii="Times New Roman" w:hAnsi="Times New Roman" w:cs="Times New Roman"/>
                <w:b/>
                <w:snapToGrid w:val="0"/>
                <w:color w:val="auto"/>
                <w:sz w:val="24"/>
                <w:szCs w:val="24"/>
              </w:rPr>
            </w:pPr>
            <w:r>
              <w:rPr>
                <w:rFonts w:hint="default" w:ascii="Times New Roman" w:hAnsi="Times New Roman" w:cs="Times New Roman"/>
                <w:b/>
                <w:snapToGrid w:val="0"/>
                <w:color w:val="auto"/>
                <w:sz w:val="24"/>
                <w:szCs w:val="24"/>
                <w:lang w:val="en-US" w:eastAsia="zh-CN"/>
              </w:rPr>
              <w:t>4.3废</w:t>
            </w:r>
            <w:r>
              <w:rPr>
                <w:rFonts w:hint="default" w:ascii="Times New Roman" w:hAnsi="Times New Roman" w:cs="Times New Roman"/>
                <w:b/>
                <w:snapToGrid w:val="0"/>
                <w:color w:val="auto"/>
                <w:sz w:val="24"/>
                <w:szCs w:val="24"/>
              </w:rPr>
              <w:t>水环境影响分析及治理措施</w:t>
            </w:r>
          </w:p>
          <w:p>
            <w:pPr>
              <w:widowControl/>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拟建目冷却水循环使用，每半年排放一次；</w:t>
            </w:r>
            <w:r>
              <w:rPr>
                <w:rFonts w:hint="eastAsia"/>
                <w:color w:val="auto"/>
                <w:sz w:val="24"/>
                <w:szCs w:val="24"/>
                <w:lang w:eastAsia="zh-CN"/>
              </w:rPr>
              <w:t>项目食堂废水、地面清洁废水经自建隔油池处理后与生活污水、冷却循环废水</w:t>
            </w:r>
            <w:r>
              <w:rPr>
                <w:rFonts w:hint="eastAsia"/>
                <w:color w:val="auto"/>
                <w:sz w:val="24"/>
                <w:szCs w:val="24"/>
              </w:rPr>
              <w:t>一同</w:t>
            </w:r>
            <w:r>
              <w:rPr>
                <w:rFonts w:hint="eastAsia"/>
                <w:color w:val="auto"/>
                <w:sz w:val="24"/>
                <w:szCs w:val="24"/>
                <w:lang w:eastAsia="zh-CN"/>
              </w:rPr>
              <w:t>通过</w:t>
            </w:r>
            <w:r>
              <w:rPr>
                <w:rFonts w:hint="eastAsia"/>
                <w:color w:val="auto"/>
                <w:sz w:val="24"/>
                <w:szCs w:val="24"/>
              </w:rPr>
              <w:t>生化池处理达到《污水综合排放标准》（GB8978-1996）三级标准</w:t>
            </w:r>
            <w:r>
              <w:rPr>
                <w:rFonts w:hint="eastAsia"/>
                <w:color w:val="auto"/>
                <w:sz w:val="24"/>
                <w:szCs w:val="24"/>
                <w:lang w:eastAsia="zh-CN"/>
              </w:rPr>
              <w:t>（</w:t>
            </w:r>
            <w:r>
              <w:rPr>
                <w:rFonts w:hint="eastAsia"/>
                <w:color w:val="auto"/>
                <w:sz w:val="24"/>
                <w:szCs w:val="24"/>
                <w:lang w:val="en-US" w:eastAsia="zh-CN"/>
              </w:rPr>
              <w:t>氨氮、TP、TN参照污水排入城镇下水道水质标准》（GB/T31962-2015）B级标准）</w:t>
            </w:r>
            <w:r>
              <w:rPr>
                <w:rFonts w:hint="eastAsia"/>
                <w:color w:val="auto"/>
                <w:sz w:val="24"/>
                <w:szCs w:val="24"/>
              </w:rPr>
              <w:t>后</w:t>
            </w:r>
            <w:r>
              <w:rPr>
                <w:rFonts w:hint="default" w:ascii="Times New Roman" w:hAnsi="Times New Roman" w:eastAsia="宋体" w:cs="Times New Roman"/>
                <w:color w:val="auto"/>
                <w:sz w:val="24"/>
                <w:szCs w:val="24"/>
              </w:rPr>
              <w:t>，经市政污水管网进入</w:t>
            </w:r>
            <w:r>
              <w:rPr>
                <w:rFonts w:hint="eastAsia" w:cs="Times New Roman"/>
                <w:color w:val="auto"/>
                <w:sz w:val="24"/>
                <w:szCs w:val="24"/>
                <w:lang w:eastAsia="zh-CN"/>
              </w:rPr>
              <w:t>东城污水处理厂</w:t>
            </w:r>
            <w:r>
              <w:rPr>
                <w:rFonts w:hint="default" w:ascii="Times New Roman" w:hAnsi="Times New Roman" w:eastAsia="宋体" w:cs="Times New Roman"/>
                <w:color w:val="auto"/>
                <w:sz w:val="24"/>
                <w:szCs w:val="24"/>
              </w:rPr>
              <w:t>处理达到《城镇污水处理厂污染物排放标准》(GB18918-2002)</w:t>
            </w:r>
            <w:r>
              <w:rPr>
                <w:rFonts w:hint="eastAsia" w:cs="Times New Roman"/>
                <w:color w:val="auto"/>
                <w:sz w:val="24"/>
                <w:szCs w:val="24"/>
                <w:lang w:eastAsia="zh-CN"/>
              </w:rPr>
              <w:t>一级B</w:t>
            </w:r>
            <w:r>
              <w:rPr>
                <w:rFonts w:hint="default" w:ascii="Times New Roman" w:hAnsi="Times New Roman" w:eastAsia="宋体" w:cs="Times New Roman"/>
                <w:color w:val="auto"/>
                <w:sz w:val="24"/>
                <w:szCs w:val="24"/>
              </w:rPr>
              <w:t>标准后排入建</w:t>
            </w:r>
            <w:r>
              <w:rPr>
                <w:rFonts w:hint="eastAsia" w:cs="Times New Roman"/>
                <w:color w:val="auto"/>
                <w:sz w:val="24"/>
                <w:szCs w:val="24"/>
                <w:lang w:eastAsia="zh-CN"/>
              </w:rPr>
              <w:t>淮远河</w:t>
            </w:r>
            <w:r>
              <w:rPr>
                <w:rFonts w:hint="default" w:ascii="Times New Roman" w:hAnsi="Times New Roman" w:eastAsia="宋体" w:cs="Times New Roman"/>
                <w:color w:val="auto"/>
                <w:sz w:val="24"/>
                <w:szCs w:val="24"/>
              </w:rPr>
              <w:t>。</w:t>
            </w:r>
          </w:p>
          <w:p>
            <w:pPr>
              <w:widowControl/>
              <w:ind w:firstLine="480"/>
              <w:rPr>
                <w:rFonts w:hint="default" w:ascii="Times New Roman" w:hAnsi="Times New Roman" w:eastAsia="宋体" w:cs="Times New Roman"/>
                <w:color w:val="auto"/>
                <w:sz w:val="24"/>
                <w:szCs w:val="24"/>
                <w:lang w:val="en-US" w:eastAsia="zh-CN"/>
              </w:rPr>
            </w:pPr>
            <w:r>
              <w:rPr>
                <w:rFonts w:hint="eastAsia"/>
                <w:color w:val="auto"/>
              </w:rPr>
              <w:t>拟建项目废水污染物包括pH、COD、BOD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-N、TP、TN</w:t>
            </w:r>
            <w:r>
              <w:rPr>
                <w:rFonts w:hint="eastAsia"/>
                <w:color w:val="auto"/>
                <w:lang w:eastAsia="zh-CN"/>
              </w:rPr>
              <w:t>、石油类、动植物油、</w:t>
            </w:r>
            <w:r>
              <w:rPr>
                <w:rFonts w:hint="eastAsia"/>
                <w:color w:val="auto"/>
                <w:lang w:val="en-US" w:eastAsia="zh-CN"/>
              </w:rPr>
              <w:t>LAS</w:t>
            </w:r>
            <w:r>
              <w:rPr>
                <w:rFonts w:hint="default" w:ascii="Times New Roman" w:hAnsi="Times New Roman" w:cs="Times New Roman"/>
                <w:color w:val="auto"/>
                <w:sz w:val="24"/>
                <w:szCs w:val="24"/>
                <w:lang w:val="en-US" w:eastAsia="zh-CN"/>
              </w:rPr>
              <w:t>。</w:t>
            </w:r>
          </w:p>
          <w:p>
            <w:pPr>
              <w:pStyle w:val="99"/>
              <w:spacing w:line="360" w:lineRule="auto"/>
              <w:ind w:firstLine="482" w:firstLineChars="200"/>
              <w:jc w:val="both"/>
              <w:rPr>
                <w:rFonts w:hint="default" w:ascii="Times New Roman" w:hAnsi="Times New Roman" w:cs="Times New Roman"/>
                <w:b/>
                <w:snapToGrid w:val="0"/>
                <w:color w:val="auto"/>
                <w:sz w:val="24"/>
                <w:szCs w:val="24"/>
              </w:rPr>
            </w:pPr>
            <w:r>
              <w:rPr>
                <w:rFonts w:hint="default" w:ascii="Times New Roman" w:hAnsi="Times New Roman" w:cs="Times New Roman"/>
                <w:b/>
                <w:snapToGrid w:val="0"/>
                <w:color w:val="auto"/>
                <w:sz w:val="24"/>
                <w:szCs w:val="24"/>
              </w:rPr>
              <w:t xml:space="preserve">4.3.1废水排放源强 </w:t>
            </w:r>
          </w:p>
          <w:p>
            <w:pPr>
              <w:pStyle w:val="99"/>
              <w:spacing w:line="360" w:lineRule="auto"/>
              <w:ind w:firstLine="480" w:firstLineChars="200"/>
              <w:jc w:val="both"/>
              <w:rPr>
                <w:rFonts w:hint="default" w:ascii="Times New Roman" w:hAnsi="Times New Roman" w:cs="Times New Roman"/>
                <w:bCs/>
                <w:snapToGrid w:val="0"/>
                <w:color w:val="auto"/>
                <w:sz w:val="24"/>
                <w:szCs w:val="24"/>
              </w:rPr>
            </w:pPr>
            <w:r>
              <w:rPr>
                <w:rFonts w:hint="default" w:ascii="Times New Roman" w:hAnsi="Times New Roman" w:cs="Times New Roman"/>
                <w:bCs/>
                <w:snapToGrid w:val="0"/>
                <w:color w:val="auto"/>
                <w:sz w:val="24"/>
                <w:szCs w:val="24"/>
              </w:rPr>
              <w:t>拟建项目废水污染物排放情况见表4.3-1。</w:t>
            </w:r>
          </w:p>
          <w:p>
            <w:pPr>
              <w:pStyle w:val="99"/>
              <w:jc w:val="center"/>
              <w:rPr>
                <w:rFonts w:hint="default" w:ascii="Times New Roman" w:hAnsi="Times New Roman" w:cs="Times New Roman"/>
                <w:bCs/>
                <w:snapToGrid w:val="0"/>
                <w:color w:val="auto"/>
                <w:sz w:val="24"/>
                <w:szCs w:val="24"/>
              </w:rPr>
            </w:pPr>
            <w:r>
              <w:rPr>
                <w:rFonts w:hint="default" w:ascii="Times New Roman" w:hAnsi="Times New Roman" w:cs="Times New Roman"/>
                <w:bCs/>
                <w:snapToGrid w:val="0"/>
                <w:color w:val="auto"/>
                <w:sz w:val="24"/>
                <w:szCs w:val="24"/>
              </w:rPr>
              <w:t>表4.3-1  废水污染物排放情况表</w:t>
            </w:r>
          </w:p>
          <w:tbl>
            <w:tblPr>
              <w:tblStyle w:val="25"/>
              <w:tblW w:w="500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4"/>
              <w:gridCol w:w="948"/>
              <w:gridCol w:w="905"/>
              <w:gridCol w:w="986"/>
              <w:gridCol w:w="884"/>
              <w:gridCol w:w="980"/>
              <w:gridCol w:w="721"/>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939" w:type="pct"/>
                  <w:vMerge w:val="restart"/>
                  <w:vAlign w:val="center"/>
                </w:tcPr>
                <w:p>
                  <w:pPr>
                    <w:pStyle w:val="41"/>
                    <w:spacing w:line="240" w:lineRule="auto"/>
                    <w:jc w:val="center"/>
                    <w:rPr>
                      <w:color w:val="auto"/>
                    </w:rPr>
                  </w:pPr>
                  <w:r>
                    <w:rPr>
                      <w:color w:val="auto"/>
                    </w:rPr>
                    <w:t>名称</w:t>
                  </w:r>
                </w:p>
              </w:tc>
              <w:tc>
                <w:tcPr>
                  <w:tcW w:w="592" w:type="pct"/>
                  <w:vMerge w:val="restart"/>
                  <w:tcBorders>
                    <w:right w:val="single" w:color="000000" w:sz="2" w:space="0"/>
                  </w:tcBorders>
                  <w:vAlign w:val="center"/>
                </w:tcPr>
                <w:p>
                  <w:pPr>
                    <w:pStyle w:val="41"/>
                    <w:spacing w:line="240" w:lineRule="auto"/>
                    <w:jc w:val="center"/>
                    <w:rPr>
                      <w:color w:val="auto"/>
                    </w:rPr>
                  </w:pPr>
                  <w:r>
                    <w:rPr>
                      <w:color w:val="auto"/>
                    </w:rPr>
                    <w:t>污染物</w:t>
                  </w:r>
                </w:p>
              </w:tc>
              <w:tc>
                <w:tcPr>
                  <w:tcW w:w="1181" w:type="pct"/>
                  <w:gridSpan w:val="2"/>
                  <w:tcBorders>
                    <w:left w:val="single" w:color="000000" w:sz="2" w:space="0"/>
                  </w:tcBorders>
                  <w:vAlign w:val="center"/>
                </w:tcPr>
                <w:p>
                  <w:pPr>
                    <w:pStyle w:val="41"/>
                    <w:spacing w:line="240" w:lineRule="auto"/>
                    <w:jc w:val="center"/>
                    <w:rPr>
                      <w:color w:val="auto"/>
                    </w:rPr>
                  </w:pPr>
                  <w:r>
                    <w:rPr>
                      <w:color w:val="auto"/>
                    </w:rPr>
                    <w:t>治理前</w:t>
                  </w:r>
                </w:p>
              </w:tc>
              <w:tc>
                <w:tcPr>
                  <w:tcW w:w="1164" w:type="pct"/>
                  <w:gridSpan w:val="2"/>
                  <w:vAlign w:val="center"/>
                </w:tcPr>
                <w:p>
                  <w:pPr>
                    <w:pStyle w:val="41"/>
                    <w:spacing w:line="240" w:lineRule="auto"/>
                    <w:jc w:val="center"/>
                    <w:rPr>
                      <w:color w:val="auto"/>
                    </w:rPr>
                  </w:pPr>
                  <w:r>
                    <w:rPr>
                      <w:color w:val="auto"/>
                    </w:rPr>
                    <w:t>生化池处理后</w:t>
                  </w:r>
                </w:p>
              </w:tc>
              <w:tc>
                <w:tcPr>
                  <w:tcW w:w="1122" w:type="pct"/>
                  <w:gridSpan w:val="2"/>
                  <w:vAlign w:val="center"/>
                </w:tcPr>
                <w:p>
                  <w:pPr>
                    <w:pStyle w:val="41"/>
                    <w:spacing w:line="240" w:lineRule="auto"/>
                    <w:jc w:val="center"/>
                    <w:rPr>
                      <w:color w:val="auto"/>
                    </w:rPr>
                  </w:pPr>
                  <w:r>
                    <w:rPr>
                      <w:color w:val="auto"/>
                    </w:rPr>
                    <w:t>排入环境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tcBorders>
                    <w:top w:val="nil"/>
                  </w:tcBorders>
                  <w:vAlign w:val="center"/>
                </w:tcPr>
                <w:p>
                  <w:pPr>
                    <w:pStyle w:val="41"/>
                    <w:spacing w:line="240" w:lineRule="auto"/>
                    <w:jc w:val="center"/>
                    <w:rPr>
                      <w:color w:val="auto"/>
                    </w:rPr>
                  </w:pPr>
                </w:p>
              </w:tc>
              <w:tc>
                <w:tcPr>
                  <w:tcW w:w="592" w:type="pct"/>
                  <w:vMerge w:val="continue"/>
                  <w:tcBorders>
                    <w:top w:val="nil"/>
                    <w:right w:val="single" w:color="000000" w:sz="2" w:space="0"/>
                  </w:tcBorders>
                  <w:vAlign w:val="center"/>
                </w:tcPr>
                <w:p>
                  <w:pPr>
                    <w:pStyle w:val="41"/>
                    <w:spacing w:line="240" w:lineRule="auto"/>
                    <w:jc w:val="center"/>
                    <w:rPr>
                      <w:color w:val="auto"/>
                    </w:rPr>
                  </w:pPr>
                </w:p>
              </w:tc>
              <w:tc>
                <w:tcPr>
                  <w:tcW w:w="565" w:type="pct"/>
                  <w:tcBorders>
                    <w:left w:val="single" w:color="000000" w:sz="2" w:space="0"/>
                  </w:tcBorders>
                  <w:vAlign w:val="center"/>
                </w:tcPr>
                <w:p>
                  <w:pPr>
                    <w:pStyle w:val="41"/>
                    <w:spacing w:line="240" w:lineRule="auto"/>
                    <w:jc w:val="center"/>
                    <w:rPr>
                      <w:color w:val="auto"/>
                    </w:rPr>
                  </w:pPr>
                  <w:r>
                    <w:rPr>
                      <w:color w:val="auto"/>
                    </w:rPr>
                    <w:t>产生浓度</w:t>
                  </w:r>
                </w:p>
                <w:p>
                  <w:pPr>
                    <w:pStyle w:val="41"/>
                    <w:spacing w:line="240" w:lineRule="auto"/>
                    <w:jc w:val="center"/>
                    <w:rPr>
                      <w:color w:val="auto"/>
                    </w:rPr>
                  </w:pPr>
                  <w:r>
                    <w:rPr>
                      <w:color w:val="auto"/>
                    </w:rPr>
                    <w:t>mg/L</w:t>
                  </w:r>
                </w:p>
              </w:tc>
              <w:tc>
                <w:tcPr>
                  <w:tcW w:w="615" w:type="pct"/>
                  <w:vAlign w:val="center"/>
                </w:tcPr>
                <w:p>
                  <w:pPr>
                    <w:pStyle w:val="41"/>
                    <w:spacing w:line="240" w:lineRule="auto"/>
                    <w:jc w:val="center"/>
                    <w:rPr>
                      <w:color w:val="auto"/>
                    </w:rPr>
                  </w:pPr>
                  <w:r>
                    <w:rPr>
                      <w:color w:val="auto"/>
                    </w:rPr>
                    <w:t>产生量</w:t>
                  </w:r>
                </w:p>
                <w:p>
                  <w:pPr>
                    <w:pStyle w:val="41"/>
                    <w:spacing w:line="240" w:lineRule="auto"/>
                    <w:jc w:val="center"/>
                    <w:rPr>
                      <w:color w:val="auto"/>
                    </w:rPr>
                  </w:pPr>
                  <w:r>
                    <w:rPr>
                      <w:color w:val="auto"/>
                    </w:rPr>
                    <w:t>t/a</w:t>
                  </w:r>
                </w:p>
              </w:tc>
              <w:tc>
                <w:tcPr>
                  <w:tcW w:w="552" w:type="pct"/>
                  <w:vAlign w:val="center"/>
                </w:tcPr>
                <w:p>
                  <w:pPr>
                    <w:pStyle w:val="41"/>
                    <w:spacing w:line="240" w:lineRule="auto"/>
                    <w:jc w:val="center"/>
                    <w:rPr>
                      <w:color w:val="auto"/>
                    </w:rPr>
                  </w:pPr>
                  <w:r>
                    <w:rPr>
                      <w:color w:val="auto"/>
                    </w:rPr>
                    <w:t>排放浓</w:t>
                  </w:r>
                </w:p>
                <w:p>
                  <w:pPr>
                    <w:pStyle w:val="41"/>
                    <w:spacing w:line="240" w:lineRule="auto"/>
                    <w:jc w:val="center"/>
                    <w:rPr>
                      <w:color w:val="auto"/>
                    </w:rPr>
                  </w:pPr>
                  <w:r>
                    <w:rPr>
                      <w:color w:val="auto"/>
                    </w:rPr>
                    <w:t>度mg/L</w:t>
                  </w:r>
                </w:p>
              </w:tc>
              <w:tc>
                <w:tcPr>
                  <w:tcW w:w="612" w:type="pct"/>
                  <w:vAlign w:val="center"/>
                </w:tcPr>
                <w:p>
                  <w:pPr>
                    <w:pStyle w:val="41"/>
                    <w:spacing w:line="240" w:lineRule="auto"/>
                    <w:jc w:val="center"/>
                    <w:rPr>
                      <w:color w:val="auto"/>
                    </w:rPr>
                  </w:pPr>
                  <w:r>
                    <w:rPr>
                      <w:color w:val="auto"/>
                    </w:rPr>
                    <w:t>排放量</w:t>
                  </w:r>
                </w:p>
                <w:p>
                  <w:pPr>
                    <w:pStyle w:val="41"/>
                    <w:spacing w:line="240" w:lineRule="auto"/>
                    <w:jc w:val="center"/>
                    <w:rPr>
                      <w:color w:val="auto"/>
                    </w:rPr>
                  </w:pPr>
                  <w:r>
                    <w:rPr>
                      <w:color w:val="auto"/>
                    </w:rPr>
                    <w:t>t/a</w:t>
                  </w:r>
                </w:p>
              </w:tc>
              <w:tc>
                <w:tcPr>
                  <w:tcW w:w="450" w:type="pct"/>
                  <w:vAlign w:val="center"/>
                </w:tcPr>
                <w:p>
                  <w:pPr>
                    <w:pStyle w:val="41"/>
                    <w:spacing w:line="240" w:lineRule="auto"/>
                    <w:jc w:val="center"/>
                    <w:rPr>
                      <w:color w:val="auto"/>
                    </w:rPr>
                  </w:pPr>
                  <w:r>
                    <w:rPr>
                      <w:color w:val="auto"/>
                    </w:rPr>
                    <w:t>排放浓</w:t>
                  </w:r>
                </w:p>
                <w:p>
                  <w:pPr>
                    <w:pStyle w:val="41"/>
                    <w:spacing w:line="240" w:lineRule="auto"/>
                    <w:jc w:val="center"/>
                    <w:rPr>
                      <w:color w:val="auto"/>
                    </w:rPr>
                  </w:pPr>
                  <w:r>
                    <w:rPr>
                      <w:color w:val="auto"/>
                    </w:rPr>
                    <w:t>度mg/L</w:t>
                  </w:r>
                </w:p>
              </w:tc>
              <w:tc>
                <w:tcPr>
                  <w:tcW w:w="672" w:type="pct"/>
                  <w:vAlign w:val="center"/>
                </w:tcPr>
                <w:p>
                  <w:pPr>
                    <w:pStyle w:val="41"/>
                    <w:spacing w:line="240" w:lineRule="auto"/>
                    <w:jc w:val="center"/>
                    <w:rPr>
                      <w:color w:val="auto"/>
                    </w:rPr>
                  </w:pPr>
                  <w:r>
                    <w:rPr>
                      <w:color w:val="auto"/>
                    </w:rPr>
                    <w:t>排放量</w:t>
                  </w:r>
                </w:p>
                <w:p>
                  <w:pPr>
                    <w:pStyle w:val="41"/>
                    <w:spacing w:line="240" w:lineRule="auto"/>
                    <w:jc w:val="center"/>
                    <w:rPr>
                      <w:color w:val="auto"/>
                    </w:rPr>
                  </w:pPr>
                  <w:r>
                    <w:rPr>
                      <w:color w:val="auto"/>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939" w:type="pct"/>
                  <w:vMerge w:val="restart"/>
                  <w:tcBorders>
                    <w:top w:val="nil"/>
                  </w:tcBorders>
                  <w:vAlign w:val="center"/>
                </w:tcPr>
                <w:p>
                  <w:pPr>
                    <w:pStyle w:val="41"/>
                    <w:spacing w:line="240" w:lineRule="auto"/>
                    <w:jc w:val="center"/>
                    <w:rPr>
                      <w:color w:val="auto"/>
                    </w:rPr>
                  </w:pPr>
                  <w:r>
                    <w:rPr>
                      <w:rFonts w:hint="eastAsia"/>
                      <w:color w:val="auto"/>
                      <w:lang w:val="en-US" w:eastAsia="zh-CN"/>
                    </w:rPr>
                    <w:t>地面清洁废水285</w:t>
                  </w:r>
                  <w:r>
                    <w:rPr>
                      <w:rFonts w:hint="eastAsia"/>
                      <w:color w:val="auto"/>
                    </w:rPr>
                    <w:t>m</w:t>
                  </w:r>
                  <w:r>
                    <w:rPr>
                      <w:rFonts w:hint="eastAsia"/>
                      <w:color w:val="auto"/>
                      <w:vertAlign w:val="superscript"/>
                    </w:rPr>
                    <w:t>3</w:t>
                  </w:r>
                  <w:r>
                    <w:rPr>
                      <w:rFonts w:hint="eastAsia"/>
                      <w:color w:val="auto"/>
                    </w:rPr>
                    <w:t>/a</w:t>
                  </w:r>
                </w:p>
              </w:tc>
              <w:tc>
                <w:tcPr>
                  <w:tcW w:w="592" w:type="pct"/>
                  <w:tcBorders>
                    <w:top w:val="nil"/>
                    <w:right w:val="single" w:color="000000" w:sz="2" w:space="0"/>
                  </w:tcBorders>
                  <w:vAlign w:val="center"/>
                </w:tcPr>
                <w:p>
                  <w:pPr>
                    <w:pStyle w:val="41"/>
                    <w:spacing w:line="240" w:lineRule="auto"/>
                    <w:jc w:val="center"/>
                    <w:rPr>
                      <w:color w:val="auto"/>
                    </w:rPr>
                  </w:pPr>
                  <w:r>
                    <w:rPr>
                      <w:rFonts w:hint="eastAsia"/>
                      <w:color w:val="auto"/>
                    </w:rPr>
                    <w:t>pH</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6~8</w:t>
                  </w:r>
                </w:p>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无量纲</w:t>
                  </w:r>
                </w:p>
              </w:tc>
              <w:tc>
                <w:tcPr>
                  <w:tcW w:w="615"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color w:val="auto"/>
                    </w:rPr>
                  </w:pPr>
                  <w:r>
                    <w:rPr>
                      <w:color w:val="auto"/>
                    </w:rPr>
                    <w:t>COD</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55</w:t>
                  </w:r>
                  <w:r>
                    <w:rPr>
                      <w:rFonts w:hint="eastAsia" w:ascii="Times New Roman" w:hAnsi="Times New Roman" w:eastAsia="宋体" w:cs="Times New Roman"/>
                      <w:color w:val="auto"/>
                    </w:rPr>
                    <w:t>0</w:t>
                  </w:r>
                </w:p>
              </w:tc>
              <w:tc>
                <w:tcPr>
                  <w:tcW w:w="615"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0157</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color w:val="auto"/>
                    </w:rPr>
                  </w:pPr>
                  <w:r>
                    <w:rPr>
                      <w:color w:val="auto"/>
                    </w:rPr>
                    <w:t>SS</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5</w:t>
                  </w:r>
                  <w:r>
                    <w:rPr>
                      <w:rFonts w:hint="eastAsia" w:ascii="Times New Roman" w:hAnsi="Times New Roman" w:eastAsia="宋体" w:cs="Times New Roman"/>
                      <w:color w:val="auto"/>
                      <w:lang w:val="en-US" w:eastAsia="zh-CN"/>
                    </w:rPr>
                    <w:t>0</w:t>
                  </w:r>
                  <w:r>
                    <w:rPr>
                      <w:rFonts w:hint="eastAsia" w:ascii="Times New Roman" w:hAnsi="Times New Roman" w:eastAsia="宋体" w:cs="Times New Roman"/>
                      <w:color w:val="auto"/>
                    </w:rPr>
                    <w:t>0</w:t>
                  </w:r>
                </w:p>
              </w:tc>
              <w:tc>
                <w:tcPr>
                  <w:tcW w:w="615"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0.143</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rFonts w:hint="eastAsia" w:eastAsia="宋体"/>
                      <w:color w:val="auto"/>
                      <w:lang w:eastAsia="zh-CN"/>
                    </w:rPr>
                  </w:pPr>
                  <w:r>
                    <w:rPr>
                      <w:rFonts w:hint="eastAsia"/>
                      <w:color w:val="auto"/>
                      <w:lang w:eastAsia="zh-CN"/>
                    </w:rPr>
                    <w:t>石油类</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w:t>
                  </w:r>
                </w:p>
              </w:tc>
              <w:tc>
                <w:tcPr>
                  <w:tcW w:w="615"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0.010</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rFonts w:hint="default"/>
                      <w:color w:val="auto"/>
                      <w:lang w:val="en-US" w:eastAsia="zh-CN"/>
                    </w:rPr>
                  </w:pPr>
                  <w:r>
                    <w:rPr>
                      <w:rFonts w:hint="eastAsia"/>
                      <w:color w:val="auto"/>
                      <w:lang w:val="en-US" w:eastAsia="zh-CN"/>
                    </w:rPr>
                    <w:t>LAS</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w:t>
                  </w:r>
                </w:p>
              </w:tc>
              <w:tc>
                <w:tcPr>
                  <w:tcW w:w="615"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0.001</w:t>
                  </w:r>
                </w:p>
              </w:tc>
              <w:tc>
                <w:tcPr>
                  <w:tcW w:w="552"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lang w:val="en-US" w:eastAsia="zh-CN"/>
                    </w:rPr>
                    <w:t>/</w:t>
                  </w:r>
                </w:p>
              </w:tc>
              <w:tc>
                <w:tcPr>
                  <w:tcW w:w="612"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restart"/>
                  <w:vAlign w:val="center"/>
                </w:tcPr>
                <w:p>
                  <w:pPr>
                    <w:pStyle w:val="41"/>
                    <w:spacing w:line="240" w:lineRule="auto"/>
                    <w:jc w:val="center"/>
                    <w:rPr>
                      <w:rFonts w:hint="eastAsia"/>
                      <w:color w:val="auto"/>
                      <w:lang w:eastAsia="zh-CN"/>
                    </w:rPr>
                  </w:pPr>
                  <w:r>
                    <w:rPr>
                      <w:rFonts w:hint="eastAsia"/>
                      <w:color w:val="auto"/>
                    </w:rPr>
                    <w:t>冷却循环</w:t>
                  </w:r>
                  <w:r>
                    <w:rPr>
                      <w:rFonts w:hint="eastAsia"/>
                      <w:color w:val="auto"/>
                      <w:lang w:eastAsia="zh-CN"/>
                    </w:rPr>
                    <w:t>废水</w:t>
                  </w:r>
                </w:p>
                <w:p>
                  <w:pPr>
                    <w:pStyle w:val="41"/>
                    <w:spacing w:line="240" w:lineRule="auto"/>
                    <w:jc w:val="center"/>
                    <w:rPr>
                      <w:rFonts w:hint="eastAsia" w:eastAsia="宋体"/>
                      <w:color w:val="auto"/>
                      <w:lang w:eastAsia="zh-CN"/>
                    </w:rPr>
                  </w:pP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/a</w:t>
                  </w:r>
                </w:p>
              </w:tc>
              <w:tc>
                <w:tcPr>
                  <w:tcW w:w="592" w:type="pct"/>
                  <w:tcBorders>
                    <w:top w:val="nil"/>
                    <w:right w:val="single" w:color="000000" w:sz="2"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rPr>
                    <w:t>pH</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6~8</w:t>
                  </w:r>
                </w:p>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无量纲</w:t>
                  </w:r>
                </w:p>
              </w:tc>
              <w:tc>
                <w:tcPr>
                  <w:tcW w:w="615"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color w:val="auto"/>
                    </w:rPr>
                    <w:t>COD</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w:t>
                  </w:r>
                  <w:r>
                    <w:rPr>
                      <w:rFonts w:hint="eastAsia" w:ascii="Times New Roman" w:hAnsi="Times New Roman" w:eastAsia="宋体" w:cs="Times New Roman"/>
                      <w:color w:val="auto"/>
                    </w:rPr>
                    <w:t>0</w:t>
                  </w:r>
                </w:p>
              </w:tc>
              <w:tc>
                <w:tcPr>
                  <w:tcW w:w="615" w:type="pct"/>
                  <w:vAlign w:val="top"/>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0.007</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color w:val="auto"/>
                    </w:rPr>
                    <w:t>SS</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400</w:t>
                  </w:r>
                </w:p>
              </w:tc>
              <w:tc>
                <w:tcPr>
                  <w:tcW w:w="615"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0.00</w:t>
                  </w:r>
                  <w:r>
                    <w:rPr>
                      <w:rFonts w:hint="eastAsia" w:ascii="Times New Roman" w:hAnsi="Times New Roman" w:eastAsia="宋体" w:cs="Times New Roman"/>
                      <w:color w:val="auto"/>
                      <w:lang w:val="en-US" w:eastAsia="zh-CN"/>
                    </w:rPr>
                    <w:t>5</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restart"/>
                  <w:vAlign w:val="center"/>
                </w:tcPr>
                <w:p>
                  <w:pPr>
                    <w:pStyle w:val="41"/>
                    <w:spacing w:line="240" w:lineRule="auto"/>
                    <w:jc w:val="center"/>
                    <w:rPr>
                      <w:rFonts w:hint="eastAsia" w:eastAsia="宋体"/>
                      <w:color w:val="auto"/>
                      <w:lang w:eastAsia="zh-CN"/>
                    </w:rPr>
                  </w:pPr>
                  <w:r>
                    <w:rPr>
                      <w:rFonts w:hint="eastAsia"/>
                      <w:color w:val="auto"/>
                      <w:lang w:eastAsia="zh-CN"/>
                    </w:rPr>
                    <w:t>食堂废水1014</w:t>
                  </w:r>
                  <w:r>
                    <w:rPr>
                      <w:rFonts w:hint="eastAsia"/>
                      <w:color w:val="auto"/>
                    </w:rPr>
                    <w:t>m</w:t>
                  </w:r>
                  <w:r>
                    <w:rPr>
                      <w:rFonts w:hint="eastAsia"/>
                      <w:color w:val="auto"/>
                      <w:vertAlign w:val="superscript"/>
                    </w:rPr>
                    <w:t>3</w:t>
                  </w:r>
                  <w:r>
                    <w:rPr>
                      <w:rFonts w:hint="eastAsia"/>
                      <w:color w:val="auto"/>
                    </w:rPr>
                    <w:t>/a</w:t>
                  </w:r>
                </w:p>
              </w:tc>
              <w:tc>
                <w:tcPr>
                  <w:tcW w:w="592" w:type="pct"/>
                  <w:tcBorders>
                    <w:top w:val="nil"/>
                    <w:right w:val="single" w:color="000000" w:sz="2"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rPr>
                    <w:t>pH</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6~8</w:t>
                  </w:r>
                </w:p>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无量纲</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rFonts w:hint="eastAsia"/>
                      <w:color w:val="auto"/>
                      <w:lang w:eastAsia="zh-CN"/>
                    </w:rPr>
                  </w:pPr>
                </w:p>
              </w:tc>
              <w:tc>
                <w:tcPr>
                  <w:tcW w:w="592" w:type="pct"/>
                  <w:tcBorders>
                    <w:top w:val="nil"/>
                    <w:right w:val="single" w:color="000000" w:sz="2"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color w:val="auto"/>
                    </w:rPr>
                    <w:t>COD</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650</w:t>
                  </w:r>
                </w:p>
              </w:tc>
              <w:tc>
                <w:tcPr>
                  <w:tcW w:w="615"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0.659 </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rFonts w:hint="eastAsia"/>
                      <w:color w:val="auto"/>
                      <w:lang w:eastAsia="zh-CN"/>
                    </w:rPr>
                  </w:pPr>
                </w:p>
              </w:tc>
              <w:tc>
                <w:tcPr>
                  <w:tcW w:w="592" w:type="pct"/>
                  <w:tcBorders>
                    <w:top w:val="nil"/>
                    <w:right w:val="single" w:color="000000" w:sz="2" w:space="0"/>
                  </w:tcBorders>
                  <w:vAlign w:val="center"/>
                </w:tcPr>
                <w:p>
                  <w:pPr>
                    <w:pStyle w:val="41"/>
                    <w:spacing w:line="240" w:lineRule="auto"/>
                    <w:jc w:val="center"/>
                    <w:rPr>
                      <w:color w:val="auto"/>
                    </w:rPr>
                  </w:pPr>
                  <w:r>
                    <w:rPr>
                      <w:color w:val="auto"/>
                    </w:rPr>
                    <w:t>BOD</w:t>
                  </w:r>
                  <w:r>
                    <w:rPr>
                      <w:color w:val="auto"/>
                      <w:vertAlign w:val="subscript"/>
                    </w:rPr>
                    <w:t>5</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400</w:t>
                  </w:r>
                </w:p>
              </w:tc>
              <w:tc>
                <w:tcPr>
                  <w:tcW w:w="615" w:type="pct"/>
                  <w:vAlign w:val="top"/>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0.406</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p>
              </w:tc>
              <w:tc>
                <w:tcPr>
                  <w:tcW w:w="612" w:type="pct"/>
                  <w:vAlign w:val="center"/>
                </w:tcPr>
                <w:p>
                  <w:pPr>
                    <w:pStyle w:val="41"/>
                    <w:spacing w:line="240" w:lineRule="auto"/>
                    <w:jc w:val="center"/>
                    <w:rPr>
                      <w:rFonts w:hint="eastAsia" w:ascii="Times New Roman" w:hAnsi="Times New Roman" w:eastAsia="宋体" w:cs="Times New Roman"/>
                      <w:color w:val="auto"/>
                    </w:rPr>
                  </w:pPr>
                </w:p>
              </w:tc>
              <w:tc>
                <w:tcPr>
                  <w:tcW w:w="450" w:type="pct"/>
                  <w:vAlign w:val="center"/>
                </w:tcPr>
                <w:p>
                  <w:pPr>
                    <w:pStyle w:val="41"/>
                    <w:spacing w:line="240" w:lineRule="auto"/>
                    <w:jc w:val="center"/>
                    <w:rPr>
                      <w:rFonts w:hint="eastAsia" w:ascii="Times New Roman" w:hAnsi="Times New Roman" w:eastAsia="宋体" w:cs="Times New Roman"/>
                      <w:color w:val="auto"/>
                    </w:rPr>
                  </w:pPr>
                </w:p>
              </w:tc>
              <w:tc>
                <w:tcPr>
                  <w:tcW w:w="672" w:type="pct"/>
                  <w:vAlign w:val="center"/>
                </w:tcPr>
                <w:p>
                  <w:pPr>
                    <w:pStyle w:val="41"/>
                    <w:spacing w:line="240" w:lineRule="auto"/>
                    <w:jc w:val="center"/>
                    <w:rPr>
                      <w:rFonts w:hint="eastAsia" w:ascii="Times New Roman" w:hAnsi="Times New Roman" w:eastAsia="宋体"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rFonts w:hint="eastAsia"/>
                      <w:color w:val="auto"/>
                      <w:lang w:eastAsia="zh-CN"/>
                    </w:rPr>
                  </w:pPr>
                </w:p>
              </w:tc>
              <w:tc>
                <w:tcPr>
                  <w:tcW w:w="592" w:type="pct"/>
                  <w:tcBorders>
                    <w:top w:val="nil"/>
                    <w:right w:val="single" w:color="000000" w:sz="2" w:space="0"/>
                  </w:tcBorders>
                  <w:vAlign w:val="center"/>
                </w:tcPr>
                <w:p>
                  <w:pPr>
                    <w:pStyle w:val="41"/>
                    <w:spacing w:line="240" w:lineRule="auto"/>
                    <w:jc w:val="center"/>
                    <w:rPr>
                      <w:rFonts w:hint="default" w:eastAsia="宋体"/>
                      <w:color w:val="auto"/>
                      <w:lang w:val="en-US" w:eastAsia="zh-CN"/>
                    </w:rPr>
                  </w:pPr>
                  <w:r>
                    <w:rPr>
                      <w:rFonts w:hint="eastAsia"/>
                      <w:color w:val="auto"/>
                      <w:lang w:val="en-US" w:eastAsia="zh-CN"/>
                    </w:rPr>
                    <w:t>SS</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400</w:t>
                  </w:r>
                </w:p>
              </w:tc>
              <w:tc>
                <w:tcPr>
                  <w:tcW w:w="615"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0.406 </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rFonts w:hint="eastAsia"/>
                      <w:color w:val="auto"/>
                      <w:lang w:eastAsia="zh-CN"/>
                    </w:rPr>
                  </w:pPr>
                </w:p>
              </w:tc>
              <w:tc>
                <w:tcPr>
                  <w:tcW w:w="592" w:type="pct"/>
                  <w:tcBorders>
                    <w:top w:val="nil"/>
                    <w:right w:val="single" w:color="000000" w:sz="2" w:space="0"/>
                  </w:tcBorders>
                  <w:vAlign w:val="center"/>
                </w:tcPr>
                <w:p>
                  <w:pPr>
                    <w:pStyle w:val="41"/>
                    <w:spacing w:line="240" w:lineRule="auto"/>
                    <w:jc w:val="center"/>
                    <w:rPr>
                      <w:color w:val="auto"/>
                    </w:rPr>
                  </w:pPr>
                  <w:r>
                    <w:rPr>
                      <w:color w:val="auto"/>
                      <w:szCs w:val="21"/>
                    </w:rPr>
                    <w:t>NH</w:t>
                  </w:r>
                  <w:r>
                    <w:rPr>
                      <w:color w:val="auto"/>
                      <w:szCs w:val="21"/>
                      <w:vertAlign w:val="subscript"/>
                    </w:rPr>
                    <w:t>3</w:t>
                  </w:r>
                  <w:r>
                    <w:rPr>
                      <w:color w:val="auto"/>
                      <w:szCs w:val="21"/>
                    </w:rPr>
                    <w:t>-N</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w:t>
                  </w:r>
                </w:p>
              </w:tc>
              <w:tc>
                <w:tcPr>
                  <w:tcW w:w="615"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0.051 </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rFonts w:hint="eastAsia"/>
                      <w:color w:val="auto"/>
                      <w:lang w:eastAsia="zh-CN"/>
                    </w:rPr>
                  </w:pPr>
                </w:p>
              </w:tc>
              <w:tc>
                <w:tcPr>
                  <w:tcW w:w="592" w:type="pct"/>
                  <w:tcBorders>
                    <w:top w:val="nil"/>
                    <w:right w:val="single" w:color="000000" w:sz="2" w:space="0"/>
                  </w:tcBorders>
                  <w:vAlign w:val="center"/>
                </w:tcPr>
                <w:p>
                  <w:pPr>
                    <w:pStyle w:val="41"/>
                    <w:spacing w:line="240" w:lineRule="auto"/>
                    <w:jc w:val="center"/>
                    <w:rPr>
                      <w:rFonts w:ascii="Times New Roman" w:hAnsi="Times New Roman" w:eastAsia="宋体" w:cs="Times New Roman"/>
                      <w:color w:val="auto"/>
                      <w:w w:val="100"/>
                      <w:kern w:val="2"/>
                      <w:sz w:val="21"/>
                      <w:szCs w:val="21"/>
                      <w:lang w:val="en-US" w:eastAsia="zh-CN" w:bidi="ar-SA"/>
                    </w:rPr>
                  </w:pPr>
                  <w:r>
                    <w:rPr>
                      <w:rFonts w:hint="eastAsia"/>
                      <w:color w:val="auto"/>
                      <w:szCs w:val="21"/>
                    </w:rPr>
                    <w:t>TP</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615" w:type="pct"/>
                  <w:vAlign w:val="top"/>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0.005</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p>
              </w:tc>
              <w:tc>
                <w:tcPr>
                  <w:tcW w:w="612" w:type="pct"/>
                  <w:vAlign w:val="center"/>
                </w:tcPr>
                <w:p>
                  <w:pPr>
                    <w:pStyle w:val="41"/>
                    <w:spacing w:line="240" w:lineRule="auto"/>
                    <w:jc w:val="center"/>
                    <w:rPr>
                      <w:rFonts w:hint="eastAsia" w:ascii="Times New Roman" w:hAnsi="Times New Roman" w:eastAsia="宋体" w:cs="Times New Roman"/>
                      <w:color w:val="auto"/>
                    </w:rPr>
                  </w:pPr>
                </w:p>
              </w:tc>
              <w:tc>
                <w:tcPr>
                  <w:tcW w:w="450" w:type="pct"/>
                  <w:vAlign w:val="center"/>
                </w:tcPr>
                <w:p>
                  <w:pPr>
                    <w:pStyle w:val="41"/>
                    <w:spacing w:line="240" w:lineRule="auto"/>
                    <w:jc w:val="center"/>
                    <w:rPr>
                      <w:rFonts w:hint="eastAsia" w:ascii="Times New Roman" w:hAnsi="Times New Roman" w:eastAsia="宋体" w:cs="Times New Roman"/>
                      <w:color w:val="auto"/>
                    </w:rPr>
                  </w:pPr>
                </w:p>
              </w:tc>
              <w:tc>
                <w:tcPr>
                  <w:tcW w:w="672" w:type="pct"/>
                  <w:vAlign w:val="center"/>
                </w:tcPr>
                <w:p>
                  <w:pPr>
                    <w:pStyle w:val="41"/>
                    <w:spacing w:line="240" w:lineRule="auto"/>
                    <w:jc w:val="center"/>
                    <w:rPr>
                      <w:rFonts w:hint="eastAsia" w:ascii="Times New Roman" w:hAnsi="Times New Roman" w:eastAsia="宋体"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rFonts w:hint="eastAsia"/>
                      <w:color w:val="auto"/>
                      <w:lang w:eastAsia="zh-CN"/>
                    </w:rPr>
                  </w:pPr>
                </w:p>
              </w:tc>
              <w:tc>
                <w:tcPr>
                  <w:tcW w:w="592" w:type="pct"/>
                  <w:tcBorders>
                    <w:top w:val="nil"/>
                    <w:right w:val="single" w:color="000000" w:sz="2" w:space="0"/>
                  </w:tcBorders>
                  <w:vAlign w:val="center"/>
                </w:tcPr>
                <w:p>
                  <w:pPr>
                    <w:pStyle w:val="41"/>
                    <w:spacing w:line="240" w:lineRule="auto"/>
                    <w:jc w:val="center"/>
                    <w:rPr>
                      <w:rFonts w:ascii="Times New Roman" w:hAnsi="Times New Roman" w:eastAsia="宋体" w:cs="Times New Roman"/>
                      <w:color w:val="auto"/>
                      <w:w w:val="100"/>
                      <w:kern w:val="2"/>
                      <w:sz w:val="21"/>
                      <w:szCs w:val="21"/>
                      <w:lang w:val="en-US" w:eastAsia="zh-CN" w:bidi="ar-SA"/>
                    </w:rPr>
                  </w:pPr>
                  <w:r>
                    <w:rPr>
                      <w:rFonts w:hint="eastAsia"/>
                      <w:color w:val="auto"/>
                      <w:szCs w:val="21"/>
                    </w:rPr>
                    <w:t>TN</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60</w:t>
                  </w:r>
                </w:p>
              </w:tc>
              <w:tc>
                <w:tcPr>
                  <w:tcW w:w="615" w:type="pct"/>
                  <w:vAlign w:val="top"/>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0.06</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p>
              </w:tc>
              <w:tc>
                <w:tcPr>
                  <w:tcW w:w="612" w:type="pct"/>
                  <w:vAlign w:val="center"/>
                </w:tcPr>
                <w:p>
                  <w:pPr>
                    <w:pStyle w:val="41"/>
                    <w:spacing w:line="240" w:lineRule="auto"/>
                    <w:jc w:val="center"/>
                    <w:rPr>
                      <w:rFonts w:hint="eastAsia" w:ascii="Times New Roman" w:hAnsi="Times New Roman" w:eastAsia="宋体" w:cs="Times New Roman"/>
                      <w:color w:val="auto"/>
                    </w:rPr>
                  </w:pPr>
                </w:p>
              </w:tc>
              <w:tc>
                <w:tcPr>
                  <w:tcW w:w="450" w:type="pct"/>
                  <w:vAlign w:val="center"/>
                </w:tcPr>
                <w:p>
                  <w:pPr>
                    <w:pStyle w:val="41"/>
                    <w:spacing w:line="240" w:lineRule="auto"/>
                    <w:jc w:val="center"/>
                    <w:rPr>
                      <w:rFonts w:hint="eastAsia" w:ascii="Times New Roman" w:hAnsi="Times New Roman" w:eastAsia="宋体" w:cs="Times New Roman"/>
                      <w:color w:val="auto"/>
                    </w:rPr>
                  </w:pPr>
                </w:p>
              </w:tc>
              <w:tc>
                <w:tcPr>
                  <w:tcW w:w="672" w:type="pct"/>
                  <w:vAlign w:val="center"/>
                </w:tcPr>
                <w:p>
                  <w:pPr>
                    <w:pStyle w:val="41"/>
                    <w:spacing w:line="240" w:lineRule="auto"/>
                    <w:jc w:val="center"/>
                    <w:rPr>
                      <w:rFonts w:hint="eastAsia" w:ascii="Times New Roman" w:hAnsi="Times New Roman" w:eastAsia="宋体"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Cs w:val="21"/>
                      <w:lang w:eastAsia="zh-CN"/>
                    </w:rPr>
                    <w:t>动植物油</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120</w:t>
                  </w:r>
                </w:p>
              </w:tc>
              <w:tc>
                <w:tcPr>
                  <w:tcW w:w="615"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0.122 </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lang w:val="en-US" w:eastAsia="zh-CN"/>
                    </w:rPr>
                    <w:t>LAS</w:t>
                  </w:r>
                </w:p>
              </w:tc>
              <w:tc>
                <w:tcPr>
                  <w:tcW w:w="565" w:type="pct"/>
                  <w:tcBorders>
                    <w:left w:val="single" w:color="000000" w:sz="2" w:space="0"/>
                  </w:tcBorders>
                  <w:vAlign w:val="center"/>
                </w:tcPr>
                <w:p>
                  <w:pPr>
                    <w:pStyle w:val="41"/>
                    <w:spacing w:line="240" w:lineRule="auto"/>
                    <w:jc w:val="center"/>
                    <w:rPr>
                      <w:rFonts w:hint="default"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lang w:val="en-US" w:eastAsia="zh-CN"/>
                    </w:rPr>
                    <w:t>12</w:t>
                  </w:r>
                </w:p>
              </w:tc>
              <w:tc>
                <w:tcPr>
                  <w:tcW w:w="615"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0.012 </w:t>
                  </w:r>
                </w:p>
              </w:tc>
              <w:tc>
                <w:tcPr>
                  <w:tcW w:w="552"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lang w:val="en-US" w:eastAsia="zh-CN"/>
                    </w:rPr>
                    <w:t>/</w:t>
                  </w:r>
                </w:p>
              </w:tc>
              <w:tc>
                <w:tcPr>
                  <w:tcW w:w="612"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939" w:type="pct"/>
                  <w:vMerge w:val="restart"/>
                  <w:vAlign w:val="center"/>
                </w:tcPr>
                <w:p>
                  <w:pPr>
                    <w:pStyle w:val="41"/>
                    <w:spacing w:line="240" w:lineRule="auto"/>
                    <w:jc w:val="center"/>
                    <w:rPr>
                      <w:color w:val="auto"/>
                    </w:rPr>
                  </w:pPr>
                  <w:r>
                    <w:rPr>
                      <w:color w:val="auto"/>
                    </w:rPr>
                    <w:t>员工生活污水</w:t>
                  </w:r>
                  <w:r>
                    <w:rPr>
                      <w:rFonts w:hint="eastAsia"/>
                      <w:color w:val="auto"/>
                    </w:rPr>
                    <w:t>2025m</w:t>
                  </w:r>
                  <w:r>
                    <w:rPr>
                      <w:rFonts w:hint="eastAsia"/>
                      <w:color w:val="auto"/>
                      <w:vertAlign w:val="superscript"/>
                    </w:rPr>
                    <w:t>3</w:t>
                  </w:r>
                  <w:r>
                    <w:rPr>
                      <w:rFonts w:hint="eastAsia"/>
                      <w:color w:val="auto"/>
                    </w:rPr>
                    <w:t>/a</w:t>
                  </w:r>
                </w:p>
              </w:tc>
              <w:tc>
                <w:tcPr>
                  <w:tcW w:w="592" w:type="pct"/>
                  <w:tcBorders>
                    <w:top w:val="nil"/>
                    <w:right w:val="single" w:color="000000" w:sz="2" w:space="0"/>
                  </w:tcBorders>
                  <w:vAlign w:val="center"/>
                </w:tcPr>
                <w:p>
                  <w:pPr>
                    <w:pStyle w:val="41"/>
                    <w:spacing w:line="240" w:lineRule="auto"/>
                    <w:jc w:val="center"/>
                    <w:rPr>
                      <w:color w:val="auto"/>
                    </w:rPr>
                  </w:pPr>
                  <w:r>
                    <w:rPr>
                      <w:rFonts w:hint="eastAsia"/>
                      <w:color w:val="auto"/>
                    </w:rPr>
                    <w:t>pH</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6~8</w:t>
                  </w:r>
                </w:p>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无量纲</w:t>
                  </w:r>
                </w:p>
              </w:tc>
              <w:tc>
                <w:tcPr>
                  <w:tcW w:w="615"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color w:val="auto"/>
                    </w:rPr>
                  </w:pPr>
                  <w:r>
                    <w:rPr>
                      <w:color w:val="auto"/>
                    </w:rPr>
                    <w:t>COD</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5</w:t>
                  </w:r>
                  <w:r>
                    <w:rPr>
                      <w:rFonts w:hint="eastAsia" w:ascii="Times New Roman" w:hAnsi="Times New Roman" w:eastAsia="宋体" w:cs="Times New Roman"/>
                      <w:color w:val="auto"/>
                      <w:lang w:val="en-US" w:eastAsia="zh-CN"/>
                    </w:rPr>
                    <w:t>0</w:t>
                  </w:r>
                  <w:r>
                    <w:rPr>
                      <w:rFonts w:hint="eastAsia" w:ascii="Times New Roman" w:hAnsi="Times New Roman" w:eastAsia="宋体" w:cs="Times New Roman"/>
                      <w:color w:val="auto"/>
                    </w:rPr>
                    <w:t>0</w:t>
                  </w:r>
                </w:p>
              </w:tc>
              <w:tc>
                <w:tcPr>
                  <w:tcW w:w="615"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1.013 </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color w:val="auto"/>
                    </w:rPr>
                  </w:pPr>
                  <w:r>
                    <w:rPr>
                      <w:color w:val="auto"/>
                    </w:rPr>
                    <w:t>BOD</w:t>
                  </w:r>
                  <w:r>
                    <w:rPr>
                      <w:color w:val="auto"/>
                      <w:vertAlign w:val="subscript"/>
                    </w:rPr>
                    <w:t>5</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3</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0</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0.709 </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color w:val="auto"/>
                    </w:rPr>
                  </w:pPr>
                  <w:r>
                    <w:rPr>
                      <w:color w:val="auto"/>
                    </w:rPr>
                    <w:t>SS</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4</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0</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0.911 </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color w:val="auto"/>
                    </w:rPr>
                  </w:pPr>
                  <w:r>
                    <w:rPr>
                      <w:color w:val="auto"/>
                      <w:szCs w:val="21"/>
                    </w:rPr>
                    <w:t>NH</w:t>
                  </w:r>
                  <w:r>
                    <w:rPr>
                      <w:color w:val="auto"/>
                      <w:szCs w:val="21"/>
                      <w:vertAlign w:val="subscript"/>
                    </w:rPr>
                    <w:t>3</w:t>
                  </w:r>
                  <w:r>
                    <w:rPr>
                      <w:color w:val="auto"/>
                      <w:szCs w:val="21"/>
                    </w:rPr>
                    <w:t>-N</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50</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0.101 </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color w:val="auto"/>
                      <w:szCs w:val="21"/>
                    </w:rPr>
                  </w:pPr>
                  <w:r>
                    <w:rPr>
                      <w:rFonts w:hint="eastAsia"/>
                      <w:color w:val="auto"/>
                      <w:szCs w:val="21"/>
                    </w:rPr>
                    <w:t>TP</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9</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0.018 </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tcBorders>
                    <w:top w:val="nil"/>
                    <w:right w:val="single" w:color="000000" w:sz="2" w:space="0"/>
                  </w:tcBorders>
                  <w:vAlign w:val="center"/>
                </w:tcPr>
                <w:p>
                  <w:pPr>
                    <w:pStyle w:val="41"/>
                    <w:spacing w:line="240" w:lineRule="auto"/>
                    <w:jc w:val="center"/>
                    <w:rPr>
                      <w:color w:val="auto"/>
                      <w:szCs w:val="21"/>
                    </w:rPr>
                  </w:pPr>
                  <w:r>
                    <w:rPr>
                      <w:rFonts w:hint="eastAsia"/>
                      <w:color w:val="auto"/>
                      <w:szCs w:val="21"/>
                    </w:rPr>
                    <w:t>TN</w:t>
                  </w:r>
                </w:p>
              </w:tc>
              <w:tc>
                <w:tcPr>
                  <w:tcW w:w="565" w:type="pct"/>
                  <w:tcBorders>
                    <w:left w:val="single" w:color="000000" w:sz="2" w:space="0"/>
                  </w:tcBorders>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80</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0.162 </w:t>
                  </w:r>
                </w:p>
              </w:tc>
              <w:tc>
                <w:tcPr>
                  <w:tcW w:w="55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1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672"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restart"/>
                  <w:vAlign w:val="center"/>
                </w:tcPr>
                <w:p>
                  <w:pPr>
                    <w:pStyle w:val="41"/>
                    <w:spacing w:line="240" w:lineRule="auto"/>
                    <w:jc w:val="center"/>
                    <w:rPr>
                      <w:color w:val="auto"/>
                    </w:rPr>
                  </w:pPr>
                  <w:r>
                    <w:rPr>
                      <w:color w:val="auto"/>
                    </w:rPr>
                    <w:t>综合废水</w:t>
                  </w:r>
                </w:p>
                <w:p>
                  <w:pPr>
                    <w:pStyle w:val="41"/>
                    <w:spacing w:line="240" w:lineRule="auto"/>
                    <w:jc w:val="center"/>
                    <w:rPr>
                      <w:color w:val="auto"/>
                    </w:rPr>
                  </w:pPr>
                  <w:r>
                    <w:rPr>
                      <w:rFonts w:hint="eastAsia"/>
                      <w:color w:val="auto"/>
                      <w:lang w:val="en-US" w:eastAsia="zh-CN"/>
                    </w:rPr>
                    <w:fldChar w:fldCharType="begin"/>
                  </w:r>
                  <w:r>
                    <w:rPr>
                      <w:rFonts w:hint="eastAsia"/>
                      <w:color w:val="auto"/>
                      <w:lang w:val="en-US" w:eastAsia="zh-CN"/>
                    </w:rPr>
                    <w:instrText xml:space="preserve"> = sum(D1:D5) \* MERGEFORMAT </w:instrText>
                  </w:r>
                  <w:r>
                    <w:rPr>
                      <w:rFonts w:hint="eastAsia"/>
                      <w:color w:val="auto"/>
                      <w:lang w:val="en-US" w:eastAsia="zh-CN"/>
                    </w:rPr>
                    <w:fldChar w:fldCharType="separate"/>
                  </w:r>
                  <w:r>
                    <w:rPr>
                      <w:rFonts w:hint="eastAsia"/>
                      <w:color w:val="auto"/>
                      <w:lang w:val="en-US" w:eastAsia="zh-CN"/>
                    </w:rPr>
                    <w:t>3336</w:t>
                  </w:r>
                  <w:r>
                    <w:rPr>
                      <w:rFonts w:hint="eastAsia"/>
                      <w:color w:val="auto"/>
                      <w:lang w:val="en-US" w:eastAsia="zh-CN"/>
                    </w:rPr>
                    <w:fldChar w:fldCharType="end"/>
                  </w:r>
                  <w:r>
                    <w:rPr>
                      <w:rFonts w:hint="eastAsia"/>
                      <w:color w:val="auto"/>
                    </w:rPr>
                    <w:t>m</w:t>
                  </w:r>
                  <w:r>
                    <w:rPr>
                      <w:rFonts w:hint="eastAsia"/>
                      <w:color w:val="auto"/>
                      <w:vertAlign w:val="superscript"/>
                    </w:rPr>
                    <w:t>3</w:t>
                  </w:r>
                  <w:r>
                    <w:rPr>
                      <w:rFonts w:hint="eastAsia"/>
                      <w:color w:val="auto"/>
                    </w:rPr>
                    <w:t>/a</w:t>
                  </w:r>
                </w:p>
              </w:tc>
              <w:tc>
                <w:tcPr>
                  <w:tcW w:w="592" w:type="pct"/>
                  <w:vAlign w:val="center"/>
                </w:tcPr>
                <w:p>
                  <w:pPr>
                    <w:pStyle w:val="41"/>
                    <w:spacing w:line="240" w:lineRule="auto"/>
                    <w:jc w:val="center"/>
                    <w:rPr>
                      <w:color w:val="auto"/>
                    </w:rPr>
                  </w:pPr>
                  <w:r>
                    <w:rPr>
                      <w:rFonts w:hint="eastAsia"/>
                      <w:color w:val="auto"/>
                    </w:rPr>
                    <w:t>pH</w:t>
                  </w:r>
                </w:p>
              </w:tc>
              <w:tc>
                <w:tcPr>
                  <w:tcW w:w="56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6~8</w:t>
                  </w:r>
                </w:p>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无量纲</w:t>
                  </w:r>
                </w:p>
              </w:tc>
              <w:tc>
                <w:tcPr>
                  <w:tcW w:w="61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c>
                <w:tcPr>
                  <w:tcW w:w="450"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6~8</w:t>
                  </w:r>
                </w:p>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无量纲</w:t>
                  </w:r>
                </w:p>
              </w:tc>
              <w:tc>
                <w:tcPr>
                  <w:tcW w:w="67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color w:val="auto"/>
                    </w:rPr>
                  </w:pPr>
                  <w:r>
                    <w:rPr>
                      <w:color w:val="auto"/>
                    </w:rPr>
                    <w:t>COD</w:t>
                  </w:r>
                </w:p>
              </w:tc>
              <w:tc>
                <w:tcPr>
                  <w:tcW w:w="56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500</w:t>
                  </w:r>
                </w:p>
              </w:tc>
              <w:tc>
                <w:tcPr>
                  <w:tcW w:w="61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1.668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60</w:t>
                  </w:r>
                </w:p>
              </w:tc>
              <w:tc>
                <w:tcPr>
                  <w:tcW w:w="67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0.200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color w:val="auto"/>
                    </w:rPr>
                  </w:pPr>
                  <w:r>
                    <w:rPr>
                      <w:color w:val="auto"/>
                    </w:rPr>
                    <w:t>BOD</w:t>
                  </w:r>
                  <w:r>
                    <w:rPr>
                      <w:color w:val="auto"/>
                      <w:vertAlign w:val="subscript"/>
                    </w:rPr>
                    <w:t>5</w:t>
                  </w:r>
                </w:p>
              </w:tc>
              <w:tc>
                <w:tcPr>
                  <w:tcW w:w="56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300</w:t>
                  </w:r>
                </w:p>
              </w:tc>
              <w:tc>
                <w:tcPr>
                  <w:tcW w:w="61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1.001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67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color w:val="auto"/>
                    </w:rPr>
                  </w:pPr>
                  <w:r>
                    <w:rPr>
                      <w:color w:val="auto"/>
                    </w:rPr>
                    <w:t>SS</w:t>
                  </w:r>
                </w:p>
              </w:tc>
              <w:tc>
                <w:tcPr>
                  <w:tcW w:w="56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400</w:t>
                  </w:r>
                </w:p>
              </w:tc>
              <w:tc>
                <w:tcPr>
                  <w:tcW w:w="61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1.334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67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color w:val="auto"/>
                    </w:rPr>
                  </w:pPr>
                  <w:r>
                    <w:rPr>
                      <w:color w:val="auto"/>
                      <w:szCs w:val="21"/>
                    </w:rPr>
                    <w:t>NH</w:t>
                  </w:r>
                  <w:r>
                    <w:rPr>
                      <w:color w:val="auto"/>
                      <w:szCs w:val="21"/>
                      <w:vertAlign w:val="subscript"/>
                    </w:rPr>
                    <w:t>3</w:t>
                  </w:r>
                  <w:r>
                    <w:rPr>
                      <w:color w:val="auto"/>
                      <w:szCs w:val="21"/>
                    </w:rPr>
                    <w:t>-N</w:t>
                  </w:r>
                </w:p>
              </w:tc>
              <w:tc>
                <w:tcPr>
                  <w:tcW w:w="56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15" w:type="pct"/>
                  <w:vAlign w:val="center"/>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45</w:t>
                  </w:r>
                </w:p>
              </w:tc>
              <w:tc>
                <w:tcPr>
                  <w:tcW w:w="61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0.150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8</w:t>
                  </w:r>
                </w:p>
              </w:tc>
              <w:tc>
                <w:tcPr>
                  <w:tcW w:w="67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color w:val="auto"/>
                      <w:szCs w:val="21"/>
                    </w:rPr>
                  </w:pPr>
                  <w:r>
                    <w:rPr>
                      <w:rFonts w:hint="eastAsia"/>
                      <w:color w:val="auto"/>
                      <w:szCs w:val="21"/>
                    </w:rPr>
                    <w:t>TP</w:t>
                  </w:r>
                </w:p>
              </w:tc>
              <w:tc>
                <w:tcPr>
                  <w:tcW w:w="565" w:type="pct"/>
                  <w:vAlign w:val="center"/>
                </w:tcPr>
                <w:p>
                  <w:pPr>
                    <w:pStyle w:val="41"/>
                    <w:spacing w:line="240" w:lineRule="auto"/>
                    <w:jc w:val="center"/>
                    <w:rPr>
                      <w:rFonts w:hint="eastAsia"/>
                      <w:color w:val="auto"/>
                      <w:lang w:val="en-US" w:eastAsia="zh-CN"/>
                    </w:rPr>
                  </w:pPr>
                  <w:r>
                    <w:rPr>
                      <w:rFonts w:hint="eastAsia"/>
                      <w:color w:val="auto"/>
                      <w:lang w:val="en-US" w:eastAsia="zh-CN"/>
                    </w:rPr>
                    <w:t>/</w:t>
                  </w:r>
                </w:p>
              </w:tc>
              <w:tc>
                <w:tcPr>
                  <w:tcW w:w="615" w:type="pct"/>
                  <w:vAlign w:val="center"/>
                </w:tcPr>
                <w:p>
                  <w:pPr>
                    <w:pStyle w:val="41"/>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8</w:t>
                  </w:r>
                </w:p>
              </w:tc>
              <w:tc>
                <w:tcPr>
                  <w:tcW w:w="61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0.027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67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0.003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color w:val="auto"/>
                      <w:szCs w:val="21"/>
                    </w:rPr>
                  </w:pPr>
                  <w:r>
                    <w:rPr>
                      <w:rFonts w:hint="eastAsia"/>
                      <w:color w:val="auto"/>
                      <w:szCs w:val="21"/>
                    </w:rPr>
                    <w:t>TN</w:t>
                  </w:r>
                </w:p>
              </w:tc>
              <w:tc>
                <w:tcPr>
                  <w:tcW w:w="565" w:type="pct"/>
                  <w:vAlign w:val="center"/>
                </w:tcPr>
                <w:p>
                  <w:pPr>
                    <w:pStyle w:val="41"/>
                    <w:spacing w:line="240" w:lineRule="auto"/>
                    <w:jc w:val="center"/>
                    <w:rPr>
                      <w:rFonts w:hint="eastAsia"/>
                      <w:color w:val="auto"/>
                      <w:lang w:val="en-US" w:eastAsia="zh-CN"/>
                    </w:rPr>
                  </w:pPr>
                  <w:r>
                    <w:rPr>
                      <w:rFonts w:hint="eastAsia"/>
                      <w:color w:val="auto"/>
                      <w:lang w:val="en-US" w:eastAsia="zh-CN"/>
                    </w:rPr>
                    <w:t>/</w:t>
                  </w:r>
                </w:p>
              </w:tc>
              <w:tc>
                <w:tcPr>
                  <w:tcW w:w="615" w:type="pct"/>
                  <w:vAlign w:val="center"/>
                </w:tcPr>
                <w:p>
                  <w:pPr>
                    <w:pStyle w:val="41"/>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rPr>
                    <w:t>/</w:t>
                  </w:r>
                </w:p>
              </w:tc>
              <w:tc>
                <w:tcPr>
                  <w:tcW w:w="552" w:type="pct"/>
                  <w:vAlign w:val="center"/>
                </w:tcPr>
                <w:p>
                  <w:pPr>
                    <w:pStyle w:val="41"/>
                    <w:spacing w:line="240" w:lineRule="auto"/>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70</w:t>
                  </w:r>
                </w:p>
              </w:tc>
              <w:tc>
                <w:tcPr>
                  <w:tcW w:w="61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0.234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67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rFonts w:hint="eastAsia" w:eastAsia="宋体"/>
                      <w:color w:val="auto"/>
                      <w:szCs w:val="21"/>
                      <w:lang w:eastAsia="zh-CN"/>
                    </w:rPr>
                  </w:pPr>
                  <w:r>
                    <w:rPr>
                      <w:rFonts w:hint="eastAsia"/>
                      <w:color w:val="auto"/>
                      <w:szCs w:val="21"/>
                      <w:lang w:eastAsia="zh-CN"/>
                    </w:rPr>
                    <w:t>石油类</w:t>
                  </w:r>
                </w:p>
              </w:tc>
              <w:tc>
                <w:tcPr>
                  <w:tcW w:w="565" w:type="pct"/>
                  <w:vAlign w:val="center"/>
                </w:tcPr>
                <w:p>
                  <w:pPr>
                    <w:pStyle w:val="41"/>
                    <w:spacing w:line="240" w:lineRule="auto"/>
                    <w:jc w:val="center"/>
                    <w:rPr>
                      <w:rFonts w:hint="eastAsia"/>
                      <w:color w:val="auto"/>
                    </w:rPr>
                  </w:pPr>
                  <w:r>
                    <w:rPr>
                      <w:rFonts w:hint="eastAsia"/>
                      <w:color w:val="auto"/>
                      <w:lang w:val="en-US" w:eastAsia="zh-CN"/>
                    </w:rPr>
                    <w:t>/</w:t>
                  </w:r>
                </w:p>
              </w:tc>
              <w:tc>
                <w:tcPr>
                  <w:tcW w:w="615" w:type="pct"/>
                  <w:vAlign w:val="center"/>
                </w:tcPr>
                <w:p>
                  <w:pPr>
                    <w:pStyle w:val="41"/>
                    <w:spacing w:line="240" w:lineRule="auto"/>
                    <w:jc w:val="center"/>
                    <w:rPr>
                      <w:rFonts w:hint="eastAsia" w:ascii="Times New Roman" w:hAnsi="Times New Roman" w:cs="Times New Roman"/>
                      <w:color w:val="auto"/>
                    </w:rPr>
                  </w:pPr>
                  <w:r>
                    <w:rPr>
                      <w:rFonts w:hint="eastAsia" w:ascii="Times New Roman" w:hAnsi="Times New Roman" w:cs="Times New Roman"/>
                      <w:color w:val="auto"/>
                    </w:rPr>
                    <w:t>/</w:t>
                  </w:r>
                </w:p>
              </w:tc>
              <w:tc>
                <w:tcPr>
                  <w:tcW w:w="552"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61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0.067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67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rFonts w:hint="eastAsia"/>
                      <w:color w:val="auto"/>
                      <w:szCs w:val="21"/>
                      <w:lang w:eastAsia="zh-CN"/>
                    </w:rPr>
                  </w:pPr>
                  <w:r>
                    <w:rPr>
                      <w:rFonts w:hint="eastAsia"/>
                      <w:color w:val="auto"/>
                      <w:szCs w:val="21"/>
                      <w:lang w:eastAsia="zh-CN"/>
                    </w:rPr>
                    <w:t>动植物油</w:t>
                  </w:r>
                </w:p>
              </w:tc>
              <w:tc>
                <w:tcPr>
                  <w:tcW w:w="565"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lang w:val="en-US" w:eastAsia="zh-CN"/>
                    </w:rPr>
                    <w:t>/</w:t>
                  </w:r>
                </w:p>
              </w:tc>
              <w:tc>
                <w:tcPr>
                  <w:tcW w:w="615" w:type="pct"/>
                  <w:vAlign w:val="center"/>
                </w:tcPr>
                <w:p>
                  <w:pPr>
                    <w:pStyle w:val="41"/>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rPr>
                    <w:t>/</w:t>
                  </w:r>
                </w:p>
              </w:tc>
              <w:tc>
                <w:tcPr>
                  <w:tcW w:w="552"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w:t>
                  </w:r>
                </w:p>
              </w:tc>
              <w:tc>
                <w:tcPr>
                  <w:tcW w:w="61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0.334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672" w:type="pct"/>
                  <w:vAlign w:val="top"/>
                </w:tcPr>
                <w:p>
                  <w:pPr>
                    <w:pStyle w:val="41"/>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9" w:type="pct"/>
                  <w:vMerge w:val="continue"/>
                  <w:vAlign w:val="center"/>
                </w:tcPr>
                <w:p>
                  <w:pPr>
                    <w:pStyle w:val="41"/>
                    <w:spacing w:line="240" w:lineRule="auto"/>
                    <w:jc w:val="center"/>
                    <w:rPr>
                      <w:color w:val="auto"/>
                    </w:rPr>
                  </w:pPr>
                </w:p>
              </w:tc>
              <w:tc>
                <w:tcPr>
                  <w:tcW w:w="592" w:type="pct"/>
                  <w:vAlign w:val="center"/>
                </w:tcPr>
                <w:p>
                  <w:pPr>
                    <w:pStyle w:val="41"/>
                    <w:spacing w:line="240" w:lineRule="auto"/>
                    <w:jc w:val="center"/>
                    <w:rPr>
                      <w:rFonts w:hint="default"/>
                      <w:color w:val="auto"/>
                      <w:szCs w:val="21"/>
                      <w:lang w:val="en-US" w:eastAsia="zh-CN"/>
                    </w:rPr>
                  </w:pPr>
                  <w:r>
                    <w:rPr>
                      <w:rFonts w:hint="eastAsia"/>
                      <w:color w:val="auto"/>
                      <w:szCs w:val="21"/>
                      <w:lang w:val="en-US" w:eastAsia="zh-CN"/>
                    </w:rPr>
                    <w:t>LAS</w:t>
                  </w:r>
                </w:p>
              </w:tc>
              <w:tc>
                <w:tcPr>
                  <w:tcW w:w="565"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color w:val="auto"/>
                      <w:lang w:val="en-US" w:eastAsia="zh-CN"/>
                    </w:rPr>
                    <w:t>/</w:t>
                  </w:r>
                </w:p>
              </w:tc>
              <w:tc>
                <w:tcPr>
                  <w:tcW w:w="615" w:type="pct"/>
                  <w:vAlign w:val="center"/>
                </w:tcPr>
                <w:p>
                  <w:pPr>
                    <w:pStyle w:val="41"/>
                    <w:spacing w:line="240" w:lineRule="auto"/>
                    <w:jc w:val="center"/>
                    <w:rPr>
                      <w:rFonts w:hint="eastAsia" w:ascii="Times New Roman" w:hAnsi="Times New Roman" w:eastAsia="宋体" w:cs="Times New Roman"/>
                      <w:color w:val="auto"/>
                      <w:w w:val="100"/>
                      <w:kern w:val="2"/>
                      <w:sz w:val="21"/>
                      <w:szCs w:val="20"/>
                      <w:lang w:val="en-US" w:eastAsia="zh-CN" w:bidi="ar-SA"/>
                    </w:rPr>
                  </w:pPr>
                  <w:r>
                    <w:rPr>
                      <w:rFonts w:hint="eastAsia" w:ascii="Times New Roman" w:hAnsi="Times New Roman" w:cs="Times New Roman"/>
                      <w:color w:val="auto"/>
                    </w:rPr>
                    <w:t>/</w:t>
                  </w:r>
                </w:p>
              </w:tc>
              <w:tc>
                <w:tcPr>
                  <w:tcW w:w="552"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612" w:type="pct"/>
                  <w:vAlign w:val="top"/>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0.067 </w:t>
                  </w:r>
                </w:p>
              </w:tc>
              <w:tc>
                <w:tcPr>
                  <w:tcW w:w="450" w:type="pct"/>
                  <w:vAlign w:val="center"/>
                </w:tcPr>
                <w:p>
                  <w:pPr>
                    <w:pStyle w:val="41"/>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672" w:type="pct"/>
                  <w:vAlign w:val="top"/>
                </w:tcPr>
                <w:p>
                  <w:pPr>
                    <w:pStyle w:val="41"/>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 xml:space="preserve">0.003 </w:t>
                  </w:r>
                </w:p>
              </w:tc>
            </w:tr>
          </w:tbl>
          <w:p>
            <w:pPr>
              <w:pStyle w:val="99"/>
              <w:spacing w:line="360" w:lineRule="auto"/>
              <w:ind w:firstLine="482" w:firstLineChars="200"/>
              <w:jc w:val="both"/>
              <w:rPr>
                <w:rFonts w:hint="default" w:ascii="Times New Roman" w:hAnsi="Times New Roman" w:cs="Times New Roman"/>
                <w:b/>
                <w:color w:val="auto"/>
                <w:sz w:val="24"/>
                <w:szCs w:val="24"/>
                <w:lang w:val="en-GB"/>
              </w:rPr>
            </w:pPr>
            <w:r>
              <w:rPr>
                <w:rFonts w:hint="default" w:ascii="Times New Roman" w:hAnsi="Times New Roman" w:cs="Times New Roman"/>
                <w:b/>
                <w:color w:val="auto"/>
                <w:sz w:val="24"/>
                <w:szCs w:val="24"/>
              </w:rPr>
              <w:t>4.3.2</w:t>
            </w:r>
            <w:r>
              <w:rPr>
                <w:rFonts w:hint="default" w:ascii="Times New Roman" w:hAnsi="Times New Roman" w:cs="Times New Roman"/>
                <w:b/>
                <w:color w:val="auto"/>
                <w:sz w:val="24"/>
                <w:szCs w:val="24"/>
                <w:lang w:val="en-GB"/>
              </w:rPr>
              <w:t>废水排放口基本情况</w:t>
            </w:r>
          </w:p>
          <w:p>
            <w:pPr>
              <w:pStyle w:val="99"/>
              <w:spacing w:line="360" w:lineRule="auto"/>
              <w:ind w:firstLine="480" w:firstLineChars="200"/>
              <w:jc w:val="both"/>
              <w:rPr>
                <w:rFonts w:hint="default" w:ascii="Times New Roman" w:hAnsi="Times New Roman" w:cs="Times New Roman"/>
                <w:bCs/>
                <w:color w:val="auto"/>
                <w:sz w:val="24"/>
                <w:szCs w:val="24"/>
                <w:lang w:val="en-GB"/>
              </w:rPr>
            </w:pPr>
            <w:r>
              <w:rPr>
                <w:rFonts w:hint="default" w:ascii="Times New Roman" w:hAnsi="Times New Roman" w:cs="Times New Roman"/>
                <w:bCs/>
                <w:color w:val="auto"/>
                <w:sz w:val="24"/>
                <w:szCs w:val="24"/>
                <w:lang w:val="en-GB"/>
              </w:rPr>
              <w:t>废水排放口基本情况见表4.3-</w:t>
            </w:r>
            <w:r>
              <w:rPr>
                <w:rFonts w:hint="default" w:ascii="Times New Roman" w:hAnsi="Times New Roman" w:cs="Times New Roman"/>
                <w:bCs/>
                <w:color w:val="auto"/>
                <w:sz w:val="24"/>
                <w:szCs w:val="24"/>
              </w:rPr>
              <w:t>2</w:t>
            </w:r>
            <w:r>
              <w:rPr>
                <w:rFonts w:hint="default" w:ascii="Times New Roman" w:hAnsi="Times New Roman" w:cs="Times New Roman"/>
                <w:bCs/>
                <w:color w:val="auto"/>
                <w:sz w:val="24"/>
                <w:szCs w:val="24"/>
                <w:lang w:val="en-GB"/>
              </w:rPr>
              <w:t>。</w:t>
            </w:r>
          </w:p>
          <w:p>
            <w:pPr>
              <w:pStyle w:val="99"/>
              <w:jc w:val="center"/>
              <w:rPr>
                <w:rFonts w:hint="default" w:ascii="Times New Roman" w:hAnsi="Times New Roman" w:cs="Times New Roman"/>
                <w:bCs/>
                <w:color w:val="auto"/>
                <w:sz w:val="24"/>
                <w:szCs w:val="24"/>
                <w:lang w:val="en-GB"/>
              </w:rPr>
            </w:pPr>
            <w:r>
              <w:rPr>
                <w:rFonts w:hint="default" w:ascii="Times New Roman" w:hAnsi="Times New Roman" w:cs="Times New Roman"/>
                <w:bCs/>
                <w:color w:val="auto"/>
                <w:sz w:val="24"/>
                <w:szCs w:val="24"/>
                <w:lang w:val="en-GB"/>
              </w:rPr>
              <w:t>表4.3-</w:t>
            </w:r>
            <w:r>
              <w:rPr>
                <w:rFonts w:hint="default" w:ascii="Times New Roman" w:hAnsi="Times New Roman" w:cs="Times New Roman"/>
                <w:bCs/>
                <w:color w:val="auto"/>
                <w:sz w:val="24"/>
                <w:szCs w:val="24"/>
              </w:rPr>
              <w:t>2</w:t>
            </w:r>
            <w:r>
              <w:rPr>
                <w:rFonts w:hint="default" w:ascii="Times New Roman" w:hAnsi="Times New Roman" w:cs="Times New Roman"/>
                <w:bCs/>
                <w:color w:val="auto"/>
                <w:sz w:val="24"/>
                <w:szCs w:val="24"/>
                <w:lang w:val="en-GB"/>
              </w:rPr>
              <w:t>废水间接排放口基本情况一览表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713"/>
              <w:gridCol w:w="769"/>
              <w:gridCol w:w="769"/>
              <w:gridCol w:w="701"/>
              <w:gridCol w:w="611"/>
              <w:gridCol w:w="877"/>
              <w:gridCol w:w="611"/>
              <w:gridCol w:w="993"/>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restar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w:t>
                  </w:r>
                </w:p>
              </w:tc>
              <w:tc>
                <w:tcPr>
                  <w:tcW w:w="713"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排放口名称</w:t>
                  </w:r>
                </w:p>
              </w:tc>
              <w:tc>
                <w:tcPr>
                  <w:tcW w:w="1538" w:type="dxa"/>
                  <w:gridSpan w:val="2"/>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排放口地理坐标</w:t>
                  </w:r>
                </w:p>
              </w:tc>
              <w:tc>
                <w:tcPr>
                  <w:tcW w:w="701"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排放口类型</w:t>
                  </w:r>
                </w:p>
              </w:tc>
              <w:tc>
                <w:tcPr>
                  <w:tcW w:w="611" w:type="dxa"/>
                  <w:vMerge w:val="restar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排放去向</w:t>
                  </w:r>
                </w:p>
              </w:tc>
              <w:tc>
                <w:tcPr>
                  <w:tcW w:w="877" w:type="dxa"/>
                  <w:vMerge w:val="restar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排放规律</w:t>
                  </w:r>
                </w:p>
              </w:tc>
              <w:tc>
                <w:tcPr>
                  <w:tcW w:w="2692" w:type="dxa"/>
                  <w:gridSpan w:val="3"/>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769"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701" w:type="dxa"/>
                  <w:vMerge w:val="continue"/>
                  <w:tcBorders>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污染物种类</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DW001</w:t>
                  </w:r>
                </w:p>
              </w:tc>
              <w:tc>
                <w:tcPr>
                  <w:tcW w:w="713"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生化池</w:t>
                  </w:r>
                  <w:r>
                    <w:rPr>
                      <w:rFonts w:hint="default" w:ascii="Times New Roman" w:hAnsi="Times New Roman" w:cs="Times New Roman"/>
                      <w:color w:val="auto"/>
                      <w:sz w:val="21"/>
                      <w:szCs w:val="21"/>
                      <w:highlight w:val="none"/>
                    </w:rPr>
                    <w:t>排放口</w:t>
                  </w:r>
                </w:p>
              </w:tc>
              <w:tc>
                <w:tcPr>
                  <w:tcW w:w="769"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106°06′33.2</w:t>
                  </w:r>
                  <w:r>
                    <w:rPr>
                      <w:rFonts w:hint="eastAsia" w:cs="Times New Roman"/>
                      <w:color w:val="auto"/>
                      <w:w w:val="100"/>
                      <w:kern w:val="2"/>
                      <w:sz w:val="21"/>
                      <w:szCs w:val="21"/>
                      <w:highlight w:val="none"/>
                      <w:lang w:val="en-US" w:eastAsia="zh-CN" w:bidi="ar-SA"/>
                    </w:rPr>
                    <w:t>00</w:t>
                  </w:r>
                  <w:r>
                    <w:rPr>
                      <w:rFonts w:hint="default" w:ascii="Times New Roman" w:hAnsi="Times New Roman" w:eastAsia="宋体" w:cs="Times New Roman"/>
                      <w:color w:val="auto"/>
                      <w:w w:val="100"/>
                      <w:kern w:val="2"/>
                      <w:sz w:val="21"/>
                      <w:szCs w:val="21"/>
                      <w:highlight w:val="none"/>
                      <w:lang w:val="en-US" w:eastAsia="zh-CN" w:bidi="ar-SA"/>
                    </w:rPr>
                    <w:t>″</w:t>
                  </w:r>
                </w:p>
              </w:tc>
              <w:tc>
                <w:tcPr>
                  <w:tcW w:w="769"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29°51′25.52</w:t>
                  </w:r>
                  <w:r>
                    <w:rPr>
                      <w:rFonts w:hint="eastAsia" w:ascii="Times New Roman" w:hAnsi="Times New Roman" w:eastAsia="宋体" w:cs="Times New Roman"/>
                      <w:color w:val="auto"/>
                      <w:w w:val="100"/>
                      <w:kern w:val="2"/>
                      <w:sz w:val="21"/>
                      <w:szCs w:val="21"/>
                      <w:highlight w:val="none"/>
                      <w:lang w:val="en-US" w:eastAsia="zh-CN" w:bidi="ar-SA"/>
                    </w:rPr>
                    <w:t>0</w:t>
                  </w:r>
                  <w:r>
                    <w:rPr>
                      <w:rFonts w:hint="default" w:ascii="Times New Roman" w:hAnsi="Times New Roman" w:eastAsia="宋体" w:cs="Times New Roman"/>
                      <w:color w:val="auto"/>
                      <w:w w:val="100"/>
                      <w:kern w:val="2"/>
                      <w:sz w:val="21"/>
                      <w:szCs w:val="21"/>
                      <w:highlight w:val="none"/>
                      <w:lang w:val="en-US" w:eastAsia="zh-CN" w:bidi="ar-SA"/>
                    </w:rPr>
                    <w:t>″</w:t>
                  </w:r>
                </w:p>
              </w:tc>
              <w:tc>
                <w:tcPr>
                  <w:tcW w:w="701"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一般排放口</w:t>
                  </w:r>
                </w:p>
              </w:tc>
              <w:tc>
                <w:tcPr>
                  <w:tcW w:w="611"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rPr>
                    <w:t>蒲吕污水处理厂</w:t>
                  </w:r>
                </w:p>
              </w:tc>
              <w:tc>
                <w:tcPr>
                  <w:tcW w:w="877"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间断排放，流量不稳定无规律</w:t>
                  </w:r>
                </w:p>
              </w:tc>
              <w:tc>
                <w:tcPr>
                  <w:tcW w:w="611" w:type="dxa"/>
                  <w:vMerge w:val="restart"/>
                  <w:tcBorders>
                    <w:top w:val="single" w:color="auto" w:sz="4" w:space="0"/>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rPr>
                    <w:t>蒲吕污水处理厂</w:t>
                  </w: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highlight w:val="none"/>
                      <w:lang w:val="en-US" w:eastAsia="zh-CN" w:bidi="ar-SA"/>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w w:val="100"/>
                      <w:kern w:val="2"/>
                      <w:sz w:val="21"/>
                      <w:szCs w:val="21"/>
                      <w:highlight w:val="none"/>
                      <w:lang w:val="en-US" w:eastAsia="zh-CN" w:bidi="ar-SA"/>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石油类</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TP</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TN</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动植物油</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13"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69"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70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877"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611" w:type="dxa"/>
                  <w:vMerge w:val="continue"/>
                  <w:tcBorders>
                    <w:left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ascii="Times New Roman" w:hAnsi="Times New Roman" w:cs="Times New Roman"/>
                      <w:color w:val="auto"/>
                      <w:sz w:val="21"/>
                      <w:szCs w:val="21"/>
                      <w:highlight w:val="none"/>
                    </w:rPr>
                  </w:pPr>
                </w:p>
              </w:tc>
              <w:tc>
                <w:tcPr>
                  <w:tcW w:w="993"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LAS</w:t>
                  </w:r>
                </w:p>
              </w:tc>
              <w:tc>
                <w:tcPr>
                  <w:tcW w:w="1088"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pPr>
                    <w:pStyle w:val="41"/>
                    <w:spacing w:line="240" w:lineRule="auto"/>
                    <w:jc w:val="center"/>
                    <w:rPr>
                      <w:rFonts w:hint="default" w:cs="Times New Roman"/>
                      <w:color w:val="auto"/>
                      <w:sz w:val="21"/>
                      <w:szCs w:val="21"/>
                      <w:highlight w:val="none"/>
                      <w:lang w:val="en-US" w:eastAsia="zh-CN"/>
                    </w:rPr>
                  </w:pPr>
                  <w:r>
                    <w:rPr>
                      <w:rFonts w:hint="eastAsia" w:cs="Times New Roman"/>
                      <w:color w:val="auto"/>
                      <w:lang w:val="en-US" w:eastAsia="zh-CN"/>
                    </w:rPr>
                    <w:t>1.0</w:t>
                  </w:r>
                </w:p>
              </w:tc>
            </w:tr>
          </w:tbl>
          <w:p>
            <w:pPr>
              <w:ind w:firstLine="482"/>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4.3.3废水处理工艺可行性分析</w:t>
            </w:r>
            <w:r>
              <w:rPr>
                <w:rFonts w:hint="default" w:ascii="Times New Roman" w:hAnsi="Times New Roman" w:cs="Times New Roman"/>
                <w:color w:val="auto"/>
                <w:sz w:val="24"/>
                <w:szCs w:val="24"/>
                <w:highlight w:val="none"/>
              </w:rPr>
              <w:t xml:space="preserve"> </w:t>
            </w:r>
          </w:p>
          <w:p>
            <w:pPr>
              <w:widowControl/>
              <w:ind w:firstLine="482"/>
              <w:jc w:val="left"/>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rPr>
              <w:t>（1）废水</w:t>
            </w:r>
            <w:r>
              <w:rPr>
                <w:rFonts w:hint="eastAsia" w:cs="Times New Roman"/>
                <w:b/>
                <w:bCs/>
                <w:color w:val="auto"/>
                <w:sz w:val="24"/>
                <w:szCs w:val="24"/>
                <w:highlight w:val="none"/>
                <w:lang w:eastAsia="zh-CN"/>
              </w:rPr>
              <w:t>处理设备工艺</w:t>
            </w:r>
            <w:r>
              <w:rPr>
                <w:rFonts w:hint="default" w:ascii="Times New Roman" w:hAnsi="Times New Roman" w:cs="Times New Roman"/>
                <w:b/>
                <w:bCs/>
                <w:color w:val="auto"/>
                <w:sz w:val="24"/>
                <w:szCs w:val="24"/>
                <w:highlight w:val="none"/>
              </w:rPr>
              <w:t>分析</w:t>
            </w:r>
          </w:p>
          <w:p>
            <w:pPr>
              <w:widowControl/>
              <w:ind w:firstLine="480"/>
              <w:jc w:val="both"/>
              <w:rPr>
                <w:rFonts w:hint="eastAsia" w:cs="Times New Roman"/>
                <w:color w:val="auto"/>
                <w:sz w:val="24"/>
                <w:szCs w:val="24"/>
                <w:vertAlign w:val="baseline"/>
                <w:lang w:val="en-US" w:eastAsia="zh-CN"/>
              </w:rPr>
            </w:pPr>
            <w:r>
              <w:rPr>
                <w:rFonts w:hint="default" w:ascii="Times New Roman" w:hAnsi="Times New Roman" w:cs="Times New Roman"/>
                <w:color w:val="auto"/>
                <w:sz w:val="24"/>
                <w:szCs w:val="24"/>
              </w:rPr>
              <w:t>拟建项目</w:t>
            </w:r>
            <w:r>
              <w:rPr>
                <w:rFonts w:hint="eastAsia" w:cs="Times New Roman"/>
                <w:color w:val="auto"/>
                <w:sz w:val="24"/>
                <w:szCs w:val="24"/>
                <w:lang w:eastAsia="zh-CN"/>
              </w:rPr>
              <w:t>排放的废水主要有食堂废水、地面清洁废水、生活污水、冷却循环废水</w:t>
            </w:r>
            <w:r>
              <w:rPr>
                <w:rFonts w:hint="default" w:ascii="Times New Roman" w:hAnsi="Times New Roman" w:cs="Times New Roman"/>
                <w:color w:val="auto"/>
                <w:sz w:val="24"/>
                <w:szCs w:val="24"/>
              </w:rPr>
              <w:t>。</w:t>
            </w:r>
            <w:r>
              <w:rPr>
                <w:rFonts w:hint="eastAsia" w:cs="Times New Roman"/>
                <w:color w:val="auto"/>
                <w:sz w:val="24"/>
                <w:szCs w:val="24"/>
                <w:lang w:eastAsia="zh-CN"/>
              </w:rPr>
              <w:t>项目自建隔油池处理能力</w:t>
            </w:r>
            <w:r>
              <w:rPr>
                <w:rFonts w:hint="eastAsia" w:cs="Times New Roman"/>
                <w:color w:val="auto"/>
                <w:sz w:val="24"/>
                <w:szCs w:val="24"/>
                <w:lang w:val="en-US" w:eastAsia="zh-CN"/>
              </w:rPr>
              <w:t>5m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/d，接纳的日最大废水量4.33</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/d；项目自建的生化池采用厌氧工艺，处理能力为30</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/d，接纳的日最大废水量17.08</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/d。拟建项目废水水质较简单，采用的废水处理工艺能够处理后达标排放，且项目隔油池、生化池的日处理能力能够满足接纳项目废水排放。</w:t>
            </w:r>
          </w:p>
          <w:p>
            <w:pPr>
              <w:widowControl/>
              <w:ind w:firstLine="480"/>
              <w:jc w:val="both"/>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综上所述，拟建项目废水处理设备工艺可行。</w:t>
            </w:r>
          </w:p>
          <w:p>
            <w:pPr>
              <w:widowControl/>
              <w:spacing w:line="360" w:lineRule="auto"/>
              <w:ind w:firstLine="482"/>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（2）东城污水处理厂依托可行性</w:t>
            </w:r>
          </w:p>
          <w:p>
            <w:pPr>
              <w:adjustRightInd w:val="0"/>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东城污水处理厂位于东城街道全兴社区（全德大桥桥头），设计处理规模10000m</w:t>
            </w:r>
            <w:r>
              <w:rPr>
                <w:rFonts w:ascii="Times New Roman" w:hAnsi="Times New Roman" w:cs="Times New Roman"/>
                <w:color w:val="auto"/>
                <w:vertAlign w:val="superscript"/>
              </w:rPr>
              <w:t>3</w:t>
            </w:r>
            <w:r>
              <w:rPr>
                <w:rFonts w:ascii="Times New Roman" w:hAnsi="Times New Roman" w:cs="Times New Roman"/>
                <w:color w:val="auto"/>
              </w:rPr>
              <w:t>/d，目前日处理污水量为8000 m</w:t>
            </w:r>
            <w:r>
              <w:rPr>
                <w:rFonts w:ascii="Times New Roman" w:hAnsi="Times New Roman" w:cs="Times New Roman"/>
                <w:color w:val="auto"/>
                <w:vertAlign w:val="superscript"/>
              </w:rPr>
              <w:t>3</w:t>
            </w:r>
            <w:r>
              <w:rPr>
                <w:rFonts w:ascii="Times New Roman" w:hAnsi="Times New Roman" w:cs="Times New Roman"/>
                <w:color w:val="auto"/>
              </w:rPr>
              <w:t>/d -9000m</w:t>
            </w:r>
            <w:r>
              <w:rPr>
                <w:rFonts w:ascii="Times New Roman" w:hAnsi="Times New Roman" w:cs="Times New Roman"/>
                <w:color w:val="auto"/>
                <w:vertAlign w:val="superscript"/>
              </w:rPr>
              <w:t>3</w:t>
            </w:r>
            <w:r>
              <w:rPr>
                <w:rFonts w:ascii="Times New Roman" w:hAnsi="Times New Roman" w:cs="Times New Roman"/>
                <w:color w:val="auto"/>
              </w:rPr>
              <w:t>/d，工业废水与生活污水占比为7:3，污水处理工艺为HASN工艺（高效厌氧＋短程硝化），出水水质执行《城镇污水处理厂污染物排放标准》一级B标准。根据污水厂规划，东城污水厂远期规模14万m</w:t>
            </w:r>
            <w:r>
              <w:rPr>
                <w:rFonts w:ascii="Times New Roman" w:hAnsi="Times New Roman" w:cs="Times New Roman"/>
                <w:color w:val="auto"/>
                <w:vertAlign w:val="superscript"/>
              </w:rPr>
              <w:t>3</w:t>
            </w:r>
            <w:r>
              <w:rPr>
                <w:rFonts w:ascii="Times New Roman" w:hAnsi="Times New Roman" w:cs="Times New Roman"/>
                <w:color w:val="auto"/>
              </w:rPr>
              <w:t>/d，近期规模6万m</w:t>
            </w:r>
            <w:r>
              <w:rPr>
                <w:rFonts w:ascii="Times New Roman" w:hAnsi="Times New Roman" w:cs="Times New Roman"/>
                <w:color w:val="auto"/>
                <w:vertAlign w:val="superscript"/>
              </w:rPr>
              <w:t>3</w:t>
            </w:r>
            <w:r>
              <w:rPr>
                <w:rFonts w:ascii="Times New Roman" w:hAnsi="Times New Roman" w:cs="Times New Roman"/>
                <w:color w:val="auto"/>
              </w:rPr>
              <w:t>/d，目前即将启动扩建1万m</w:t>
            </w:r>
            <w:r>
              <w:rPr>
                <w:rFonts w:ascii="Times New Roman" w:hAnsi="Times New Roman" w:cs="Times New Roman"/>
                <w:color w:val="auto"/>
                <w:vertAlign w:val="superscript"/>
              </w:rPr>
              <w:t>3</w:t>
            </w:r>
            <w:r>
              <w:rPr>
                <w:rFonts w:ascii="Times New Roman" w:hAnsi="Times New Roman" w:cs="Times New Roman"/>
                <w:color w:val="auto"/>
              </w:rPr>
              <w:t>/d工程和现有工程提标至《城镇污水处理厂污染物排放标准》一级A标准，预计2024年底前建成投运，届时东城污水厂规模为 2万m</w:t>
            </w:r>
            <w:r>
              <w:rPr>
                <w:rFonts w:ascii="Times New Roman" w:hAnsi="Times New Roman" w:cs="Times New Roman"/>
                <w:color w:val="auto"/>
                <w:vertAlign w:val="superscript"/>
              </w:rPr>
              <w:t>3</w:t>
            </w:r>
            <w:r>
              <w:rPr>
                <w:rFonts w:ascii="Times New Roman" w:hAnsi="Times New Roman" w:cs="Times New Roman"/>
                <w:color w:val="auto"/>
              </w:rPr>
              <w:t>/d，处理达到一级A标准后外排淮远河。</w:t>
            </w:r>
          </w:p>
          <w:p>
            <w:pPr>
              <w:adjustRightInd w:val="0"/>
              <w:snapToGrid w:val="0"/>
              <w:spacing w:line="360" w:lineRule="auto"/>
              <w:ind w:firstLine="480" w:firstLineChars="200"/>
              <w:rPr>
                <w:rFonts w:hint="default" w:ascii="Times New Roman" w:hAnsi="Times New Roman" w:cs="Times New Roman"/>
                <w:bCs/>
                <w:color w:val="auto"/>
                <w:sz w:val="24"/>
                <w:szCs w:val="24"/>
                <w:lang w:bidi="ar"/>
              </w:rPr>
            </w:pPr>
            <w:r>
              <w:rPr>
                <w:rFonts w:ascii="Times New Roman" w:hAnsi="Times New Roman" w:cs="Times New Roman"/>
                <w:color w:val="auto"/>
              </w:rPr>
              <w:t>拟建项目污废水总排放量为</w:t>
            </w:r>
            <w:r>
              <w:rPr>
                <w:rFonts w:hint="eastAsia" w:cs="Times New Roman"/>
                <w:color w:val="auto"/>
                <w:sz w:val="24"/>
                <w:szCs w:val="24"/>
                <w:vertAlign w:val="baseline"/>
                <w:lang w:val="en-US" w:eastAsia="zh-CN"/>
              </w:rPr>
              <w:t>17.08</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/d</w:t>
            </w:r>
            <w:r>
              <w:rPr>
                <w:rFonts w:ascii="Times New Roman" w:hAnsi="Times New Roman" w:cs="Times New Roman"/>
                <w:color w:val="auto"/>
              </w:rPr>
              <w:t>，属于东城污水处理厂服务范围，且能够通过已建管网接入该污水处理厂对污水进行处理；该污水处理厂接纳标准为满足《污水综合排放标准》（GB8978-1996）三级标准要求，拟建项目废水排放浓度满足《污水综合排放标准》（GB8978-1996）三级标准要求。因此项目依托东城污水处理厂可行</w:t>
            </w:r>
            <w:r>
              <w:rPr>
                <w:rFonts w:hint="default" w:ascii="Times New Roman" w:hAnsi="Times New Roman" w:cs="Times New Roman"/>
                <w:bCs/>
                <w:color w:val="auto"/>
                <w:sz w:val="24"/>
                <w:szCs w:val="24"/>
                <w:lang w:bidi="ar"/>
              </w:rPr>
              <w:t>。</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bCs/>
                <w:color w:val="auto"/>
                <w:sz w:val="24"/>
                <w:szCs w:val="24"/>
                <w:lang w:bidi="ar"/>
              </w:rPr>
              <w:t>综上，</w:t>
            </w:r>
            <w:r>
              <w:rPr>
                <w:rFonts w:hint="default" w:ascii="Times New Roman" w:hAnsi="Times New Roman" w:cs="Times New Roman"/>
                <w:bCs/>
                <w:color w:val="auto"/>
                <w:sz w:val="24"/>
                <w:szCs w:val="24"/>
                <w:lang w:eastAsia="zh-CN" w:bidi="ar"/>
              </w:rPr>
              <w:t>拟建项目</w:t>
            </w:r>
            <w:r>
              <w:rPr>
                <w:rFonts w:hint="default" w:ascii="Times New Roman" w:hAnsi="Times New Roman" w:cs="Times New Roman"/>
                <w:bCs/>
                <w:color w:val="auto"/>
                <w:sz w:val="24"/>
                <w:szCs w:val="24"/>
                <w:lang w:bidi="ar"/>
              </w:rPr>
              <w:t>废水采取以上措施处理可行。</w:t>
            </w:r>
          </w:p>
          <w:p>
            <w:pPr>
              <w:ind w:firstLine="482"/>
              <w:rPr>
                <w:rFonts w:hint="default" w:ascii="Times New Roman" w:hAnsi="Times New Roman" w:cs="Times New Roman"/>
                <w:b/>
                <w:bCs/>
                <w:color w:val="auto"/>
                <w:sz w:val="24"/>
                <w:szCs w:val="24"/>
              </w:rPr>
            </w:pPr>
            <w:r>
              <w:rPr>
                <w:rFonts w:hint="default" w:ascii="Times New Roman" w:hAnsi="Times New Roman" w:cs="Times New Roman"/>
                <w:b/>
                <w:color w:val="auto"/>
                <w:sz w:val="24"/>
                <w:szCs w:val="24"/>
              </w:rPr>
              <w:t>4.3.4</w:t>
            </w:r>
            <w:r>
              <w:rPr>
                <w:rFonts w:hint="default" w:ascii="Times New Roman" w:hAnsi="Times New Roman" w:cs="Times New Roman"/>
                <w:b/>
                <w:bCs/>
                <w:color w:val="auto"/>
                <w:sz w:val="24"/>
                <w:szCs w:val="24"/>
              </w:rPr>
              <w:t>环境监测计划</w:t>
            </w:r>
          </w:p>
          <w:p>
            <w:pPr>
              <w:pStyle w:val="104"/>
              <w:ind w:firstLine="48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根据《固定污染源排污许可分类管理名录》（2019年版），项目属于</w:t>
            </w:r>
            <w:r>
              <w:rPr>
                <w:rFonts w:hint="eastAsia" w:cs="Times New Roman"/>
                <w:color w:val="auto"/>
                <w:sz w:val="24"/>
                <w:szCs w:val="24"/>
                <w:lang w:eastAsia="zh-CN"/>
              </w:rPr>
              <w:t>“二十四、橡胶和塑料制品业</w:t>
            </w:r>
            <w:r>
              <w:rPr>
                <w:rFonts w:hint="eastAsia" w:cs="Times New Roman"/>
                <w:color w:val="auto"/>
                <w:sz w:val="24"/>
                <w:szCs w:val="24"/>
                <w:lang w:val="en-US" w:eastAsia="zh-CN"/>
              </w:rPr>
              <w:t xml:space="preserve"> 62.塑料制品业292</w:t>
            </w:r>
            <w:r>
              <w:rPr>
                <w:rFonts w:hint="eastAsia" w:cs="Times New Roman"/>
                <w:color w:val="auto"/>
                <w:sz w:val="24"/>
                <w:szCs w:val="24"/>
                <w:lang w:eastAsia="zh-CN"/>
              </w:rPr>
              <w:t>”</w:t>
            </w:r>
            <w:r>
              <w:rPr>
                <w:rFonts w:hint="default" w:ascii="Times New Roman" w:hAnsi="Times New Roman" w:cs="Times New Roman"/>
                <w:color w:val="auto"/>
                <w:sz w:val="24"/>
                <w:szCs w:val="24"/>
              </w:rPr>
              <w:t>中</w:t>
            </w:r>
            <w:r>
              <w:rPr>
                <w:rFonts w:hint="eastAsia" w:cs="Times New Roman"/>
                <w:color w:val="auto"/>
                <w:sz w:val="24"/>
                <w:szCs w:val="24"/>
                <w:lang w:eastAsia="zh-CN"/>
              </w:rPr>
              <w:t>“年产1万吨及以上涉及改性的塑料薄膜制造2921，塑料丝、绳和编织品制造2923，塑料零件及其他塑料制品制造2929”</w:t>
            </w:r>
            <w:r>
              <w:rPr>
                <w:rFonts w:hint="default" w:ascii="Times New Roman" w:hAnsi="Times New Roman" w:cs="Times New Roman"/>
                <w:color w:val="auto"/>
                <w:sz w:val="24"/>
                <w:szCs w:val="24"/>
              </w:rPr>
              <w:t>，实行排污简化管理。需要申请取得排污许可证，应当在全国排污许可证管理信息平台申报排污许可证</w:t>
            </w:r>
            <w:r>
              <w:rPr>
                <w:rFonts w:hint="eastAsia" w:cs="Times New Roman"/>
                <w:color w:val="auto"/>
                <w:sz w:val="24"/>
                <w:szCs w:val="24"/>
                <w:lang w:eastAsia="zh-CN"/>
              </w:rPr>
              <w:t>。</w:t>
            </w:r>
          </w:p>
          <w:p>
            <w:pPr>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根据《排污单位自行监测技术指南 橡胶和塑料制品工业》（HJ 1207-2021）</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rPr>
              <w:t>《排污单位自行监测技术指南 总则》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HJ819-2017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拟建项目废水</w:t>
            </w:r>
            <w:r>
              <w:rPr>
                <w:rFonts w:hint="default" w:ascii="Times New Roman" w:hAnsi="Times New Roman" w:cs="Times New Roman"/>
                <w:color w:val="auto"/>
                <w:sz w:val="24"/>
                <w:szCs w:val="24"/>
              </w:rPr>
              <w:t>监测计划详见表4.3-3。</w:t>
            </w:r>
          </w:p>
          <w:p>
            <w:pPr>
              <w:pStyle w:val="4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表4.3-3 环境监测计划一览表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170"/>
              <w:gridCol w:w="1182"/>
              <w:gridCol w:w="1223"/>
              <w:gridCol w:w="2051"/>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731"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污染源类别/监测类别</w:t>
                  </w:r>
                </w:p>
              </w:tc>
              <w:tc>
                <w:tcPr>
                  <w:tcW w:w="738"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764"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排放口名称/监测点位名称</w:t>
                  </w:r>
                </w:p>
              </w:tc>
              <w:tc>
                <w:tcPr>
                  <w:tcW w:w="1281"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194"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288"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31"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综合废水</w:t>
                  </w:r>
                </w:p>
              </w:tc>
              <w:tc>
                <w:tcPr>
                  <w:tcW w:w="738"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764" w:type="pct"/>
                  <w:tcMar>
                    <w:top w:w="28" w:type="dxa"/>
                    <w:left w:w="28" w:type="dxa"/>
                    <w:bottom w:w="28" w:type="dxa"/>
                    <w:right w:w="28" w:type="dxa"/>
                  </w:tcMar>
                  <w:vAlign w:val="center"/>
                </w:tcPr>
                <w:p>
                  <w:pPr>
                    <w:pStyle w:val="4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生化池排口</w:t>
                  </w:r>
                </w:p>
              </w:tc>
              <w:tc>
                <w:tcPr>
                  <w:tcW w:w="1281" w:type="pct"/>
                  <w:tcMar>
                    <w:top w:w="28" w:type="dxa"/>
                    <w:left w:w="28" w:type="dxa"/>
                    <w:bottom w:w="28" w:type="dxa"/>
                    <w:right w:w="28" w:type="dxa"/>
                  </w:tcMar>
                  <w:vAlign w:val="center"/>
                </w:tcPr>
                <w:p>
                  <w:pPr>
                    <w:pStyle w:val="44"/>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废水量、</w:t>
                  </w:r>
                  <w:r>
                    <w:rPr>
                      <w:rFonts w:hint="default" w:ascii="Times New Roman" w:hAnsi="Times New Roman" w:cs="Times New Roman"/>
                      <w:color w:val="auto"/>
                      <w:sz w:val="21"/>
                      <w:szCs w:val="21"/>
                    </w:rPr>
                    <w:t>pH、COD、BOD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eastAsia="zh-CN"/>
                    </w:rPr>
                    <w:t>石油类、</w:t>
                  </w:r>
                  <w:r>
                    <w:rPr>
                      <w:rFonts w:hint="default" w:ascii="Times New Roman" w:hAnsi="Times New Roman" w:cs="Times New Roman"/>
                      <w:color w:val="auto"/>
                      <w:sz w:val="21"/>
                      <w:szCs w:val="21"/>
                    </w:rPr>
                    <w:t>TP、TN</w:t>
                  </w:r>
                  <w:r>
                    <w:rPr>
                      <w:rFonts w:hint="eastAsia" w:cs="Times New Roman"/>
                      <w:color w:val="auto"/>
                      <w:sz w:val="21"/>
                      <w:szCs w:val="21"/>
                      <w:lang w:eastAsia="zh-CN"/>
                    </w:rPr>
                    <w:t>、动植物油、</w:t>
                  </w:r>
                  <w:r>
                    <w:rPr>
                      <w:rFonts w:hint="eastAsia" w:cs="Times New Roman"/>
                      <w:color w:val="auto"/>
                      <w:sz w:val="21"/>
                      <w:szCs w:val="21"/>
                      <w:lang w:val="en-US" w:eastAsia="zh-CN"/>
                    </w:rPr>
                    <w:t>LAS</w:t>
                  </w:r>
                </w:p>
              </w:tc>
              <w:tc>
                <w:tcPr>
                  <w:tcW w:w="1194" w:type="pct"/>
                  <w:tcMar>
                    <w:top w:w="28" w:type="dxa"/>
                    <w:left w:w="28" w:type="dxa"/>
                    <w:bottom w:w="28" w:type="dxa"/>
                    <w:right w:w="28" w:type="dxa"/>
                  </w:tcMar>
                  <w:vAlign w:val="center"/>
                </w:tcPr>
                <w:p>
                  <w:pPr>
                    <w:pStyle w:val="44"/>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验收时监测一次，以后</w:t>
                  </w:r>
                  <w:r>
                    <w:rPr>
                      <w:rFonts w:hint="default" w:ascii="Times New Roman" w:hAnsi="Times New Roman" w:cs="Times New Roman"/>
                      <w:color w:val="auto"/>
                      <w:sz w:val="21"/>
                      <w:szCs w:val="21"/>
                      <w:lang w:eastAsia="zh-CN"/>
                    </w:rPr>
                    <w:t>半</w:t>
                  </w:r>
                  <w:r>
                    <w:rPr>
                      <w:rFonts w:hint="default" w:ascii="Times New Roman" w:hAnsi="Times New Roman" w:cs="Times New Roman"/>
                      <w:color w:val="auto"/>
                      <w:sz w:val="21"/>
                      <w:szCs w:val="21"/>
                      <w:lang w:val="en-US" w:eastAsia="zh-CN"/>
                    </w:rPr>
                    <w:t>年监测1次</w:t>
                  </w:r>
                </w:p>
              </w:tc>
            </w:tr>
          </w:tbl>
          <w:p>
            <w:pPr>
              <w:pStyle w:val="99"/>
              <w:spacing w:line="360" w:lineRule="auto"/>
              <w:jc w:val="both"/>
              <w:rPr>
                <w:rFonts w:hint="default" w:ascii="Times New Roman" w:hAnsi="Times New Roman" w:cs="Times New Roman"/>
                <w:b/>
                <w:snapToGrid w:val="0"/>
                <w:color w:val="auto"/>
                <w:sz w:val="24"/>
                <w:szCs w:val="24"/>
                <w:highlight w:val="none"/>
              </w:rPr>
            </w:pPr>
            <w:r>
              <w:rPr>
                <w:rFonts w:hint="default" w:ascii="Times New Roman" w:hAnsi="Times New Roman" w:cs="Times New Roman"/>
                <w:b/>
                <w:snapToGrid w:val="0"/>
                <w:color w:val="auto"/>
                <w:sz w:val="24"/>
                <w:szCs w:val="24"/>
                <w:highlight w:val="none"/>
              </w:rPr>
              <w:t>4.4噪声影响分析及治理措施</w:t>
            </w:r>
          </w:p>
          <w:p>
            <w:pPr>
              <w:pStyle w:val="99"/>
              <w:spacing w:line="360" w:lineRule="auto"/>
              <w:ind w:firstLine="482" w:firstLineChars="200"/>
              <w:jc w:val="both"/>
              <w:rPr>
                <w:rFonts w:hint="eastAsia" w:ascii="Times New Roman" w:eastAsia="Calibri" w:cs="Times New Roman"/>
                <w:b/>
                <w:bCs w:val="0"/>
                <w:color w:val="auto"/>
              </w:rPr>
            </w:pPr>
            <w:r>
              <w:rPr>
                <w:rFonts w:hint="eastAsia" w:ascii="Times New Roman" w:eastAsia="宋体" w:cs="Times New Roman"/>
                <w:b/>
                <w:bCs w:val="0"/>
                <w:color w:val="auto"/>
                <w:lang w:val="en-US" w:eastAsia="zh-CN"/>
              </w:rPr>
              <w:t>4.4.</w:t>
            </w:r>
            <w:r>
              <w:rPr>
                <w:rFonts w:hint="eastAsia" w:ascii="Times New Roman" w:cs="Times New Roman"/>
                <w:b/>
                <w:bCs w:val="0"/>
                <w:color w:val="auto"/>
                <w:lang w:val="en-US" w:eastAsia="zh-CN"/>
              </w:rPr>
              <w:t>1</w:t>
            </w:r>
            <w:r>
              <w:rPr>
                <w:rFonts w:hint="eastAsia" w:ascii="Times New Roman" w:eastAsia="Calibri" w:cs="Times New Roman"/>
                <w:b/>
                <w:bCs w:val="0"/>
                <w:color w:val="auto"/>
              </w:rPr>
              <w:t>噪声源强分析</w:t>
            </w:r>
          </w:p>
          <w:p>
            <w:pPr>
              <w:pStyle w:val="99"/>
              <w:spacing w:line="360" w:lineRule="auto"/>
              <w:ind w:firstLine="480" w:firstLineChars="200"/>
              <w:jc w:val="both"/>
              <w:rPr>
                <w:rFonts w:ascii="Times New Roman" w:eastAsia="Calibri" w:cs="Times New Roman"/>
                <w:bCs/>
                <w:color w:val="auto"/>
              </w:rPr>
            </w:pPr>
            <w:r>
              <w:rPr>
                <w:rFonts w:hint="eastAsia" w:ascii="Times New Roman" w:eastAsia="Calibri" w:cs="Times New Roman"/>
                <w:bCs/>
                <w:color w:val="auto"/>
              </w:rPr>
              <w:t>拟建项目噪声主要来源为</w:t>
            </w:r>
            <w:r>
              <w:rPr>
                <w:rFonts w:hint="eastAsia" w:ascii="Times New Roman" w:eastAsia="宋体" w:cs="Times New Roman"/>
                <w:bCs/>
                <w:color w:val="auto"/>
                <w:lang w:eastAsia="zh-CN"/>
              </w:rPr>
              <w:t>分切机、复卷机（小）、</w:t>
            </w:r>
            <w:r>
              <w:rPr>
                <w:rFonts w:hint="eastAsia" w:ascii="Times New Roman" w:cs="Times New Roman"/>
                <w:bCs/>
                <w:color w:val="auto"/>
                <w:lang w:eastAsia="zh-CN"/>
              </w:rPr>
              <w:t>复卷机（中）、复卷机（大）、自动切割机、卷管机、切管机、流延机、拌料机、气柱膜机、吹膜机、压扁机、自动磨刀机、</w:t>
            </w:r>
            <w:r>
              <w:rPr>
                <w:rFonts w:hint="eastAsia" w:ascii="Times New Roman" w:eastAsia="宋体" w:cs="Times New Roman"/>
                <w:bCs/>
                <w:color w:val="auto"/>
                <w:lang w:eastAsia="zh-CN"/>
              </w:rPr>
              <w:t>风机（</w:t>
            </w:r>
            <w:r>
              <w:rPr>
                <w:rFonts w:hint="eastAsia" w:ascii="Times New Roman" w:cs="Times New Roman"/>
                <w:bCs/>
                <w:color w:val="auto"/>
                <w:lang w:val="en-US" w:eastAsia="zh-CN"/>
              </w:rPr>
              <w:t>隔声罩可在生源处降低25</w:t>
            </w:r>
            <w:r>
              <w:rPr>
                <w:rFonts w:hint="eastAsia" w:ascii="Times New Roman" w:eastAsia="Calibri" w:cs="Times New Roman"/>
                <w:bCs/>
                <w:color w:val="auto"/>
              </w:rPr>
              <w:t>dB</w:t>
            </w:r>
            <w:r>
              <w:rPr>
                <w:rFonts w:hint="eastAsia" w:ascii="Times New Roman" w:eastAsia="宋体" w:cs="Times New Roman"/>
                <w:bCs/>
                <w:color w:val="auto"/>
                <w:lang w:eastAsia="zh-CN"/>
              </w:rPr>
              <w:t>，消声器个降噪</w:t>
            </w:r>
            <w:r>
              <w:rPr>
                <w:rFonts w:hint="eastAsia" w:ascii="Times New Roman" w:eastAsia="宋体" w:cs="Times New Roman"/>
                <w:bCs/>
                <w:color w:val="auto"/>
                <w:lang w:val="en-US" w:eastAsia="zh-CN"/>
              </w:rPr>
              <w:t>10</w:t>
            </w:r>
            <w:r>
              <w:rPr>
                <w:rFonts w:hint="eastAsia" w:ascii="Times New Roman" w:eastAsia="Calibri" w:cs="Times New Roman"/>
                <w:bCs/>
                <w:color w:val="auto"/>
              </w:rPr>
              <w:t>dB</w:t>
            </w:r>
            <w:r>
              <w:rPr>
                <w:rFonts w:hint="eastAsia" w:ascii="Times New Roman" w:eastAsia="宋体" w:cs="Times New Roman"/>
                <w:bCs/>
                <w:color w:val="auto"/>
                <w:lang w:eastAsia="zh-CN"/>
              </w:rPr>
              <w:t>）；</w:t>
            </w:r>
            <w:r>
              <w:rPr>
                <w:rFonts w:hint="eastAsia" w:ascii="Times New Roman" w:eastAsia="Calibri" w:cs="Times New Roman"/>
                <w:bCs/>
                <w:color w:val="auto"/>
              </w:rPr>
              <w:t>基础</w:t>
            </w:r>
            <w:r>
              <w:rPr>
                <w:rFonts w:hint="eastAsia"/>
                <w:color w:val="auto"/>
              </w:rPr>
              <w:t>减振</w:t>
            </w:r>
            <w:r>
              <w:rPr>
                <w:rFonts w:hint="eastAsia" w:ascii="Times New Roman" w:eastAsia="Calibri" w:cs="Times New Roman"/>
                <w:bCs/>
                <w:color w:val="auto"/>
              </w:rPr>
              <w:t>降噪效果取10dB</w:t>
            </w:r>
            <w:r>
              <w:rPr>
                <w:rFonts w:hint="eastAsia" w:ascii="Times New Roman" w:eastAsia="宋体" w:cs="Times New Roman"/>
                <w:bCs/>
                <w:color w:val="auto"/>
                <w:lang w:eastAsia="zh-CN"/>
              </w:rPr>
              <w:t>，</w:t>
            </w:r>
            <w:r>
              <w:rPr>
                <w:rFonts w:hint="eastAsia" w:ascii="Times New Roman" w:eastAsia="Calibri" w:cs="Times New Roman"/>
                <w:bCs/>
                <w:color w:val="auto"/>
              </w:rPr>
              <w:t>厂房隔声降噪效果为10~20dB，拟建项目取15dB。其中厂房隔声为噪声衰减过程的措施，不计入噪声源源强降噪。</w:t>
            </w:r>
          </w:p>
          <w:p>
            <w:pPr>
              <w:pStyle w:val="36"/>
              <w:spacing w:line="240" w:lineRule="auto"/>
              <w:rPr>
                <w:color w:val="auto"/>
              </w:rPr>
            </w:pPr>
            <w:r>
              <w:rPr>
                <w:rFonts w:hint="eastAsia" w:ascii="Times New Roman" w:hAnsi="Times New Roman" w:eastAsia="宋体" w:cs="Times New Roman"/>
                <w:bCs/>
                <w:color w:val="auto"/>
                <w:kern w:val="2"/>
              </w:rPr>
              <w:t>表</w:t>
            </w:r>
            <w:r>
              <w:rPr>
                <w:rFonts w:hint="eastAsia" w:ascii="Times New Roman" w:hAnsi="Times New Roman" w:eastAsia="宋体" w:cs="Times New Roman"/>
                <w:bCs/>
                <w:color w:val="auto"/>
                <w:kern w:val="2"/>
                <w:lang w:val="en-US" w:eastAsia="zh-CN"/>
              </w:rPr>
              <w:t>4.4-3</w:t>
            </w:r>
            <w:r>
              <w:rPr>
                <w:rFonts w:hint="eastAsia" w:ascii="Times New Roman" w:hAnsi="Times New Roman" w:eastAsia="宋体" w:cs="Times New Roman"/>
                <w:bCs/>
                <w:color w:val="auto"/>
                <w:kern w:val="2"/>
              </w:rPr>
              <w:t xml:space="preserve">  工业企业噪声源强调查清单（室内声源）  单位：dB（A）</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8"/>
              <w:gridCol w:w="408"/>
              <w:gridCol w:w="722"/>
              <w:gridCol w:w="475"/>
              <w:gridCol w:w="553"/>
              <w:gridCol w:w="356"/>
              <w:gridCol w:w="611"/>
              <w:gridCol w:w="610"/>
              <w:gridCol w:w="521"/>
              <w:gridCol w:w="451"/>
              <w:gridCol w:w="451"/>
              <w:gridCol w:w="451"/>
              <w:gridCol w:w="454"/>
              <w:gridCol w:w="790"/>
              <w:gridCol w:w="67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292" w:type="pct"/>
                  <w:vMerge w:val="restart"/>
                  <w:vAlign w:val="center"/>
                </w:tcPr>
                <w:p>
                  <w:pPr>
                    <w:spacing w:line="240" w:lineRule="auto"/>
                    <w:jc w:val="center"/>
                    <w:rPr>
                      <w:color w:val="auto"/>
                      <w:sz w:val="21"/>
                      <w:szCs w:val="21"/>
                    </w:rPr>
                  </w:pPr>
                  <w:r>
                    <w:rPr>
                      <w:color w:val="auto"/>
                      <w:sz w:val="21"/>
                      <w:szCs w:val="21"/>
                    </w:rPr>
                    <w:t>序号</w:t>
                  </w:r>
                </w:p>
              </w:tc>
              <w:tc>
                <w:tcPr>
                  <w:tcW w:w="255" w:type="pct"/>
                  <w:vMerge w:val="restart"/>
                  <w:vAlign w:val="center"/>
                </w:tcPr>
                <w:p>
                  <w:pPr>
                    <w:spacing w:line="240" w:lineRule="auto"/>
                    <w:jc w:val="center"/>
                    <w:rPr>
                      <w:color w:val="auto"/>
                      <w:sz w:val="21"/>
                      <w:szCs w:val="21"/>
                    </w:rPr>
                  </w:pPr>
                  <w:r>
                    <w:rPr>
                      <w:rFonts w:hint="eastAsia"/>
                      <w:color w:val="auto"/>
                      <w:sz w:val="21"/>
                      <w:szCs w:val="21"/>
                    </w:rPr>
                    <w:t>建筑物名称</w:t>
                  </w:r>
                </w:p>
              </w:tc>
              <w:tc>
                <w:tcPr>
                  <w:tcW w:w="451" w:type="pct"/>
                  <w:vMerge w:val="restart"/>
                  <w:vAlign w:val="center"/>
                </w:tcPr>
                <w:p>
                  <w:pPr>
                    <w:spacing w:line="240" w:lineRule="auto"/>
                    <w:jc w:val="center"/>
                    <w:rPr>
                      <w:color w:val="auto"/>
                      <w:sz w:val="21"/>
                      <w:szCs w:val="21"/>
                    </w:rPr>
                  </w:pPr>
                  <w:r>
                    <w:rPr>
                      <w:rFonts w:hint="eastAsia"/>
                      <w:color w:val="auto"/>
                      <w:sz w:val="21"/>
                      <w:szCs w:val="21"/>
                    </w:rPr>
                    <w:t>声源名称</w:t>
                  </w:r>
                </w:p>
              </w:tc>
              <w:tc>
                <w:tcPr>
                  <w:tcW w:w="297" w:type="pct"/>
                  <w:vMerge w:val="restart"/>
                  <w:vAlign w:val="center"/>
                </w:tcPr>
                <w:p>
                  <w:pPr>
                    <w:spacing w:line="240" w:lineRule="auto"/>
                    <w:jc w:val="center"/>
                    <w:rPr>
                      <w:color w:val="auto"/>
                      <w:sz w:val="21"/>
                      <w:szCs w:val="21"/>
                    </w:rPr>
                  </w:pPr>
                  <w:r>
                    <w:rPr>
                      <w:color w:val="auto"/>
                      <w:sz w:val="21"/>
                      <w:szCs w:val="21"/>
                    </w:rPr>
                    <w:t>数量（台）</w:t>
                  </w:r>
                </w:p>
              </w:tc>
              <w:tc>
                <w:tcPr>
                  <w:tcW w:w="345" w:type="pct"/>
                  <w:vMerge w:val="restart"/>
                  <w:vAlign w:val="center"/>
                </w:tcPr>
                <w:p>
                  <w:pPr>
                    <w:spacing w:line="240" w:lineRule="auto"/>
                    <w:jc w:val="center"/>
                    <w:rPr>
                      <w:color w:val="auto"/>
                      <w:sz w:val="21"/>
                      <w:szCs w:val="21"/>
                    </w:rPr>
                  </w:pPr>
                  <w:r>
                    <w:rPr>
                      <w:rFonts w:hint="eastAsia"/>
                      <w:color w:val="auto"/>
                      <w:sz w:val="21"/>
                      <w:szCs w:val="21"/>
                    </w:rPr>
                    <w:t>声源源强，声压级dB(A）</w:t>
                  </w:r>
                </w:p>
              </w:tc>
              <w:tc>
                <w:tcPr>
                  <w:tcW w:w="222" w:type="pct"/>
                  <w:vMerge w:val="restart"/>
                  <w:vAlign w:val="center"/>
                </w:tcPr>
                <w:p>
                  <w:pPr>
                    <w:spacing w:line="240" w:lineRule="auto"/>
                    <w:jc w:val="center"/>
                    <w:rPr>
                      <w:color w:val="auto"/>
                      <w:sz w:val="21"/>
                      <w:szCs w:val="21"/>
                    </w:rPr>
                  </w:pPr>
                  <w:r>
                    <w:rPr>
                      <w:rFonts w:hint="eastAsia"/>
                      <w:color w:val="auto"/>
                      <w:sz w:val="21"/>
                      <w:szCs w:val="21"/>
                    </w:rPr>
                    <w:t>声源控制措施</w:t>
                  </w:r>
                </w:p>
              </w:tc>
              <w:tc>
                <w:tcPr>
                  <w:tcW w:w="1089" w:type="pct"/>
                  <w:gridSpan w:val="3"/>
                  <w:vAlign w:val="center"/>
                </w:tcPr>
                <w:p>
                  <w:pPr>
                    <w:spacing w:line="240" w:lineRule="auto"/>
                    <w:jc w:val="center"/>
                    <w:rPr>
                      <w:color w:val="auto"/>
                      <w:sz w:val="21"/>
                      <w:szCs w:val="21"/>
                    </w:rPr>
                  </w:pPr>
                  <w:r>
                    <w:rPr>
                      <w:rFonts w:hint="eastAsia"/>
                      <w:color w:val="auto"/>
                      <w:sz w:val="21"/>
                      <w:szCs w:val="21"/>
                    </w:rPr>
                    <w:t>空间相对位置</w:t>
                  </w:r>
                </w:p>
              </w:tc>
              <w:tc>
                <w:tcPr>
                  <w:tcW w:w="1130" w:type="pct"/>
                  <w:gridSpan w:val="4"/>
                  <w:vAlign w:val="center"/>
                </w:tcPr>
                <w:p>
                  <w:pPr>
                    <w:spacing w:line="240" w:lineRule="auto"/>
                    <w:jc w:val="center"/>
                    <w:rPr>
                      <w:color w:val="auto"/>
                      <w:sz w:val="21"/>
                      <w:szCs w:val="21"/>
                    </w:rPr>
                  </w:pPr>
                  <w:r>
                    <w:rPr>
                      <w:rFonts w:hint="eastAsia"/>
                      <w:color w:val="auto"/>
                      <w:sz w:val="21"/>
                      <w:szCs w:val="21"/>
                    </w:rPr>
                    <w:t>距室内边界距离（m）</w:t>
                  </w:r>
                </w:p>
              </w:tc>
              <w:tc>
                <w:tcPr>
                  <w:tcW w:w="494" w:type="pct"/>
                  <w:vMerge w:val="restart"/>
                  <w:vAlign w:val="center"/>
                </w:tcPr>
                <w:p>
                  <w:pPr>
                    <w:spacing w:line="240" w:lineRule="auto"/>
                    <w:jc w:val="center"/>
                    <w:rPr>
                      <w:color w:val="auto"/>
                      <w:sz w:val="21"/>
                      <w:szCs w:val="21"/>
                    </w:rPr>
                  </w:pPr>
                  <w:r>
                    <w:rPr>
                      <w:rFonts w:hint="eastAsia"/>
                      <w:color w:val="auto"/>
                      <w:sz w:val="21"/>
                      <w:szCs w:val="21"/>
                    </w:rPr>
                    <w:t>运行时段</w:t>
                  </w:r>
                </w:p>
              </w:tc>
              <w:tc>
                <w:tcPr>
                  <w:tcW w:w="419" w:type="pct"/>
                  <w:vMerge w:val="restart"/>
                  <w:vAlign w:val="center"/>
                </w:tcPr>
                <w:p>
                  <w:pPr>
                    <w:spacing w:line="240" w:lineRule="auto"/>
                    <w:jc w:val="center"/>
                    <w:rPr>
                      <w:color w:val="auto"/>
                      <w:sz w:val="21"/>
                      <w:szCs w:val="21"/>
                    </w:rPr>
                  </w:pPr>
                  <w:r>
                    <w:rPr>
                      <w:rFonts w:hint="eastAsia"/>
                      <w:color w:val="auto"/>
                      <w:sz w:val="21"/>
                      <w:szCs w:val="21"/>
                    </w:rPr>
                    <w:t>建筑物插入损失/dB（A）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6" w:hRule="atLeast"/>
                <w:jc w:val="center"/>
              </w:trPr>
              <w:tc>
                <w:tcPr>
                  <w:tcW w:w="292" w:type="pct"/>
                  <w:vMerge w:val="continue"/>
                  <w:vAlign w:val="center"/>
                </w:tcPr>
                <w:p>
                  <w:pPr>
                    <w:spacing w:line="240" w:lineRule="auto"/>
                    <w:jc w:val="center"/>
                    <w:rPr>
                      <w:color w:val="auto"/>
                      <w:sz w:val="21"/>
                      <w:szCs w:val="21"/>
                    </w:rPr>
                  </w:pPr>
                </w:p>
              </w:tc>
              <w:tc>
                <w:tcPr>
                  <w:tcW w:w="255" w:type="pct"/>
                  <w:vMerge w:val="continue"/>
                  <w:vAlign w:val="center"/>
                </w:tcPr>
                <w:p>
                  <w:pPr>
                    <w:spacing w:line="240" w:lineRule="auto"/>
                    <w:jc w:val="center"/>
                    <w:rPr>
                      <w:color w:val="auto"/>
                      <w:sz w:val="21"/>
                      <w:szCs w:val="21"/>
                    </w:rPr>
                  </w:pPr>
                </w:p>
              </w:tc>
              <w:tc>
                <w:tcPr>
                  <w:tcW w:w="451" w:type="pct"/>
                  <w:vMerge w:val="continue"/>
                  <w:vAlign w:val="center"/>
                </w:tcPr>
                <w:p>
                  <w:pPr>
                    <w:spacing w:line="240" w:lineRule="auto"/>
                    <w:jc w:val="center"/>
                    <w:rPr>
                      <w:color w:val="auto"/>
                      <w:sz w:val="21"/>
                      <w:szCs w:val="21"/>
                    </w:rPr>
                  </w:pPr>
                </w:p>
              </w:tc>
              <w:tc>
                <w:tcPr>
                  <w:tcW w:w="297" w:type="pct"/>
                  <w:vMerge w:val="continue"/>
                  <w:vAlign w:val="center"/>
                </w:tcPr>
                <w:p>
                  <w:pPr>
                    <w:spacing w:line="240" w:lineRule="auto"/>
                    <w:jc w:val="center"/>
                    <w:rPr>
                      <w:color w:val="auto"/>
                      <w:sz w:val="21"/>
                      <w:szCs w:val="21"/>
                    </w:rPr>
                  </w:pPr>
                </w:p>
              </w:tc>
              <w:tc>
                <w:tcPr>
                  <w:tcW w:w="345" w:type="pct"/>
                  <w:vMerge w:val="continue"/>
                  <w:vAlign w:val="center"/>
                </w:tcPr>
                <w:p>
                  <w:pPr>
                    <w:spacing w:line="240" w:lineRule="auto"/>
                    <w:jc w:val="center"/>
                    <w:rPr>
                      <w:color w:val="auto"/>
                      <w:sz w:val="21"/>
                      <w:szCs w:val="21"/>
                    </w:rPr>
                  </w:pP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color w:val="auto"/>
                      <w:sz w:val="21"/>
                      <w:szCs w:val="21"/>
                    </w:rPr>
                  </w:pPr>
                  <w:r>
                    <w:rPr>
                      <w:rFonts w:hint="eastAsia"/>
                      <w:color w:val="auto"/>
                      <w:sz w:val="21"/>
                      <w:szCs w:val="21"/>
                    </w:rPr>
                    <w:t>X</w:t>
                  </w:r>
                </w:p>
              </w:tc>
              <w:tc>
                <w:tcPr>
                  <w:tcW w:w="381" w:type="pct"/>
                  <w:vAlign w:val="center"/>
                </w:tcPr>
                <w:p>
                  <w:pPr>
                    <w:spacing w:line="240" w:lineRule="auto"/>
                    <w:jc w:val="center"/>
                    <w:rPr>
                      <w:color w:val="auto"/>
                      <w:sz w:val="21"/>
                      <w:szCs w:val="21"/>
                    </w:rPr>
                  </w:pPr>
                  <w:r>
                    <w:rPr>
                      <w:rFonts w:hint="eastAsia"/>
                      <w:color w:val="auto"/>
                      <w:sz w:val="21"/>
                      <w:szCs w:val="21"/>
                    </w:rPr>
                    <w:t>Y</w:t>
                  </w:r>
                </w:p>
              </w:tc>
              <w:tc>
                <w:tcPr>
                  <w:tcW w:w="325" w:type="pct"/>
                  <w:vAlign w:val="center"/>
                </w:tcPr>
                <w:p>
                  <w:pPr>
                    <w:spacing w:line="240" w:lineRule="auto"/>
                    <w:jc w:val="center"/>
                    <w:rPr>
                      <w:color w:val="auto"/>
                      <w:sz w:val="21"/>
                      <w:szCs w:val="21"/>
                    </w:rPr>
                  </w:pPr>
                  <w:r>
                    <w:rPr>
                      <w:rFonts w:hint="eastAsia"/>
                      <w:color w:val="auto"/>
                      <w:sz w:val="21"/>
                      <w:szCs w:val="21"/>
                    </w:rPr>
                    <w:t>Z</w:t>
                  </w:r>
                </w:p>
              </w:tc>
              <w:tc>
                <w:tcPr>
                  <w:tcW w:w="282"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东</w:t>
                  </w:r>
                </w:p>
              </w:tc>
              <w:tc>
                <w:tcPr>
                  <w:tcW w:w="282"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南</w:t>
                  </w:r>
                </w:p>
              </w:tc>
              <w:tc>
                <w:tcPr>
                  <w:tcW w:w="282"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西</w:t>
                  </w:r>
                </w:p>
              </w:tc>
              <w:tc>
                <w:tcPr>
                  <w:tcW w:w="284" w:type="pct"/>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北</w:t>
                  </w:r>
                </w:p>
              </w:tc>
              <w:tc>
                <w:tcPr>
                  <w:tcW w:w="494" w:type="pct"/>
                  <w:vMerge w:val="continue"/>
                  <w:vAlign w:val="center"/>
                </w:tcPr>
                <w:p>
                  <w:pPr>
                    <w:spacing w:line="240" w:lineRule="auto"/>
                    <w:jc w:val="center"/>
                    <w:rPr>
                      <w:color w:val="auto"/>
                      <w:sz w:val="21"/>
                      <w:szCs w:val="21"/>
                    </w:rPr>
                  </w:pPr>
                </w:p>
              </w:tc>
              <w:tc>
                <w:tcPr>
                  <w:tcW w:w="419" w:type="pct"/>
                  <w:vMerge w:val="continue"/>
                  <w:vAlign w:val="center"/>
                </w:tcPr>
                <w:p>
                  <w:pPr>
                    <w:spacing w:line="240" w:lineRule="auto"/>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1</w:t>
                  </w:r>
                </w:p>
              </w:tc>
              <w:tc>
                <w:tcPr>
                  <w:tcW w:w="255" w:type="pct"/>
                  <w:vMerge w:val="restar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eastAsia="zh-CN"/>
                    </w:rPr>
                    <w:t>厂房</w:t>
                  </w:r>
                  <w:r>
                    <w:rPr>
                      <w:rFonts w:hint="eastAsia"/>
                      <w:color w:val="auto"/>
                      <w:sz w:val="21"/>
                      <w:szCs w:val="21"/>
                      <w:lang w:val="en-US" w:eastAsia="zh-CN"/>
                    </w:rPr>
                    <w:t>1F</w:t>
                  </w: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复卷机（小）</w:t>
                  </w:r>
                </w:p>
              </w:tc>
              <w:tc>
                <w:tcPr>
                  <w:tcW w:w="29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20</w:t>
                  </w:r>
                </w:p>
              </w:tc>
              <w:tc>
                <w:tcPr>
                  <w:tcW w:w="345" w:type="pct"/>
                  <w:vAlign w:val="center"/>
                </w:tcPr>
                <w:p>
                  <w:pPr>
                    <w:pStyle w:val="41"/>
                    <w:spacing w:line="240" w:lineRule="auto"/>
                    <w:jc w:val="center"/>
                    <w:rPr>
                      <w:rFonts w:hint="default" w:eastAsia="宋体"/>
                      <w:color w:val="auto"/>
                      <w:szCs w:val="21"/>
                      <w:lang w:val="en-US" w:eastAsia="zh-CN"/>
                    </w:rPr>
                  </w:pPr>
                  <w:r>
                    <w:rPr>
                      <w:rFonts w:hint="eastAsia"/>
                      <w:color w:val="auto"/>
                      <w:szCs w:val="21"/>
                      <w:lang w:val="en-US" w:eastAsia="zh-CN"/>
                    </w:rPr>
                    <w:t>95</w:t>
                  </w:r>
                </w:p>
              </w:tc>
              <w:tc>
                <w:tcPr>
                  <w:tcW w:w="222" w:type="pct"/>
                  <w:vMerge w:val="restart"/>
                  <w:vAlign w:val="center"/>
                </w:tcPr>
                <w:p>
                  <w:pPr>
                    <w:spacing w:line="240" w:lineRule="auto"/>
                    <w:jc w:val="center"/>
                    <w:rPr>
                      <w:rFonts w:hint="eastAsia" w:eastAsia="宋体"/>
                      <w:color w:val="auto"/>
                      <w:sz w:val="21"/>
                      <w:szCs w:val="21"/>
                      <w:lang w:val="en-US" w:eastAsia="zh-CN"/>
                    </w:rPr>
                  </w:pPr>
                  <w:r>
                    <w:rPr>
                      <w:color w:val="auto"/>
                      <w:sz w:val="21"/>
                      <w:szCs w:val="21"/>
                    </w:rPr>
                    <w:t>基础减振</w:t>
                  </w:r>
                  <w:r>
                    <w:rPr>
                      <w:rFonts w:hint="eastAsia"/>
                      <w:color w:val="auto"/>
                      <w:sz w:val="21"/>
                      <w:szCs w:val="21"/>
                      <w:lang w:val="en-US" w:eastAsia="zh-CN"/>
                    </w:rPr>
                    <w:t>+隔声罩</w:t>
                  </w:r>
                </w:p>
              </w:tc>
              <w:tc>
                <w:tcPr>
                  <w:tcW w:w="3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38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24.5</w:t>
                  </w:r>
                </w:p>
              </w:tc>
              <w:tc>
                <w:tcPr>
                  <w:tcW w:w="32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20</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2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494" w:type="pct"/>
                  <w:vMerge w:val="restar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9:00~5:00</w:t>
                  </w:r>
                </w:p>
              </w:tc>
              <w:tc>
                <w:tcPr>
                  <w:tcW w:w="419"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2</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复卷机（中）</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4</w:t>
                  </w:r>
                </w:p>
              </w:tc>
              <w:tc>
                <w:tcPr>
                  <w:tcW w:w="345" w:type="pct"/>
                  <w:vAlign w:val="center"/>
                </w:tcPr>
                <w:p>
                  <w:pPr>
                    <w:pStyle w:val="41"/>
                    <w:spacing w:line="240" w:lineRule="auto"/>
                    <w:jc w:val="center"/>
                    <w:rPr>
                      <w:rFonts w:hint="default" w:eastAsia="宋体"/>
                      <w:color w:val="auto"/>
                      <w:szCs w:val="21"/>
                      <w:lang w:val="en-US" w:eastAsia="zh-CN"/>
                    </w:rPr>
                  </w:pPr>
                  <w:r>
                    <w:rPr>
                      <w:rFonts w:hint="eastAsia"/>
                      <w:color w:val="auto"/>
                      <w:szCs w:val="21"/>
                      <w:lang w:val="en-US" w:eastAsia="zh-CN"/>
                    </w:rPr>
                    <w:t>95</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38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-10.2</w:t>
                  </w:r>
                </w:p>
              </w:tc>
              <w:tc>
                <w:tcPr>
                  <w:tcW w:w="325"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19</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62</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19</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3</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分切机</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20</w:t>
                  </w:r>
                </w:p>
              </w:tc>
              <w:tc>
                <w:tcPr>
                  <w:tcW w:w="345" w:type="pct"/>
                  <w:vAlign w:val="center"/>
                </w:tcPr>
                <w:p>
                  <w:pPr>
                    <w:pStyle w:val="41"/>
                    <w:spacing w:line="240" w:lineRule="auto"/>
                    <w:jc w:val="center"/>
                    <w:rPr>
                      <w:rFonts w:hint="default" w:eastAsia="宋体"/>
                      <w:color w:val="auto"/>
                      <w:szCs w:val="21"/>
                      <w:lang w:val="en-US" w:eastAsia="zh-CN"/>
                    </w:rPr>
                  </w:pPr>
                  <w:r>
                    <w:rPr>
                      <w:rFonts w:hint="eastAsia"/>
                      <w:color w:val="auto"/>
                      <w:szCs w:val="21"/>
                      <w:lang w:val="en-US" w:eastAsia="zh-CN"/>
                    </w:rPr>
                    <w:t>75</w:t>
                  </w:r>
                </w:p>
              </w:tc>
              <w:tc>
                <w:tcPr>
                  <w:tcW w:w="222" w:type="pct"/>
                  <w:vMerge w:val="restart"/>
                  <w:vAlign w:val="center"/>
                </w:tcPr>
                <w:p>
                  <w:pPr>
                    <w:spacing w:line="240" w:lineRule="auto"/>
                    <w:jc w:val="center"/>
                    <w:rPr>
                      <w:rFonts w:hint="eastAsia" w:eastAsia="宋体"/>
                      <w:color w:val="auto"/>
                      <w:sz w:val="21"/>
                      <w:szCs w:val="21"/>
                      <w:lang w:val="en-US" w:eastAsia="zh-CN"/>
                    </w:rPr>
                  </w:pPr>
                  <w:r>
                    <w:rPr>
                      <w:color w:val="auto"/>
                      <w:sz w:val="21"/>
                      <w:szCs w:val="21"/>
                    </w:rPr>
                    <w:t>基础减振</w:t>
                  </w:r>
                </w:p>
              </w:tc>
              <w:tc>
                <w:tcPr>
                  <w:tcW w:w="38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5.7</w:t>
                  </w:r>
                </w:p>
              </w:tc>
              <w:tc>
                <w:tcPr>
                  <w:tcW w:w="381" w:type="pct"/>
                  <w:vAlign w:val="center"/>
                </w:tcPr>
                <w:p>
                  <w:pPr>
                    <w:spacing w:line="240" w:lineRule="auto"/>
                    <w:jc w:val="center"/>
                    <w:rPr>
                      <w:rFonts w:hint="default" w:eastAsia="宋体"/>
                      <w:color w:val="auto"/>
                      <w:sz w:val="21"/>
                      <w:szCs w:val="21"/>
                      <w:lang w:val="en-US" w:eastAsia="zh-CN"/>
                    </w:rPr>
                  </w:pPr>
                  <w:r>
                    <w:rPr>
                      <w:rFonts w:hint="eastAsia" w:cs="Times New Roman"/>
                      <w:color w:val="auto"/>
                      <w:kern w:val="2"/>
                      <w:sz w:val="21"/>
                      <w:szCs w:val="21"/>
                      <w:lang w:val="en-US" w:eastAsia="zh-CN" w:bidi="ar-SA"/>
                    </w:rPr>
                    <w:t>24.5</w:t>
                  </w:r>
                </w:p>
              </w:tc>
              <w:tc>
                <w:tcPr>
                  <w:tcW w:w="325"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4</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自动切割机</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4</w:t>
                  </w:r>
                </w:p>
              </w:tc>
              <w:tc>
                <w:tcPr>
                  <w:tcW w:w="345" w:type="pct"/>
                  <w:vAlign w:val="center"/>
                </w:tcPr>
                <w:p>
                  <w:pPr>
                    <w:pStyle w:val="41"/>
                    <w:spacing w:line="240" w:lineRule="auto"/>
                    <w:jc w:val="center"/>
                    <w:rPr>
                      <w:rFonts w:hint="default"/>
                      <w:color w:val="auto"/>
                      <w:szCs w:val="21"/>
                      <w:lang w:val="en-US" w:eastAsia="zh-CN"/>
                    </w:rPr>
                  </w:pPr>
                  <w:r>
                    <w:rPr>
                      <w:rFonts w:hint="eastAsia"/>
                      <w:color w:val="auto"/>
                      <w:szCs w:val="21"/>
                      <w:lang w:val="en-US" w:eastAsia="zh-CN"/>
                    </w:rPr>
                    <w:t>75</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38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-10.2</w:t>
                  </w:r>
                </w:p>
              </w:tc>
              <w:tc>
                <w:tcPr>
                  <w:tcW w:w="325"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17</w:t>
                  </w:r>
                </w:p>
              </w:tc>
              <w:tc>
                <w:tcPr>
                  <w:tcW w:w="282" w:type="pct"/>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62</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5</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自动包装机</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4</w:t>
                  </w:r>
                </w:p>
              </w:tc>
              <w:tc>
                <w:tcPr>
                  <w:tcW w:w="345" w:type="pct"/>
                  <w:vAlign w:val="center"/>
                </w:tcPr>
                <w:p>
                  <w:pPr>
                    <w:pStyle w:val="41"/>
                    <w:spacing w:line="240" w:lineRule="auto"/>
                    <w:jc w:val="center"/>
                    <w:rPr>
                      <w:rFonts w:hint="default"/>
                      <w:color w:val="auto"/>
                      <w:szCs w:val="21"/>
                      <w:lang w:val="en-US" w:eastAsia="zh-CN"/>
                    </w:rPr>
                  </w:pPr>
                  <w:r>
                    <w:rPr>
                      <w:rFonts w:hint="eastAsia"/>
                      <w:color w:val="auto"/>
                      <w:szCs w:val="21"/>
                      <w:lang w:val="en-US" w:eastAsia="zh-CN"/>
                    </w:rPr>
                    <w:t>70</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5.7</w:t>
                  </w:r>
                </w:p>
              </w:tc>
              <w:tc>
                <w:tcPr>
                  <w:tcW w:w="381"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-20.5</w:t>
                  </w:r>
                </w:p>
              </w:tc>
              <w:tc>
                <w:tcPr>
                  <w:tcW w:w="325"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16</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54</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22</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79</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6</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压扁机</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345" w:type="pct"/>
                  <w:vAlign w:val="center"/>
                </w:tcPr>
                <w:p>
                  <w:pPr>
                    <w:pStyle w:val="41"/>
                    <w:spacing w:line="240" w:lineRule="auto"/>
                    <w:jc w:val="center"/>
                    <w:rPr>
                      <w:rFonts w:hint="default"/>
                      <w:color w:val="auto"/>
                      <w:szCs w:val="21"/>
                      <w:lang w:val="en-US" w:eastAsia="zh-CN"/>
                    </w:rPr>
                  </w:pPr>
                  <w:r>
                    <w:rPr>
                      <w:rFonts w:hint="eastAsia"/>
                      <w:color w:val="auto"/>
                      <w:szCs w:val="21"/>
                      <w:lang w:val="en-US" w:eastAsia="zh-CN"/>
                    </w:rPr>
                    <w:t>75</w:t>
                  </w:r>
                </w:p>
              </w:tc>
              <w:tc>
                <w:tcPr>
                  <w:tcW w:w="22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w:t>
                  </w:r>
                </w:p>
              </w:tc>
              <w:tc>
                <w:tcPr>
                  <w:tcW w:w="38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5.2</w:t>
                  </w:r>
                </w:p>
              </w:tc>
              <w:tc>
                <w:tcPr>
                  <w:tcW w:w="381"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-22.5</w:t>
                  </w:r>
                </w:p>
              </w:tc>
              <w:tc>
                <w:tcPr>
                  <w:tcW w:w="325"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17</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2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85</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7</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自动磨刀机</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345" w:type="pct"/>
                  <w:vAlign w:val="center"/>
                </w:tcPr>
                <w:p>
                  <w:pPr>
                    <w:pStyle w:val="41"/>
                    <w:spacing w:line="240" w:lineRule="auto"/>
                    <w:jc w:val="center"/>
                    <w:rPr>
                      <w:rFonts w:hint="default"/>
                      <w:color w:val="auto"/>
                      <w:szCs w:val="21"/>
                      <w:lang w:val="en-US" w:eastAsia="zh-CN"/>
                    </w:rPr>
                  </w:pPr>
                  <w:r>
                    <w:rPr>
                      <w:rFonts w:hint="eastAsia"/>
                      <w:color w:val="auto"/>
                      <w:szCs w:val="21"/>
                      <w:lang w:val="en-US" w:eastAsia="zh-CN"/>
                    </w:rPr>
                    <w:t>80</w:t>
                  </w:r>
                </w:p>
              </w:tc>
              <w:tc>
                <w:tcPr>
                  <w:tcW w:w="22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w:t>
                  </w:r>
                </w:p>
              </w:tc>
              <w:tc>
                <w:tcPr>
                  <w:tcW w:w="3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-5.7</w:t>
                  </w:r>
                </w:p>
              </w:tc>
              <w:tc>
                <w:tcPr>
                  <w:tcW w:w="38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-20.5</w:t>
                  </w:r>
                </w:p>
              </w:tc>
              <w:tc>
                <w:tcPr>
                  <w:tcW w:w="325"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26</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54</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2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79</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8</w:t>
                  </w:r>
                </w:p>
              </w:tc>
              <w:tc>
                <w:tcPr>
                  <w:tcW w:w="255" w:type="pct"/>
                  <w:vMerge w:val="restart"/>
                  <w:vAlign w:val="center"/>
                </w:tcPr>
                <w:p>
                  <w:pPr>
                    <w:spacing w:line="240" w:lineRule="auto"/>
                    <w:jc w:val="center"/>
                    <w:rPr>
                      <w:rFonts w:hint="eastAsia"/>
                      <w:color w:val="auto"/>
                      <w:sz w:val="21"/>
                      <w:szCs w:val="21"/>
                    </w:rPr>
                  </w:pPr>
                  <w:r>
                    <w:rPr>
                      <w:rFonts w:hint="eastAsia"/>
                      <w:color w:val="auto"/>
                      <w:sz w:val="21"/>
                      <w:szCs w:val="21"/>
                      <w:lang w:eastAsia="zh-CN"/>
                    </w:rPr>
                    <w:t>厂房</w:t>
                  </w:r>
                  <w:r>
                    <w:rPr>
                      <w:rFonts w:hint="eastAsia"/>
                      <w:color w:val="auto"/>
                      <w:sz w:val="21"/>
                      <w:szCs w:val="21"/>
                      <w:lang w:val="en-US" w:eastAsia="zh-CN"/>
                    </w:rPr>
                    <w:t>2F</w:t>
                  </w:r>
                </w:p>
              </w:tc>
              <w:tc>
                <w:tcPr>
                  <w:tcW w:w="45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空压机</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345" w:type="pct"/>
                  <w:vAlign w:val="center"/>
                </w:tcPr>
                <w:p>
                  <w:pPr>
                    <w:pStyle w:val="41"/>
                    <w:spacing w:line="240" w:lineRule="auto"/>
                    <w:jc w:val="center"/>
                    <w:rPr>
                      <w:rFonts w:hint="default"/>
                      <w:color w:val="auto"/>
                      <w:szCs w:val="21"/>
                      <w:lang w:val="en-US" w:eastAsia="zh-CN"/>
                    </w:rPr>
                  </w:pPr>
                  <w:r>
                    <w:rPr>
                      <w:rFonts w:hint="eastAsia"/>
                      <w:color w:val="auto"/>
                      <w:szCs w:val="21"/>
                      <w:lang w:val="en-US" w:eastAsia="zh-CN"/>
                    </w:rPr>
                    <w:t>90</w:t>
                  </w:r>
                </w:p>
              </w:tc>
              <w:tc>
                <w:tcPr>
                  <w:tcW w:w="222" w:type="pct"/>
                  <w:vAlign w:val="center"/>
                </w:tcPr>
                <w:p>
                  <w:pPr>
                    <w:spacing w:line="240" w:lineRule="auto"/>
                    <w:jc w:val="center"/>
                    <w:rPr>
                      <w:rFonts w:hint="eastAsia"/>
                      <w:color w:val="auto"/>
                      <w:sz w:val="21"/>
                      <w:szCs w:val="21"/>
                      <w:lang w:val="en-US" w:eastAsia="zh-CN"/>
                    </w:rPr>
                  </w:pPr>
                  <w:r>
                    <w:rPr>
                      <w:color w:val="auto"/>
                      <w:sz w:val="21"/>
                      <w:szCs w:val="21"/>
                    </w:rPr>
                    <w:t>基础减振</w:t>
                  </w:r>
                </w:p>
              </w:tc>
              <w:tc>
                <w:tcPr>
                  <w:tcW w:w="382"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-6.7</w:t>
                  </w:r>
                </w:p>
              </w:tc>
              <w:tc>
                <w:tcPr>
                  <w:tcW w:w="381"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-17.8</w:t>
                  </w:r>
                </w:p>
              </w:tc>
              <w:tc>
                <w:tcPr>
                  <w:tcW w:w="325"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17</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62</w:t>
                  </w:r>
                </w:p>
              </w:tc>
              <w:tc>
                <w:tcPr>
                  <w:tcW w:w="282" w:type="pct"/>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2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49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24h</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9</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复卷机（大）</w:t>
                  </w:r>
                </w:p>
              </w:tc>
              <w:tc>
                <w:tcPr>
                  <w:tcW w:w="29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5</w:t>
                  </w:r>
                </w:p>
              </w:tc>
              <w:tc>
                <w:tcPr>
                  <w:tcW w:w="345"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95</w:t>
                  </w:r>
                </w:p>
              </w:tc>
              <w:tc>
                <w:tcPr>
                  <w:tcW w:w="222" w:type="pct"/>
                  <w:vAlign w:val="center"/>
                </w:tcPr>
                <w:p>
                  <w:pPr>
                    <w:spacing w:line="240" w:lineRule="auto"/>
                    <w:jc w:val="center"/>
                    <w:rPr>
                      <w:color w:val="auto"/>
                      <w:sz w:val="21"/>
                      <w:szCs w:val="21"/>
                    </w:rPr>
                  </w:pPr>
                  <w:r>
                    <w:rPr>
                      <w:color w:val="auto"/>
                      <w:sz w:val="21"/>
                      <w:szCs w:val="21"/>
                    </w:rPr>
                    <w:t>基础减振</w:t>
                  </w:r>
                  <w:r>
                    <w:rPr>
                      <w:rFonts w:hint="eastAsia"/>
                      <w:color w:val="auto"/>
                      <w:sz w:val="21"/>
                      <w:szCs w:val="21"/>
                      <w:lang w:val="en-US" w:eastAsia="zh-CN"/>
                    </w:rPr>
                    <w:t>+隔声罩</w:t>
                  </w:r>
                </w:p>
              </w:tc>
              <w:tc>
                <w:tcPr>
                  <w:tcW w:w="382"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7.0</w:t>
                  </w:r>
                </w:p>
              </w:tc>
              <w:tc>
                <w:tcPr>
                  <w:tcW w:w="38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12.9</w:t>
                  </w:r>
                </w:p>
              </w:tc>
              <w:tc>
                <w:tcPr>
                  <w:tcW w:w="325"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z w:val="21"/>
                      <w:szCs w:val="21"/>
                      <w:lang w:val="en-US" w:eastAsia="zh-CN"/>
                    </w:rPr>
                    <w:t>6.8</w:t>
                  </w:r>
                </w:p>
              </w:tc>
              <w:tc>
                <w:tcPr>
                  <w:tcW w:w="282"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s="Times New Roman"/>
                      <w:color w:val="auto"/>
                      <w:w w:val="100"/>
                      <w:kern w:val="2"/>
                      <w:sz w:val="21"/>
                      <w:szCs w:val="21"/>
                      <w:lang w:val="en-US" w:eastAsia="zh-CN" w:bidi="ar-SA"/>
                    </w:rPr>
                    <w:t>18</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85</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22</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48</w:t>
                  </w:r>
                </w:p>
              </w:tc>
              <w:tc>
                <w:tcPr>
                  <w:tcW w:w="494" w:type="pct"/>
                  <w:vMerge w:val="restart"/>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9:00~5:00</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10</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分切机</w:t>
                  </w:r>
                </w:p>
              </w:tc>
              <w:tc>
                <w:tcPr>
                  <w:tcW w:w="29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5</w:t>
                  </w:r>
                </w:p>
              </w:tc>
              <w:tc>
                <w:tcPr>
                  <w:tcW w:w="345"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75</w:t>
                  </w:r>
                </w:p>
              </w:tc>
              <w:tc>
                <w:tcPr>
                  <w:tcW w:w="222" w:type="pct"/>
                  <w:vMerge w:val="restart"/>
                  <w:vAlign w:val="center"/>
                </w:tcPr>
                <w:p>
                  <w:pPr>
                    <w:spacing w:line="240" w:lineRule="auto"/>
                    <w:jc w:val="center"/>
                    <w:rPr>
                      <w:color w:val="auto"/>
                      <w:sz w:val="21"/>
                      <w:szCs w:val="21"/>
                    </w:rPr>
                  </w:pPr>
                  <w:r>
                    <w:rPr>
                      <w:color w:val="auto"/>
                      <w:sz w:val="21"/>
                      <w:szCs w:val="21"/>
                    </w:rPr>
                    <w:t>基础减振</w:t>
                  </w:r>
                </w:p>
              </w:tc>
              <w:tc>
                <w:tcPr>
                  <w:tcW w:w="38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1.6</w:t>
                  </w:r>
                </w:p>
              </w:tc>
              <w:tc>
                <w:tcPr>
                  <w:tcW w:w="381" w:type="pct"/>
                  <w:vAlign w:val="center"/>
                </w:tcPr>
                <w:p>
                  <w:pPr>
                    <w:spacing w:line="240" w:lineRule="auto"/>
                    <w:jc w:val="center"/>
                    <w:rPr>
                      <w:rFonts w:hint="default" w:eastAsia="宋体"/>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12.9</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19</w:t>
                  </w:r>
                </w:p>
              </w:tc>
              <w:tc>
                <w:tcPr>
                  <w:tcW w:w="282" w:type="pct"/>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w:t>
                  </w:r>
                </w:p>
              </w:tc>
              <w:tc>
                <w:tcPr>
                  <w:tcW w:w="282" w:type="pct"/>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48</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11</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流延机</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5</w:t>
                  </w:r>
                </w:p>
              </w:tc>
              <w:tc>
                <w:tcPr>
                  <w:tcW w:w="345" w:type="pct"/>
                  <w:vAlign w:val="center"/>
                </w:tcPr>
                <w:p>
                  <w:pPr>
                    <w:pStyle w:val="41"/>
                    <w:spacing w:line="240" w:lineRule="auto"/>
                    <w:jc w:val="center"/>
                    <w:rPr>
                      <w:rFonts w:hint="default"/>
                      <w:color w:val="auto"/>
                      <w:szCs w:val="21"/>
                      <w:lang w:val="en-US" w:eastAsia="zh-CN"/>
                    </w:rPr>
                  </w:pPr>
                  <w:r>
                    <w:rPr>
                      <w:rFonts w:hint="eastAsia"/>
                      <w:color w:val="auto"/>
                      <w:szCs w:val="21"/>
                      <w:lang w:val="en-US" w:eastAsia="zh-CN"/>
                    </w:rPr>
                    <w:t>70</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-5.8</w:t>
                  </w:r>
                </w:p>
              </w:tc>
              <w:tc>
                <w:tcPr>
                  <w:tcW w:w="381" w:type="pct"/>
                  <w:vAlign w:val="center"/>
                </w:tcPr>
                <w:p>
                  <w:pPr>
                    <w:spacing w:line="240" w:lineRule="auto"/>
                    <w:jc w:val="center"/>
                    <w:rPr>
                      <w:rFonts w:hint="default" w:eastAsia="宋体"/>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12.9</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22</w:t>
                  </w:r>
                </w:p>
              </w:tc>
              <w:tc>
                <w:tcPr>
                  <w:tcW w:w="282" w:type="pct"/>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2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48</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12</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吹膜机</w:t>
                  </w:r>
                </w:p>
              </w:tc>
              <w:tc>
                <w:tcPr>
                  <w:tcW w:w="29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3</w:t>
                  </w:r>
                </w:p>
              </w:tc>
              <w:tc>
                <w:tcPr>
                  <w:tcW w:w="345"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75</w:t>
                  </w:r>
                </w:p>
              </w:tc>
              <w:tc>
                <w:tcPr>
                  <w:tcW w:w="222" w:type="pct"/>
                  <w:vMerge w:val="continue"/>
                  <w:vAlign w:val="center"/>
                </w:tcPr>
                <w:p>
                  <w:pPr>
                    <w:spacing w:line="240" w:lineRule="auto"/>
                    <w:jc w:val="center"/>
                    <w:rPr>
                      <w:color w:val="auto"/>
                      <w:sz w:val="21"/>
                      <w:szCs w:val="21"/>
                    </w:rPr>
                  </w:pPr>
                </w:p>
              </w:tc>
              <w:tc>
                <w:tcPr>
                  <w:tcW w:w="382"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10.1</w:t>
                  </w:r>
                </w:p>
              </w:tc>
              <w:tc>
                <w:tcPr>
                  <w:tcW w:w="381"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40.6</w:t>
                  </w:r>
                </w:p>
              </w:tc>
              <w:tc>
                <w:tcPr>
                  <w:tcW w:w="325" w:type="pct"/>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lang w:val="en-US" w:eastAsia="zh-CN"/>
                    </w:rPr>
                    <w:t>6.8</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13</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117</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25</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49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24h</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13</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卷管机</w:t>
                  </w:r>
                </w:p>
              </w:tc>
              <w:tc>
                <w:tcPr>
                  <w:tcW w:w="29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3</w:t>
                  </w:r>
                </w:p>
              </w:tc>
              <w:tc>
                <w:tcPr>
                  <w:tcW w:w="345"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75</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5.2</w:t>
                  </w:r>
                </w:p>
              </w:tc>
              <w:tc>
                <w:tcPr>
                  <w:tcW w:w="381"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-17.8</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18</w:t>
                  </w:r>
                </w:p>
              </w:tc>
              <w:tc>
                <w:tcPr>
                  <w:tcW w:w="282" w:type="pct"/>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59</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74</w:t>
                  </w:r>
                </w:p>
              </w:tc>
              <w:tc>
                <w:tcPr>
                  <w:tcW w:w="494" w:type="pct"/>
                  <w:vMerge w:val="restart"/>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9:00~5:00</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14</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切管机</w:t>
                  </w:r>
                </w:p>
              </w:tc>
              <w:tc>
                <w:tcPr>
                  <w:tcW w:w="29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3</w:t>
                  </w:r>
                </w:p>
              </w:tc>
              <w:tc>
                <w:tcPr>
                  <w:tcW w:w="345"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70</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-4.5</w:t>
                  </w:r>
                </w:p>
              </w:tc>
              <w:tc>
                <w:tcPr>
                  <w:tcW w:w="38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-17.8</w:t>
                  </w:r>
                </w:p>
              </w:tc>
              <w:tc>
                <w:tcPr>
                  <w:tcW w:w="325" w:type="pct"/>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lang w:val="en-US" w:eastAsia="zh-CN"/>
                    </w:rPr>
                    <w:t>6.8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17</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59</w:t>
                  </w:r>
                </w:p>
              </w:tc>
              <w:tc>
                <w:tcPr>
                  <w:tcW w:w="282" w:type="pct"/>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2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74</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15</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拌料机</w:t>
                  </w:r>
                </w:p>
              </w:tc>
              <w:tc>
                <w:tcPr>
                  <w:tcW w:w="29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2</w:t>
                  </w:r>
                </w:p>
              </w:tc>
              <w:tc>
                <w:tcPr>
                  <w:tcW w:w="345"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70</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-2.7</w:t>
                  </w:r>
                </w:p>
              </w:tc>
              <w:tc>
                <w:tcPr>
                  <w:tcW w:w="38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
                    </w:rPr>
                    <w:t>40.6</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17</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117</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494" w:type="pct"/>
                  <w:vMerge w:val="restar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8:00~20:00</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16</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气柱膜机</w:t>
                  </w:r>
                </w:p>
              </w:tc>
              <w:tc>
                <w:tcPr>
                  <w:tcW w:w="297"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2</w:t>
                  </w:r>
                </w:p>
              </w:tc>
              <w:tc>
                <w:tcPr>
                  <w:tcW w:w="345" w:type="pct"/>
                  <w:vAlign w:val="center"/>
                </w:tcPr>
                <w:p>
                  <w:pPr>
                    <w:pStyle w:val="41"/>
                    <w:spacing w:line="240" w:lineRule="auto"/>
                    <w:jc w:val="center"/>
                    <w:rPr>
                      <w:rFonts w:hint="default"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75</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w:t>
                  </w:r>
                </w:p>
              </w:tc>
              <w:tc>
                <w:tcPr>
                  <w:tcW w:w="38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
                    </w:rPr>
                    <w:t>40.6</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19</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117</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494" w:type="pct"/>
                  <w:vMerge w:val="continue"/>
                  <w:vAlign w:val="center"/>
                </w:tcPr>
                <w:p>
                  <w:pPr>
                    <w:spacing w:line="240" w:lineRule="auto"/>
                    <w:jc w:val="center"/>
                    <w:rPr>
                      <w:rFonts w:hint="eastAsia" w:ascii="Times New Roman" w:hAnsi="Times New Roman" w:eastAsia="宋体" w:cs="Times New Roman"/>
                      <w:color w:val="auto"/>
                      <w:sz w:val="21"/>
                      <w:szCs w:val="21"/>
                      <w:lang w:val="en-US" w:eastAsia="zh-CN"/>
                    </w:rPr>
                  </w:pP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17</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风机a</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345" w:type="pct"/>
                  <w:vAlign w:val="center"/>
                </w:tcPr>
                <w:p>
                  <w:pPr>
                    <w:pStyle w:val="41"/>
                    <w:spacing w:line="240" w:lineRule="auto"/>
                    <w:jc w:val="center"/>
                    <w:rPr>
                      <w:rFonts w:hint="default"/>
                      <w:color w:val="auto"/>
                      <w:szCs w:val="21"/>
                      <w:lang w:val="en-US" w:eastAsia="zh-CN"/>
                    </w:rPr>
                  </w:pPr>
                  <w:r>
                    <w:rPr>
                      <w:rFonts w:hint="eastAsia"/>
                      <w:color w:val="auto"/>
                      <w:szCs w:val="21"/>
                      <w:lang w:val="en-US" w:eastAsia="zh-CN"/>
                    </w:rPr>
                    <w:t>100</w:t>
                  </w:r>
                </w:p>
              </w:tc>
              <w:tc>
                <w:tcPr>
                  <w:tcW w:w="222" w:type="pct"/>
                  <w:vMerge w:val="restart"/>
                  <w:vAlign w:val="center"/>
                </w:tcPr>
                <w:p>
                  <w:pPr>
                    <w:spacing w:line="240" w:lineRule="auto"/>
                    <w:jc w:val="center"/>
                    <w:rPr>
                      <w:color w:val="auto"/>
                      <w:sz w:val="21"/>
                      <w:szCs w:val="21"/>
                    </w:rPr>
                  </w:pPr>
                  <w:r>
                    <w:rPr>
                      <w:color w:val="auto"/>
                      <w:sz w:val="21"/>
                      <w:szCs w:val="21"/>
                    </w:rPr>
                    <w:t>基础减振</w:t>
                  </w:r>
                  <w:r>
                    <w:rPr>
                      <w:rFonts w:hint="eastAsia"/>
                      <w:color w:val="auto"/>
                      <w:sz w:val="21"/>
                      <w:szCs w:val="21"/>
                      <w:lang w:val="en-US" w:eastAsia="zh-CN"/>
                    </w:rPr>
                    <w:t>+隔声罩</w:t>
                  </w:r>
                </w:p>
              </w:tc>
              <w:tc>
                <w:tcPr>
                  <w:tcW w:w="38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7.0</w:t>
                  </w:r>
                </w:p>
              </w:tc>
              <w:tc>
                <w:tcPr>
                  <w:tcW w:w="381"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w:t>
                  </w:r>
                  <w:r>
                    <w:rPr>
                      <w:rFonts w:hint="eastAsia" w:eastAsia="宋体"/>
                      <w:color w:val="auto"/>
                      <w:sz w:val="21"/>
                      <w:szCs w:val="21"/>
                      <w:lang w:val="en-US" w:eastAsia="zh-CN"/>
                    </w:rPr>
                    <w:t>10</w:t>
                  </w:r>
                  <w:r>
                    <w:rPr>
                      <w:rFonts w:hint="default" w:eastAsia="宋体"/>
                      <w:color w:val="auto"/>
                      <w:sz w:val="21"/>
                      <w:szCs w:val="21"/>
                      <w:lang w:val="en-US" w:eastAsia="zh-CN"/>
                    </w:rPr>
                    <w:t>.8</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22</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51</w:t>
                  </w:r>
                </w:p>
              </w:tc>
              <w:tc>
                <w:tcPr>
                  <w:tcW w:w="28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17</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82</w:t>
                  </w:r>
                </w:p>
              </w:tc>
              <w:tc>
                <w:tcPr>
                  <w:tcW w:w="494" w:type="pct"/>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9:00~5:00</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18</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风机b</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345" w:type="pct"/>
                  <w:vAlign w:val="center"/>
                </w:tcPr>
                <w:p>
                  <w:pPr>
                    <w:pStyle w:val="41"/>
                    <w:spacing w:line="240" w:lineRule="auto"/>
                    <w:jc w:val="center"/>
                    <w:rPr>
                      <w:rFonts w:hint="eastAsia"/>
                      <w:color w:val="auto"/>
                      <w:szCs w:val="21"/>
                      <w:lang w:val="en-US" w:eastAsia="zh-CN"/>
                    </w:rPr>
                  </w:pPr>
                  <w:r>
                    <w:rPr>
                      <w:rFonts w:hint="eastAsia"/>
                      <w:color w:val="auto"/>
                      <w:szCs w:val="21"/>
                      <w:lang w:val="en-US" w:eastAsia="zh-CN"/>
                    </w:rPr>
                    <w:t>100</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0.8</w:t>
                  </w:r>
                </w:p>
              </w:tc>
              <w:tc>
                <w:tcPr>
                  <w:tcW w:w="381"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24.1</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19</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85</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19</w:t>
                  </w:r>
                </w:p>
              </w:tc>
              <w:tc>
                <w:tcPr>
                  <w:tcW w:w="284" w:type="pct"/>
                  <w:vAlign w:val="center"/>
                </w:tcPr>
                <w:p>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48</w:t>
                  </w:r>
                </w:p>
              </w:tc>
              <w:tc>
                <w:tcPr>
                  <w:tcW w:w="494" w:type="pct"/>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24h</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19</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风机c</w:t>
                  </w:r>
                </w:p>
              </w:tc>
              <w:tc>
                <w:tcPr>
                  <w:tcW w:w="297"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345" w:type="pct"/>
                  <w:vAlign w:val="center"/>
                </w:tcPr>
                <w:p>
                  <w:pPr>
                    <w:pStyle w:val="41"/>
                    <w:spacing w:line="240" w:lineRule="auto"/>
                    <w:jc w:val="center"/>
                    <w:rPr>
                      <w:rFonts w:hint="eastAsia"/>
                      <w:color w:val="auto"/>
                      <w:szCs w:val="21"/>
                      <w:lang w:val="en-US" w:eastAsia="zh-CN"/>
                    </w:rPr>
                  </w:pPr>
                  <w:r>
                    <w:rPr>
                      <w:rFonts w:hint="eastAsia"/>
                      <w:color w:val="auto"/>
                      <w:szCs w:val="21"/>
                      <w:lang w:val="en-US" w:eastAsia="zh-CN"/>
                    </w:rPr>
                    <w:t>100</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1.2</w:t>
                  </w:r>
                </w:p>
              </w:tc>
              <w:tc>
                <w:tcPr>
                  <w:tcW w:w="381"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40.1</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2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494" w:type="pct"/>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8:00~20:00</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92" w:type="pct"/>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20</w:t>
                  </w:r>
                </w:p>
              </w:tc>
              <w:tc>
                <w:tcPr>
                  <w:tcW w:w="255" w:type="pct"/>
                  <w:vMerge w:val="continue"/>
                  <w:vAlign w:val="center"/>
                </w:tcPr>
                <w:p>
                  <w:pPr>
                    <w:spacing w:line="240" w:lineRule="auto"/>
                    <w:jc w:val="center"/>
                    <w:rPr>
                      <w:rFonts w:hint="eastAsia"/>
                      <w:color w:val="auto"/>
                      <w:sz w:val="21"/>
                      <w:szCs w:val="21"/>
                    </w:rPr>
                  </w:pPr>
                </w:p>
              </w:tc>
              <w:tc>
                <w:tcPr>
                  <w:tcW w:w="451" w:type="pct"/>
                  <w:vAlign w:val="center"/>
                </w:tcPr>
                <w:p>
                  <w:pPr>
                    <w:widowControl/>
                    <w:spacing w:line="240" w:lineRule="auto"/>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风机e</w:t>
                  </w:r>
                </w:p>
              </w:tc>
              <w:tc>
                <w:tcPr>
                  <w:tcW w:w="297" w:type="pct"/>
                  <w:vAlign w:val="center"/>
                </w:tcPr>
                <w:p>
                  <w:pPr>
                    <w:widowControl/>
                    <w:spacing w:line="240" w:lineRule="auto"/>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1</w:t>
                  </w:r>
                </w:p>
              </w:tc>
              <w:tc>
                <w:tcPr>
                  <w:tcW w:w="345" w:type="pct"/>
                  <w:vAlign w:val="center"/>
                </w:tcPr>
                <w:p>
                  <w:pPr>
                    <w:pStyle w:val="41"/>
                    <w:spacing w:line="240" w:lineRule="auto"/>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Cs w:val="21"/>
                      <w:lang w:val="en-US" w:eastAsia="zh-CN"/>
                    </w:rPr>
                    <w:t>100</w:t>
                  </w:r>
                </w:p>
              </w:tc>
              <w:tc>
                <w:tcPr>
                  <w:tcW w:w="222" w:type="pct"/>
                  <w:vMerge w:val="continue"/>
                  <w:vAlign w:val="center"/>
                </w:tcPr>
                <w:p>
                  <w:pPr>
                    <w:spacing w:line="240" w:lineRule="auto"/>
                    <w:jc w:val="center"/>
                    <w:rPr>
                      <w:color w:val="auto"/>
                      <w:sz w:val="21"/>
                      <w:szCs w:val="21"/>
                    </w:rPr>
                  </w:pPr>
                </w:p>
              </w:tc>
              <w:tc>
                <w:tcPr>
                  <w:tcW w:w="3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eastAsia="宋体"/>
                      <w:color w:val="auto"/>
                      <w:sz w:val="21"/>
                      <w:szCs w:val="21"/>
                      <w:lang w:val="en-US" w:eastAsia="zh-CN"/>
                    </w:rPr>
                    <w:t>7.4</w:t>
                  </w:r>
                </w:p>
              </w:tc>
              <w:tc>
                <w:tcPr>
                  <w:tcW w:w="381"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eastAsia="宋体"/>
                      <w:color w:val="auto"/>
                      <w:sz w:val="21"/>
                      <w:szCs w:val="21"/>
                      <w:lang w:val="en-US" w:eastAsia="zh-CN"/>
                    </w:rPr>
                    <w:t>-28.0</w:t>
                  </w:r>
                </w:p>
              </w:tc>
              <w:tc>
                <w:tcPr>
                  <w:tcW w:w="325"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6.8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48</w:t>
                  </w:r>
                </w:p>
              </w:tc>
              <w:tc>
                <w:tcPr>
                  <w:tcW w:w="282"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25</w:t>
                  </w:r>
                </w:p>
              </w:tc>
              <w:tc>
                <w:tcPr>
                  <w:tcW w:w="284"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86</w:t>
                  </w:r>
                </w:p>
              </w:tc>
              <w:tc>
                <w:tcPr>
                  <w:tcW w:w="494" w:type="pct"/>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24h</w:t>
                  </w:r>
                </w:p>
              </w:tc>
              <w:tc>
                <w:tcPr>
                  <w:tcW w:w="419"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5000" w:type="pct"/>
                  <w:gridSpan w:val="15"/>
                  <w:vAlign w:val="center"/>
                </w:tcPr>
                <w:p>
                  <w:pPr>
                    <w:spacing w:line="240" w:lineRule="auto"/>
                    <w:jc w:val="center"/>
                    <w:rPr>
                      <w:rFonts w:hint="eastAsia" w:eastAsia="宋体"/>
                      <w:color w:val="auto"/>
                      <w:sz w:val="21"/>
                      <w:szCs w:val="21"/>
                      <w:lang w:eastAsia="zh-CN"/>
                    </w:rPr>
                  </w:pPr>
                  <w:r>
                    <w:rPr>
                      <w:color w:val="auto"/>
                      <w:sz w:val="21"/>
                      <w:szCs w:val="21"/>
                    </w:rPr>
                    <w:t>注：</w:t>
                  </w:r>
                  <w:r>
                    <w:rPr>
                      <w:rFonts w:hint="eastAsia"/>
                      <w:color w:val="auto"/>
                      <w:sz w:val="21"/>
                      <w:szCs w:val="21"/>
                    </w:rPr>
                    <w:t>坐标轴原点为厂</w:t>
                  </w:r>
                  <w:r>
                    <w:rPr>
                      <w:rFonts w:hint="eastAsia"/>
                      <w:color w:val="auto"/>
                      <w:sz w:val="21"/>
                      <w:szCs w:val="21"/>
                      <w:lang w:val="en-US" w:eastAsia="zh-CN"/>
                    </w:rPr>
                    <w:t>区</w:t>
                  </w:r>
                  <w:r>
                    <w:rPr>
                      <w:rFonts w:hint="eastAsia"/>
                      <w:color w:val="auto"/>
                      <w:sz w:val="21"/>
                      <w:szCs w:val="21"/>
                    </w:rPr>
                    <w:t>中心，以东方向为X正轴、北方向为Y正轴</w:t>
                  </w:r>
                  <w:r>
                    <w:rPr>
                      <w:rFonts w:hint="eastAsia"/>
                      <w:color w:val="auto"/>
                      <w:sz w:val="21"/>
                      <w:szCs w:val="21"/>
                      <w:lang w:eastAsia="zh-CN"/>
                    </w:rPr>
                    <w:t>。</w:t>
                  </w:r>
                </w:p>
              </w:tc>
            </w:tr>
          </w:tbl>
          <w:p>
            <w:pPr>
              <w:pStyle w:val="36"/>
              <w:spacing w:line="240" w:lineRule="auto"/>
              <w:rPr>
                <w:color w:val="auto"/>
              </w:rPr>
            </w:pPr>
            <w:r>
              <w:rPr>
                <w:rFonts w:hint="eastAsia" w:ascii="Times New Roman" w:hAnsi="Times New Roman" w:eastAsia="宋体" w:cs="Times New Roman"/>
                <w:bCs/>
                <w:color w:val="auto"/>
                <w:kern w:val="2"/>
              </w:rPr>
              <w:t>表</w:t>
            </w:r>
            <w:r>
              <w:rPr>
                <w:rFonts w:hint="eastAsia" w:ascii="Times New Roman" w:hAnsi="Times New Roman" w:eastAsia="宋体" w:cs="Times New Roman"/>
                <w:bCs/>
                <w:color w:val="auto"/>
                <w:kern w:val="2"/>
                <w:lang w:val="en-US" w:eastAsia="zh-CN"/>
              </w:rPr>
              <w:t xml:space="preserve">4.4-4 </w:t>
            </w:r>
            <w:r>
              <w:rPr>
                <w:rFonts w:hint="eastAsia" w:ascii="Times New Roman" w:hAnsi="Times New Roman" w:eastAsia="宋体" w:cs="Times New Roman"/>
                <w:bCs/>
                <w:color w:val="auto"/>
                <w:kern w:val="2"/>
              </w:rPr>
              <w:t>工业企业噪声源强调查清单（室</w:t>
            </w:r>
            <w:r>
              <w:rPr>
                <w:rFonts w:hint="eastAsia" w:ascii="Times New Roman" w:hAnsi="Times New Roman" w:eastAsia="宋体" w:cs="Times New Roman"/>
                <w:bCs/>
                <w:color w:val="auto"/>
                <w:kern w:val="2"/>
                <w:lang w:val="en-US" w:eastAsia="zh-CN"/>
              </w:rPr>
              <w:t>外</w:t>
            </w:r>
            <w:r>
              <w:rPr>
                <w:rFonts w:hint="eastAsia" w:ascii="Times New Roman" w:hAnsi="Times New Roman" w:eastAsia="宋体" w:cs="Times New Roman"/>
                <w:bCs/>
                <w:color w:val="auto"/>
                <w:kern w:val="2"/>
              </w:rPr>
              <w:t>声源）  单位：dB（A）</w:t>
            </w:r>
          </w:p>
          <w:tbl>
            <w:tblPr>
              <w:tblStyle w:val="25"/>
              <w:tblW w:w="493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84"/>
              <w:gridCol w:w="752"/>
              <w:gridCol w:w="798"/>
              <w:gridCol w:w="842"/>
              <w:gridCol w:w="401"/>
              <w:gridCol w:w="609"/>
              <w:gridCol w:w="650"/>
              <w:gridCol w:w="325"/>
              <w:gridCol w:w="500"/>
              <w:gridCol w:w="443"/>
              <w:gridCol w:w="500"/>
              <w:gridCol w:w="516"/>
              <w:gridCol w:w="11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243" w:type="pct"/>
                  <w:vMerge w:val="restart"/>
                  <w:vAlign w:val="center"/>
                </w:tcPr>
                <w:p>
                  <w:pPr>
                    <w:spacing w:line="240" w:lineRule="auto"/>
                    <w:jc w:val="center"/>
                    <w:rPr>
                      <w:color w:val="auto"/>
                      <w:sz w:val="21"/>
                      <w:szCs w:val="21"/>
                    </w:rPr>
                  </w:pPr>
                  <w:r>
                    <w:rPr>
                      <w:color w:val="auto"/>
                      <w:sz w:val="21"/>
                      <w:szCs w:val="21"/>
                    </w:rPr>
                    <w:t>序号</w:t>
                  </w:r>
                </w:p>
              </w:tc>
              <w:tc>
                <w:tcPr>
                  <w:tcW w:w="476" w:type="pct"/>
                  <w:vMerge w:val="restart"/>
                  <w:vAlign w:val="center"/>
                </w:tcPr>
                <w:p>
                  <w:pPr>
                    <w:spacing w:line="240" w:lineRule="auto"/>
                    <w:jc w:val="center"/>
                    <w:rPr>
                      <w:color w:val="auto"/>
                      <w:sz w:val="21"/>
                      <w:szCs w:val="21"/>
                    </w:rPr>
                  </w:pPr>
                  <w:r>
                    <w:rPr>
                      <w:rFonts w:hint="eastAsia"/>
                      <w:color w:val="auto"/>
                      <w:sz w:val="21"/>
                      <w:szCs w:val="21"/>
                    </w:rPr>
                    <w:t>声源名称</w:t>
                  </w:r>
                </w:p>
              </w:tc>
              <w:tc>
                <w:tcPr>
                  <w:tcW w:w="506" w:type="pct"/>
                  <w:vMerge w:val="restart"/>
                  <w:vAlign w:val="center"/>
                </w:tcPr>
                <w:p>
                  <w:pPr>
                    <w:spacing w:line="240" w:lineRule="auto"/>
                    <w:jc w:val="center"/>
                    <w:rPr>
                      <w:color w:val="auto"/>
                      <w:sz w:val="21"/>
                      <w:szCs w:val="21"/>
                    </w:rPr>
                  </w:pPr>
                  <w:r>
                    <w:rPr>
                      <w:color w:val="auto"/>
                      <w:sz w:val="21"/>
                      <w:szCs w:val="21"/>
                    </w:rPr>
                    <w:t>数量（台）</w:t>
                  </w:r>
                </w:p>
              </w:tc>
              <w:tc>
                <w:tcPr>
                  <w:tcW w:w="533" w:type="pct"/>
                  <w:vMerge w:val="restart"/>
                  <w:vAlign w:val="center"/>
                </w:tcPr>
                <w:p>
                  <w:pPr>
                    <w:spacing w:line="240" w:lineRule="auto"/>
                    <w:jc w:val="center"/>
                    <w:rPr>
                      <w:color w:val="auto"/>
                      <w:sz w:val="21"/>
                      <w:szCs w:val="21"/>
                    </w:rPr>
                  </w:pPr>
                  <w:r>
                    <w:rPr>
                      <w:rFonts w:hint="eastAsia"/>
                      <w:color w:val="auto"/>
                      <w:sz w:val="21"/>
                      <w:szCs w:val="21"/>
                    </w:rPr>
                    <w:t>声源源强，声压级dB(A）</w:t>
                  </w:r>
                </w:p>
              </w:tc>
              <w:tc>
                <w:tcPr>
                  <w:tcW w:w="254" w:type="pct"/>
                  <w:vMerge w:val="restart"/>
                  <w:vAlign w:val="center"/>
                </w:tcPr>
                <w:p>
                  <w:pPr>
                    <w:spacing w:line="240" w:lineRule="auto"/>
                    <w:jc w:val="center"/>
                    <w:rPr>
                      <w:color w:val="auto"/>
                      <w:sz w:val="21"/>
                      <w:szCs w:val="21"/>
                    </w:rPr>
                  </w:pPr>
                  <w:r>
                    <w:rPr>
                      <w:rFonts w:hint="eastAsia"/>
                      <w:color w:val="auto"/>
                      <w:sz w:val="21"/>
                      <w:szCs w:val="21"/>
                    </w:rPr>
                    <w:t>声源控制措施</w:t>
                  </w:r>
                </w:p>
              </w:tc>
              <w:tc>
                <w:tcPr>
                  <w:tcW w:w="1004" w:type="pct"/>
                  <w:gridSpan w:val="3"/>
                  <w:vAlign w:val="center"/>
                </w:tcPr>
                <w:p>
                  <w:pPr>
                    <w:spacing w:line="240" w:lineRule="auto"/>
                    <w:jc w:val="center"/>
                    <w:rPr>
                      <w:color w:val="auto"/>
                      <w:sz w:val="21"/>
                      <w:szCs w:val="21"/>
                    </w:rPr>
                  </w:pPr>
                  <w:r>
                    <w:rPr>
                      <w:rFonts w:hint="eastAsia"/>
                      <w:color w:val="auto"/>
                      <w:sz w:val="21"/>
                      <w:szCs w:val="21"/>
                    </w:rPr>
                    <w:t>空间相对位置</w:t>
                  </w:r>
                </w:p>
              </w:tc>
              <w:tc>
                <w:tcPr>
                  <w:tcW w:w="1242" w:type="pct"/>
                  <w:gridSpan w:val="4"/>
                  <w:vAlign w:val="center"/>
                </w:tcPr>
                <w:p>
                  <w:pPr>
                    <w:spacing w:line="240" w:lineRule="auto"/>
                    <w:jc w:val="center"/>
                    <w:rPr>
                      <w:color w:val="auto"/>
                      <w:sz w:val="21"/>
                      <w:szCs w:val="21"/>
                    </w:rPr>
                  </w:pPr>
                  <w:r>
                    <w:rPr>
                      <w:rFonts w:hint="eastAsia"/>
                      <w:color w:val="auto"/>
                      <w:sz w:val="21"/>
                      <w:szCs w:val="21"/>
                    </w:rPr>
                    <w:t>距室内边界距离（m）</w:t>
                  </w:r>
                </w:p>
              </w:tc>
              <w:tc>
                <w:tcPr>
                  <w:tcW w:w="738" w:type="pct"/>
                  <w:vMerge w:val="restart"/>
                  <w:vAlign w:val="center"/>
                </w:tcPr>
                <w:p>
                  <w:pPr>
                    <w:spacing w:line="240" w:lineRule="auto"/>
                    <w:jc w:val="center"/>
                    <w:rPr>
                      <w:color w:val="auto"/>
                      <w:sz w:val="21"/>
                      <w:szCs w:val="21"/>
                    </w:rPr>
                  </w:pPr>
                  <w:r>
                    <w:rPr>
                      <w:rFonts w:hint="eastAsia"/>
                      <w:color w:val="auto"/>
                      <w:sz w:val="21"/>
                      <w:szCs w:val="21"/>
                    </w:rPr>
                    <w:t>运行时段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6" w:hRule="atLeast"/>
                <w:jc w:val="center"/>
              </w:trPr>
              <w:tc>
                <w:tcPr>
                  <w:tcW w:w="243" w:type="pct"/>
                  <w:vMerge w:val="continue"/>
                  <w:vAlign w:val="center"/>
                </w:tcPr>
                <w:p>
                  <w:pPr>
                    <w:spacing w:line="240" w:lineRule="auto"/>
                    <w:jc w:val="center"/>
                    <w:rPr>
                      <w:color w:val="auto"/>
                      <w:sz w:val="21"/>
                      <w:szCs w:val="21"/>
                    </w:rPr>
                  </w:pPr>
                </w:p>
              </w:tc>
              <w:tc>
                <w:tcPr>
                  <w:tcW w:w="476" w:type="pct"/>
                  <w:vMerge w:val="continue"/>
                  <w:vAlign w:val="center"/>
                </w:tcPr>
                <w:p>
                  <w:pPr>
                    <w:spacing w:line="240" w:lineRule="auto"/>
                    <w:jc w:val="center"/>
                    <w:rPr>
                      <w:color w:val="auto"/>
                      <w:sz w:val="21"/>
                      <w:szCs w:val="21"/>
                    </w:rPr>
                  </w:pPr>
                </w:p>
              </w:tc>
              <w:tc>
                <w:tcPr>
                  <w:tcW w:w="506" w:type="pct"/>
                  <w:vMerge w:val="continue"/>
                  <w:vAlign w:val="center"/>
                </w:tcPr>
                <w:p>
                  <w:pPr>
                    <w:spacing w:line="240" w:lineRule="auto"/>
                    <w:jc w:val="center"/>
                    <w:rPr>
                      <w:color w:val="auto"/>
                      <w:sz w:val="21"/>
                      <w:szCs w:val="21"/>
                    </w:rPr>
                  </w:pPr>
                </w:p>
              </w:tc>
              <w:tc>
                <w:tcPr>
                  <w:tcW w:w="533" w:type="pct"/>
                  <w:vMerge w:val="continue"/>
                  <w:vAlign w:val="center"/>
                </w:tcPr>
                <w:p>
                  <w:pPr>
                    <w:spacing w:line="240" w:lineRule="auto"/>
                    <w:jc w:val="center"/>
                    <w:rPr>
                      <w:color w:val="auto"/>
                      <w:sz w:val="21"/>
                      <w:szCs w:val="21"/>
                    </w:rPr>
                  </w:pPr>
                </w:p>
              </w:tc>
              <w:tc>
                <w:tcPr>
                  <w:tcW w:w="254" w:type="pct"/>
                  <w:vMerge w:val="continue"/>
                  <w:vAlign w:val="center"/>
                </w:tcPr>
                <w:p>
                  <w:pPr>
                    <w:spacing w:line="240" w:lineRule="auto"/>
                    <w:jc w:val="center"/>
                    <w:rPr>
                      <w:color w:val="auto"/>
                      <w:sz w:val="21"/>
                      <w:szCs w:val="21"/>
                    </w:rPr>
                  </w:pPr>
                </w:p>
              </w:tc>
              <w:tc>
                <w:tcPr>
                  <w:tcW w:w="386" w:type="pct"/>
                  <w:vAlign w:val="center"/>
                </w:tcPr>
                <w:p>
                  <w:pPr>
                    <w:spacing w:line="240" w:lineRule="auto"/>
                    <w:jc w:val="center"/>
                    <w:rPr>
                      <w:color w:val="auto"/>
                      <w:sz w:val="21"/>
                      <w:szCs w:val="21"/>
                    </w:rPr>
                  </w:pPr>
                  <w:r>
                    <w:rPr>
                      <w:rFonts w:hint="eastAsia"/>
                      <w:color w:val="auto"/>
                      <w:sz w:val="21"/>
                      <w:szCs w:val="21"/>
                    </w:rPr>
                    <w:t>X</w:t>
                  </w:r>
                </w:p>
              </w:tc>
              <w:tc>
                <w:tcPr>
                  <w:tcW w:w="412" w:type="pct"/>
                  <w:vAlign w:val="center"/>
                </w:tcPr>
                <w:p>
                  <w:pPr>
                    <w:spacing w:line="240" w:lineRule="auto"/>
                    <w:jc w:val="center"/>
                    <w:rPr>
                      <w:color w:val="auto"/>
                      <w:sz w:val="21"/>
                      <w:szCs w:val="21"/>
                    </w:rPr>
                  </w:pPr>
                  <w:r>
                    <w:rPr>
                      <w:rFonts w:hint="eastAsia"/>
                      <w:color w:val="auto"/>
                      <w:sz w:val="21"/>
                      <w:szCs w:val="21"/>
                    </w:rPr>
                    <w:t>Y</w:t>
                  </w:r>
                </w:p>
              </w:tc>
              <w:tc>
                <w:tcPr>
                  <w:tcW w:w="206" w:type="pct"/>
                  <w:vAlign w:val="center"/>
                </w:tcPr>
                <w:p>
                  <w:pPr>
                    <w:spacing w:line="240" w:lineRule="auto"/>
                    <w:jc w:val="center"/>
                    <w:rPr>
                      <w:color w:val="auto"/>
                      <w:sz w:val="21"/>
                      <w:szCs w:val="21"/>
                    </w:rPr>
                  </w:pPr>
                  <w:r>
                    <w:rPr>
                      <w:rFonts w:hint="eastAsia"/>
                      <w:color w:val="auto"/>
                      <w:sz w:val="21"/>
                      <w:szCs w:val="21"/>
                    </w:rPr>
                    <w:t>Z</w:t>
                  </w:r>
                </w:p>
              </w:tc>
              <w:tc>
                <w:tcPr>
                  <w:tcW w:w="317"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东</w:t>
                  </w:r>
                </w:p>
              </w:tc>
              <w:tc>
                <w:tcPr>
                  <w:tcW w:w="280"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南</w:t>
                  </w:r>
                </w:p>
              </w:tc>
              <w:tc>
                <w:tcPr>
                  <w:tcW w:w="317" w:type="pct"/>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西</w:t>
                  </w:r>
                </w:p>
              </w:tc>
              <w:tc>
                <w:tcPr>
                  <w:tcW w:w="327" w:type="pct"/>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北</w:t>
                  </w:r>
                </w:p>
              </w:tc>
              <w:tc>
                <w:tcPr>
                  <w:tcW w:w="738" w:type="pct"/>
                  <w:vMerge w:val="continue"/>
                  <w:vAlign w:val="center"/>
                </w:tcPr>
                <w:p>
                  <w:pPr>
                    <w:spacing w:line="240" w:lineRule="auto"/>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243" w:type="pct"/>
                  <w:vAlign w:val="center"/>
                </w:tcPr>
                <w:p>
                  <w:pPr>
                    <w:spacing w:line="240" w:lineRule="auto"/>
                    <w:jc w:val="center"/>
                    <w:rPr>
                      <w:color w:val="auto"/>
                      <w:sz w:val="21"/>
                      <w:szCs w:val="21"/>
                    </w:rPr>
                  </w:pPr>
                  <w:r>
                    <w:rPr>
                      <w:rFonts w:hint="eastAsia"/>
                      <w:color w:val="auto"/>
                      <w:sz w:val="21"/>
                      <w:szCs w:val="21"/>
                    </w:rPr>
                    <w:t>1</w:t>
                  </w:r>
                </w:p>
              </w:tc>
              <w:tc>
                <w:tcPr>
                  <w:tcW w:w="476" w:type="pct"/>
                  <w:vAlign w:val="center"/>
                </w:tcPr>
                <w:p>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风机d</w:t>
                  </w:r>
                </w:p>
              </w:tc>
              <w:tc>
                <w:tcPr>
                  <w:tcW w:w="506" w:type="pct"/>
                  <w:vAlign w:val="center"/>
                </w:tcPr>
                <w:p>
                  <w:pPr>
                    <w:pStyle w:val="41"/>
                    <w:spacing w:line="240" w:lineRule="auto"/>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lang w:val="en-US" w:eastAsia="zh-CN" w:bidi="ar"/>
                    </w:rPr>
                    <w:t>1</w:t>
                  </w:r>
                </w:p>
              </w:tc>
              <w:tc>
                <w:tcPr>
                  <w:tcW w:w="533" w:type="pct"/>
                  <w:vAlign w:val="center"/>
                </w:tcPr>
                <w:p>
                  <w:pPr>
                    <w:pStyle w:val="41"/>
                    <w:spacing w:line="240" w:lineRule="auto"/>
                    <w:jc w:val="center"/>
                    <w:rPr>
                      <w:rFonts w:hint="default" w:eastAsia="宋体"/>
                      <w:color w:val="auto"/>
                      <w:szCs w:val="21"/>
                      <w:lang w:val="en-US" w:eastAsia="zh-CN"/>
                    </w:rPr>
                  </w:pPr>
                  <w:r>
                    <w:rPr>
                      <w:rFonts w:hint="eastAsia"/>
                      <w:color w:val="auto"/>
                      <w:szCs w:val="21"/>
                      <w:lang w:val="en-US" w:eastAsia="zh-CN"/>
                    </w:rPr>
                    <w:t>100</w:t>
                  </w:r>
                </w:p>
              </w:tc>
              <w:tc>
                <w:tcPr>
                  <w:tcW w:w="254" w:type="pct"/>
                  <w:vAlign w:val="center"/>
                </w:tcPr>
                <w:p>
                  <w:pPr>
                    <w:spacing w:line="240" w:lineRule="auto"/>
                    <w:jc w:val="center"/>
                    <w:rPr>
                      <w:rFonts w:hint="default"/>
                      <w:color w:val="auto"/>
                      <w:sz w:val="21"/>
                      <w:szCs w:val="21"/>
                      <w:lang w:val="en-US"/>
                    </w:rPr>
                  </w:pPr>
                  <w:r>
                    <w:rPr>
                      <w:color w:val="auto"/>
                      <w:sz w:val="21"/>
                      <w:szCs w:val="21"/>
                    </w:rPr>
                    <w:t>基础减振</w:t>
                  </w:r>
                  <w:r>
                    <w:rPr>
                      <w:rFonts w:hint="eastAsia"/>
                      <w:color w:val="auto"/>
                      <w:sz w:val="21"/>
                      <w:szCs w:val="21"/>
                      <w:lang w:val="en-US" w:eastAsia="zh-CN"/>
                    </w:rPr>
                    <w:t>+隔声罩+消声器</w:t>
                  </w:r>
                </w:p>
              </w:tc>
              <w:tc>
                <w:tcPr>
                  <w:tcW w:w="386"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4.8</w:t>
                  </w:r>
                </w:p>
              </w:tc>
              <w:tc>
                <w:tcPr>
                  <w:tcW w:w="412" w:type="pct"/>
                  <w:vAlign w:val="center"/>
                </w:tcPr>
                <w:p>
                  <w:pPr>
                    <w:spacing w:line="240" w:lineRule="auto"/>
                    <w:jc w:val="center"/>
                    <w:rPr>
                      <w:rFonts w:hint="default" w:eastAsia="宋体"/>
                      <w:color w:val="auto"/>
                      <w:sz w:val="21"/>
                      <w:szCs w:val="21"/>
                      <w:lang w:val="en-US" w:eastAsia="zh-CN"/>
                    </w:rPr>
                  </w:pPr>
                  <w:r>
                    <w:rPr>
                      <w:rFonts w:hint="default" w:eastAsia="宋体"/>
                      <w:color w:val="auto"/>
                      <w:sz w:val="21"/>
                      <w:szCs w:val="21"/>
                      <w:lang w:val="en-US" w:eastAsia="zh-CN"/>
                    </w:rPr>
                    <w:t>-49.9</w:t>
                  </w:r>
                </w:p>
              </w:tc>
              <w:tc>
                <w:tcPr>
                  <w:tcW w:w="206"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w:t>
                  </w:r>
                </w:p>
              </w:tc>
              <w:tc>
                <w:tcPr>
                  <w:tcW w:w="3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22</w:t>
                  </w:r>
                </w:p>
              </w:tc>
              <w:tc>
                <w:tcPr>
                  <w:tcW w:w="280"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19</w:t>
                  </w:r>
                </w:p>
              </w:tc>
              <w:tc>
                <w:tcPr>
                  <w:tcW w:w="31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327" w:type="pct"/>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114</w:t>
                  </w:r>
                </w:p>
              </w:tc>
              <w:tc>
                <w:tcPr>
                  <w:tcW w:w="738" w:type="pct"/>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6:30~8:30；11:30~13:30；3：30~5:30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5000" w:type="pct"/>
                  <w:gridSpan w:val="13"/>
                  <w:vAlign w:val="center"/>
                </w:tcPr>
                <w:p>
                  <w:pPr>
                    <w:spacing w:line="240" w:lineRule="auto"/>
                    <w:jc w:val="center"/>
                    <w:rPr>
                      <w:rFonts w:hint="eastAsia"/>
                      <w:color w:val="auto"/>
                      <w:sz w:val="21"/>
                      <w:szCs w:val="21"/>
                      <w:lang w:val="en-US" w:eastAsia="zh-CN"/>
                    </w:rPr>
                  </w:pPr>
                  <w:r>
                    <w:rPr>
                      <w:color w:val="auto"/>
                      <w:sz w:val="21"/>
                      <w:szCs w:val="21"/>
                    </w:rPr>
                    <w:t>注：</w:t>
                  </w:r>
                  <w:r>
                    <w:rPr>
                      <w:rFonts w:hint="eastAsia"/>
                      <w:color w:val="auto"/>
                      <w:sz w:val="21"/>
                      <w:szCs w:val="21"/>
                    </w:rPr>
                    <w:t>坐标轴原点为厂</w:t>
                  </w:r>
                  <w:r>
                    <w:rPr>
                      <w:rFonts w:hint="eastAsia"/>
                      <w:color w:val="auto"/>
                      <w:sz w:val="21"/>
                      <w:szCs w:val="21"/>
                      <w:lang w:val="en-US" w:eastAsia="zh-CN"/>
                    </w:rPr>
                    <w:t>区</w:t>
                  </w:r>
                  <w:r>
                    <w:rPr>
                      <w:rFonts w:hint="eastAsia"/>
                      <w:color w:val="auto"/>
                      <w:sz w:val="21"/>
                      <w:szCs w:val="21"/>
                    </w:rPr>
                    <w:t>中心，以东方向为X正轴、北方向为Y正轴</w:t>
                  </w:r>
                  <w:r>
                    <w:rPr>
                      <w:rFonts w:hint="eastAsia"/>
                      <w:color w:val="auto"/>
                      <w:sz w:val="21"/>
                      <w:szCs w:val="21"/>
                      <w:lang w:eastAsia="zh-CN"/>
                    </w:rPr>
                    <w:t>。</w:t>
                  </w:r>
                </w:p>
              </w:tc>
            </w:tr>
          </w:tbl>
          <w:p>
            <w:pPr>
              <w:pStyle w:val="99"/>
              <w:spacing w:line="360" w:lineRule="auto"/>
              <w:ind w:firstLine="482" w:firstLineChars="200"/>
              <w:jc w:val="both"/>
              <w:rPr>
                <w:rFonts w:hint="eastAsia" w:ascii="Times New Roman" w:eastAsia="Calibri" w:cs="Times New Roman"/>
                <w:b/>
                <w:bCs/>
                <w:color w:val="auto"/>
              </w:rPr>
            </w:pPr>
            <w:r>
              <w:rPr>
                <w:rFonts w:hint="eastAsia" w:ascii="Times New Roman" w:cs="Times New Roman"/>
                <w:b/>
                <w:bCs/>
                <w:color w:val="auto"/>
                <w:sz w:val="24"/>
                <w:szCs w:val="24"/>
                <w:lang w:val="en-US" w:eastAsia="zh-CN" w:bidi="ar-SA"/>
              </w:rPr>
              <w:t>4.4.2</w:t>
            </w:r>
            <w:r>
              <w:rPr>
                <w:rFonts w:hint="eastAsia" w:ascii="Times New Roman" w:hAnsi="Times New Roman" w:eastAsia="宋体" w:cs="Times New Roman"/>
                <w:b/>
                <w:bCs/>
                <w:color w:val="auto"/>
                <w:sz w:val="24"/>
                <w:szCs w:val="24"/>
                <w:lang w:val="en-US" w:eastAsia="zh-CN" w:bidi="ar-SA"/>
              </w:rPr>
              <w:t>项目厂界噪声达标情况分析</w:t>
            </w:r>
          </w:p>
          <w:p>
            <w:pPr>
              <w:snapToGrid w:val="0"/>
              <w:spacing w:line="360" w:lineRule="auto"/>
              <w:ind w:firstLine="480"/>
              <w:rPr>
                <w:color w:val="auto"/>
                <w:kern w:val="0"/>
                <w:sz w:val="24"/>
              </w:rPr>
            </w:pPr>
            <w:r>
              <w:rPr>
                <w:color w:val="auto"/>
                <w:kern w:val="0"/>
                <w:sz w:val="24"/>
              </w:rPr>
              <w:t>（1）预测模式</w:t>
            </w:r>
          </w:p>
          <w:p>
            <w:pPr>
              <w:snapToGrid w:val="0"/>
              <w:spacing w:line="360" w:lineRule="auto"/>
              <w:ind w:firstLine="480"/>
              <w:rPr>
                <w:color w:val="auto"/>
                <w:sz w:val="24"/>
              </w:rPr>
            </w:pPr>
            <w:r>
              <w:rPr>
                <w:color w:val="auto"/>
                <w:sz w:val="24"/>
              </w:rPr>
              <w:t>根据《环境影响评价技术导则 声环境》（HJ2.4-</w:t>
            </w:r>
            <w:r>
              <w:rPr>
                <w:rFonts w:hint="eastAsia"/>
                <w:color w:val="auto"/>
                <w:sz w:val="24"/>
              </w:rPr>
              <w:t>2021</w:t>
            </w:r>
            <w:r>
              <w:rPr>
                <w:color w:val="auto"/>
                <w:sz w:val="24"/>
              </w:rPr>
              <w:t>）的技术要求，根据《环境影响评价技术导则 声环境》（HJ2.4-</w:t>
            </w:r>
            <w:r>
              <w:rPr>
                <w:rFonts w:hint="eastAsia"/>
                <w:color w:val="auto"/>
                <w:sz w:val="24"/>
              </w:rPr>
              <w:t>2021</w:t>
            </w:r>
            <w:r>
              <w:rPr>
                <w:color w:val="auto"/>
                <w:sz w:val="24"/>
              </w:rPr>
              <w:t>）推荐的噪声室内等效室外声源声功率级计算方法，然后按室外声源预测方法计算预测点处的A声级，其计算公式如下：</w:t>
            </w:r>
          </w:p>
          <w:p>
            <w:pPr>
              <w:snapToGrid w:val="0"/>
              <w:spacing w:line="360" w:lineRule="auto"/>
              <w:ind w:firstLine="720" w:firstLineChars="300"/>
              <w:jc w:val="left"/>
              <w:rPr>
                <w:color w:val="auto"/>
                <w:sz w:val="24"/>
              </w:rPr>
            </w:pPr>
            <w:r>
              <w:rPr>
                <w:color w:val="auto"/>
                <w:sz w:val="24"/>
              </w:rPr>
              <w:t>①声级衰减计算</w:t>
            </w:r>
          </w:p>
          <w:p>
            <w:pPr>
              <w:snapToGrid w:val="0"/>
              <w:spacing w:line="360" w:lineRule="auto"/>
              <w:jc w:val="center"/>
              <w:rPr>
                <w:color w:val="auto"/>
                <w:sz w:val="24"/>
              </w:rPr>
            </w:pPr>
            <w:r>
              <w:rPr>
                <w:color w:val="auto"/>
                <w:sz w:val="24"/>
              </w:rPr>
              <w:drawing>
                <wp:inline distT="0" distB="0" distL="114300" distR="114300">
                  <wp:extent cx="2533650" cy="495300"/>
                  <wp:effectExtent l="0" t="0" r="0" b="0"/>
                  <wp:docPr id="35" name="图片 3" descr="16281455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 descr="1628145513(1)"/>
                          <pic:cNvPicPr>
                            <a:picLocks noChangeAspect="true"/>
                          </pic:cNvPicPr>
                        </pic:nvPicPr>
                        <pic:blipFill>
                          <a:blip r:embed="rId21"/>
                          <a:stretch>
                            <a:fillRect/>
                          </a:stretch>
                        </pic:blipFill>
                        <pic:spPr>
                          <a:xfrm>
                            <a:off x="0" y="0"/>
                            <a:ext cx="2533650" cy="495300"/>
                          </a:xfrm>
                          <a:prstGeom prst="rect">
                            <a:avLst/>
                          </a:prstGeom>
                          <a:noFill/>
                          <a:ln>
                            <a:noFill/>
                          </a:ln>
                        </pic:spPr>
                      </pic:pic>
                    </a:graphicData>
                  </a:graphic>
                </wp:inline>
              </w:drawing>
            </w:r>
          </w:p>
          <w:p>
            <w:pPr>
              <w:snapToGrid w:val="0"/>
              <w:spacing w:line="360" w:lineRule="auto"/>
              <w:ind w:firstLine="1920" w:firstLineChars="800"/>
              <w:rPr>
                <w:color w:val="auto"/>
                <w:sz w:val="24"/>
              </w:rPr>
            </w:pPr>
            <w:r>
              <w:rPr>
                <w:color w:val="auto"/>
                <w:sz w:val="24"/>
              </w:rPr>
              <w:t>A—A声级衰减，dB（A）；</w:t>
            </w:r>
          </w:p>
          <w:p>
            <w:pPr>
              <w:snapToGrid w:val="0"/>
              <w:spacing w:line="360" w:lineRule="auto"/>
              <w:ind w:firstLine="1920" w:firstLineChars="800"/>
              <w:rPr>
                <w:color w:val="auto"/>
                <w:sz w:val="24"/>
              </w:rPr>
            </w:pPr>
            <w:r>
              <w:rPr>
                <w:color w:val="auto"/>
                <w:sz w:val="24"/>
              </w:rPr>
              <w:t>A</w:t>
            </w:r>
            <w:r>
              <w:rPr>
                <w:color w:val="auto"/>
                <w:sz w:val="24"/>
                <w:vertAlign w:val="subscript"/>
              </w:rPr>
              <w:t>div</w:t>
            </w:r>
            <w:r>
              <w:rPr>
                <w:color w:val="auto"/>
                <w:sz w:val="24"/>
              </w:rPr>
              <w:t>—几何发散引起的衰减，dB（A）；</w:t>
            </w:r>
          </w:p>
          <w:p>
            <w:pPr>
              <w:snapToGrid w:val="0"/>
              <w:spacing w:line="360" w:lineRule="auto"/>
              <w:ind w:firstLine="1920" w:firstLineChars="800"/>
              <w:rPr>
                <w:color w:val="auto"/>
                <w:sz w:val="24"/>
              </w:rPr>
            </w:pPr>
            <w:r>
              <w:rPr>
                <w:color w:val="auto"/>
                <w:sz w:val="24"/>
              </w:rPr>
              <w:t>A</w:t>
            </w:r>
            <w:r>
              <w:rPr>
                <w:color w:val="auto"/>
                <w:sz w:val="24"/>
                <w:vertAlign w:val="subscript"/>
              </w:rPr>
              <w:t>atm</w:t>
            </w:r>
            <w:r>
              <w:rPr>
                <w:color w:val="auto"/>
                <w:sz w:val="24"/>
              </w:rPr>
              <w:t>—大气吸收引起的衰减，dB（A）；</w:t>
            </w:r>
          </w:p>
          <w:p>
            <w:pPr>
              <w:snapToGrid w:val="0"/>
              <w:spacing w:line="360" w:lineRule="auto"/>
              <w:ind w:firstLine="1920" w:firstLineChars="800"/>
              <w:rPr>
                <w:color w:val="auto"/>
                <w:sz w:val="24"/>
              </w:rPr>
            </w:pPr>
            <w:r>
              <w:rPr>
                <w:color w:val="auto"/>
                <w:sz w:val="24"/>
              </w:rPr>
              <w:t>A</w:t>
            </w:r>
            <w:r>
              <w:rPr>
                <w:color w:val="auto"/>
                <w:sz w:val="24"/>
                <w:vertAlign w:val="subscript"/>
              </w:rPr>
              <w:t>gr</w:t>
            </w:r>
            <w:r>
              <w:rPr>
                <w:color w:val="auto"/>
                <w:sz w:val="24"/>
              </w:rPr>
              <w:t>—地面效应引起的衰减，dB（A）；</w:t>
            </w:r>
          </w:p>
          <w:p>
            <w:pPr>
              <w:snapToGrid w:val="0"/>
              <w:spacing w:line="360" w:lineRule="auto"/>
              <w:ind w:firstLine="1920" w:firstLineChars="800"/>
              <w:rPr>
                <w:color w:val="auto"/>
                <w:sz w:val="24"/>
              </w:rPr>
            </w:pPr>
            <w:r>
              <w:rPr>
                <w:color w:val="auto"/>
                <w:sz w:val="24"/>
              </w:rPr>
              <w:t>A</w:t>
            </w:r>
            <w:r>
              <w:rPr>
                <w:color w:val="auto"/>
                <w:sz w:val="24"/>
                <w:vertAlign w:val="subscript"/>
              </w:rPr>
              <w:t>bar</w:t>
            </w:r>
            <w:r>
              <w:rPr>
                <w:color w:val="auto"/>
                <w:sz w:val="24"/>
              </w:rPr>
              <w:t>—声屏障引起的衰减，dB（A）；</w:t>
            </w:r>
          </w:p>
          <w:p>
            <w:pPr>
              <w:snapToGrid w:val="0"/>
              <w:spacing w:line="360" w:lineRule="auto"/>
              <w:ind w:firstLine="1920" w:firstLineChars="800"/>
              <w:rPr>
                <w:color w:val="auto"/>
                <w:sz w:val="24"/>
              </w:rPr>
            </w:pPr>
            <w:r>
              <w:rPr>
                <w:color w:val="auto"/>
                <w:sz w:val="24"/>
              </w:rPr>
              <w:t>A</w:t>
            </w:r>
            <w:r>
              <w:rPr>
                <w:color w:val="auto"/>
                <w:sz w:val="24"/>
                <w:vertAlign w:val="subscript"/>
              </w:rPr>
              <w:t>misc</w:t>
            </w:r>
            <w:r>
              <w:rPr>
                <w:color w:val="auto"/>
                <w:sz w:val="24"/>
              </w:rPr>
              <w:t>—其他多方面效应引起的衰减，dB（A）。</w:t>
            </w:r>
          </w:p>
          <w:p>
            <w:pPr>
              <w:snapToGrid w:val="0"/>
              <w:spacing w:line="360" w:lineRule="auto"/>
              <w:ind w:firstLine="720" w:firstLineChars="300"/>
              <w:jc w:val="left"/>
              <w:rPr>
                <w:color w:val="auto"/>
                <w:sz w:val="24"/>
              </w:rPr>
            </w:pPr>
            <w:r>
              <w:rPr>
                <w:color w:val="auto"/>
                <w:sz w:val="24"/>
              </w:rPr>
              <w:t>②声级计算</w:t>
            </w:r>
          </w:p>
          <w:p>
            <w:pPr>
              <w:snapToGrid w:val="0"/>
              <w:spacing w:line="360" w:lineRule="auto"/>
              <w:jc w:val="center"/>
              <w:rPr>
                <w:color w:val="auto"/>
                <w:sz w:val="24"/>
              </w:rPr>
            </w:pPr>
            <w:r>
              <w:rPr>
                <w:color w:val="auto"/>
                <w:sz w:val="24"/>
              </w:rPr>
              <w:drawing>
                <wp:inline distT="0" distB="0" distL="114300" distR="114300">
                  <wp:extent cx="1733550" cy="542925"/>
                  <wp:effectExtent l="0" t="0" r="0" b="9525"/>
                  <wp:docPr id="39" name="图片 4" descr="163177534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4" descr="1631775346(1)"/>
                          <pic:cNvPicPr>
                            <a:picLocks noChangeAspect="true"/>
                          </pic:cNvPicPr>
                        </pic:nvPicPr>
                        <pic:blipFill>
                          <a:blip r:embed="rId22"/>
                          <a:stretch>
                            <a:fillRect/>
                          </a:stretch>
                        </pic:blipFill>
                        <pic:spPr>
                          <a:xfrm>
                            <a:off x="0" y="0"/>
                            <a:ext cx="1733550" cy="542925"/>
                          </a:xfrm>
                          <a:prstGeom prst="rect">
                            <a:avLst/>
                          </a:prstGeom>
                          <a:noFill/>
                          <a:ln>
                            <a:noFill/>
                          </a:ln>
                        </pic:spPr>
                      </pic:pic>
                    </a:graphicData>
                  </a:graphic>
                </wp:inline>
              </w:drawing>
            </w:r>
          </w:p>
          <w:p>
            <w:pPr>
              <w:snapToGrid w:val="0"/>
              <w:spacing w:line="360" w:lineRule="auto"/>
              <w:ind w:firstLine="1920" w:firstLineChars="800"/>
              <w:rPr>
                <w:color w:val="auto"/>
                <w:sz w:val="24"/>
              </w:rPr>
            </w:pPr>
            <w:r>
              <w:rPr>
                <w:color w:val="auto"/>
                <w:sz w:val="24"/>
              </w:rPr>
              <w:t>L</w:t>
            </w:r>
            <w:r>
              <w:rPr>
                <w:color w:val="auto"/>
                <w:sz w:val="24"/>
                <w:vertAlign w:val="subscript"/>
              </w:rPr>
              <w:t>A</w:t>
            </w:r>
            <w:r>
              <w:rPr>
                <w:color w:val="auto"/>
                <w:sz w:val="24"/>
              </w:rPr>
              <w:t>(r)—预测点r处的 A 声级，dB(A)；</w:t>
            </w:r>
          </w:p>
          <w:p>
            <w:pPr>
              <w:snapToGrid w:val="0"/>
              <w:spacing w:line="360" w:lineRule="auto"/>
              <w:ind w:firstLine="1920" w:firstLineChars="800"/>
              <w:rPr>
                <w:color w:val="auto"/>
                <w:sz w:val="24"/>
              </w:rPr>
            </w:pPr>
            <w:r>
              <w:rPr>
                <w:color w:val="auto"/>
                <w:sz w:val="24"/>
              </w:rPr>
              <w:t>L</w:t>
            </w:r>
            <w:r>
              <w:rPr>
                <w:color w:val="auto"/>
                <w:sz w:val="24"/>
                <w:vertAlign w:val="subscript"/>
              </w:rPr>
              <w:t>A</w:t>
            </w:r>
            <w:r>
              <w:rPr>
                <w:color w:val="auto"/>
                <w:sz w:val="24"/>
              </w:rPr>
              <w:t>(r</w:t>
            </w:r>
            <w:r>
              <w:rPr>
                <w:color w:val="auto"/>
                <w:sz w:val="24"/>
                <w:vertAlign w:val="subscript"/>
              </w:rPr>
              <w:t>0</w:t>
            </w:r>
            <w:r>
              <w:rPr>
                <w:color w:val="auto"/>
                <w:sz w:val="24"/>
              </w:rPr>
              <w:t>)—预测点r</w:t>
            </w:r>
            <w:r>
              <w:rPr>
                <w:color w:val="auto"/>
                <w:sz w:val="24"/>
                <w:vertAlign w:val="subscript"/>
              </w:rPr>
              <w:t>0</w:t>
            </w:r>
            <w:r>
              <w:rPr>
                <w:color w:val="auto"/>
                <w:sz w:val="24"/>
              </w:rPr>
              <w:t>处的 A 声级，dB(A)；</w:t>
            </w:r>
          </w:p>
          <w:p>
            <w:pPr>
              <w:snapToGrid w:val="0"/>
              <w:spacing w:line="360" w:lineRule="auto"/>
              <w:ind w:firstLine="1920" w:firstLineChars="800"/>
              <w:rPr>
                <w:color w:val="auto"/>
                <w:sz w:val="24"/>
              </w:rPr>
            </w:pPr>
            <w:r>
              <w:rPr>
                <w:color w:val="auto"/>
                <w:sz w:val="24"/>
              </w:rPr>
              <w:t>A—A声级衰减，dB（A）；</w:t>
            </w:r>
          </w:p>
          <w:p>
            <w:pPr>
              <w:snapToGrid w:val="0"/>
              <w:spacing w:line="360" w:lineRule="auto"/>
              <w:ind w:firstLine="480" w:firstLineChars="200"/>
              <w:rPr>
                <w:color w:val="auto"/>
                <w:sz w:val="24"/>
              </w:rPr>
            </w:pPr>
            <w:r>
              <w:rPr>
                <w:rFonts w:hint="eastAsia"/>
                <w:color w:val="auto"/>
                <w:sz w:val="24"/>
              </w:rPr>
              <w:t>③厂界噪声</w:t>
            </w:r>
            <w:r>
              <w:rPr>
                <w:color w:val="auto"/>
                <w:sz w:val="24"/>
              </w:rPr>
              <w:t>的预测等效声级（Leqg）计算公式</w:t>
            </w:r>
          </w:p>
          <w:p>
            <w:pPr>
              <w:pStyle w:val="36"/>
              <w:spacing w:line="360" w:lineRule="auto"/>
              <w:jc w:val="center"/>
              <w:rPr>
                <w:rFonts w:hint="eastAsia"/>
                <w:color w:val="auto"/>
              </w:rPr>
            </w:pPr>
            <w:r>
              <w:rPr>
                <w:rFonts w:hint="eastAsia"/>
                <w:color w:val="auto"/>
              </w:rPr>
              <w:drawing>
                <wp:inline distT="0" distB="0" distL="114300" distR="114300">
                  <wp:extent cx="3790950" cy="847725"/>
                  <wp:effectExtent l="0" t="0" r="0" b="9525"/>
                  <wp:docPr id="42" name="图片 5" descr="16583828398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5" descr="1658382839861"/>
                          <pic:cNvPicPr>
                            <a:picLocks noChangeAspect="true"/>
                          </pic:cNvPicPr>
                        </pic:nvPicPr>
                        <pic:blipFill>
                          <a:blip r:embed="rId23"/>
                          <a:stretch>
                            <a:fillRect/>
                          </a:stretch>
                        </pic:blipFill>
                        <pic:spPr>
                          <a:xfrm>
                            <a:off x="0" y="0"/>
                            <a:ext cx="3790950" cy="847725"/>
                          </a:xfrm>
                          <a:prstGeom prst="rect">
                            <a:avLst/>
                          </a:prstGeom>
                          <a:noFill/>
                          <a:ln>
                            <a:noFill/>
                          </a:ln>
                        </pic:spPr>
                      </pic:pic>
                    </a:graphicData>
                  </a:graphic>
                </wp:inline>
              </w:drawing>
            </w:r>
          </w:p>
          <w:p>
            <w:pPr>
              <w:pStyle w:val="6"/>
              <w:spacing w:line="360" w:lineRule="auto"/>
              <w:ind w:left="1260" w:hanging="420"/>
              <w:rPr>
                <w:color w:val="auto"/>
              </w:rPr>
            </w:pPr>
          </w:p>
          <w:p>
            <w:pPr>
              <w:snapToGrid w:val="0"/>
              <w:spacing w:line="360" w:lineRule="auto"/>
              <w:ind w:firstLine="480" w:firstLineChars="200"/>
              <w:rPr>
                <w:rFonts w:hint="eastAsia"/>
                <w:color w:val="auto"/>
                <w:sz w:val="24"/>
              </w:rPr>
            </w:pPr>
            <w:r>
              <w:rPr>
                <w:rFonts w:hint="eastAsia"/>
                <w:color w:val="auto"/>
                <w:sz w:val="24"/>
              </w:rPr>
              <w:t>式中：t</w:t>
            </w:r>
            <w:r>
              <w:rPr>
                <w:rFonts w:hint="eastAsia"/>
                <w:color w:val="auto"/>
                <w:sz w:val="24"/>
                <w:vertAlign w:val="subscript"/>
              </w:rPr>
              <w:t>j</w:t>
            </w:r>
            <w:r>
              <w:rPr>
                <w:rFonts w:hint="eastAsia"/>
                <w:color w:val="auto"/>
                <w:sz w:val="24"/>
              </w:rPr>
              <w:t>——在</w:t>
            </w:r>
            <w:r>
              <w:rPr>
                <w:color w:val="auto"/>
                <w:sz w:val="24"/>
              </w:rPr>
              <w:t>T</w:t>
            </w:r>
            <w:r>
              <w:rPr>
                <w:rFonts w:hint="eastAsia"/>
                <w:color w:val="auto"/>
                <w:sz w:val="24"/>
              </w:rPr>
              <w:t>时间内</w:t>
            </w:r>
            <w:r>
              <w:rPr>
                <w:color w:val="auto"/>
                <w:sz w:val="24"/>
              </w:rPr>
              <w:t>j</w:t>
            </w:r>
            <w:r>
              <w:rPr>
                <w:rFonts w:hint="eastAsia"/>
                <w:color w:val="auto"/>
                <w:sz w:val="24"/>
              </w:rPr>
              <w:t>声源工作时间，</w:t>
            </w:r>
            <w:r>
              <w:rPr>
                <w:color w:val="auto"/>
                <w:sz w:val="24"/>
              </w:rPr>
              <w:t>s</w:t>
            </w:r>
            <w:r>
              <w:rPr>
                <w:rFonts w:hint="eastAsia"/>
                <w:color w:val="auto"/>
                <w:sz w:val="24"/>
              </w:rPr>
              <w:t>；</w:t>
            </w:r>
          </w:p>
          <w:p>
            <w:pPr>
              <w:snapToGrid w:val="0"/>
              <w:spacing w:line="360" w:lineRule="auto"/>
              <w:ind w:firstLine="1200" w:firstLineChars="500"/>
              <w:rPr>
                <w:rFonts w:hint="eastAsia"/>
                <w:color w:val="auto"/>
                <w:sz w:val="24"/>
              </w:rPr>
            </w:pPr>
            <w:r>
              <w:rPr>
                <w:color w:val="auto"/>
                <w:sz w:val="24"/>
              </w:rPr>
              <w:t>t</w:t>
            </w:r>
            <w:r>
              <w:rPr>
                <w:color w:val="auto"/>
                <w:sz w:val="24"/>
                <w:vertAlign w:val="subscript"/>
              </w:rPr>
              <w:t>i</w:t>
            </w:r>
            <w:r>
              <w:rPr>
                <w:rFonts w:hint="eastAsia"/>
                <w:color w:val="auto"/>
                <w:sz w:val="24"/>
              </w:rPr>
              <w:t>——在</w:t>
            </w:r>
            <w:r>
              <w:rPr>
                <w:color w:val="auto"/>
                <w:sz w:val="24"/>
              </w:rPr>
              <w:t>T</w:t>
            </w:r>
            <w:r>
              <w:rPr>
                <w:rFonts w:hint="eastAsia"/>
                <w:color w:val="auto"/>
                <w:sz w:val="24"/>
              </w:rPr>
              <w:t>时间内</w:t>
            </w:r>
            <w:r>
              <w:rPr>
                <w:color w:val="auto"/>
                <w:sz w:val="24"/>
              </w:rPr>
              <w:t>i</w:t>
            </w:r>
            <w:r>
              <w:rPr>
                <w:rFonts w:hint="eastAsia"/>
                <w:color w:val="auto"/>
                <w:sz w:val="24"/>
              </w:rPr>
              <w:t>声源工作时间，</w:t>
            </w:r>
            <w:r>
              <w:rPr>
                <w:color w:val="auto"/>
                <w:sz w:val="24"/>
              </w:rPr>
              <w:t>s</w:t>
            </w:r>
            <w:r>
              <w:rPr>
                <w:rFonts w:hint="eastAsia"/>
                <w:color w:val="auto"/>
                <w:sz w:val="24"/>
              </w:rPr>
              <w:t>；</w:t>
            </w:r>
          </w:p>
          <w:p>
            <w:pPr>
              <w:snapToGrid w:val="0"/>
              <w:spacing w:line="360" w:lineRule="auto"/>
              <w:ind w:firstLine="1200" w:firstLineChars="500"/>
              <w:rPr>
                <w:rFonts w:hint="eastAsia"/>
                <w:color w:val="auto"/>
                <w:sz w:val="24"/>
              </w:rPr>
            </w:pPr>
            <w:r>
              <w:rPr>
                <w:color w:val="auto"/>
                <w:sz w:val="24"/>
              </w:rPr>
              <w:t>T</w:t>
            </w:r>
            <w:r>
              <w:rPr>
                <w:rFonts w:hint="eastAsia"/>
                <w:color w:val="auto"/>
                <w:sz w:val="24"/>
              </w:rPr>
              <w:t>——用于计算等效声级的时间，</w:t>
            </w:r>
            <w:r>
              <w:rPr>
                <w:color w:val="auto"/>
                <w:sz w:val="24"/>
              </w:rPr>
              <w:t>s</w:t>
            </w:r>
            <w:r>
              <w:rPr>
                <w:rFonts w:hint="eastAsia"/>
                <w:color w:val="auto"/>
                <w:sz w:val="24"/>
              </w:rPr>
              <w:t>；</w:t>
            </w:r>
          </w:p>
          <w:p>
            <w:pPr>
              <w:snapToGrid w:val="0"/>
              <w:spacing w:line="360" w:lineRule="auto"/>
              <w:ind w:firstLine="1200" w:firstLineChars="500"/>
              <w:rPr>
                <w:rFonts w:hint="eastAsia"/>
                <w:color w:val="auto"/>
                <w:sz w:val="24"/>
              </w:rPr>
            </w:pPr>
            <w:r>
              <w:rPr>
                <w:color w:val="auto"/>
                <w:sz w:val="24"/>
              </w:rPr>
              <w:t>N</w:t>
            </w:r>
            <w:r>
              <w:rPr>
                <w:rFonts w:hint="eastAsia"/>
                <w:color w:val="auto"/>
                <w:sz w:val="24"/>
              </w:rPr>
              <w:t>——室外声源个数；</w:t>
            </w:r>
          </w:p>
          <w:p>
            <w:pPr>
              <w:snapToGrid w:val="0"/>
              <w:spacing w:line="360" w:lineRule="auto"/>
              <w:ind w:firstLine="1200" w:firstLineChars="500"/>
              <w:rPr>
                <w:color w:val="auto"/>
                <w:sz w:val="24"/>
              </w:rPr>
            </w:pPr>
            <w:r>
              <w:rPr>
                <w:color w:val="auto"/>
                <w:sz w:val="24"/>
              </w:rPr>
              <w:t>M</w:t>
            </w:r>
            <w:r>
              <w:rPr>
                <w:rFonts w:hint="eastAsia"/>
                <w:color w:val="auto"/>
                <w:sz w:val="24"/>
              </w:rPr>
              <w:t>——等效室外声源个数。</w:t>
            </w:r>
          </w:p>
          <w:p>
            <w:pPr>
              <w:snapToGrid w:val="0"/>
              <w:spacing w:line="360" w:lineRule="auto"/>
              <w:ind w:firstLine="720" w:firstLineChars="300"/>
              <w:rPr>
                <w:color w:val="auto"/>
                <w:sz w:val="24"/>
              </w:rPr>
            </w:pPr>
            <w:r>
              <w:rPr>
                <w:color w:val="auto"/>
                <w:sz w:val="24"/>
              </w:rPr>
              <w:t>（2）预测噪声源强</w:t>
            </w:r>
          </w:p>
          <w:p>
            <w:pPr>
              <w:spacing w:line="240" w:lineRule="auto"/>
              <w:jc w:val="center"/>
              <w:rPr>
                <w:b w:val="0"/>
                <w:bCs/>
                <w:color w:val="auto"/>
                <w:kern w:val="0"/>
                <w:sz w:val="24"/>
              </w:rPr>
            </w:pPr>
            <w:r>
              <w:rPr>
                <w:b w:val="0"/>
                <w:bCs/>
                <w:color w:val="auto"/>
                <w:kern w:val="0"/>
                <w:sz w:val="24"/>
              </w:rPr>
              <w:t>表4.</w:t>
            </w:r>
            <w:r>
              <w:rPr>
                <w:rFonts w:hint="eastAsia"/>
                <w:b w:val="0"/>
                <w:bCs/>
                <w:color w:val="auto"/>
                <w:kern w:val="0"/>
                <w:sz w:val="24"/>
                <w:lang w:val="en-US" w:eastAsia="zh-CN"/>
              </w:rPr>
              <w:t>4</w:t>
            </w:r>
            <w:r>
              <w:rPr>
                <w:b w:val="0"/>
                <w:bCs/>
                <w:color w:val="auto"/>
                <w:kern w:val="0"/>
                <w:sz w:val="24"/>
              </w:rPr>
              <w:t>-</w:t>
            </w:r>
            <w:r>
              <w:rPr>
                <w:rFonts w:hint="eastAsia"/>
                <w:b w:val="0"/>
                <w:bCs/>
                <w:color w:val="auto"/>
                <w:kern w:val="0"/>
                <w:sz w:val="24"/>
                <w:lang w:val="en-US" w:eastAsia="zh-CN"/>
              </w:rPr>
              <w:t xml:space="preserve">3 </w:t>
            </w:r>
            <w:r>
              <w:rPr>
                <w:b w:val="0"/>
                <w:bCs/>
                <w:color w:val="auto"/>
                <w:kern w:val="0"/>
                <w:sz w:val="24"/>
              </w:rPr>
              <w:t xml:space="preserve"> 生产设备至厂界噪声贡献值  dB(A)</w:t>
            </w:r>
          </w:p>
          <w:tbl>
            <w:tblPr>
              <w:tblStyle w:val="25"/>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1775"/>
              <w:gridCol w:w="1669"/>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332"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预测点位</w:t>
                  </w:r>
                </w:p>
              </w:tc>
              <w:tc>
                <w:tcPr>
                  <w:tcW w:w="1111"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贡献值</w:t>
                  </w:r>
                </w:p>
              </w:tc>
              <w:tc>
                <w:tcPr>
                  <w:tcW w:w="1045"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tc>
              <w:tc>
                <w:tcPr>
                  <w:tcW w:w="1509"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2"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东厂界</w:t>
                  </w:r>
                </w:p>
              </w:tc>
              <w:tc>
                <w:tcPr>
                  <w:tcW w:w="11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w:t>
                  </w:r>
                </w:p>
              </w:tc>
              <w:tc>
                <w:tcPr>
                  <w:tcW w:w="1045"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65dB(A)；夜间</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5dB(A)</w:t>
                  </w:r>
                </w:p>
              </w:tc>
              <w:tc>
                <w:tcPr>
                  <w:tcW w:w="1509"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2"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南</w:t>
                  </w:r>
                  <w:r>
                    <w:rPr>
                      <w:rFonts w:hint="eastAsia" w:ascii="Times New Roman" w:hAnsi="Times New Roman" w:eastAsia="宋体" w:cs="Times New Roman"/>
                      <w:color w:val="auto"/>
                      <w:sz w:val="21"/>
                      <w:szCs w:val="21"/>
                      <w:lang w:val="en-US" w:eastAsia="zh-CN"/>
                    </w:rPr>
                    <w:t>厂界</w:t>
                  </w:r>
                </w:p>
              </w:tc>
              <w:tc>
                <w:tcPr>
                  <w:tcW w:w="11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1045"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509"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32"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西</w:t>
                  </w:r>
                  <w:r>
                    <w:rPr>
                      <w:rFonts w:hint="eastAsia" w:ascii="Times New Roman" w:hAnsi="Times New Roman" w:eastAsia="宋体" w:cs="Times New Roman"/>
                      <w:color w:val="auto"/>
                      <w:sz w:val="21"/>
                      <w:szCs w:val="21"/>
                      <w:lang w:val="en-US" w:eastAsia="zh-CN"/>
                    </w:rPr>
                    <w:t>厂界</w:t>
                  </w:r>
                </w:p>
              </w:tc>
              <w:tc>
                <w:tcPr>
                  <w:tcW w:w="11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w:t>
                  </w:r>
                </w:p>
              </w:tc>
              <w:tc>
                <w:tcPr>
                  <w:tcW w:w="1045"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509"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32"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北</w:t>
                  </w:r>
                  <w:r>
                    <w:rPr>
                      <w:rFonts w:hint="eastAsia" w:ascii="Times New Roman" w:hAnsi="Times New Roman" w:eastAsia="宋体" w:cs="Times New Roman"/>
                      <w:color w:val="auto"/>
                      <w:sz w:val="21"/>
                      <w:szCs w:val="21"/>
                      <w:lang w:val="en-US" w:eastAsia="zh-CN"/>
                    </w:rPr>
                    <w:t>厂界</w:t>
                  </w:r>
                </w:p>
              </w:tc>
              <w:tc>
                <w:tcPr>
                  <w:tcW w:w="11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w:t>
                  </w:r>
                </w:p>
              </w:tc>
              <w:tc>
                <w:tcPr>
                  <w:tcW w:w="1045" w:type="pct"/>
                  <w:vMerge w:val="continue"/>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509"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bl>
          <w:p>
            <w:pPr>
              <w:spacing w:line="360" w:lineRule="auto"/>
              <w:ind w:firstLine="480" w:firstLineChars="200"/>
              <w:rPr>
                <w:color w:val="auto"/>
                <w:kern w:val="0"/>
                <w:sz w:val="24"/>
              </w:rPr>
            </w:pPr>
            <w:r>
              <w:rPr>
                <w:color w:val="auto"/>
                <w:kern w:val="0"/>
                <w:sz w:val="24"/>
              </w:rPr>
              <w:t>由预测结果可知，项目噪声源厂界噪声值昼夜能满足《工业企业厂界环境噪声排放标准》（GB12348-2008）</w:t>
            </w:r>
            <w:r>
              <w:rPr>
                <w:rFonts w:hint="eastAsia"/>
                <w:color w:val="auto"/>
                <w:kern w:val="0"/>
                <w:sz w:val="24"/>
                <w:lang w:val="en-US" w:eastAsia="zh-CN"/>
              </w:rPr>
              <w:t>3</w:t>
            </w:r>
            <w:r>
              <w:rPr>
                <w:color w:val="auto"/>
                <w:kern w:val="0"/>
                <w:sz w:val="24"/>
              </w:rPr>
              <w:t>类标准要求。</w:t>
            </w:r>
          </w:p>
          <w:p>
            <w:pPr>
              <w:widowControl/>
              <w:ind w:firstLine="480"/>
              <w:rPr>
                <w:b/>
                <w:bCs/>
                <w:color w:val="auto"/>
              </w:rPr>
            </w:pPr>
            <w:r>
              <w:rPr>
                <w:rFonts w:hint="eastAsia"/>
                <w:b/>
                <w:bCs/>
                <w:color w:val="auto"/>
              </w:rPr>
              <w:t>4.4.</w:t>
            </w:r>
            <w:r>
              <w:rPr>
                <w:rFonts w:hint="eastAsia"/>
                <w:b/>
                <w:bCs/>
                <w:color w:val="auto"/>
                <w:lang w:val="en-US" w:eastAsia="zh-CN"/>
              </w:rPr>
              <w:t>3</w:t>
            </w:r>
            <w:r>
              <w:rPr>
                <w:rFonts w:hint="eastAsia"/>
                <w:b/>
                <w:bCs/>
                <w:color w:val="auto"/>
              </w:rPr>
              <w:t>环境保护目标噪声预测</w:t>
            </w:r>
          </w:p>
          <w:p>
            <w:pPr>
              <w:widowControl/>
              <w:ind w:firstLine="480"/>
              <w:rPr>
                <w:b/>
                <w:snapToGrid w:val="0"/>
                <w:color w:val="auto"/>
              </w:rPr>
            </w:pPr>
            <w:r>
              <w:rPr>
                <w:rFonts w:hint="eastAsia"/>
                <w:color w:val="auto"/>
              </w:rPr>
              <w:t>根据现场调查50m评价范围内无噪声环境保护目标分布</w:t>
            </w:r>
            <w:r>
              <w:rPr>
                <w:color w:val="auto"/>
              </w:rPr>
              <w:t xml:space="preserve">。 </w:t>
            </w:r>
          </w:p>
          <w:p>
            <w:pPr>
              <w:ind w:firstLine="482" w:firstLineChars="200"/>
              <w:rPr>
                <w:b/>
                <w:bCs w:val="0"/>
                <w:snapToGrid w:val="0"/>
                <w:color w:val="auto"/>
              </w:rPr>
            </w:pPr>
            <w:r>
              <w:rPr>
                <w:b/>
                <w:bCs w:val="0"/>
                <w:snapToGrid w:val="0"/>
                <w:color w:val="auto"/>
              </w:rPr>
              <w:t>4.4.</w:t>
            </w:r>
            <w:r>
              <w:rPr>
                <w:rFonts w:hint="eastAsia"/>
                <w:b/>
                <w:bCs w:val="0"/>
                <w:snapToGrid w:val="0"/>
                <w:color w:val="auto"/>
                <w:lang w:val="en-US" w:eastAsia="zh-CN"/>
              </w:rPr>
              <w:t>4</w:t>
            </w:r>
            <w:r>
              <w:rPr>
                <w:rFonts w:hint="eastAsia"/>
                <w:b/>
                <w:bCs w:val="0"/>
                <w:snapToGrid w:val="0"/>
                <w:color w:val="auto"/>
              </w:rPr>
              <w:t>治理措施</w:t>
            </w:r>
          </w:p>
          <w:p>
            <w:pPr>
              <w:widowControl/>
              <w:ind w:firstLine="480" w:firstLineChars="200"/>
              <w:jc w:val="both"/>
              <w:rPr>
                <w:color w:val="auto"/>
              </w:rPr>
            </w:pPr>
            <w:r>
              <w:rPr>
                <w:snapToGrid w:val="0"/>
                <w:color w:val="auto"/>
                <w:kern w:val="0"/>
                <w:lang w:bidi="ar"/>
              </w:rPr>
              <w:t xml:space="preserve">（1）生产过程中加强设备的保养和维护。 </w:t>
            </w:r>
          </w:p>
          <w:p>
            <w:pPr>
              <w:widowControl/>
              <w:ind w:firstLine="480" w:firstLineChars="200"/>
              <w:jc w:val="both"/>
              <w:rPr>
                <w:rFonts w:hint="default" w:eastAsia="宋体"/>
                <w:color w:val="auto"/>
                <w:lang w:val="en-US" w:eastAsia="zh-CN"/>
              </w:rPr>
            </w:pPr>
            <w:r>
              <w:rPr>
                <w:snapToGrid w:val="0"/>
                <w:color w:val="auto"/>
                <w:kern w:val="0"/>
                <w:lang w:bidi="ar"/>
              </w:rPr>
              <w:t>（2）</w:t>
            </w:r>
            <w:r>
              <w:rPr>
                <w:rFonts w:hint="eastAsia"/>
                <w:snapToGrid w:val="0"/>
                <w:color w:val="auto"/>
                <w:kern w:val="0"/>
                <w:lang w:bidi="ar"/>
              </w:rPr>
              <w:t>拟建项目</w:t>
            </w:r>
            <w:r>
              <w:rPr>
                <w:rFonts w:hint="eastAsia"/>
                <w:snapToGrid w:val="0"/>
                <w:color w:val="auto"/>
                <w:kern w:val="0"/>
                <w:lang w:eastAsia="zh-CN" w:bidi="ar"/>
              </w:rPr>
              <w:t>对设备进行合理布局，</w:t>
            </w:r>
            <w:r>
              <w:rPr>
                <w:snapToGrid w:val="0"/>
                <w:color w:val="auto"/>
                <w:kern w:val="0"/>
                <w:lang w:bidi="ar"/>
              </w:rPr>
              <w:t>充分利用厂房建筑物隔声</w:t>
            </w:r>
            <w:r>
              <w:rPr>
                <w:rFonts w:hint="eastAsia"/>
                <w:snapToGrid w:val="0"/>
                <w:color w:val="auto"/>
                <w:kern w:val="0"/>
                <w:lang w:eastAsia="zh-CN" w:bidi="ar"/>
              </w:rPr>
              <w:t>和距离衰减</w:t>
            </w:r>
            <w:r>
              <w:rPr>
                <w:rFonts w:hint="eastAsia"/>
                <w:snapToGrid w:val="0"/>
                <w:color w:val="auto"/>
                <w:kern w:val="0"/>
                <w:lang w:bidi="ar"/>
              </w:rPr>
              <w:t>，设备设置减振垫用作基础减振。</w:t>
            </w:r>
            <w:r>
              <w:rPr>
                <w:rFonts w:hint="eastAsia"/>
                <w:snapToGrid w:val="0"/>
                <w:color w:val="auto"/>
                <w:kern w:val="0"/>
                <w:lang w:val="en-US" w:eastAsia="zh-CN" w:bidi="ar"/>
              </w:rPr>
              <w:t>项目室内风机在减振的基础上增加隔声罩，室外风机在减振的基础上增加隔声罩和消声器。</w:t>
            </w:r>
          </w:p>
          <w:p>
            <w:pPr>
              <w:pStyle w:val="100"/>
              <w:adjustRightInd w:val="0"/>
              <w:ind w:firstLine="482" w:firstLineChars="200"/>
              <w:jc w:val="both"/>
              <w:rPr>
                <w:rFonts w:cs="Times New Roman"/>
                <w:b/>
                <w:bCs w:val="0"/>
                <w:color w:val="auto"/>
              </w:rPr>
            </w:pPr>
            <w:r>
              <w:rPr>
                <w:rFonts w:cs="Times New Roman"/>
                <w:b/>
                <w:bCs w:val="0"/>
                <w:snapToGrid w:val="0"/>
                <w:color w:val="auto"/>
                <w:lang w:val="en-US"/>
              </w:rPr>
              <w:t>4.4.</w:t>
            </w:r>
            <w:r>
              <w:rPr>
                <w:rFonts w:hint="eastAsia" w:cs="Times New Roman"/>
                <w:b/>
                <w:bCs w:val="0"/>
                <w:snapToGrid w:val="0"/>
                <w:color w:val="auto"/>
                <w:lang w:val="en-US" w:eastAsia="zh-CN"/>
              </w:rPr>
              <w:t>5</w:t>
            </w:r>
            <w:r>
              <w:rPr>
                <w:rFonts w:cs="Times New Roman"/>
                <w:b/>
                <w:bCs w:val="0"/>
                <w:color w:val="auto"/>
              </w:rPr>
              <w:t>噪声环境监测计划</w:t>
            </w:r>
          </w:p>
          <w:p>
            <w:pPr>
              <w:pStyle w:val="104"/>
              <w:ind w:firstLine="480"/>
              <w:rPr>
                <w:rFonts w:ascii="Times New Roman" w:hAnsi="Times New Roman" w:eastAsia="宋体" w:cs="Times New Roman"/>
                <w:color w:val="auto"/>
              </w:rPr>
            </w:pPr>
            <w:r>
              <w:rPr>
                <w:rFonts w:hint="default" w:ascii="Times New Roman" w:hAnsi="Times New Roman" w:cs="Times New Roman"/>
                <w:color w:val="auto"/>
                <w:sz w:val="24"/>
                <w:szCs w:val="24"/>
              </w:rPr>
              <w:t>根据《固定污染源排污许可分类管理名录》（2019年版），项目属于</w:t>
            </w:r>
            <w:r>
              <w:rPr>
                <w:rFonts w:hint="eastAsia" w:cs="Times New Roman"/>
                <w:color w:val="auto"/>
                <w:sz w:val="24"/>
                <w:szCs w:val="24"/>
                <w:lang w:eastAsia="zh-CN"/>
              </w:rPr>
              <w:t>“二十四、橡胶和塑料制品业</w:t>
            </w:r>
            <w:r>
              <w:rPr>
                <w:rFonts w:hint="eastAsia" w:cs="Times New Roman"/>
                <w:color w:val="auto"/>
                <w:sz w:val="24"/>
                <w:szCs w:val="24"/>
                <w:lang w:val="en-US" w:eastAsia="zh-CN"/>
              </w:rPr>
              <w:t xml:space="preserve"> 62.塑料制品业292</w:t>
            </w:r>
            <w:r>
              <w:rPr>
                <w:rFonts w:hint="eastAsia" w:cs="Times New Roman"/>
                <w:color w:val="auto"/>
                <w:sz w:val="24"/>
                <w:szCs w:val="24"/>
                <w:lang w:eastAsia="zh-CN"/>
              </w:rPr>
              <w:t>”</w:t>
            </w:r>
            <w:r>
              <w:rPr>
                <w:rFonts w:hint="default" w:ascii="Times New Roman" w:hAnsi="Times New Roman" w:cs="Times New Roman"/>
                <w:color w:val="auto"/>
                <w:sz w:val="24"/>
                <w:szCs w:val="24"/>
              </w:rPr>
              <w:t>中</w:t>
            </w:r>
            <w:r>
              <w:rPr>
                <w:rFonts w:hint="eastAsia" w:cs="Times New Roman"/>
                <w:color w:val="auto"/>
                <w:sz w:val="24"/>
                <w:szCs w:val="24"/>
                <w:lang w:eastAsia="zh-CN"/>
              </w:rPr>
              <w:t>“年产1万吨及以上涉及改性的塑料薄膜制造2921，塑料丝、绳和编织品制造2923，塑料零件及其他塑料制品制造2929”</w:t>
            </w:r>
            <w:r>
              <w:rPr>
                <w:rFonts w:hint="default" w:ascii="Times New Roman" w:hAnsi="Times New Roman" w:cs="Times New Roman"/>
                <w:color w:val="auto"/>
                <w:sz w:val="24"/>
                <w:szCs w:val="24"/>
              </w:rPr>
              <w:t>，实行排污简化管理。需要申请取得排污许可证，应当在全国排污许可证管理信息平台申报排污许可证</w:t>
            </w:r>
            <w:r>
              <w:rPr>
                <w:rFonts w:hint="eastAsia" w:cs="Times New Roman"/>
                <w:color w:val="auto"/>
                <w:sz w:val="24"/>
                <w:szCs w:val="24"/>
                <w:lang w:eastAsia="zh-CN"/>
              </w:rPr>
              <w:t>。</w:t>
            </w:r>
          </w:p>
          <w:p>
            <w:pPr>
              <w:pStyle w:val="36"/>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根据《排污单位自行监测技术指南 总则》（HJ819-2017）确定噪声环境监测内容及计划，具体见表4.4-</w:t>
            </w:r>
            <w:r>
              <w:rPr>
                <w:rFonts w:hint="eastAsia" w:ascii="Times New Roman" w:hAnsi="Times New Roman" w:eastAsia="宋体" w:cs="Times New Roman"/>
                <w:color w:val="auto"/>
                <w:lang w:val="en-US" w:eastAsia="zh-CN"/>
              </w:rPr>
              <w:t>5</w:t>
            </w:r>
            <w:r>
              <w:rPr>
                <w:rFonts w:ascii="Times New Roman" w:hAnsi="Times New Roman" w:eastAsia="宋体" w:cs="Times New Roman"/>
                <w:color w:val="auto"/>
              </w:rPr>
              <w:t>。</w:t>
            </w:r>
          </w:p>
          <w:p>
            <w:pPr>
              <w:spacing w:line="240" w:lineRule="auto"/>
              <w:jc w:val="center"/>
              <w:rPr>
                <w:bCs/>
                <w:color w:val="auto"/>
              </w:rPr>
            </w:pPr>
            <w:r>
              <w:rPr>
                <w:bCs/>
                <w:color w:val="auto"/>
              </w:rPr>
              <w:t>表4.4-</w:t>
            </w:r>
            <w:r>
              <w:rPr>
                <w:rFonts w:hint="eastAsia"/>
                <w:bCs/>
                <w:color w:val="auto"/>
                <w:lang w:val="en-US" w:eastAsia="zh-CN"/>
              </w:rPr>
              <w:t>5</w:t>
            </w:r>
            <w:r>
              <w:rPr>
                <w:bCs/>
                <w:color w:val="auto"/>
              </w:rPr>
              <w:t xml:space="preserve"> 项目噪声环境监测计划表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591"/>
              <w:gridCol w:w="1325"/>
              <w:gridCol w:w="1816"/>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pct"/>
                  <w:vAlign w:val="center"/>
                </w:tcPr>
                <w:p>
                  <w:pPr>
                    <w:pStyle w:val="41"/>
                    <w:spacing w:line="240" w:lineRule="auto"/>
                    <w:jc w:val="center"/>
                    <w:rPr>
                      <w:color w:val="auto"/>
                    </w:rPr>
                  </w:pPr>
                  <w:r>
                    <w:rPr>
                      <w:color w:val="auto"/>
                    </w:rPr>
                    <w:t>污染源</w:t>
                  </w:r>
                </w:p>
              </w:tc>
              <w:tc>
                <w:tcPr>
                  <w:tcW w:w="994" w:type="pct"/>
                  <w:vAlign w:val="center"/>
                </w:tcPr>
                <w:p>
                  <w:pPr>
                    <w:pStyle w:val="41"/>
                    <w:spacing w:line="240" w:lineRule="auto"/>
                    <w:jc w:val="center"/>
                    <w:rPr>
                      <w:color w:val="auto"/>
                    </w:rPr>
                  </w:pPr>
                  <w:r>
                    <w:rPr>
                      <w:color w:val="auto"/>
                    </w:rPr>
                    <w:t>监测项目</w:t>
                  </w:r>
                </w:p>
              </w:tc>
              <w:tc>
                <w:tcPr>
                  <w:tcW w:w="828" w:type="pct"/>
                  <w:vAlign w:val="center"/>
                </w:tcPr>
                <w:p>
                  <w:pPr>
                    <w:pStyle w:val="41"/>
                    <w:spacing w:line="240" w:lineRule="auto"/>
                    <w:jc w:val="center"/>
                    <w:rPr>
                      <w:color w:val="auto"/>
                    </w:rPr>
                  </w:pPr>
                  <w:r>
                    <w:rPr>
                      <w:color w:val="auto"/>
                    </w:rPr>
                    <w:t>监测点位</w:t>
                  </w:r>
                </w:p>
              </w:tc>
              <w:tc>
                <w:tcPr>
                  <w:tcW w:w="1135" w:type="pct"/>
                  <w:vAlign w:val="center"/>
                </w:tcPr>
                <w:p>
                  <w:pPr>
                    <w:pStyle w:val="41"/>
                    <w:spacing w:line="240" w:lineRule="auto"/>
                    <w:jc w:val="center"/>
                    <w:rPr>
                      <w:color w:val="auto"/>
                    </w:rPr>
                  </w:pPr>
                  <w:r>
                    <w:rPr>
                      <w:color w:val="auto"/>
                    </w:rPr>
                    <w:t>监测频次</w:t>
                  </w:r>
                </w:p>
              </w:tc>
              <w:tc>
                <w:tcPr>
                  <w:tcW w:w="1547" w:type="pct"/>
                  <w:vAlign w:val="center"/>
                </w:tcPr>
                <w:p>
                  <w:pPr>
                    <w:pStyle w:val="41"/>
                    <w:spacing w:line="240" w:lineRule="auto"/>
                    <w:jc w:val="center"/>
                    <w:rPr>
                      <w:color w:val="auto"/>
                    </w:rPr>
                  </w:pPr>
                  <w:r>
                    <w:rPr>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pct"/>
                  <w:vAlign w:val="center"/>
                </w:tcPr>
                <w:p>
                  <w:pPr>
                    <w:pStyle w:val="41"/>
                    <w:spacing w:line="240" w:lineRule="auto"/>
                    <w:jc w:val="center"/>
                    <w:rPr>
                      <w:color w:val="auto"/>
                    </w:rPr>
                  </w:pPr>
                  <w:r>
                    <w:rPr>
                      <w:color w:val="auto"/>
                    </w:rPr>
                    <w:t>噪声</w:t>
                  </w:r>
                </w:p>
              </w:tc>
              <w:tc>
                <w:tcPr>
                  <w:tcW w:w="994" w:type="pct"/>
                  <w:vAlign w:val="center"/>
                </w:tcPr>
                <w:p>
                  <w:pPr>
                    <w:pStyle w:val="41"/>
                    <w:spacing w:line="240" w:lineRule="auto"/>
                    <w:jc w:val="center"/>
                    <w:rPr>
                      <w:color w:val="auto"/>
                    </w:rPr>
                  </w:pPr>
                  <w:r>
                    <w:rPr>
                      <w:color w:val="auto"/>
                    </w:rPr>
                    <w:t>连续等效A声级</w:t>
                  </w:r>
                </w:p>
              </w:tc>
              <w:tc>
                <w:tcPr>
                  <w:tcW w:w="828" w:type="pct"/>
                  <w:vAlign w:val="center"/>
                </w:tcPr>
                <w:p>
                  <w:pPr>
                    <w:pStyle w:val="41"/>
                    <w:spacing w:line="240" w:lineRule="auto"/>
                    <w:jc w:val="center"/>
                    <w:rPr>
                      <w:color w:val="auto"/>
                    </w:rPr>
                  </w:pPr>
                  <w:r>
                    <w:rPr>
                      <w:rFonts w:hint="eastAsia"/>
                      <w:color w:val="auto"/>
                      <w:szCs w:val="24"/>
                      <w:lang w:val="en-GB"/>
                    </w:rPr>
                    <w:t>四</w:t>
                  </w:r>
                  <w:r>
                    <w:rPr>
                      <w:color w:val="auto"/>
                      <w:szCs w:val="24"/>
                      <w:lang w:val="en-GB"/>
                    </w:rPr>
                    <w:t>侧</w:t>
                  </w:r>
                  <w:r>
                    <w:rPr>
                      <w:rFonts w:hint="eastAsia"/>
                      <w:color w:val="auto"/>
                      <w:szCs w:val="24"/>
                      <w:lang w:val="en-GB"/>
                    </w:rPr>
                    <w:t>厂界</w:t>
                  </w:r>
                </w:p>
              </w:tc>
              <w:tc>
                <w:tcPr>
                  <w:tcW w:w="1135" w:type="pct"/>
                  <w:vAlign w:val="center"/>
                </w:tcPr>
                <w:p>
                  <w:pPr>
                    <w:pStyle w:val="41"/>
                    <w:spacing w:line="240" w:lineRule="auto"/>
                    <w:jc w:val="center"/>
                    <w:rPr>
                      <w:color w:val="auto"/>
                    </w:rPr>
                  </w:pPr>
                  <w:r>
                    <w:rPr>
                      <w:color w:val="auto"/>
                    </w:rPr>
                    <w:t>验收时监测一次，运营期一季度一次</w:t>
                  </w:r>
                </w:p>
              </w:tc>
              <w:tc>
                <w:tcPr>
                  <w:tcW w:w="1547" w:type="pct"/>
                  <w:vAlign w:val="center"/>
                </w:tcPr>
                <w:p>
                  <w:pPr>
                    <w:pStyle w:val="41"/>
                    <w:spacing w:line="240" w:lineRule="auto"/>
                    <w:jc w:val="center"/>
                    <w:rPr>
                      <w:color w:val="auto"/>
                    </w:rPr>
                  </w:pPr>
                  <w:r>
                    <w:rPr>
                      <w:color w:val="auto"/>
                    </w:rPr>
                    <w:t>《工业企业厂界环境噪声排放标准》（GB12348-2008）3类标准</w:t>
                  </w:r>
                </w:p>
              </w:tc>
            </w:tr>
          </w:tbl>
          <w:p>
            <w:pPr>
              <w:keepLines/>
              <w:numPr>
                <w:ilvl w:val="3"/>
                <w:numId w:val="0"/>
              </w:numPr>
              <w:outlineLvl w:val="3"/>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4.5固体废物</w:t>
            </w:r>
          </w:p>
          <w:p>
            <w:pPr>
              <w:widowControl/>
              <w:ind w:firstLine="48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拟建项目营运期产生的固体废物为一般工业固废、危险废物、生活垃圾。 </w:t>
            </w:r>
          </w:p>
          <w:p>
            <w:pPr>
              <w:widowControl/>
              <w:ind w:firstLine="482"/>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4.5.1一般工业固废 </w:t>
            </w:r>
          </w:p>
          <w:p>
            <w:pPr>
              <w:widowControl/>
              <w:ind w:firstLine="48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拟建项目营运过程中会产生一般工业固废，主要</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lang w:val="en-US" w:eastAsia="zh-CN"/>
              </w:rPr>
              <w:t>边角料S2、S3、S4、S5、</w:t>
            </w:r>
            <w:r>
              <w:rPr>
                <w:rFonts w:hint="eastAsia" w:cs="Times New Roman"/>
                <w:color w:val="auto"/>
                <w:sz w:val="24"/>
                <w:szCs w:val="24"/>
                <w:lang w:val="en-US" w:eastAsia="zh-CN"/>
              </w:rPr>
              <w:t>S11</w:t>
            </w:r>
            <w:r>
              <w:rPr>
                <w:rFonts w:hint="default" w:ascii="Times New Roman" w:hAnsi="Times New Roman" w:cs="Times New Roman"/>
                <w:color w:val="auto"/>
                <w:sz w:val="24"/>
                <w:szCs w:val="24"/>
              </w:rPr>
              <w:t>。</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经建设单位估算及前文物料平衡，拟建项目</w:t>
            </w:r>
            <w:r>
              <w:rPr>
                <w:rFonts w:hint="eastAsia" w:cs="Times New Roman"/>
                <w:color w:val="auto"/>
                <w:sz w:val="24"/>
                <w:szCs w:val="24"/>
                <w:lang w:eastAsia="zh-CN"/>
              </w:rPr>
              <w:t>边</w:t>
            </w:r>
            <w:r>
              <w:rPr>
                <w:rFonts w:hint="default" w:ascii="Times New Roman" w:hAnsi="Times New Roman" w:cs="Times New Roman"/>
                <w:color w:val="auto"/>
                <w:sz w:val="24"/>
                <w:szCs w:val="24"/>
                <w:lang w:eastAsia="zh-CN"/>
              </w:rPr>
              <w:t>角料S</w:t>
            </w:r>
            <w:r>
              <w:rPr>
                <w:rFonts w:hint="eastAsia" w:cs="Times New Roman"/>
                <w:color w:val="auto"/>
                <w:sz w:val="24"/>
                <w:szCs w:val="24"/>
                <w:lang w:val="en-US" w:eastAsia="zh-CN"/>
              </w:rPr>
              <w:t>2</w:t>
            </w:r>
            <w:r>
              <w:rPr>
                <w:rFonts w:hint="default" w:ascii="Times New Roman" w:hAnsi="Times New Roman" w:cs="Times New Roman"/>
                <w:color w:val="auto"/>
                <w:sz w:val="24"/>
                <w:szCs w:val="24"/>
                <w:lang w:eastAsia="zh-CN"/>
              </w:rPr>
              <w:t>约占</w:t>
            </w:r>
            <w:r>
              <w:rPr>
                <w:rFonts w:hint="eastAsia" w:cs="Times New Roman"/>
                <w:color w:val="auto"/>
                <w:sz w:val="24"/>
                <w:szCs w:val="24"/>
                <w:lang w:eastAsia="zh-CN"/>
              </w:rPr>
              <w:t>产品</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945</w:t>
            </w:r>
            <w:r>
              <w:rPr>
                <w:rFonts w:hint="default"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lang w:eastAsia="zh-CN"/>
              </w:rPr>
              <w:t>）的</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%，即</w:t>
            </w:r>
            <w:r>
              <w:rPr>
                <w:rFonts w:hint="eastAsia" w:cs="Times New Roman"/>
                <w:color w:val="auto"/>
                <w:sz w:val="24"/>
                <w:szCs w:val="24"/>
                <w:lang w:val="en-US" w:eastAsia="zh-CN"/>
              </w:rPr>
              <w:t>18.9</w:t>
            </w:r>
            <w:r>
              <w:rPr>
                <w:rFonts w:hint="default"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边</w:t>
            </w:r>
            <w:r>
              <w:rPr>
                <w:rFonts w:hint="default" w:ascii="Times New Roman" w:hAnsi="Times New Roman" w:cs="Times New Roman"/>
                <w:color w:val="auto"/>
                <w:sz w:val="24"/>
                <w:szCs w:val="24"/>
                <w:lang w:eastAsia="zh-CN"/>
              </w:rPr>
              <w:t>角料S</w:t>
            </w:r>
            <w:r>
              <w:rPr>
                <w:rFonts w:hint="eastAsia" w:cs="Times New Roman"/>
                <w:color w:val="auto"/>
                <w:sz w:val="24"/>
                <w:szCs w:val="24"/>
                <w:lang w:val="en-US" w:eastAsia="zh-CN"/>
              </w:rPr>
              <w:t>3</w:t>
            </w:r>
            <w:r>
              <w:rPr>
                <w:rFonts w:hint="default" w:ascii="Times New Roman" w:hAnsi="Times New Roman" w:cs="Times New Roman"/>
                <w:color w:val="auto"/>
                <w:sz w:val="24"/>
                <w:szCs w:val="24"/>
                <w:lang w:eastAsia="zh-CN"/>
              </w:rPr>
              <w:t>约占</w:t>
            </w:r>
            <w:r>
              <w:rPr>
                <w:rFonts w:hint="eastAsia" w:cs="Times New Roman"/>
                <w:color w:val="auto"/>
                <w:sz w:val="24"/>
                <w:szCs w:val="24"/>
                <w:lang w:eastAsia="zh-CN"/>
              </w:rPr>
              <w:t>产品</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255</w:t>
            </w:r>
            <w:r>
              <w:rPr>
                <w:rFonts w:hint="default"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lang w:eastAsia="zh-CN"/>
              </w:rPr>
              <w:t>）的</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%，即</w:t>
            </w:r>
            <w:r>
              <w:rPr>
                <w:rFonts w:hint="eastAsia" w:cs="Times New Roman"/>
                <w:color w:val="auto"/>
                <w:sz w:val="24"/>
                <w:szCs w:val="24"/>
                <w:lang w:val="en-US" w:eastAsia="zh-CN"/>
              </w:rPr>
              <w:t>5.1</w:t>
            </w:r>
            <w:r>
              <w:rPr>
                <w:rFonts w:hint="default" w:ascii="Times New Roman" w:hAnsi="Times New Roman" w:cs="Times New Roman"/>
                <w:color w:val="auto"/>
                <w:sz w:val="24"/>
                <w:szCs w:val="24"/>
                <w:lang w:val="en-US" w:eastAsia="zh-CN"/>
              </w:rPr>
              <w:t>t/a</w:t>
            </w:r>
            <w:r>
              <w:rPr>
                <w:rFonts w:hint="eastAsia" w:cs="Times New Roman"/>
                <w:color w:val="auto"/>
                <w:sz w:val="24"/>
                <w:szCs w:val="24"/>
                <w:lang w:val="en-US" w:eastAsia="zh-CN"/>
              </w:rPr>
              <w:t>；边角料S4</w:t>
            </w:r>
            <w:r>
              <w:rPr>
                <w:rFonts w:hint="default" w:ascii="Times New Roman" w:hAnsi="Times New Roman" w:cs="Times New Roman"/>
                <w:color w:val="auto"/>
                <w:sz w:val="24"/>
                <w:szCs w:val="24"/>
                <w:lang w:eastAsia="zh-CN"/>
              </w:rPr>
              <w:t>约占</w:t>
            </w:r>
            <w:r>
              <w:rPr>
                <w:rFonts w:hint="eastAsia" w:cs="Times New Roman"/>
                <w:color w:val="auto"/>
                <w:sz w:val="24"/>
                <w:szCs w:val="24"/>
                <w:lang w:eastAsia="zh-CN"/>
              </w:rPr>
              <w:t>产品</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7000</w:t>
            </w:r>
            <w:r>
              <w:rPr>
                <w:rFonts w:hint="default"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lang w:eastAsia="zh-CN"/>
              </w:rPr>
              <w:t>）的</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%，即</w:t>
            </w:r>
            <w:r>
              <w:rPr>
                <w:rFonts w:hint="eastAsia" w:cs="Times New Roman"/>
                <w:color w:val="auto"/>
                <w:sz w:val="24"/>
                <w:szCs w:val="24"/>
                <w:lang w:val="en-US" w:eastAsia="zh-CN"/>
              </w:rPr>
              <w:t>70</w:t>
            </w:r>
            <w:r>
              <w:rPr>
                <w:rFonts w:hint="default" w:ascii="Times New Roman" w:hAnsi="Times New Roman" w:cs="Times New Roman"/>
                <w:color w:val="auto"/>
                <w:sz w:val="24"/>
                <w:szCs w:val="24"/>
                <w:lang w:val="en-US" w:eastAsia="zh-CN"/>
              </w:rPr>
              <w:t>t/a</w:t>
            </w:r>
            <w:r>
              <w:rPr>
                <w:rFonts w:hint="eastAsia" w:cs="Times New Roman"/>
                <w:color w:val="auto"/>
                <w:sz w:val="24"/>
                <w:szCs w:val="24"/>
                <w:lang w:val="en-US" w:eastAsia="zh-CN"/>
              </w:rPr>
              <w:t>；边角料S5</w:t>
            </w:r>
            <w:r>
              <w:rPr>
                <w:rFonts w:hint="default" w:ascii="Times New Roman" w:hAnsi="Times New Roman" w:cs="Times New Roman"/>
                <w:color w:val="auto"/>
                <w:sz w:val="24"/>
                <w:szCs w:val="24"/>
                <w:lang w:eastAsia="zh-CN"/>
              </w:rPr>
              <w:t>约占</w:t>
            </w:r>
            <w:r>
              <w:rPr>
                <w:rFonts w:hint="eastAsia" w:cs="Times New Roman"/>
                <w:color w:val="auto"/>
                <w:sz w:val="24"/>
                <w:szCs w:val="24"/>
                <w:lang w:eastAsia="zh-CN"/>
              </w:rPr>
              <w:t>产品</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3000</w:t>
            </w:r>
            <w:r>
              <w:rPr>
                <w:rFonts w:hint="default"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lang w:eastAsia="zh-CN"/>
              </w:rPr>
              <w:t>）的</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%，即</w:t>
            </w:r>
            <w:r>
              <w:rPr>
                <w:rFonts w:hint="eastAsia" w:cs="Times New Roman"/>
                <w:color w:val="auto"/>
                <w:sz w:val="24"/>
                <w:szCs w:val="24"/>
                <w:lang w:val="en-US" w:eastAsia="zh-CN"/>
              </w:rPr>
              <w:t>30</w:t>
            </w:r>
            <w:r>
              <w:rPr>
                <w:rFonts w:hint="default" w:ascii="Times New Roman" w:hAnsi="Times New Roman" w:cs="Times New Roman"/>
                <w:color w:val="auto"/>
                <w:sz w:val="24"/>
                <w:szCs w:val="24"/>
                <w:lang w:val="en-US" w:eastAsia="zh-CN"/>
              </w:rPr>
              <w:t>t/a</w:t>
            </w:r>
            <w:r>
              <w:rPr>
                <w:rFonts w:hint="eastAsia" w:cs="Times New Roman"/>
                <w:color w:val="auto"/>
                <w:sz w:val="24"/>
                <w:szCs w:val="24"/>
                <w:lang w:val="en-US" w:eastAsia="zh-CN"/>
              </w:rPr>
              <w:t>；边角料S11</w:t>
            </w:r>
            <w:r>
              <w:rPr>
                <w:rFonts w:hint="default" w:ascii="Times New Roman" w:hAnsi="Times New Roman" w:cs="Times New Roman"/>
                <w:color w:val="auto"/>
                <w:sz w:val="24"/>
                <w:szCs w:val="24"/>
                <w:lang w:eastAsia="zh-CN"/>
              </w:rPr>
              <w:t>约占</w:t>
            </w:r>
            <w:r>
              <w:rPr>
                <w:rFonts w:hint="eastAsia" w:cs="Times New Roman"/>
                <w:color w:val="auto"/>
                <w:sz w:val="24"/>
                <w:szCs w:val="24"/>
                <w:lang w:eastAsia="zh-CN"/>
              </w:rPr>
              <w:t>产品</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10000</w:t>
            </w:r>
            <w:r>
              <w:rPr>
                <w:rFonts w:hint="default"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lang w:eastAsia="zh-CN"/>
              </w:rPr>
              <w:t>）的</w:t>
            </w:r>
            <w:r>
              <w:rPr>
                <w:rFonts w:hint="eastAsia" w:cs="Times New Roman"/>
                <w:color w:val="auto"/>
                <w:sz w:val="24"/>
                <w:szCs w:val="24"/>
                <w:lang w:val="en-US" w:eastAsia="zh-CN"/>
              </w:rPr>
              <w:t>1.5</w:t>
            </w:r>
            <w:r>
              <w:rPr>
                <w:rFonts w:hint="default" w:ascii="Times New Roman" w:hAnsi="Times New Roman" w:cs="Times New Roman"/>
                <w:color w:val="auto"/>
                <w:sz w:val="24"/>
                <w:szCs w:val="24"/>
                <w:lang w:val="en-US" w:eastAsia="zh-CN"/>
              </w:rPr>
              <w:t>%，即</w:t>
            </w:r>
            <w:r>
              <w:rPr>
                <w:rFonts w:hint="eastAsia" w:cs="Times New Roman"/>
                <w:color w:val="auto"/>
                <w:sz w:val="24"/>
                <w:szCs w:val="24"/>
                <w:lang w:val="en-US" w:eastAsia="zh-CN"/>
              </w:rPr>
              <w:t>150</w:t>
            </w:r>
            <w:r>
              <w:rPr>
                <w:rFonts w:hint="default" w:ascii="Times New Roman" w:hAnsi="Times New Roman" w:cs="Times New Roman"/>
                <w:color w:val="auto"/>
                <w:sz w:val="24"/>
                <w:szCs w:val="24"/>
                <w:lang w:val="en-US" w:eastAsia="zh-CN"/>
              </w:rPr>
              <w:t>t/a</w:t>
            </w:r>
            <w:r>
              <w:rPr>
                <w:rFonts w:hint="eastAsia" w:cs="Times New Roman"/>
                <w:color w:val="auto"/>
                <w:sz w:val="24"/>
                <w:szCs w:val="24"/>
                <w:lang w:val="en-US" w:eastAsia="zh-CN"/>
              </w:rPr>
              <w:t>。即</w:t>
            </w:r>
            <w:r>
              <w:rPr>
                <w:rFonts w:hint="default" w:ascii="Times New Roman" w:hAnsi="Times New Roman" w:cs="Times New Roman"/>
                <w:color w:val="auto"/>
                <w:sz w:val="24"/>
                <w:szCs w:val="24"/>
                <w:lang w:val="en-US" w:eastAsia="zh-CN"/>
              </w:rPr>
              <w:t>拟建项目</w:t>
            </w:r>
            <w:r>
              <w:rPr>
                <w:rFonts w:hint="eastAsia" w:cs="Times New Roman"/>
                <w:color w:val="auto"/>
                <w:sz w:val="24"/>
                <w:szCs w:val="24"/>
                <w:lang w:val="en-US" w:eastAsia="zh-CN"/>
              </w:rPr>
              <w:t>边角料总产生量为274t/a，通过压扁机压扁后，送至</w:t>
            </w:r>
            <w:r>
              <w:rPr>
                <w:rFonts w:hint="default" w:ascii="Times New Roman" w:hAnsi="Times New Roman" w:cs="Times New Roman"/>
                <w:color w:val="auto"/>
                <w:sz w:val="24"/>
                <w:szCs w:val="24"/>
                <w:lang w:val="en-US" w:eastAsia="zh-CN"/>
              </w:rPr>
              <w:t>一般工业固废暂存</w:t>
            </w:r>
            <w:r>
              <w:rPr>
                <w:rFonts w:hint="eastAsia" w:cs="Times New Roman"/>
                <w:color w:val="auto"/>
                <w:sz w:val="24"/>
                <w:szCs w:val="24"/>
                <w:lang w:val="en-US" w:eastAsia="zh-CN"/>
              </w:rPr>
              <w:t>区分类暂存</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参照执行《一般工业固体废物贮存、处置场污染控制标准》(GB18599-2020）规定的相关要求。一般工业固体废物均收集后暂存，</w:t>
            </w:r>
            <w:r>
              <w:rPr>
                <w:rFonts w:hint="default" w:ascii="Times New Roman" w:hAnsi="Times New Roman" w:cs="Times New Roman"/>
                <w:color w:val="auto"/>
                <w:sz w:val="24"/>
                <w:szCs w:val="24"/>
                <w:lang w:eastAsia="zh-CN"/>
              </w:rPr>
              <w:t>定期</w:t>
            </w:r>
            <w:r>
              <w:rPr>
                <w:rFonts w:hint="default" w:ascii="Times New Roman" w:hAnsi="Times New Roman" w:cs="Times New Roman"/>
                <w:color w:val="auto"/>
                <w:sz w:val="24"/>
                <w:szCs w:val="24"/>
              </w:rPr>
              <w:t>交由专业单位回收利用或物资回收公司回收。</w:t>
            </w:r>
          </w:p>
          <w:p>
            <w:pPr>
              <w:widowControl/>
              <w:ind w:firstLine="482"/>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4.5.2危险废物 </w:t>
            </w:r>
          </w:p>
          <w:p>
            <w:pPr>
              <w:widowControl/>
              <w:ind w:firstLine="480"/>
              <w:rPr>
                <w:rFonts w:hint="eastAsia" w:ascii="宋体" w:hAnsi="宋体" w:cs="宋体"/>
                <w:color w:val="auto"/>
                <w:szCs w:val="24"/>
              </w:rPr>
            </w:pPr>
            <w:r>
              <w:rPr>
                <w:rFonts w:hint="default" w:ascii="Times New Roman" w:hAnsi="Times New Roman" w:cs="Times New Roman"/>
                <w:color w:val="auto"/>
                <w:szCs w:val="24"/>
              </w:rPr>
              <w:t>拟建项目生产过程中会产生危险废物主要为</w:t>
            </w:r>
            <w:r>
              <w:rPr>
                <w:rFonts w:hint="eastAsia" w:cs="Times New Roman"/>
                <w:color w:val="auto"/>
                <w:kern w:val="2"/>
                <w:sz w:val="24"/>
                <w:szCs w:val="24"/>
                <w:lang w:val="en-US" w:eastAsia="zh-CN" w:bidi="ar-SA"/>
              </w:rPr>
              <w:t>边角料（含胶渣）S1、</w:t>
            </w:r>
            <w:r>
              <w:rPr>
                <w:rFonts w:hint="default" w:ascii="Times New Roman" w:hAnsi="Times New Roman" w:cs="Times New Roman"/>
                <w:color w:val="auto"/>
                <w:szCs w:val="24"/>
              </w:rPr>
              <w:t>废润滑油S5、废含油棉纱手套6、废润滑油桶S7</w:t>
            </w:r>
            <w:r>
              <w:rPr>
                <w:rFonts w:hint="eastAsia" w:cs="Times New Roman"/>
                <w:color w:val="auto"/>
                <w:szCs w:val="24"/>
                <w:lang w:eastAsia="zh-CN"/>
              </w:rPr>
              <w:t>、废活性炭S8、空压机含油废液S10、废胶桶</w:t>
            </w:r>
            <w:r>
              <w:rPr>
                <w:rFonts w:hint="eastAsia" w:cs="Times New Roman"/>
                <w:color w:val="auto"/>
                <w:szCs w:val="24"/>
                <w:lang w:val="en-US" w:eastAsia="zh-CN"/>
              </w:rPr>
              <w:t>S12</w:t>
            </w:r>
            <w:r>
              <w:rPr>
                <w:rFonts w:hint="default" w:ascii="Times New Roman" w:hAnsi="Times New Roman" w:cs="Times New Roman"/>
                <w:color w:val="auto"/>
                <w:szCs w:val="24"/>
              </w:rPr>
              <w:t xml:space="preserve">。 </w:t>
            </w:r>
            <w:r>
              <w:rPr>
                <w:rFonts w:hint="eastAsia" w:ascii="宋体" w:hAnsi="宋体" w:cs="宋体"/>
                <w:color w:val="auto"/>
                <w:szCs w:val="24"/>
              </w:rPr>
              <w:t xml:space="preserve"> </w:t>
            </w:r>
          </w:p>
          <w:p>
            <w:pPr>
              <w:widowControl/>
              <w:ind w:firstLine="480"/>
              <w:rPr>
                <w:rFonts w:hint="eastAsia" w:ascii="宋体" w:hAnsi="宋体" w:cs="宋体"/>
                <w:color w:val="auto"/>
                <w:szCs w:val="24"/>
                <w:lang w:eastAsia="zh-CN"/>
              </w:rPr>
            </w:pPr>
            <w:r>
              <w:rPr>
                <w:rFonts w:hint="eastAsia" w:cs="Times New Roman"/>
                <w:color w:val="auto"/>
                <w:kern w:val="2"/>
                <w:sz w:val="24"/>
                <w:szCs w:val="24"/>
                <w:lang w:val="en-US" w:eastAsia="zh-CN" w:bidi="ar-SA"/>
              </w:rPr>
              <w:t>边角料（含胶渣）S1：边角料（含胶渣）S1</w:t>
            </w:r>
            <w:r>
              <w:rPr>
                <w:rFonts w:hint="default" w:ascii="Times New Roman" w:hAnsi="Times New Roman" w:cs="Times New Roman"/>
                <w:color w:val="auto"/>
                <w:sz w:val="24"/>
                <w:szCs w:val="24"/>
                <w:lang w:eastAsia="zh-CN"/>
              </w:rPr>
              <w:t>约占</w:t>
            </w:r>
            <w:r>
              <w:rPr>
                <w:rFonts w:hint="eastAsia" w:cs="Times New Roman"/>
                <w:color w:val="auto"/>
                <w:sz w:val="24"/>
                <w:szCs w:val="24"/>
                <w:lang w:eastAsia="zh-CN"/>
              </w:rPr>
              <w:t>原料</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lang w:eastAsia="zh-CN"/>
              </w:rPr>
              <w:t>）的</w:t>
            </w:r>
            <w:r>
              <w:rPr>
                <w:rFonts w:hint="eastAsia" w:cs="Times New Roman"/>
                <w:color w:val="auto"/>
                <w:sz w:val="24"/>
                <w:szCs w:val="24"/>
                <w:lang w:val="en-US" w:eastAsia="zh-CN"/>
              </w:rPr>
              <w:t>0.5</w:t>
            </w:r>
            <w:r>
              <w:rPr>
                <w:rFonts w:hint="default" w:ascii="Times New Roman" w:hAnsi="Times New Roman" w:cs="Times New Roman"/>
                <w:color w:val="auto"/>
                <w:sz w:val="24"/>
                <w:szCs w:val="24"/>
                <w:lang w:val="en-US" w:eastAsia="zh-CN"/>
              </w:rPr>
              <w:t>%，即</w:t>
            </w:r>
            <w:r>
              <w:rPr>
                <w:rFonts w:hint="eastAsia" w:cs="Times New Roman"/>
                <w:color w:val="auto"/>
                <w:sz w:val="24"/>
                <w:szCs w:val="24"/>
                <w:lang w:val="en-US" w:eastAsia="zh-CN"/>
              </w:rPr>
              <w:t>0.25</w:t>
            </w:r>
            <w:r>
              <w:rPr>
                <w:rFonts w:hint="default" w:ascii="Times New Roman" w:hAnsi="Times New Roman"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宋体" w:cs="Times New Roman"/>
                <w:color w:val="auto"/>
                <w:szCs w:val="24"/>
                <w:lang w:val="en-US" w:eastAsia="zh-CN"/>
              </w:rPr>
              <w:t>属《国家危险废物名录》（2021年版）中废物类别及代码HW</w:t>
            </w:r>
            <w:r>
              <w:rPr>
                <w:rFonts w:hint="eastAsia" w:cs="Times New Roman"/>
                <w:color w:val="auto"/>
                <w:szCs w:val="24"/>
                <w:lang w:val="en-US" w:eastAsia="zh-CN"/>
              </w:rPr>
              <w:t>49</w:t>
            </w:r>
            <w:r>
              <w:rPr>
                <w:rFonts w:hint="eastAsia" w:ascii="Times New Roman" w:hAnsi="Times New Roman" w:eastAsia="宋体" w:cs="Times New Roman"/>
                <w:color w:val="auto"/>
                <w:szCs w:val="24"/>
                <w:lang w:val="en-US" w:eastAsia="zh-CN"/>
              </w:rPr>
              <w:t>，900-047-49</w:t>
            </w:r>
            <w:r>
              <w:rPr>
                <w:rFonts w:hint="eastAsia" w:cs="Times New Roman"/>
                <w:color w:val="auto"/>
                <w:szCs w:val="24"/>
                <w:lang w:val="en-US" w:eastAsia="zh-CN"/>
              </w:rPr>
              <w:t>。</w:t>
            </w:r>
          </w:p>
          <w:p>
            <w:pPr>
              <w:widowControl/>
              <w:ind w:firstLine="480"/>
              <w:rPr>
                <w:rFonts w:hint="eastAsia"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废</w:t>
            </w:r>
            <w:r>
              <w:rPr>
                <w:rFonts w:hint="eastAsia" w:cs="Times New Roman"/>
                <w:color w:val="auto"/>
                <w:szCs w:val="24"/>
                <w:lang w:val="en-US" w:eastAsia="zh-CN"/>
              </w:rPr>
              <w:t>润滑油</w:t>
            </w:r>
            <w:r>
              <w:rPr>
                <w:rFonts w:hint="default" w:ascii="Times New Roman" w:hAnsi="Times New Roman" w:eastAsia="宋体" w:cs="Times New Roman"/>
                <w:color w:val="auto"/>
                <w:szCs w:val="24"/>
                <w:lang w:val="en-US" w:eastAsia="zh-CN"/>
              </w:rPr>
              <w:t>S</w:t>
            </w:r>
            <w:r>
              <w:rPr>
                <w:rFonts w:hint="eastAsia" w:cs="Times New Roman"/>
                <w:color w:val="auto"/>
                <w:szCs w:val="24"/>
                <w:lang w:val="en-US" w:eastAsia="zh-CN"/>
              </w:rPr>
              <w:t>5</w:t>
            </w:r>
            <w:r>
              <w:rPr>
                <w:rFonts w:hint="default" w:ascii="Times New Roman" w:hAnsi="Times New Roman" w:eastAsia="宋体" w:cs="Times New Roman"/>
                <w:color w:val="auto"/>
                <w:szCs w:val="24"/>
                <w:lang w:val="en-US" w:eastAsia="zh-CN"/>
              </w:rPr>
              <w:t>：</w:t>
            </w:r>
            <w:r>
              <w:rPr>
                <w:rFonts w:hint="eastAsia" w:ascii="Times New Roman" w:hAnsi="Times New Roman" w:eastAsia="宋体" w:cs="Times New Roman"/>
                <w:color w:val="auto"/>
                <w:szCs w:val="24"/>
                <w:lang w:val="en-US" w:eastAsia="zh-CN"/>
              </w:rPr>
              <w:t>拟建项目废</w:t>
            </w:r>
            <w:r>
              <w:rPr>
                <w:rFonts w:hint="eastAsia" w:cs="Times New Roman"/>
                <w:color w:val="auto"/>
                <w:szCs w:val="24"/>
                <w:lang w:val="en-US" w:eastAsia="zh-CN"/>
              </w:rPr>
              <w:t>润滑油</w:t>
            </w:r>
            <w:r>
              <w:rPr>
                <w:rFonts w:hint="eastAsia" w:ascii="Times New Roman" w:hAnsi="Times New Roman" w:eastAsia="宋体" w:cs="Times New Roman"/>
                <w:color w:val="auto"/>
                <w:szCs w:val="24"/>
                <w:lang w:val="en-US" w:eastAsia="zh-CN"/>
              </w:rPr>
              <w:t>年产生量约</w:t>
            </w:r>
            <w:r>
              <w:rPr>
                <w:rFonts w:hint="eastAsia" w:cs="Times New Roman"/>
                <w:color w:val="auto"/>
                <w:szCs w:val="24"/>
                <w:lang w:val="en-US" w:eastAsia="zh-CN"/>
              </w:rPr>
              <w:t>0.4</w:t>
            </w:r>
            <w:r>
              <w:rPr>
                <w:rFonts w:hint="eastAsia" w:ascii="Times New Roman" w:hAnsi="Times New Roman" w:eastAsia="宋体" w:cs="Times New Roman"/>
                <w:color w:val="auto"/>
                <w:szCs w:val="24"/>
                <w:lang w:val="en-US" w:eastAsia="zh-CN"/>
              </w:rPr>
              <w:t>t/a</w:t>
            </w:r>
            <w:r>
              <w:rPr>
                <w:rFonts w:hint="eastAsia" w:cs="Times New Roman"/>
                <w:color w:val="auto"/>
                <w:szCs w:val="24"/>
                <w:lang w:val="en-US" w:eastAsia="zh-CN"/>
              </w:rPr>
              <w:t>，</w:t>
            </w:r>
            <w:r>
              <w:rPr>
                <w:rFonts w:hint="default" w:ascii="Times New Roman" w:hAnsi="Times New Roman" w:eastAsia="宋体" w:cs="Times New Roman"/>
                <w:color w:val="auto"/>
                <w:szCs w:val="24"/>
                <w:lang w:val="en-US" w:eastAsia="zh-CN"/>
              </w:rPr>
              <w:t>属《国家危险废物名录》（</w:t>
            </w:r>
            <w:r>
              <w:rPr>
                <w:rFonts w:hint="eastAsia" w:ascii="Times New Roman" w:hAnsi="Times New Roman" w:eastAsia="宋体" w:cs="Times New Roman"/>
                <w:color w:val="auto"/>
                <w:szCs w:val="24"/>
                <w:lang w:val="en-US" w:eastAsia="zh-CN"/>
              </w:rPr>
              <w:t xml:space="preserve">2021年版）中废物类别及代码HW08，900-041-49。 </w:t>
            </w:r>
          </w:p>
          <w:p>
            <w:pPr>
              <w:widowControl/>
              <w:ind w:firstLine="48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废</w:t>
            </w:r>
            <w:r>
              <w:rPr>
                <w:rFonts w:hint="eastAsia" w:cs="Times New Roman"/>
                <w:color w:val="auto"/>
                <w:szCs w:val="24"/>
                <w:lang w:val="en-US" w:eastAsia="zh-CN"/>
              </w:rPr>
              <w:t>润滑油</w:t>
            </w:r>
            <w:r>
              <w:rPr>
                <w:rFonts w:hint="eastAsia" w:ascii="Times New Roman" w:hAnsi="Times New Roman" w:eastAsia="宋体" w:cs="Times New Roman"/>
                <w:color w:val="auto"/>
                <w:szCs w:val="24"/>
                <w:lang w:val="en-US" w:eastAsia="zh-CN"/>
              </w:rPr>
              <w:t>桶S7：项目年用润滑油0.5t，单桶重量</w:t>
            </w:r>
            <w:r>
              <w:rPr>
                <w:rFonts w:hint="eastAsia" w:cs="Times New Roman"/>
                <w:color w:val="auto"/>
                <w:szCs w:val="24"/>
                <w:lang w:val="en-US" w:eastAsia="zh-CN"/>
              </w:rPr>
              <w:t>2</w:t>
            </w:r>
            <w:r>
              <w:rPr>
                <w:rFonts w:hint="eastAsia" w:ascii="Times New Roman" w:hAnsi="Times New Roman" w:eastAsia="宋体" w:cs="Times New Roman"/>
                <w:color w:val="auto"/>
                <w:szCs w:val="24"/>
                <w:lang w:val="en-US" w:eastAsia="zh-CN"/>
              </w:rPr>
              <w:t>kg，产生的废</w:t>
            </w:r>
            <w:r>
              <w:rPr>
                <w:rFonts w:hint="eastAsia" w:cs="Times New Roman"/>
                <w:color w:val="auto"/>
                <w:szCs w:val="24"/>
                <w:lang w:val="en-US" w:eastAsia="zh-CN"/>
              </w:rPr>
              <w:t>机油</w:t>
            </w:r>
            <w:r>
              <w:rPr>
                <w:rFonts w:hint="eastAsia" w:ascii="Times New Roman" w:hAnsi="Times New Roman" w:eastAsia="宋体" w:cs="Times New Roman"/>
                <w:color w:val="auto"/>
                <w:szCs w:val="24"/>
                <w:lang w:val="en-US" w:eastAsia="zh-CN"/>
              </w:rPr>
              <w:t>桶</w:t>
            </w:r>
            <w:r>
              <w:rPr>
                <w:rFonts w:hint="eastAsia" w:cs="Times New Roman"/>
                <w:color w:val="auto"/>
                <w:szCs w:val="24"/>
                <w:lang w:val="en-US" w:eastAsia="zh-CN"/>
              </w:rPr>
              <w:t>20</w:t>
            </w:r>
            <w:r>
              <w:rPr>
                <w:rFonts w:hint="eastAsia" w:ascii="Times New Roman" w:hAnsi="Times New Roman" w:eastAsia="宋体" w:cs="Times New Roman"/>
                <w:color w:val="auto"/>
                <w:szCs w:val="24"/>
                <w:lang w:val="en-US" w:eastAsia="zh-CN"/>
              </w:rPr>
              <w:t>个，则废</w:t>
            </w:r>
            <w:r>
              <w:rPr>
                <w:rFonts w:hint="eastAsia" w:cs="Times New Roman"/>
                <w:color w:val="auto"/>
                <w:szCs w:val="24"/>
                <w:lang w:val="en-US" w:eastAsia="zh-CN"/>
              </w:rPr>
              <w:t>机油</w:t>
            </w:r>
            <w:r>
              <w:rPr>
                <w:rFonts w:hint="eastAsia" w:ascii="Times New Roman" w:hAnsi="Times New Roman" w:eastAsia="宋体" w:cs="Times New Roman"/>
                <w:color w:val="auto"/>
                <w:szCs w:val="24"/>
                <w:lang w:val="en-US" w:eastAsia="zh-CN"/>
              </w:rPr>
              <w:t>桶产生量0.0</w:t>
            </w:r>
            <w:r>
              <w:rPr>
                <w:rFonts w:hint="eastAsia" w:cs="Times New Roman"/>
                <w:color w:val="auto"/>
                <w:szCs w:val="24"/>
                <w:lang w:val="en-US" w:eastAsia="zh-CN"/>
              </w:rPr>
              <w:t>4</w:t>
            </w:r>
            <w:r>
              <w:rPr>
                <w:rFonts w:hint="eastAsia" w:ascii="Times New Roman" w:hAnsi="Times New Roman" w:eastAsia="宋体" w:cs="Times New Roman"/>
                <w:color w:val="auto"/>
                <w:szCs w:val="24"/>
                <w:lang w:val="en-US" w:eastAsia="zh-CN"/>
              </w:rPr>
              <w:t>t/a。属《国家危险废物名录》（2021年版）中废物类别及代码HW08，900-253-12。</w:t>
            </w:r>
          </w:p>
          <w:p>
            <w:pPr>
              <w:widowControl/>
              <w:ind w:firstLine="480"/>
              <w:rPr>
                <w:rFonts w:hint="eastAsia" w:ascii="Times New Roman" w:hAnsi="Times New Roman" w:cs="Times New Roman"/>
                <w:color w:val="auto"/>
                <w:szCs w:val="24"/>
                <w:lang w:val="en-US" w:eastAsia="zh-CN"/>
              </w:rPr>
            </w:pPr>
            <w:r>
              <w:rPr>
                <w:rFonts w:hint="default" w:ascii="Times New Roman" w:hAnsi="Times New Roman" w:eastAsia="宋体" w:cs="Times New Roman"/>
                <w:color w:val="auto"/>
                <w:szCs w:val="24"/>
                <w:lang w:val="en-US" w:eastAsia="zh-CN"/>
              </w:rPr>
              <w:t>废含油棉纱手套</w:t>
            </w:r>
            <w:r>
              <w:rPr>
                <w:rFonts w:hint="eastAsia" w:cs="Times New Roman"/>
                <w:color w:val="auto"/>
                <w:szCs w:val="24"/>
                <w:lang w:val="en-US" w:eastAsia="zh-CN"/>
              </w:rPr>
              <w:t>S6</w:t>
            </w:r>
            <w:r>
              <w:rPr>
                <w:rFonts w:hint="eastAsia" w:ascii="Times New Roman" w:hAnsi="Times New Roman" w:cs="Times New Roman"/>
                <w:color w:val="auto"/>
                <w:szCs w:val="24"/>
                <w:lang w:val="en-US" w:eastAsia="zh-CN"/>
              </w:rPr>
              <w:t>：机械保养时使用产生含油棉纱及手套，产生量约0.05t/a，属于《国家危险废物名录》（2021年版）中废物类别及代码HW49，900-041-49。</w:t>
            </w:r>
          </w:p>
          <w:p>
            <w:pPr>
              <w:widowControl/>
              <w:ind w:firstLine="48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废活性炭</w:t>
            </w:r>
            <w:r>
              <w:rPr>
                <w:rFonts w:hint="eastAsia" w:cs="Times New Roman"/>
                <w:color w:val="auto"/>
                <w:szCs w:val="24"/>
                <w:lang w:eastAsia="zh-CN"/>
              </w:rPr>
              <w:t>S</w:t>
            </w:r>
            <w:r>
              <w:rPr>
                <w:rFonts w:hint="eastAsia" w:cs="Times New Roman"/>
                <w:color w:val="auto"/>
                <w:szCs w:val="24"/>
                <w:lang w:val="en-US" w:eastAsia="zh-CN"/>
              </w:rPr>
              <w:t>8</w:t>
            </w:r>
            <w:r>
              <w:rPr>
                <w:rFonts w:hint="eastAsia" w:ascii="Times New Roman" w:hAnsi="Times New Roman" w:eastAsia="宋体" w:cs="Times New Roman"/>
                <w:color w:val="auto"/>
                <w:szCs w:val="24"/>
                <w:lang w:val="en-US" w:eastAsia="zh-CN"/>
              </w:rPr>
              <w:t>：项目废气处理装置使用活性炭吸附工艺，</w:t>
            </w:r>
            <w:r>
              <w:rPr>
                <w:rFonts w:hint="default" w:ascii="Times New Roman" w:hAnsi="Times New Roman" w:eastAsia="宋体" w:cs="Times New Roman"/>
                <w:color w:val="auto"/>
                <w:szCs w:val="24"/>
                <w:lang w:val="en-US" w:eastAsia="zh-CN"/>
              </w:rPr>
              <w:t>按照1t活性炭可吸附0.25t有机废气估算，</w:t>
            </w:r>
            <w:r>
              <w:rPr>
                <w:rFonts w:hint="eastAsia" w:ascii="Times New Roman" w:hAnsi="Times New Roman" w:eastAsia="宋体" w:cs="Times New Roman"/>
                <w:color w:val="auto"/>
                <w:szCs w:val="24"/>
                <w:lang w:val="en-US" w:eastAsia="zh-CN"/>
              </w:rPr>
              <w:t>项目废气装置</w:t>
            </w:r>
            <w:r>
              <w:rPr>
                <w:rFonts w:hint="eastAsia" w:cs="Times New Roman"/>
                <w:color w:val="auto"/>
                <w:szCs w:val="24"/>
                <w:lang w:val="en-US" w:eastAsia="zh-CN"/>
              </w:rPr>
              <w:t>对项目生产过程产生的</w:t>
            </w:r>
            <w:r>
              <w:rPr>
                <w:rFonts w:hint="eastAsia" w:ascii="Times New Roman" w:hAnsi="Times New Roman" w:eastAsia="宋体" w:cs="Times New Roman"/>
                <w:color w:val="auto"/>
                <w:szCs w:val="24"/>
                <w:lang w:val="en-US" w:eastAsia="zh-CN"/>
              </w:rPr>
              <w:t>有机废气吸附量为</w:t>
            </w:r>
            <w:r>
              <w:rPr>
                <w:rFonts w:hint="eastAsia" w:cs="Times New Roman"/>
                <w:color w:val="auto"/>
                <w:szCs w:val="24"/>
                <w:lang w:val="en-US" w:eastAsia="zh-CN"/>
              </w:rPr>
              <w:t>9.336</w:t>
            </w:r>
            <w:r>
              <w:rPr>
                <w:rFonts w:hint="eastAsia" w:ascii="Times New Roman" w:hAnsi="Times New Roman" w:eastAsia="宋体" w:cs="Times New Roman"/>
                <w:color w:val="auto"/>
                <w:szCs w:val="24"/>
                <w:lang w:val="en-US" w:eastAsia="zh-CN"/>
              </w:rPr>
              <w:t>t/a，</w:t>
            </w:r>
            <w:r>
              <w:rPr>
                <w:rFonts w:hint="eastAsia" w:cs="Times New Roman"/>
                <w:color w:val="auto"/>
                <w:szCs w:val="24"/>
                <w:lang w:val="en-US" w:eastAsia="zh-CN"/>
              </w:rPr>
              <w:t>对危废间释放有机废气吸附量为0.007t/a，总吸附量为9.343t/a，</w:t>
            </w:r>
            <w:r>
              <w:rPr>
                <w:rFonts w:hint="eastAsia" w:ascii="Times New Roman" w:hAnsi="Times New Roman" w:eastAsia="宋体" w:cs="Times New Roman"/>
                <w:color w:val="auto"/>
                <w:szCs w:val="24"/>
                <w:lang w:val="en-US" w:eastAsia="zh-CN"/>
              </w:rPr>
              <w:t>则</w:t>
            </w:r>
            <w:r>
              <w:rPr>
                <w:rFonts w:hint="default" w:ascii="Times New Roman" w:hAnsi="Times New Roman" w:eastAsia="宋体" w:cs="Times New Roman"/>
                <w:color w:val="auto"/>
                <w:szCs w:val="24"/>
                <w:lang w:val="en-US" w:eastAsia="zh-CN"/>
              </w:rPr>
              <w:t>活性炭的</w:t>
            </w:r>
            <w:r>
              <w:rPr>
                <w:rFonts w:hint="eastAsia" w:ascii="Times New Roman" w:hAnsi="Times New Roman" w:eastAsia="宋体" w:cs="Times New Roman"/>
                <w:color w:val="auto"/>
                <w:szCs w:val="24"/>
                <w:lang w:val="en-US" w:eastAsia="zh-CN"/>
              </w:rPr>
              <w:t>使用</w:t>
            </w:r>
            <w:r>
              <w:rPr>
                <w:rFonts w:hint="default" w:ascii="Times New Roman" w:hAnsi="Times New Roman" w:eastAsia="宋体" w:cs="Times New Roman"/>
                <w:color w:val="auto"/>
                <w:szCs w:val="24"/>
                <w:lang w:val="en-US" w:eastAsia="zh-CN"/>
              </w:rPr>
              <w:t>量</w:t>
            </w:r>
            <w:r>
              <w:rPr>
                <w:rFonts w:hint="eastAsia" w:ascii="Times New Roman" w:hAnsi="Times New Roman" w:cs="Times New Roman"/>
                <w:color w:val="auto"/>
                <w:szCs w:val="24"/>
                <w:lang w:val="en-US" w:eastAsia="zh-CN"/>
              </w:rPr>
              <w:t>约</w:t>
            </w:r>
            <w:r>
              <w:rPr>
                <w:rFonts w:hint="default" w:ascii="Times New Roman" w:hAnsi="Times New Roman" w:eastAsia="宋体" w:cs="Times New Roman"/>
                <w:color w:val="auto"/>
                <w:szCs w:val="24"/>
                <w:lang w:val="en-US" w:eastAsia="zh-CN"/>
              </w:rPr>
              <w:t>为</w:t>
            </w:r>
            <w:r>
              <w:rPr>
                <w:rFonts w:hint="eastAsia" w:cs="Times New Roman"/>
                <w:color w:val="auto"/>
                <w:szCs w:val="24"/>
                <w:lang w:val="en-US" w:eastAsia="zh-CN"/>
              </w:rPr>
              <w:t>37.4</w:t>
            </w:r>
            <w:r>
              <w:rPr>
                <w:rFonts w:hint="default" w:ascii="Times New Roman" w:hAnsi="Times New Roman" w:eastAsia="宋体" w:cs="Times New Roman"/>
                <w:color w:val="auto"/>
                <w:szCs w:val="24"/>
                <w:lang w:val="en-US" w:eastAsia="zh-CN"/>
              </w:rPr>
              <w:t>t/a</w:t>
            </w:r>
            <w:r>
              <w:rPr>
                <w:rFonts w:hint="eastAsia" w:ascii="Times New Roman" w:hAnsi="Times New Roman" w:eastAsia="宋体" w:cs="Times New Roman"/>
                <w:color w:val="auto"/>
                <w:szCs w:val="24"/>
                <w:lang w:val="en-US" w:eastAsia="zh-CN"/>
              </w:rPr>
              <w:t>，即废活性炭产生量约为</w:t>
            </w:r>
            <w:r>
              <w:rPr>
                <w:rFonts w:hint="eastAsia" w:cs="Times New Roman"/>
                <w:color w:val="auto"/>
                <w:szCs w:val="24"/>
                <w:lang w:val="en-US" w:eastAsia="zh-CN"/>
              </w:rPr>
              <w:t>46.74</w:t>
            </w:r>
            <w:r>
              <w:rPr>
                <w:rFonts w:hint="eastAsia" w:ascii="Times New Roman" w:hAnsi="Times New Roman" w:eastAsia="宋体" w:cs="Times New Roman"/>
                <w:color w:val="auto"/>
                <w:szCs w:val="24"/>
                <w:lang w:val="en-US" w:eastAsia="zh-CN"/>
              </w:rPr>
              <w:t>t/a，</w:t>
            </w:r>
            <w:r>
              <w:rPr>
                <w:rFonts w:hint="default" w:ascii="Times New Roman" w:hAnsi="Times New Roman" w:eastAsia="宋体" w:cs="Times New Roman"/>
                <w:color w:val="auto"/>
                <w:szCs w:val="24"/>
                <w:lang w:val="en-US" w:eastAsia="zh-CN"/>
              </w:rPr>
              <w:t>属《国家危险废物名录》（</w:t>
            </w:r>
            <w:r>
              <w:rPr>
                <w:rFonts w:hint="eastAsia" w:ascii="Times New Roman" w:hAnsi="Times New Roman" w:eastAsia="宋体" w:cs="Times New Roman"/>
                <w:color w:val="auto"/>
                <w:szCs w:val="24"/>
                <w:lang w:val="en-US" w:eastAsia="zh-CN"/>
              </w:rPr>
              <w:t>2021年版）中废物类别及代码HW49，900-041-49。</w:t>
            </w:r>
            <w:r>
              <w:rPr>
                <w:rFonts w:hint="eastAsia" w:cs="Times New Roman"/>
                <w:color w:val="auto"/>
                <w:szCs w:val="24"/>
                <w:lang w:val="en-US" w:eastAsia="zh-CN"/>
              </w:rPr>
              <w:t>活性炭一个月更换一次。</w:t>
            </w:r>
          </w:p>
          <w:p>
            <w:pPr>
              <w:widowControl/>
              <w:ind w:firstLine="48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空压机含油废液</w:t>
            </w:r>
            <w:r>
              <w:rPr>
                <w:rFonts w:hint="eastAsia" w:cs="Times New Roman"/>
                <w:color w:val="auto"/>
                <w:szCs w:val="24"/>
                <w:lang w:eastAsia="zh-CN"/>
              </w:rPr>
              <w:t>S1</w:t>
            </w:r>
            <w:r>
              <w:rPr>
                <w:rFonts w:hint="eastAsia" w:cs="Times New Roman"/>
                <w:color w:val="auto"/>
                <w:szCs w:val="24"/>
                <w:lang w:val="en-US" w:eastAsia="zh-CN"/>
              </w:rPr>
              <w:t>0</w:t>
            </w:r>
            <w:r>
              <w:rPr>
                <w:rFonts w:hint="eastAsia" w:ascii="Times New Roman" w:hAnsi="Times New Roman" w:eastAsia="宋体" w:cs="Times New Roman"/>
                <w:color w:val="auto"/>
                <w:szCs w:val="24"/>
                <w:lang w:val="en-US" w:eastAsia="zh-CN"/>
              </w:rPr>
              <w:t>：项目配置空压机，空压机运行过程中，因进气（空气）中含有极少量水份，须对空气中的水份</w:t>
            </w:r>
            <w:r>
              <w:rPr>
                <w:rFonts w:hint="default" w:ascii="Times New Roman" w:hAnsi="Times New Roman" w:eastAsia="宋体" w:cs="Times New Roman"/>
                <w:color w:val="auto"/>
                <w:szCs w:val="24"/>
                <w:lang w:val="en-US" w:eastAsia="zh-CN"/>
              </w:rPr>
              <w:t>、杂质一同除，产生空压机含油废液。空压机均外接排液管，不得直接排至地面，经排液管+收集桶收集，产生量为10kg/a/期/台</w:t>
            </w:r>
            <w:r>
              <w:rPr>
                <w:rFonts w:hint="eastAsia" w:ascii="Times New Roman" w:hAnsi="Times New Roman" w:eastAsia="宋体" w:cs="Times New Roman"/>
                <w:color w:val="auto"/>
                <w:szCs w:val="24"/>
                <w:lang w:val="en-US" w:eastAsia="zh-CN"/>
              </w:rPr>
              <w:t>。</w:t>
            </w:r>
            <w:r>
              <w:rPr>
                <w:rFonts w:hint="default" w:ascii="Times New Roman" w:hAnsi="Times New Roman" w:eastAsia="宋体" w:cs="Times New Roman"/>
                <w:color w:val="auto"/>
                <w:szCs w:val="24"/>
                <w:lang w:val="en-US" w:eastAsia="zh-CN"/>
              </w:rPr>
              <w:t>拟建项目空压机含油废液产生量为0.01t/a</w:t>
            </w:r>
            <w:r>
              <w:rPr>
                <w:rFonts w:hint="eastAsia" w:ascii="Times New Roman" w:hAnsi="Times New Roman" w:eastAsia="宋体" w:cs="Times New Roman"/>
                <w:color w:val="auto"/>
                <w:szCs w:val="24"/>
                <w:lang w:val="en-US" w:eastAsia="zh-CN"/>
              </w:rPr>
              <w:t>，</w:t>
            </w:r>
            <w:r>
              <w:rPr>
                <w:rFonts w:hint="default" w:ascii="Times New Roman" w:hAnsi="Times New Roman" w:eastAsia="宋体" w:cs="Times New Roman"/>
                <w:color w:val="auto"/>
                <w:szCs w:val="24"/>
                <w:lang w:val="en-US" w:eastAsia="zh-CN"/>
              </w:rPr>
              <w:t>属《国家危险废物名录》（</w:t>
            </w:r>
            <w:r>
              <w:rPr>
                <w:rFonts w:hint="eastAsia" w:ascii="Times New Roman" w:hAnsi="Times New Roman" w:eastAsia="宋体" w:cs="Times New Roman"/>
                <w:color w:val="auto"/>
                <w:szCs w:val="24"/>
                <w:lang w:val="en-US" w:eastAsia="zh-CN"/>
              </w:rPr>
              <w:t>2021年版）中废物类别及代码</w:t>
            </w:r>
            <w:r>
              <w:rPr>
                <w:rFonts w:hint="eastAsia"/>
                <w:bCs/>
                <w:color w:val="auto"/>
                <w:lang w:val="en-US" w:eastAsia="zh-CN"/>
              </w:rPr>
              <w:t>HW08</w:t>
            </w:r>
            <w:r>
              <w:rPr>
                <w:rFonts w:hint="eastAsia" w:ascii="Times New Roman" w:hAnsi="Times New Roman" w:eastAsia="宋体" w:cs="Times New Roman"/>
                <w:color w:val="auto"/>
                <w:szCs w:val="24"/>
                <w:lang w:val="en-US" w:eastAsia="zh-CN"/>
              </w:rPr>
              <w:t>，900-007-09。</w:t>
            </w:r>
          </w:p>
          <w:p>
            <w:pPr>
              <w:widowControl/>
              <w:ind w:firstLine="480"/>
              <w:rPr>
                <w:rFonts w:hint="eastAsia"/>
                <w:color w:val="auto"/>
                <w:lang w:val="en-US" w:eastAsia="zh-CN"/>
              </w:rPr>
            </w:pPr>
            <w:r>
              <w:rPr>
                <w:rFonts w:hint="eastAsia" w:ascii="Times New Roman" w:hAnsi="Times New Roman" w:eastAsia="宋体" w:cs="Times New Roman"/>
                <w:color w:val="auto"/>
                <w:szCs w:val="24"/>
                <w:lang w:val="en-US" w:eastAsia="zh-CN"/>
              </w:rPr>
              <w:t>废</w:t>
            </w:r>
            <w:r>
              <w:rPr>
                <w:rFonts w:hint="eastAsia" w:cs="Times New Roman"/>
                <w:color w:val="auto"/>
                <w:szCs w:val="24"/>
                <w:lang w:val="en-US" w:eastAsia="zh-CN"/>
              </w:rPr>
              <w:t>胶桶</w:t>
            </w:r>
            <w:r>
              <w:rPr>
                <w:rFonts w:hint="eastAsia" w:cs="Times New Roman"/>
                <w:color w:val="auto"/>
                <w:szCs w:val="24"/>
                <w:lang w:eastAsia="zh-CN"/>
              </w:rPr>
              <w:t>S1</w:t>
            </w:r>
            <w:r>
              <w:rPr>
                <w:rFonts w:hint="eastAsia" w:cs="Times New Roman"/>
                <w:color w:val="auto"/>
                <w:szCs w:val="24"/>
                <w:lang w:val="en-US" w:eastAsia="zh-CN"/>
              </w:rPr>
              <w:t>2</w:t>
            </w:r>
            <w:r>
              <w:rPr>
                <w:rFonts w:hint="eastAsia" w:ascii="Times New Roman" w:hAnsi="Times New Roman" w:eastAsia="宋体" w:cs="Times New Roman"/>
                <w:color w:val="auto"/>
                <w:szCs w:val="24"/>
                <w:lang w:val="en-US" w:eastAsia="zh-CN"/>
              </w:rPr>
              <w:t>：项目年用</w:t>
            </w:r>
            <w:r>
              <w:rPr>
                <w:rFonts w:hint="eastAsia" w:cs="Times New Roman"/>
                <w:color w:val="auto"/>
                <w:szCs w:val="24"/>
                <w:lang w:val="en-US" w:eastAsia="zh-CN"/>
              </w:rPr>
              <w:t>白乳胶1.2</w:t>
            </w:r>
            <w:r>
              <w:rPr>
                <w:rFonts w:hint="eastAsia" w:ascii="Times New Roman" w:hAnsi="Times New Roman" w:eastAsia="宋体" w:cs="Times New Roman"/>
                <w:color w:val="auto"/>
                <w:szCs w:val="24"/>
                <w:lang w:val="en-US" w:eastAsia="zh-CN"/>
              </w:rPr>
              <w:t>t，单桶重量</w:t>
            </w:r>
            <w:r>
              <w:rPr>
                <w:rFonts w:hint="eastAsia" w:cs="Times New Roman"/>
                <w:color w:val="auto"/>
                <w:szCs w:val="24"/>
                <w:lang w:val="en-US" w:eastAsia="zh-CN"/>
              </w:rPr>
              <w:t>1</w:t>
            </w:r>
            <w:r>
              <w:rPr>
                <w:rFonts w:hint="eastAsia" w:ascii="Times New Roman" w:hAnsi="Times New Roman" w:eastAsia="宋体" w:cs="Times New Roman"/>
                <w:color w:val="auto"/>
                <w:szCs w:val="24"/>
                <w:lang w:val="en-US" w:eastAsia="zh-CN"/>
              </w:rPr>
              <w:t>kg，产生的废</w:t>
            </w:r>
            <w:r>
              <w:rPr>
                <w:rFonts w:hint="eastAsia" w:cs="Times New Roman"/>
                <w:color w:val="auto"/>
                <w:szCs w:val="24"/>
                <w:lang w:val="en-US" w:eastAsia="zh-CN"/>
              </w:rPr>
              <w:t>机油</w:t>
            </w:r>
            <w:r>
              <w:rPr>
                <w:rFonts w:hint="eastAsia" w:ascii="Times New Roman" w:hAnsi="Times New Roman" w:eastAsia="宋体" w:cs="Times New Roman"/>
                <w:color w:val="auto"/>
                <w:szCs w:val="24"/>
                <w:lang w:val="en-US" w:eastAsia="zh-CN"/>
              </w:rPr>
              <w:t>桶</w:t>
            </w:r>
            <w:r>
              <w:rPr>
                <w:rFonts w:hint="eastAsia" w:cs="Times New Roman"/>
                <w:color w:val="auto"/>
                <w:szCs w:val="24"/>
                <w:lang w:val="en-US" w:eastAsia="zh-CN"/>
              </w:rPr>
              <w:t>60</w:t>
            </w:r>
            <w:r>
              <w:rPr>
                <w:rFonts w:hint="eastAsia" w:ascii="Times New Roman" w:hAnsi="Times New Roman" w:eastAsia="宋体" w:cs="Times New Roman"/>
                <w:color w:val="auto"/>
                <w:szCs w:val="24"/>
                <w:lang w:val="en-US" w:eastAsia="zh-CN"/>
              </w:rPr>
              <w:t>个，则废</w:t>
            </w:r>
            <w:r>
              <w:rPr>
                <w:rFonts w:hint="eastAsia" w:cs="Times New Roman"/>
                <w:color w:val="auto"/>
                <w:szCs w:val="24"/>
                <w:lang w:val="en-US" w:eastAsia="zh-CN"/>
              </w:rPr>
              <w:t>机油</w:t>
            </w:r>
            <w:r>
              <w:rPr>
                <w:rFonts w:hint="eastAsia" w:ascii="Times New Roman" w:hAnsi="Times New Roman" w:eastAsia="宋体" w:cs="Times New Roman"/>
                <w:color w:val="auto"/>
                <w:szCs w:val="24"/>
                <w:lang w:val="en-US" w:eastAsia="zh-CN"/>
              </w:rPr>
              <w:t>桶产生量0.0</w:t>
            </w:r>
            <w:r>
              <w:rPr>
                <w:rFonts w:hint="eastAsia" w:cs="Times New Roman"/>
                <w:color w:val="auto"/>
                <w:szCs w:val="24"/>
                <w:lang w:val="en-US" w:eastAsia="zh-CN"/>
              </w:rPr>
              <w:t>6</w:t>
            </w:r>
            <w:r>
              <w:rPr>
                <w:rFonts w:hint="eastAsia" w:ascii="Times New Roman" w:hAnsi="Times New Roman" w:eastAsia="宋体" w:cs="Times New Roman"/>
                <w:color w:val="auto"/>
                <w:szCs w:val="24"/>
                <w:lang w:val="en-US" w:eastAsia="zh-CN"/>
              </w:rPr>
              <w:t>t/a。属《国家危险废物名录》（2021年版）中废物类别及代码HW</w:t>
            </w:r>
            <w:r>
              <w:rPr>
                <w:rFonts w:hint="eastAsia" w:cs="Times New Roman"/>
                <w:color w:val="auto"/>
                <w:szCs w:val="24"/>
                <w:lang w:val="en-US" w:eastAsia="zh-CN"/>
              </w:rPr>
              <w:t>49</w:t>
            </w:r>
            <w:r>
              <w:rPr>
                <w:rFonts w:hint="eastAsia" w:ascii="Times New Roman" w:hAnsi="Times New Roman" w:eastAsia="宋体" w:cs="Times New Roman"/>
                <w:color w:val="auto"/>
                <w:szCs w:val="24"/>
                <w:lang w:val="en-US" w:eastAsia="zh-CN"/>
              </w:rPr>
              <w:t>，900-047-49</w:t>
            </w:r>
            <w:r>
              <w:rPr>
                <w:rFonts w:hint="eastAsia" w:cs="Times New Roman"/>
                <w:color w:val="auto"/>
                <w:szCs w:val="24"/>
                <w:lang w:val="en-US" w:eastAsia="zh-CN"/>
              </w:rPr>
              <w:t>。</w:t>
            </w:r>
          </w:p>
          <w:p>
            <w:pPr>
              <w:widowControl/>
              <w:spacing w:line="360" w:lineRule="auto"/>
              <w:ind w:firstLine="480"/>
              <w:rPr>
                <w:rFonts w:ascii="Times New Roman" w:hAnsi="Times New Roman" w:eastAsia="宋体" w:cs="Times New Roman"/>
                <w:color w:val="auto"/>
                <w:szCs w:val="24"/>
              </w:rPr>
            </w:pPr>
            <w:r>
              <w:rPr>
                <w:rFonts w:hint="eastAsia" w:ascii="Times New Roman" w:hAnsi="Times New Roman" w:eastAsia="宋体" w:cs="Times New Roman"/>
                <w:color w:val="auto"/>
                <w:szCs w:val="24"/>
              </w:rPr>
              <w:t>拟建项目各危险废物经收集后分类暂存于危废暂存间内，</w:t>
            </w:r>
            <w:r>
              <w:rPr>
                <w:rFonts w:hint="eastAsia" w:cs="Times New Roman"/>
                <w:color w:val="auto"/>
                <w:szCs w:val="24"/>
                <w:lang w:val="en-US" w:eastAsia="zh-CN"/>
              </w:rPr>
              <w:t>危废暂存间按照</w:t>
            </w:r>
            <w:r>
              <w:rPr>
                <w:rFonts w:hint="eastAsia"/>
                <w:color w:val="auto"/>
                <w:szCs w:val="20"/>
                <w:lang w:eastAsia="zh-CN"/>
              </w:rPr>
              <w:t>《危险废物贮存污染控制标准》（GB18597—2023）</w:t>
            </w:r>
            <w:r>
              <w:rPr>
                <w:rFonts w:hint="eastAsia"/>
                <w:color w:val="auto"/>
                <w:szCs w:val="20"/>
                <w:lang w:val="en-US" w:eastAsia="zh-CN"/>
              </w:rPr>
              <w:t>和</w:t>
            </w:r>
            <w:r>
              <w:rPr>
                <w:color w:val="auto"/>
                <w:szCs w:val="20"/>
              </w:rPr>
              <w:t>《</w:t>
            </w:r>
            <w:r>
              <w:rPr>
                <w:rFonts w:hint="eastAsia"/>
                <w:color w:val="auto"/>
                <w:szCs w:val="20"/>
              </w:rPr>
              <w:t>危险废物转移管理办法</w:t>
            </w:r>
            <w:r>
              <w:rPr>
                <w:color w:val="auto"/>
                <w:szCs w:val="20"/>
              </w:rPr>
              <w:t>》中相关要求</w:t>
            </w:r>
            <w:r>
              <w:rPr>
                <w:rFonts w:hint="eastAsia" w:cs="Times New Roman"/>
                <w:color w:val="auto"/>
                <w:szCs w:val="24"/>
                <w:lang w:val="en-US" w:eastAsia="zh-CN"/>
              </w:rPr>
              <w:t>设置，</w:t>
            </w:r>
            <w:r>
              <w:rPr>
                <w:rFonts w:hint="eastAsia" w:cs="Times New Roman"/>
                <w:color w:val="auto"/>
                <w:szCs w:val="24"/>
                <w:vertAlign w:val="baseline"/>
                <w:lang w:val="en-US" w:eastAsia="zh-CN"/>
              </w:rPr>
              <w:t>项目危险废物</w:t>
            </w:r>
            <w:r>
              <w:rPr>
                <w:rFonts w:hint="eastAsia" w:ascii="Times New Roman" w:hAnsi="Times New Roman" w:eastAsia="宋体" w:cs="Times New Roman"/>
                <w:color w:val="auto"/>
                <w:szCs w:val="24"/>
              </w:rPr>
              <w:t>定期交有资质的单位处置。</w:t>
            </w:r>
          </w:p>
          <w:p>
            <w:pPr>
              <w:widowControl/>
              <w:ind w:firstLine="482"/>
              <w:jc w:val="left"/>
              <w:rPr>
                <w:color w:val="auto"/>
              </w:rPr>
            </w:pPr>
            <w:r>
              <w:rPr>
                <w:b/>
                <w:bCs/>
                <w:color w:val="auto"/>
                <w:szCs w:val="24"/>
              </w:rPr>
              <w:t>4.5.</w:t>
            </w:r>
            <w:r>
              <w:rPr>
                <w:rFonts w:hint="eastAsia"/>
                <w:b/>
                <w:bCs/>
                <w:color w:val="auto"/>
                <w:szCs w:val="24"/>
              </w:rPr>
              <w:t>3</w:t>
            </w:r>
            <w:r>
              <w:rPr>
                <w:rFonts w:hint="eastAsia" w:ascii="宋体" w:hAnsi="宋体" w:cs="宋体"/>
                <w:b/>
                <w:bCs/>
                <w:color w:val="auto"/>
                <w:szCs w:val="24"/>
              </w:rPr>
              <w:t xml:space="preserve">生活垃圾 </w:t>
            </w:r>
          </w:p>
          <w:p>
            <w:pPr>
              <w:widowControl/>
              <w:ind w:firstLine="480"/>
              <w:jc w:val="left"/>
              <w:rPr>
                <w:color w:val="auto"/>
              </w:rPr>
            </w:pPr>
            <w:r>
              <w:rPr>
                <w:rFonts w:hint="default" w:ascii="Times New Roman" w:hAnsi="Times New Roman" w:cs="Times New Roman"/>
                <w:color w:val="auto"/>
                <w:szCs w:val="24"/>
              </w:rPr>
              <w:t>项目劳动定员</w:t>
            </w:r>
            <w:r>
              <w:rPr>
                <w:rFonts w:hint="eastAsia" w:cs="Times New Roman"/>
                <w:color w:val="auto"/>
                <w:szCs w:val="24"/>
                <w:lang w:val="en-US" w:eastAsia="zh-CN"/>
              </w:rPr>
              <w:t>50</w:t>
            </w:r>
            <w:r>
              <w:rPr>
                <w:rFonts w:hint="default" w:ascii="Times New Roman" w:hAnsi="Times New Roman" w:cs="Times New Roman"/>
                <w:color w:val="auto"/>
                <w:szCs w:val="24"/>
              </w:rPr>
              <w:t>人，生活垃圾</w:t>
            </w:r>
            <w:r>
              <w:rPr>
                <w:rFonts w:hint="default" w:ascii="Times New Roman" w:hAnsi="Times New Roman" w:cs="Times New Roman"/>
                <w:color w:val="auto"/>
                <w:szCs w:val="24"/>
                <w:lang w:val="en-US" w:eastAsia="zh-CN"/>
              </w:rPr>
              <w:t>S</w:t>
            </w:r>
            <w:r>
              <w:rPr>
                <w:rFonts w:hint="eastAsia" w:cs="Times New Roman"/>
                <w:color w:val="auto"/>
                <w:szCs w:val="24"/>
                <w:lang w:val="en-US" w:eastAsia="zh-CN"/>
              </w:rPr>
              <w:t>9</w:t>
            </w:r>
            <w:r>
              <w:rPr>
                <w:rFonts w:hint="default" w:ascii="Times New Roman" w:hAnsi="Times New Roman" w:cs="Times New Roman"/>
                <w:color w:val="auto"/>
                <w:szCs w:val="24"/>
              </w:rPr>
              <w:t>产生量按0.5kg/人·d 计，则生活垃圾产生量为</w:t>
            </w:r>
            <w:r>
              <w:rPr>
                <w:rFonts w:hint="eastAsia" w:cs="Times New Roman"/>
                <w:color w:val="auto"/>
                <w:szCs w:val="24"/>
                <w:lang w:val="en-US" w:eastAsia="zh-CN"/>
              </w:rPr>
              <w:t>7.5</w:t>
            </w:r>
            <w:r>
              <w:rPr>
                <w:rFonts w:hint="default" w:ascii="Times New Roman" w:hAnsi="Times New Roman" w:cs="Times New Roman"/>
                <w:color w:val="auto"/>
                <w:szCs w:val="24"/>
                <w:lang w:val="en-US" w:eastAsia="zh-CN"/>
              </w:rPr>
              <w:t>t</w:t>
            </w:r>
            <w:r>
              <w:rPr>
                <w:rFonts w:hint="default" w:ascii="Times New Roman" w:hAnsi="Times New Roman" w:cs="Times New Roman"/>
                <w:color w:val="auto"/>
                <w:szCs w:val="24"/>
              </w:rPr>
              <w:t xml:space="preserve">/a，生活垃圾收集后交由当地环卫部门统一收运处置。 </w:t>
            </w:r>
          </w:p>
          <w:p>
            <w:pPr>
              <w:spacing w:line="240" w:lineRule="auto"/>
              <w:ind w:firstLine="480"/>
              <w:jc w:val="center"/>
              <w:rPr>
                <w:color w:val="auto"/>
              </w:rPr>
            </w:pPr>
            <w:r>
              <w:rPr>
                <w:bCs/>
                <w:color w:val="auto"/>
                <w:szCs w:val="32"/>
              </w:rPr>
              <w:t>表</w:t>
            </w:r>
            <w:r>
              <w:rPr>
                <w:bCs/>
                <w:color w:val="auto"/>
                <w:szCs w:val="24"/>
              </w:rPr>
              <w:t>4.</w:t>
            </w:r>
            <w:r>
              <w:rPr>
                <w:rFonts w:hint="eastAsia"/>
                <w:bCs/>
                <w:color w:val="auto"/>
                <w:szCs w:val="24"/>
              </w:rPr>
              <w:t>5</w:t>
            </w:r>
            <w:r>
              <w:rPr>
                <w:bCs/>
                <w:color w:val="auto"/>
                <w:szCs w:val="24"/>
              </w:rPr>
              <w:t>-</w:t>
            </w:r>
            <w:r>
              <w:rPr>
                <w:rFonts w:hint="eastAsia"/>
                <w:bCs/>
                <w:color w:val="auto"/>
                <w:szCs w:val="24"/>
              </w:rPr>
              <w:t>1</w:t>
            </w:r>
            <w:r>
              <w:rPr>
                <w:bCs/>
                <w:color w:val="auto"/>
                <w:szCs w:val="32"/>
              </w:rPr>
              <w:t xml:space="preserve"> 拟建项目</w:t>
            </w:r>
            <w:r>
              <w:rPr>
                <w:color w:val="auto"/>
              </w:rPr>
              <w:t>危险废物产生情况及特性一览表</w:t>
            </w:r>
          </w:p>
          <w:tbl>
            <w:tblPr>
              <w:tblStyle w:val="25"/>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08" w:type="dxa"/>
                <w:bottom w:w="15" w:type="dxa"/>
                <w:right w:w="108" w:type="dxa"/>
              </w:tblCellMar>
            </w:tblPr>
            <w:tblGrid>
              <w:gridCol w:w="411"/>
              <w:gridCol w:w="1111"/>
              <w:gridCol w:w="693"/>
              <w:gridCol w:w="1133"/>
              <w:gridCol w:w="813"/>
              <w:gridCol w:w="551"/>
              <w:gridCol w:w="693"/>
              <w:gridCol w:w="1112"/>
              <w:gridCol w:w="567"/>
              <w:gridCol w:w="9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08" w:type="dxa"/>
                  <w:bottom w:w="15" w:type="dxa"/>
                  <w:right w:w="108" w:type="dxa"/>
                </w:tblCellMar>
              </w:tblPrEx>
              <w:trPr>
                <w:jc w:val="center"/>
              </w:trPr>
              <w:tc>
                <w:tcPr>
                  <w:tcW w:w="25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序号</w:t>
                  </w:r>
                </w:p>
              </w:tc>
              <w:tc>
                <w:tcPr>
                  <w:tcW w:w="69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名称</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类别</w:t>
                  </w:r>
                </w:p>
              </w:tc>
              <w:tc>
                <w:tcPr>
                  <w:tcW w:w="7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代码</w:t>
                  </w:r>
                </w:p>
              </w:tc>
              <w:tc>
                <w:tcPr>
                  <w:tcW w:w="5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产生量</w:t>
                  </w:r>
                </w:p>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（t/a）</w:t>
                  </w:r>
                </w:p>
              </w:tc>
              <w:tc>
                <w:tcPr>
                  <w:tcW w:w="34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产生</w:t>
                  </w:r>
                </w:p>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工序</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形态</w:t>
                  </w:r>
                </w:p>
              </w:tc>
              <w:tc>
                <w:tcPr>
                  <w:tcW w:w="69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主要</w:t>
                  </w:r>
                </w:p>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成分</w:t>
                  </w:r>
                </w:p>
              </w:tc>
              <w:tc>
                <w:tcPr>
                  <w:tcW w:w="35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产废周期</w:t>
                  </w:r>
                </w:p>
              </w:tc>
              <w:tc>
                <w:tcPr>
                  <w:tcW w:w="570"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1"/>
                    </w:rPr>
                  </w:pPr>
                  <w:r>
                    <w:rPr>
                      <w:color w:val="auto"/>
                      <w:sz w:val="21"/>
                      <w:szCs w:val="21"/>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08" w:type="dxa"/>
                  <w:bottom w:w="15" w:type="dxa"/>
                  <w:right w:w="108" w:type="dxa"/>
                </w:tblCellMar>
              </w:tblPrEx>
              <w:trPr>
                <w:jc w:val="center"/>
              </w:trPr>
              <w:tc>
                <w:tcPr>
                  <w:tcW w:w="25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69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废胶桶</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HW49</w:t>
                  </w:r>
                </w:p>
              </w:tc>
              <w:tc>
                <w:tcPr>
                  <w:tcW w:w="7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900-047-49</w:t>
                  </w:r>
                </w:p>
              </w:tc>
              <w:tc>
                <w:tcPr>
                  <w:tcW w:w="5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0.06</w:t>
                  </w:r>
                </w:p>
              </w:tc>
              <w:tc>
                <w:tcPr>
                  <w:tcW w:w="344" w:type="pct"/>
                  <w:vMerge w:val="restar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卷管</w:t>
                  </w:r>
                </w:p>
              </w:tc>
              <w:tc>
                <w:tcPr>
                  <w:tcW w:w="433" w:type="pct"/>
                  <w:vMerge w:val="restar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固态</w:t>
                  </w:r>
                </w:p>
              </w:tc>
              <w:tc>
                <w:tcPr>
                  <w:tcW w:w="695" w:type="pct"/>
                  <w:vMerge w:val="restar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有机挥发物等</w:t>
                  </w:r>
                </w:p>
              </w:tc>
              <w:tc>
                <w:tcPr>
                  <w:tcW w:w="35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5d</w:t>
                  </w:r>
                </w:p>
              </w:tc>
              <w:tc>
                <w:tcPr>
                  <w:tcW w:w="570"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T/C/I/R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08" w:type="dxa"/>
                  <w:bottom w:w="15" w:type="dxa"/>
                  <w:right w:w="108" w:type="dxa"/>
                </w:tblCellMar>
              </w:tblPrEx>
              <w:trPr>
                <w:jc w:val="center"/>
              </w:trPr>
              <w:tc>
                <w:tcPr>
                  <w:tcW w:w="25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69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边角料（含胶渣）</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HW49</w:t>
                  </w:r>
                </w:p>
              </w:tc>
              <w:tc>
                <w:tcPr>
                  <w:tcW w:w="7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900-047-49</w:t>
                  </w:r>
                </w:p>
              </w:tc>
              <w:tc>
                <w:tcPr>
                  <w:tcW w:w="5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0.25</w:t>
                  </w:r>
                </w:p>
              </w:tc>
              <w:tc>
                <w:tcPr>
                  <w:tcW w:w="34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cs="Times New Roman"/>
                      <w:color w:val="auto"/>
                      <w:sz w:val="21"/>
                      <w:szCs w:val="21"/>
                      <w:lang w:eastAsia="zh-CN"/>
                    </w:rPr>
                  </w:pPr>
                </w:p>
              </w:tc>
              <w:tc>
                <w:tcPr>
                  <w:tcW w:w="433"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cs="Times New Roman"/>
                      <w:color w:val="auto"/>
                      <w:kern w:val="2"/>
                      <w:sz w:val="21"/>
                      <w:szCs w:val="21"/>
                      <w:lang w:val="en-US" w:eastAsia="zh-CN" w:bidi="ar-SA"/>
                    </w:rPr>
                  </w:pPr>
                </w:p>
              </w:tc>
              <w:tc>
                <w:tcPr>
                  <w:tcW w:w="695"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cs="Times New Roman"/>
                      <w:color w:val="auto"/>
                      <w:sz w:val="21"/>
                      <w:szCs w:val="21"/>
                      <w:lang w:val="en-US" w:eastAsia="zh-CN"/>
                    </w:rPr>
                  </w:pPr>
                </w:p>
              </w:tc>
              <w:tc>
                <w:tcPr>
                  <w:tcW w:w="35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1d</w:t>
                  </w:r>
                </w:p>
              </w:tc>
              <w:tc>
                <w:tcPr>
                  <w:tcW w:w="570"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T/C/I/R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08" w:type="dxa"/>
                  <w:bottom w:w="15" w:type="dxa"/>
                  <w:right w:w="108" w:type="dxa"/>
                </w:tblCellMar>
              </w:tblPrEx>
              <w:trPr>
                <w:jc w:val="center"/>
              </w:trPr>
              <w:tc>
                <w:tcPr>
                  <w:tcW w:w="25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69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废活性炭</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HW49</w:t>
                  </w:r>
                </w:p>
              </w:tc>
              <w:tc>
                <w:tcPr>
                  <w:tcW w:w="7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900-041-49</w:t>
                  </w:r>
                </w:p>
              </w:tc>
              <w:tc>
                <w:tcPr>
                  <w:tcW w:w="5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46.74</w:t>
                  </w:r>
                </w:p>
              </w:tc>
              <w:tc>
                <w:tcPr>
                  <w:tcW w:w="34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废气设备处理</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固态</w:t>
                  </w:r>
                </w:p>
              </w:tc>
              <w:tc>
                <w:tcPr>
                  <w:tcW w:w="69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有机挥发物等</w:t>
                  </w:r>
                </w:p>
              </w:tc>
              <w:tc>
                <w:tcPr>
                  <w:tcW w:w="35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0d</w:t>
                  </w:r>
                </w:p>
              </w:tc>
              <w:tc>
                <w:tcPr>
                  <w:tcW w:w="570"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08" w:type="dxa"/>
                  <w:bottom w:w="15" w:type="dxa"/>
                  <w:right w:w="108" w:type="dxa"/>
                </w:tblCellMar>
              </w:tblPrEx>
              <w:trPr>
                <w:jc w:val="center"/>
              </w:trPr>
              <w:tc>
                <w:tcPr>
                  <w:tcW w:w="25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69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润滑油</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HW08</w:t>
                  </w:r>
                </w:p>
              </w:tc>
              <w:tc>
                <w:tcPr>
                  <w:tcW w:w="7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900-041-49</w:t>
                  </w:r>
                </w:p>
              </w:tc>
              <w:tc>
                <w:tcPr>
                  <w:tcW w:w="5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w:t>
                  </w:r>
                </w:p>
              </w:tc>
              <w:tc>
                <w:tcPr>
                  <w:tcW w:w="344" w:type="pct"/>
                  <w:vMerge w:val="restar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设备保养</w:t>
                  </w:r>
                  <w:r>
                    <w:rPr>
                      <w:rFonts w:hint="eastAsia" w:cs="Times New Roman"/>
                      <w:color w:val="auto"/>
                      <w:sz w:val="21"/>
                      <w:szCs w:val="21"/>
                      <w:lang w:val="en-US" w:eastAsia="zh-CN"/>
                    </w:rPr>
                    <w:t>或运行</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液态</w:t>
                  </w:r>
                </w:p>
              </w:tc>
              <w:tc>
                <w:tcPr>
                  <w:tcW w:w="69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石油类等</w:t>
                  </w:r>
                </w:p>
              </w:tc>
              <w:tc>
                <w:tcPr>
                  <w:tcW w:w="35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60d</w:t>
                  </w:r>
                </w:p>
              </w:tc>
              <w:tc>
                <w:tcPr>
                  <w:tcW w:w="570"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08" w:type="dxa"/>
                  <w:bottom w:w="15" w:type="dxa"/>
                  <w:right w:w="108" w:type="dxa"/>
                </w:tblCellMar>
              </w:tblPrEx>
              <w:trPr>
                <w:jc w:val="center"/>
              </w:trPr>
              <w:tc>
                <w:tcPr>
                  <w:tcW w:w="25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69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润滑油</w:t>
                  </w:r>
                  <w:r>
                    <w:rPr>
                      <w:rFonts w:hint="eastAsia" w:ascii="Times New Roman" w:hAnsi="Times New Roman" w:eastAsia="宋体" w:cs="Times New Roman"/>
                      <w:color w:val="auto"/>
                      <w:sz w:val="21"/>
                      <w:szCs w:val="21"/>
                      <w:lang w:val="en-US" w:eastAsia="zh-CN"/>
                    </w:rPr>
                    <w:t>桶</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HW08</w:t>
                  </w:r>
                </w:p>
              </w:tc>
              <w:tc>
                <w:tcPr>
                  <w:tcW w:w="7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900-253-12</w:t>
                  </w:r>
                </w:p>
              </w:tc>
              <w:tc>
                <w:tcPr>
                  <w:tcW w:w="5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34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固态</w:t>
                  </w:r>
                </w:p>
              </w:tc>
              <w:tc>
                <w:tcPr>
                  <w:tcW w:w="69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石油类等</w:t>
                  </w:r>
                </w:p>
              </w:tc>
              <w:tc>
                <w:tcPr>
                  <w:tcW w:w="35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60d</w:t>
                  </w:r>
                </w:p>
              </w:tc>
              <w:tc>
                <w:tcPr>
                  <w:tcW w:w="570"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08" w:type="dxa"/>
                  <w:bottom w:w="15" w:type="dxa"/>
                  <w:right w:w="108" w:type="dxa"/>
                </w:tblCellMar>
              </w:tblPrEx>
              <w:trPr>
                <w:jc w:val="center"/>
              </w:trPr>
              <w:tc>
                <w:tcPr>
                  <w:tcW w:w="25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w:t>
                  </w:r>
                </w:p>
              </w:tc>
              <w:tc>
                <w:tcPr>
                  <w:tcW w:w="69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含油抹布和手套</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HW49</w:t>
                  </w:r>
                </w:p>
              </w:tc>
              <w:tc>
                <w:tcPr>
                  <w:tcW w:w="7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900-041-49</w:t>
                  </w:r>
                </w:p>
              </w:tc>
              <w:tc>
                <w:tcPr>
                  <w:tcW w:w="5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34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69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石油类等</w:t>
                  </w:r>
                </w:p>
              </w:tc>
              <w:tc>
                <w:tcPr>
                  <w:tcW w:w="35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1d</w:t>
                  </w:r>
                </w:p>
              </w:tc>
              <w:tc>
                <w:tcPr>
                  <w:tcW w:w="570"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08" w:type="dxa"/>
                  <w:bottom w:w="15" w:type="dxa"/>
                  <w:right w:w="108" w:type="dxa"/>
                </w:tblCellMar>
              </w:tblPrEx>
              <w:trPr>
                <w:jc w:val="center"/>
              </w:trPr>
              <w:tc>
                <w:tcPr>
                  <w:tcW w:w="25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9</w:t>
                  </w:r>
                </w:p>
              </w:tc>
              <w:tc>
                <w:tcPr>
                  <w:tcW w:w="69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空压机含油废液</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HW08</w:t>
                  </w:r>
                </w:p>
              </w:tc>
              <w:tc>
                <w:tcPr>
                  <w:tcW w:w="7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900-007-09</w:t>
                  </w:r>
                </w:p>
              </w:tc>
              <w:tc>
                <w:tcPr>
                  <w:tcW w:w="5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34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空压机运行</w:t>
                  </w:r>
                </w:p>
              </w:tc>
              <w:tc>
                <w:tcPr>
                  <w:tcW w:w="43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液态</w:t>
                  </w:r>
                </w:p>
              </w:tc>
              <w:tc>
                <w:tcPr>
                  <w:tcW w:w="69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石油类等</w:t>
                  </w:r>
                </w:p>
              </w:tc>
              <w:tc>
                <w:tcPr>
                  <w:tcW w:w="35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30d</w:t>
                  </w:r>
                </w:p>
              </w:tc>
              <w:tc>
                <w:tcPr>
                  <w:tcW w:w="570"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T</w:t>
                  </w:r>
                </w:p>
              </w:tc>
            </w:tr>
          </w:tbl>
          <w:p>
            <w:pPr>
              <w:spacing w:before="13" w:after="28" w:line="240" w:lineRule="auto"/>
              <w:ind w:firstLine="0" w:firstLineChars="0"/>
              <w:jc w:val="center"/>
              <w:rPr>
                <w:color w:val="auto"/>
              </w:rPr>
            </w:pPr>
            <w:r>
              <w:rPr>
                <w:color w:val="auto"/>
              </w:rPr>
              <w:t>表</w:t>
            </w:r>
            <w:r>
              <w:rPr>
                <w:bCs/>
                <w:color w:val="auto"/>
                <w:szCs w:val="24"/>
              </w:rPr>
              <w:t>4.</w:t>
            </w:r>
            <w:r>
              <w:rPr>
                <w:rFonts w:hint="eastAsia"/>
                <w:bCs/>
                <w:color w:val="auto"/>
                <w:szCs w:val="24"/>
                <w:lang w:val="en-US" w:eastAsia="zh-CN"/>
              </w:rPr>
              <w:t>5</w:t>
            </w:r>
            <w:r>
              <w:rPr>
                <w:bCs/>
                <w:color w:val="auto"/>
                <w:szCs w:val="24"/>
              </w:rPr>
              <w:t>-</w:t>
            </w:r>
            <w:r>
              <w:rPr>
                <w:rFonts w:hint="eastAsia"/>
                <w:bCs/>
                <w:color w:val="auto"/>
                <w:szCs w:val="24"/>
                <w:lang w:val="en-US" w:eastAsia="zh-CN"/>
              </w:rPr>
              <w:t>2</w:t>
            </w:r>
            <w:r>
              <w:rPr>
                <w:color w:val="auto"/>
              </w:rPr>
              <w:t xml:space="preserve"> 固体废物产生排放情况汇总表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1107"/>
              <w:gridCol w:w="712"/>
              <w:gridCol w:w="1011"/>
              <w:gridCol w:w="1179"/>
              <w:gridCol w:w="843"/>
              <w:gridCol w:w="1464"/>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类别</w:t>
                  </w: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废物名称</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形态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废物类别</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废物代码</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color w:val="auto"/>
                      <w:sz w:val="21"/>
                      <w:szCs w:val="20"/>
                    </w:rPr>
                  </w:pPr>
                  <w:r>
                    <w:rPr>
                      <w:color w:val="auto"/>
                      <w:sz w:val="21"/>
                      <w:szCs w:val="20"/>
                    </w:rPr>
                    <w:t>产生量</w:t>
                  </w:r>
                </w:p>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（t/a）</w:t>
                  </w:r>
                </w:p>
              </w:tc>
              <w:tc>
                <w:tcPr>
                  <w:tcW w:w="91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处置</w:t>
                  </w:r>
                </w:p>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措施</w:t>
                  </w:r>
                </w:p>
              </w:tc>
              <w:tc>
                <w:tcPr>
                  <w:tcW w:w="8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rFonts w:hint="eastAsia"/>
                      <w:color w:val="auto"/>
                      <w:sz w:val="21"/>
                      <w:szCs w:val="20"/>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一般工业固废</w:t>
                  </w: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cs="Times New Roman"/>
                      <w:color w:val="auto"/>
                      <w:sz w:val="21"/>
                      <w:szCs w:val="20"/>
                      <w:highlight w:val="none"/>
                      <w:lang w:eastAsia="zh-CN"/>
                    </w:rPr>
                  </w:pPr>
                  <w:r>
                    <w:rPr>
                      <w:rFonts w:hint="eastAsia" w:ascii="Times New Roman" w:hAnsi="Times New Roman" w:cs="Times New Roman"/>
                      <w:color w:val="auto"/>
                      <w:sz w:val="21"/>
                      <w:szCs w:val="20"/>
                      <w:highlight w:val="none"/>
                      <w:lang w:eastAsia="zh-CN"/>
                    </w:rPr>
                    <w:t>边角料</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cs="Times New Roman"/>
                      <w:color w:val="auto"/>
                      <w:sz w:val="21"/>
                      <w:szCs w:val="20"/>
                      <w:highlight w:val="none"/>
                      <w:lang w:eastAsia="zh-CN"/>
                    </w:rPr>
                  </w:pPr>
                  <w:r>
                    <w:rPr>
                      <w:rFonts w:hint="eastAsia" w:cs="Times New Roman"/>
                      <w:color w:val="auto"/>
                      <w:sz w:val="21"/>
                      <w:szCs w:val="20"/>
                      <w:highlight w:val="none"/>
                      <w:lang w:eastAsia="zh-CN"/>
                    </w:rPr>
                    <w:t>固态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highlight w:val="none"/>
                    </w:rPr>
                  </w:pPr>
                  <w:r>
                    <w:rPr>
                      <w:color w:val="auto"/>
                      <w:sz w:val="21"/>
                      <w:szCs w:val="20"/>
                      <w:highlight w:val="none"/>
                    </w:rPr>
                    <w:t>一般固废</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eastAsia="宋体"/>
                      <w:color w:val="auto"/>
                      <w:sz w:val="21"/>
                      <w:szCs w:val="20"/>
                      <w:highlight w:val="none"/>
                      <w:lang w:val="en-US" w:eastAsia="zh-CN"/>
                    </w:rPr>
                  </w:pPr>
                  <w:r>
                    <w:rPr>
                      <w:rFonts w:hint="eastAsia"/>
                      <w:color w:val="auto"/>
                      <w:sz w:val="21"/>
                      <w:szCs w:val="20"/>
                      <w:highlight w:val="none"/>
                      <w:lang w:val="en-US" w:eastAsia="zh-CN"/>
                    </w:rPr>
                    <w:t>900-999-99</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eastAsia="宋体"/>
                      <w:color w:val="auto"/>
                      <w:sz w:val="21"/>
                      <w:szCs w:val="20"/>
                      <w:highlight w:val="none"/>
                      <w:lang w:val="en-US" w:eastAsia="zh-CN"/>
                    </w:rPr>
                  </w:pPr>
                  <w:r>
                    <w:rPr>
                      <w:rFonts w:hint="default" w:eastAsia="宋体"/>
                      <w:color w:val="auto"/>
                      <w:sz w:val="21"/>
                      <w:szCs w:val="20"/>
                      <w:highlight w:val="none"/>
                      <w:lang w:val="en-US" w:eastAsia="zh-CN"/>
                    </w:rPr>
                    <w:t>274</w:t>
                  </w:r>
                </w:p>
              </w:tc>
              <w:tc>
                <w:tcPr>
                  <w:tcW w:w="91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highlight w:val="none"/>
                    </w:rPr>
                  </w:pPr>
                  <w:r>
                    <w:rPr>
                      <w:rFonts w:hint="eastAsia"/>
                      <w:color w:val="auto"/>
                      <w:sz w:val="21"/>
                      <w:szCs w:val="20"/>
                      <w:highlight w:val="none"/>
                    </w:rPr>
                    <w:t>一般工业固体废物均收集后</w:t>
                  </w:r>
                  <w:r>
                    <w:rPr>
                      <w:rFonts w:hint="eastAsia"/>
                      <w:color w:val="auto"/>
                      <w:sz w:val="21"/>
                      <w:szCs w:val="20"/>
                      <w:highlight w:val="none"/>
                      <w:lang w:eastAsia="zh-CN"/>
                    </w:rPr>
                    <w:t>分类</w:t>
                  </w:r>
                  <w:r>
                    <w:rPr>
                      <w:rFonts w:hint="eastAsia"/>
                      <w:color w:val="auto"/>
                      <w:sz w:val="21"/>
                      <w:szCs w:val="20"/>
                      <w:highlight w:val="none"/>
                    </w:rPr>
                    <w:t>暂存，定期交由专业单位回收利用或物资回收公司回收。</w:t>
                  </w:r>
                </w:p>
              </w:tc>
              <w:tc>
                <w:tcPr>
                  <w:tcW w:w="8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rFonts w:hint="eastAsia"/>
                      <w:color w:val="auto"/>
                      <w:sz w:val="21"/>
                      <w:szCs w:val="21"/>
                    </w:rPr>
                    <w:t xml:space="preserve">一般工业固体废物暂存区建设、运营、管理参照《一般工业固体废物贮存、处置场污染控制标准》(GB18599－2020)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 w:type="pct"/>
                  <w:vMerge w:val="restar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危险废物</w:t>
                  </w: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废胶桶</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w:t>
                  </w:r>
                  <w:r>
                    <w:rPr>
                      <w:rFonts w:hint="eastAsia" w:ascii="Times New Roman" w:hAnsi="Times New Roman" w:eastAsia="宋体" w:cs="Times New Roman"/>
                      <w:color w:val="auto"/>
                      <w:sz w:val="21"/>
                      <w:szCs w:val="21"/>
                    </w:rPr>
                    <w:t>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ascii="Times New Roman" w:hAnsi="Times New Roman" w:eastAsia="宋体" w:cs="Times New Roman"/>
                      <w:color w:val="auto"/>
                      <w:kern w:val="2"/>
                      <w:sz w:val="21"/>
                      <w:szCs w:val="20"/>
                      <w:lang w:val="en-US" w:eastAsia="zh-CN" w:bidi="ar-SA"/>
                    </w:rPr>
                  </w:pPr>
                  <w:r>
                    <w:rPr>
                      <w:rFonts w:hint="eastAsia"/>
                      <w:color w:val="auto"/>
                      <w:sz w:val="21"/>
                      <w:szCs w:val="20"/>
                    </w:rPr>
                    <w:t>危险废物</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900-047-49</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0.06</w:t>
                  </w:r>
                </w:p>
              </w:tc>
              <w:tc>
                <w:tcPr>
                  <w:tcW w:w="914" w:type="pct"/>
                  <w:vMerge w:val="restar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eastAsia="宋体"/>
                      <w:color w:val="auto"/>
                      <w:sz w:val="21"/>
                      <w:szCs w:val="20"/>
                      <w:lang w:eastAsia="zh-CN"/>
                    </w:rPr>
                  </w:pPr>
                  <w:r>
                    <w:rPr>
                      <w:color w:val="auto"/>
                      <w:sz w:val="21"/>
                      <w:szCs w:val="20"/>
                    </w:rPr>
                    <w:t>暂存于危废暂存间内，定期交有危废处理</w:t>
                  </w:r>
                  <w:r>
                    <w:rPr>
                      <w:rFonts w:hint="eastAsia"/>
                      <w:color w:val="auto"/>
                      <w:sz w:val="21"/>
                      <w:szCs w:val="20"/>
                    </w:rPr>
                    <w:t>能力的</w:t>
                  </w:r>
                  <w:r>
                    <w:rPr>
                      <w:color w:val="auto"/>
                      <w:sz w:val="21"/>
                      <w:szCs w:val="20"/>
                    </w:rPr>
                    <w:t>单位，转运、处理</w:t>
                  </w:r>
                  <w:r>
                    <w:rPr>
                      <w:rFonts w:hint="eastAsia"/>
                      <w:color w:val="auto"/>
                      <w:sz w:val="21"/>
                      <w:szCs w:val="20"/>
                      <w:lang w:eastAsia="zh-CN"/>
                    </w:rPr>
                    <w:t>。</w:t>
                  </w:r>
                </w:p>
              </w:tc>
              <w:tc>
                <w:tcPr>
                  <w:tcW w:w="808" w:type="pct"/>
                  <w:vMerge w:val="restar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rFonts w:hint="eastAsia"/>
                      <w:color w:val="auto"/>
                      <w:sz w:val="21"/>
                      <w:szCs w:val="20"/>
                    </w:rPr>
                    <w:t>危险废物暂存执行《危险废物贮存污染控制标准》(GB18597-2001）以及2013年第 36 号公告修改单中相关要求，危险废物转移执行《危险废物转移管理办法》中相关要求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边角料（含胶渣）</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w:t>
                  </w:r>
                  <w:r>
                    <w:rPr>
                      <w:rFonts w:hint="eastAsia" w:ascii="Times New Roman" w:hAnsi="Times New Roman" w:eastAsia="宋体" w:cs="Times New Roman"/>
                      <w:color w:val="auto"/>
                      <w:sz w:val="21"/>
                      <w:szCs w:val="21"/>
                    </w:rPr>
                    <w:t>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color w:val="auto"/>
                      <w:sz w:val="21"/>
                      <w:szCs w:val="20"/>
                    </w:rPr>
                    <w:t>危险废物</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900-047-49</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0.25</w:t>
                  </w:r>
                </w:p>
              </w:tc>
              <w:tc>
                <w:tcPr>
                  <w:tcW w:w="91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808"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color w:val="auto"/>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废活性炭</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w:t>
                  </w:r>
                  <w:r>
                    <w:rPr>
                      <w:rFonts w:hint="eastAsia" w:ascii="Times New Roman" w:hAnsi="Times New Roman" w:eastAsia="宋体" w:cs="Times New Roman"/>
                      <w:color w:val="auto"/>
                      <w:sz w:val="21"/>
                      <w:szCs w:val="21"/>
                    </w:rPr>
                    <w:t>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color w:val="auto"/>
                      <w:sz w:val="21"/>
                      <w:szCs w:val="20"/>
                    </w:rPr>
                    <w:t>危险废物</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900-041-49</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46.74</w:t>
                  </w:r>
                </w:p>
              </w:tc>
              <w:tc>
                <w:tcPr>
                  <w:tcW w:w="91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808"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润滑油</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w:t>
                  </w:r>
                  <w:r>
                    <w:rPr>
                      <w:rFonts w:hint="eastAsia" w:ascii="Times New Roman" w:hAnsi="Times New Roman" w:eastAsia="宋体" w:cs="Times New Roman"/>
                      <w:color w:val="auto"/>
                      <w:sz w:val="21"/>
                      <w:szCs w:val="21"/>
                    </w:rPr>
                    <w:t>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color w:val="auto"/>
                      <w:sz w:val="21"/>
                      <w:szCs w:val="20"/>
                    </w:rPr>
                    <w:t>危险废物</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900-041-49</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0.4</w:t>
                  </w:r>
                </w:p>
              </w:tc>
              <w:tc>
                <w:tcPr>
                  <w:tcW w:w="91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808"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润滑油</w:t>
                  </w:r>
                  <w:r>
                    <w:rPr>
                      <w:rFonts w:hint="eastAsia" w:ascii="Times New Roman" w:hAnsi="Times New Roman" w:eastAsia="宋体" w:cs="Times New Roman"/>
                      <w:color w:val="auto"/>
                      <w:sz w:val="21"/>
                      <w:szCs w:val="21"/>
                      <w:lang w:val="en-US" w:eastAsia="zh-CN"/>
                    </w:rPr>
                    <w:t>桶</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w:t>
                  </w:r>
                  <w:r>
                    <w:rPr>
                      <w:rFonts w:hint="eastAsia" w:ascii="Times New Roman" w:hAnsi="Times New Roman" w:eastAsia="宋体" w:cs="Times New Roman"/>
                      <w:color w:val="auto"/>
                      <w:sz w:val="21"/>
                      <w:szCs w:val="21"/>
                    </w:rPr>
                    <w:t>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color w:val="auto"/>
                      <w:sz w:val="21"/>
                      <w:szCs w:val="20"/>
                    </w:rPr>
                    <w:t>危险废物</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900-253-12</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0.5</w:t>
                  </w:r>
                </w:p>
              </w:tc>
              <w:tc>
                <w:tcPr>
                  <w:tcW w:w="91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808"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含油抹布和手套</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w:t>
                  </w:r>
                  <w:r>
                    <w:rPr>
                      <w:rFonts w:hint="eastAsia" w:ascii="Times New Roman" w:hAnsi="Times New Roman" w:eastAsia="宋体" w:cs="Times New Roman"/>
                      <w:color w:val="auto"/>
                      <w:sz w:val="21"/>
                      <w:szCs w:val="21"/>
                    </w:rPr>
                    <w:t>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color w:val="auto"/>
                      <w:sz w:val="21"/>
                      <w:szCs w:val="20"/>
                    </w:rPr>
                    <w:t>危险废物</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w:t>
                  </w:r>
                </w:p>
              </w:tc>
              <w:tc>
                <w:tcPr>
                  <w:tcW w:w="91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808"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691"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空压机含油废液</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w:t>
                  </w:r>
                  <w:r>
                    <w:rPr>
                      <w:rFonts w:hint="eastAsia" w:ascii="Times New Roman" w:hAnsi="Times New Roman" w:eastAsia="宋体" w:cs="Times New Roman"/>
                      <w:color w:val="auto"/>
                      <w:sz w:val="21"/>
                      <w:szCs w:val="21"/>
                    </w:rPr>
                    <w:t>态</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color w:val="auto"/>
                      <w:sz w:val="21"/>
                      <w:szCs w:val="20"/>
                    </w:rPr>
                    <w:t>危险废物</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900-007-09</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0.01</w:t>
                  </w:r>
                </w:p>
              </w:tc>
              <w:tc>
                <w:tcPr>
                  <w:tcW w:w="914"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c>
                <w:tcPr>
                  <w:tcW w:w="808" w:type="pct"/>
                  <w:vMerge w:val="continue"/>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gridSpan w:val="2"/>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生活垃圾</w:t>
                  </w:r>
                </w:p>
              </w:tc>
              <w:tc>
                <w:tcPr>
                  <w:tcW w:w="445"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rFonts w:hint="eastAsia"/>
                      <w:color w:val="auto"/>
                      <w:sz w:val="21"/>
                      <w:szCs w:val="20"/>
                    </w:rPr>
                    <w:t>/</w:t>
                  </w:r>
                </w:p>
              </w:tc>
              <w:tc>
                <w:tcPr>
                  <w:tcW w:w="632"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rFonts w:hint="eastAsia"/>
                      <w:color w:val="auto"/>
                      <w:sz w:val="21"/>
                      <w:szCs w:val="20"/>
                    </w:rPr>
                    <w:t>生活垃圾</w:t>
                  </w:r>
                </w:p>
              </w:tc>
              <w:tc>
                <w:tcPr>
                  <w:tcW w:w="73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w:t>
                  </w:r>
                </w:p>
              </w:tc>
              <w:tc>
                <w:tcPr>
                  <w:tcW w:w="527"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rFonts w:hint="default" w:eastAsia="宋体"/>
                      <w:color w:val="auto"/>
                      <w:sz w:val="21"/>
                      <w:szCs w:val="20"/>
                      <w:lang w:val="en-US" w:eastAsia="zh-CN"/>
                    </w:rPr>
                  </w:pPr>
                  <w:r>
                    <w:rPr>
                      <w:rFonts w:hint="eastAsia"/>
                      <w:color w:val="auto"/>
                      <w:sz w:val="21"/>
                      <w:szCs w:val="20"/>
                      <w:lang w:val="en-US" w:eastAsia="zh-CN"/>
                    </w:rPr>
                    <w:t>7.5</w:t>
                  </w:r>
                </w:p>
              </w:tc>
              <w:tc>
                <w:tcPr>
                  <w:tcW w:w="914"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color w:val="auto"/>
                      <w:sz w:val="21"/>
                      <w:szCs w:val="20"/>
                    </w:rPr>
                    <w:t>环卫部门每日清运</w:t>
                  </w:r>
                </w:p>
              </w:tc>
              <w:tc>
                <w:tcPr>
                  <w:tcW w:w="808" w:type="pct"/>
                  <w:tcMar>
                    <w:top w:w="28" w:type="dxa"/>
                    <w:left w:w="28" w:type="dxa"/>
                    <w:bottom w:w="28" w:type="dxa"/>
                    <w:right w:w="28" w:type="dxa"/>
                  </w:tcMar>
                  <w:vAlign w:val="center"/>
                </w:tcPr>
                <w:p>
                  <w:pPr>
                    <w:kinsoku w:val="0"/>
                    <w:overflowPunct w:val="0"/>
                    <w:autoSpaceDE w:val="0"/>
                    <w:autoSpaceDN w:val="0"/>
                    <w:adjustRightInd w:val="0"/>
                    <w:spacing w:line="240" w:lineRule="auto"/>
                    <w:ind w:firstLine="0" w:firstLineChars="0"/>
                    <w:jc w:val="center"/>
                    <w:rPr>
                      <w:color w:val="auto"/>
                      <w:sz w:val="21"/>
                      <w:szCs w:val="20"/>
                    </w:rPr>
                  </w:pPr>
                  <w:r>
                    <w:rPr>
                      <w:rFonts w:hint="eastAsia"/>
                      <w:color w:val="auto"/>
                      <w:sz w:val="21"/>
                      <w:szCs w:val="20"/>
                    </w:rPr>
                    <w:t>不造成二次污染</w:t>
                  </w:r>
                </w:p>
              </w:tc>
            </w:tr>
          </w:tbl>
          <w:p>
            <w:pPr>
              <w:widowControl/>
              <w:ind w:firstLine="480"/>
              <w:rPr>
                <w:color w:val="auto"/>
              </w:rPr>
            </w:pPr>
            <w:r>
              <w:rPr>
                <w:b/>
                <w:bCs/>
                <w:color w:val="auto"/>
              </w:rPr>
              <w:t>4.5.</w:t>
            </w:r>
            <w:r>
              <w:rPr>
                <w:rFonts w:hint="eastAsia"/>
                <w:b/>
                <w:bCs/>
                <w:color w:val="auto"/>
              </w:rPr>
              <w:t>4</w:t>
            </w:r>
            <w:r>
              <w:rPr>
                <w:b/>
                <w:bCs/>
                <w:color w:val="auto"/>
              </w:rPr>
              <w:t>环境管理要求</w:t>
            </w:r>
          </w:p>
          <w:p>
            <w:pPr>
              <w:widowControl/>
              <w:ind w:firstLine="480"/>
              <w:rPr>
                <w:color w:val="auto"/>
              </w:rPr>
            </w:pPr>
            <w:r>
              <w:rPr>
                <w:color w:val="auto"/>
              </w:rPr>
              <w:t>一般工业固体废物暂存</w:t>
            </w:r>
            <w:r>
              <w:rPr>
                <w:rFonts w:hint="eastAsia"/>
                <w:color w:val="auto"/>
              </w:rPr>
              <w:t>区</w:t>
            </w:r>
            <w:r>
              <w:rPr>
                <w:rFonts w:hint="eastAsia"/>
                <w:color w:val="auto"/>
                <w:lang w:eastAsia="zh-CN"/>
              </w:rPr>
              <w:t>位于厂房2F南侧，面积</w:t>
            </w:r>
            <w:r>
              <w:rPr>
                <w:rFonts w:hint="eastAsia"/>
                <w:color w:val="auto"/>
                <w:lang w:val="en-US" w:eastAsia="zh-CN"/>
              </w:rPr>
              <w:t>60</w:t>
            </w:r>
            <w:r>
              <w:rPr>
                <w:color w:val="auto"/>
                <w:sz w:val="24"/>
              </w:rPr>
              <w:t>m</w:t>
            </w:r>
            <w:r>
              <w:rPr>
                <w:color w:val="auto"/>
                <w:sz w:val="24"/>
                <w:vertAlign w:val="superscript"/>
              </w:rPr>
              <w:t>2</w:t>
            </w:r>
            <w:r>
              <w:rPr>
                <w:color w:val="auto"/>
                <w:sz w:val="24"/>
              </w:rPr>
              <w:t>，</w:t>
            </w:r>
            <w:r>
              <w:rPr>
                <w:color w:val="auto"/>
              </w:rPr>
              <w:t>应参照执行《一般工业固体废物贮存、处置场污染控制标准》(GB18599－2020) 提出的环保要求：防粉尘污染、防流失、防雨水进入；贮存应设置环境保护图形的警示、提示标志(环境保护图形标志固体废物贮存（处置）场(GB15562.2-1995))；堆场不得混入生活垃圾或危险废物。</w:t>
            </w:r>
          </w:p>
          <w:p>
            <w:pPr>
              <w:spacing w:line="360" w:lineRule="auto"/>
              <w:ind w:firstLine="480"/>
              <w:rPr>
                <w:color w:val="auto"/>
                <w:sz w:val="24"/>
              </w:rPr>
            </w:pPr>
            <w:r>
              <w:rPr>
                <w:color w:val="auto"/>
                <w:sz w:val="24"/>
              </w:rPr>
              <w:t>危废暂存间面积</w:t>
            </w:r>
            <w:r>
              <w:rPr>
                <w:rFonts w:hint="eastAsia"/>
                <w:color w:val="auto"/>
                <w:sz w:val="24"/>
                <w:lang w:val="en-US" w:eastAsia="zh-CN"/>
              </w:rPr>
              <w:t>10</w:t>
            </w:r>
            <w:r>
              <w:rPr>
                <w:color w:val="auto"/>
                <w:sz w:val="24"/>
              </w:rPr>
              <w:t>m</w:t>
            </w:r>
            <w:r>
              <w:rPr>
                <w:color w:val="auto"/>
                <w:sz w:val="24"/>
                <w:vertAlign w:val="superscript"/>
              </w:rPr>
              <w:t>2</w:t>
            </w:r>
            <w:r>
              <w:rPr>
                <w:color w:val="auto"/>
                <w:sz w:val="24"/>
              </w:rPr>
              <w:t>，位于项目厂房</w:t>
            </w:r>
            <w:r>
              <w:rPr>
                <w:rFonts w:hint="eastAsia"/>
                <w:color w:val="auto"/>
                <w:sz w:val="24"/>
                <w:lang w:val="en-US" w:eastAsia="zh-CN"/>
              </w:rPr>
              <w:t>2F东南侧</w:t>
            </w:r>
            <w:r>
              <w:rPr>
                <w:color w:val="auto"/>
                <w:sz w:val="24"/>
              </w:rPr>
              <w:t>，危废暂存间的设置必须严格按照《危险废物污染防治技术政策》和</w:t>
            </w:r>
            <w:r>
              <w:rPr>
                <w:rFonts w:hint="eastAsia"/>
                <w:color w:val="auto"/>
                <w:szCs w:val="20"/>
                <w:lang w:eastAsia="zh-CN"/>
              </w:rPr>
              <w:t>《危险废物贮存污染控制标准》（GB18597—2023）</w:t>
            </w:r>
            <w:r>
              <w:rPr>
                <w:color w:val="auto"/>
                <w:sz w:val="24"/>
              </w:rPr>
              <w:t>要求设置：禁露天堆放，利用专门的防渗漏容器收集，满足“防风、防雨、防晒、防渗漏”措施，暂存间及收集容器设置危险废物标识。</w:t>
            </w:r>
          </w:p>
          <w:p>
            <w:pPr>
              <w:spacing w:line="360" w:lineRule="auto"/>
              <w:ind w:firstLine="480"/>
              <w:rPr>
                <w:color w:val="auto"/>
                <w:sz w:val="24"/>
              </w:rPr>
            </w:pPr>
            <w:r>
              <w:rPr>
                <w:rFonts w:hint="eastAsia"/>
                <w:color w:val="auto"/>
                <w:sz w:val="24"/>
                <w:lang w:val="en-US" w:eastAsia="zh-CN"/>
              </w:rPr>
              <w:t>①</w:t>
            </w:r>
            <w:r>
              <w:rPr>
                <w:color w:val="auto"/>
                <w:sz w:val="24"/>
              </w:rPr>
              <w:t>贮存点地面与裙角要用坚固、防渗的材料制造，基础层必须防渗，防渗层至少为1m厚黏土层（防渗系数≤10</w:t>
            </w:r>
            <w:r>
              <w:rPr>
                <w:color w:val="auto"/>
                <w:sz w:val="24"/>
                <w:vertAlign w:val="superscript"/>
              </w:rPr>
              <w:t>-7</w:t>
            </w:r>
            <w:r>
              <w:rPr>
                <w:color w:val="auto"/>
                <w:sz w:val="24"/>
              </w:rPr>
              <w:t>cm/s），或2mm厚高密度聚乙烯，或至少2mm厚的其他人工材料（防渗系数≤10</w:t>
            </w:r>
            <w:r>
              <w:rPr>
                <w:color w:val="auto"/>
                <w:sz w:val="24"/>
                <w:vertAlign w:val="superscript"/>
              </w:rPr>
              <w:t>-10</w:t>
            </w:r>
            <w:r>
              <w:rPr>
                <w:color w:val="auto"/>
                <w:sz w:val="24"/>
              </w:rPr>
              <w:t>cm/s）。</w:t>
            </w:r>
          </w:p>
          <w:p>
            <w:pPr>
              <w:spacing w:line="360" w:lineRule="auto"/>
              <w:ind w:firstLine="480"/>
              <w:rPr>
                <w:color w:val="auto"/>
                <w:sz w:val="24"/>
              </w:rPr>
            </w:pPr>
            <w:r>
              <w:rPr>
                <w:rFonts w:hint="eastAsia"/>
                <w:color w:val="auto"/>
                <w:sz w:val="24"/>
                <w:lang w:val="en-US" w:eastAsia="zh-CN"/>
              </w:rPr>
              <w:t>②</w:t>
            </w:r>
            <w:r>
              <w:rPr>
                <w:color w:val="auto"/>
                <w:sz w:val="24"/>
              </w:rPr>
              <w:t>企业</w:t>
            </w:r>
            <w:r>
              <w:rPr>
                <w:rFonts w:hint="eastAsia"/>
                <w:color w:val="auto"/>
                <w:sz w:val="24"/>
              </w:rPr>
              <w:t>危险废物应按照</w:t>
            </w:r>
            <w:r>
              <w:rPr>
                <w:color w:val="auto"/>
                <w:sz w:val="24"/>
              </w:rPr>
              <w:t>危险废物转移联单制度</w:t>
            </w:r>
            <w:r>
              <w:rPr>
                <w:rFonts w:hint="eastAsia"/>
                <w:color w:val="auto"/>
                <w:sz w:val="24"/>
              </w:rPr>
              <w:t>转移</w:t>
            </w:r>
            <w:r>
              <w:rPr>
                <w:color w:val="auto"/>
                <w:sz w:val="24"/>
              </w:rPr>
              <w:t>，</w:t>
            </w:r>
            <w:r>
              <w:rPr>
                <w:rFonts w:hint="eastAsia"/>
                <w:color w:val="auto"/>
                <w:sz w:val="24"/>
                <w:lang w:eastAsia="zh-CN"/>
              </w:rPr>
              <w:t>符合《危险废物转移管理办法》，</w:t>
            </w:r>
            <w:r>
              <w:rPr>
                <w:color w:val="auto"/>
                <w:sz w:val="24"/>
              </w:rPr>
              <w:t>必须交有危险废物处理资质且具备该类危废收纳资格方位的单位</w:t>
            </w:r>
            <w:r>
              <w:rPr>
                <w:rFonts w:hint="eastAsia"/>
                <w:color w:val="auto"/>
                <w:sz w:val="24"/>
              </w:rPr>
              <w:t>，移出时</w:t>
            </w:r>
            <w:r>
              <w:rPr>
                <w:color w:val="auto"/>
                <w:sz w:val="24"/>
              </w:rPr>
              <w:t>在危险废物转移联单中如实填写承运人名称、运输工具及其营</w:t>
            </w:r>
            <w:r>
              <w:rPr>
                <w:rFonts w:hint="eastAsia"/>
                <w:color w:val="auto"/>
                <w:sz w:val="24"/>
                <w:lang w:val="en-US" w:eastAsia="zh-CN"/>
              </w:rPr>
              <w:t xml:space="preserve"> </w:t>
            </w:r>
            <w:r>
              <w:rPr>
                <w:color w:val="auto"/>
                <w:sz w:val="24"/>
              </w:rPr>
              <w:t>运证件号，以及运输起点和终点等运输相关信息，并与危险货物运单一并随运输工具携带</w:t>
            </w:r>
            <w:r>
              <w:rPr>
                <w:rFonts w:hint="eastAsia"/>
                <w:color w:val="auto"/>
                <w:sz w:val="24"/>
              </w:rPr>
              <w:t>并记录运输轨迹和包装破损情况</w:t>
            </w:r>
            <w:r>
              <w:rPr>
                <w:color w:val="auto"/>
                <w:sz w:val="24"/>
              </w:rPr>
              <w:t>。根据企业生产情况定期转移危险废物，危险废物电子转移联单数据应当在信息系统中至少保存十年。</w:t>
            </w:r>
          </w:p>
          <w:p>
            <w:pPr>
              <w:spacing w:line="360" w:lineRule="auto"/>
              <w:ind w:firstLine="480"/>
              <w:rPr>
                <w:color w:val="auto"/>
                <w:sz w:val="24"/>
              </w:rPr>
            </w:pPr>
            <w:r>
              <w:rPr>
                <w:rFonts w:hint="eastAsia"/>
                <w:color w:val="auto"/>
                <w:sz w:val="24"/>
                <w:lang w:val="en-US" w:eastAsia="zh-CN"/>
              </w:rPr>
              <w:t>③</w:t>
            </w:r>
            <w:r>
              <w:rPr>
                <w:rFonts w:hint="eastAsia"/>
                <w:color w:val="auto"/>
                <w:sz w:val="24"/>
                <w:lang w:eastAsia="zh-CN"/>
              </w:rPr>
              <w:t>液态危险废物</w:t>
            </w:r>
            <w:r>
              <w:rPr>
                <w:color w:val="auto"/>
                <w:sz w:val="24"/>
              </w:rPr>
              <w:t>贮存时应收集装于密闭的包装容器中，容器必须完好无损，包装容器选用与装盛物相容的材料制成，容器表面应粘贴危险废物标识，禁止将一般工业固体废物和生活垃圾与之混合；装载危险废物的容器内须留足够空间，</w:t>
            </w:r>
            <w:r>
              <w:rPr>
                <w:rFonts w:hint="eastAsia"/>
                <w:color w:val="auto"/>
                <w:sz w:val="24"/>
              </w:rPr>
              <w:t>空压机含油废液</w:t>
            </w:r>
            <w:r>
              <w:rPr>
                <w:rFonts w:hint="eastAsia"/>
                <w:color w:val="auto"/>
                <w:sz w:val="24"/>
                <w:lang w:eastAsia="zh-CN"/>
              </w:rPr>
              <w:t>等</w:t>
            </w:r>
            <w:r>
              <w:rPr>
                <w:color w:val="auto"/>
                <w:sz w:val="24"/>
              </w:rPr>
              <w:t>的容器顶部与液体表面之间保留100 mm以上的空间。</w:t>
            </w:r>
          </w:p>
          <w:p>
            <w:pPr>
              <w:spacing w:line="360" w:lineRule="auto"/>
              <w:ind w:firstLine="480" w:firstLineChars="200"/>
              <w:rPr>
                <w:color w:val="auto"/>
              </w:rPr>
            </w:pPr>
            <w:r>
              <w:rPr>
                <w:rFonts w:hint="eastAsia"/>
                <w:color w:val="auto"/>
                <w:sz w:val="24"/>
                <w:lang w:val="en-US" w:eastAsia="zh-CN"/>
              </w:rPr>
              <w:t>④</w:t>
            </w:r>
            <w:r>
              <w:rPr>
                <w:color w:val="auto"/>
                <w:sz w:val="24"/>
              </w:rPr>
              <w:t>危险废物通过人工从设备处桶装运输到危废暂存间，车间地面硬化，每次运输量小，且多为固态，一般不会散落、泄露，不会对外环境造成影响。危险废物的运输委托具有危险废物运输资质的单位进行，不自行转运，项目不承担运输风险，为防止在收运过程中发生危险废物泄漏、洒落等事故污染周围环境，引发污染事故，委托有资质运输单位需对托运的危险货物种类、数量和承运人等相关信息予以记录，危险废物电子转移联单数据应当在信息系统中至少保存十年</w:t>
            </w:r>
            <w:r>
              <w:rPr>
                <w:rFonts w:hint="eastAsia"/>
                <w:color w:val="auto"/>
                <w:sz w:val="24"/>
              </w:rPr>
              <w:t>，</w:t>
            </w:r>
            <w:r>
              <w:rPr>
                <w:color w:val="auto"/>
                <w:sz w:val="24"/>
              </w:rPr>
              <w:t>并严格按照国家有关规定妥善包装并在外包装设置标志，说明危险货物的品名、数量、危害、应急措施等情况。</w:t>
            </w:r>
          </w:p>
          <w:p>
            <w:pPr>
              <w:keepLines/>
              <w:numPr>
                <w:ilvl w:val="3"/>
                <w:numId w:val="0"/>
              </w:numPr>
              <w:outlineLvl w:val="3"/>
              <w:rPr>
                <w:b/>
                <w:bCs/>
                <w:color w:val="auto"/>
                <w:szCs w:val="28"/>
              </w:rPr>
            </w:pPr>
            <w:r>
              <w:rPr>
                <w:b/>
                <w:bCs/>
                <w:color w:val="auto"/>
                <w:szCs w:val="28"/>
              </w:rPr>
              <w:t>4.6.地下水及土壤影响分析</w:t>
            </w:r>
          </w:p>
          <w:p>
            <w:pPr>
              <w:widowControl/>
              <w:ind w:firstLine="482"/>
              <w:jc w:val="left"/>
              <w:rPr>
                <w:b/>
                <w:bCs/>
                <w:color w:val="auto"/>
              </w:rPr>
            </w:pPr>
            <w:r>
              <w:rPr>
                <w:b/>
                <w:bCs/>
                <w:color w:val="auto"/>
              </w:rPr>
              <w:t xml:space="preserve">4.6.1污染途径 </w:t>
            </w:r>
          </w:p>
          <w:p>
            <w:pPr>
              <w:widowControl/>
              <w:ind w:firstLine="480"/>
              <w:jc w:val="both"/>
              <w:rPr>
                <w:rFonts w:ascii="宋体" w:hAnsi="宋体" w:cs="宋体"/>
                <w:color w:val="auto"/>
              </w:rPr>
            </w:pPr>
            <w:r>
              <w:rPr>
                <w:rFonts w:hint="eastAsia" w:ascii="宋体" w:hAnsi="宋体" w:cs="宋体"/>
                <w:color w:val="auto"/>
              </w:rPr>
              <w:t>拟建项目营运期使用物料中</w:t>
            </w:r>
            <w:r>
              <w:rPr>
                <w:rFonts w:hint="eastAsia" w:ascii="宋体" w:hAnsi="宋体" w:cs="宋体"/>
                <w:color w:val="auto"/>
                <w:lang w:val="en-US" w:eastAsia="zh-CN"/>
              </w:rPr>
              <w:t>润滑油、废润滑油、白乳胶、</w:t>
            </w:r>
            <w:r>
              <w:rPr>
                <w:rFonts w:hint="eastAsia"/>
                <w:color w:val="auto"/>
                <w:lang w:val="en-US" w:eastAsia="zh-CN"/>
              </w:rPr>
              <w:t>空压机含油废液</w:t>
            </w:r>
            <w:r>
              <w:rPr>
                <w:rFonts w:hint="eastAsia" w:ascii="宋体" w:hAnsi="宋体" w:cs="宋体"/>
                <w:color w:val="auto"/>
              </w:rPr>
              <w:t>为液态，均使用密闭防渗漏的容器储存，按照《危险化学品安全贮存通则》</w:t>
            </w:r>
            <w:r>
              <w:rPr>
                <w:color w:val="auto"/>
              </w:rPr>
              <w:t>(GB15603-1995)</w:t>
            </w:r>
            <w:r>
              <w:rPr>
                <w:rFonts w:hint="eastAsia" w:ascii="宋体" w:hAnsi="宋体" w:cs="宋体"/>
                <w:color w:val="auto"/>
              </w:rPr>
              <w:t>和《危险化学品安全管理条例》</w:t>
            </w:r>
            <w:r>
              <w:rPr>
                <w:color w:val="auto"/>
              </w:rPr>
              <w:t>(2002)</w:t>
            </w:r>
            <w:r>
              <w:rPr>
                <w:rFonts w:hint="eastAsia" w:ascii="宋体" w:hAnsi="宋体" w:cs="宋体"/>
                <w:color w:val="auto"/>
              </w:rPr>
              <w:t>中的要求暂存于物料间以及危废暂存间内，对</w:t>
            </w:r>
            <w:r>
              <w:rPr>
                <w:rFonts w:hint="eastAsia"/>
                <w:color w:val="auto"/>
              </w:rPr>
              <w:t>物料间危废间</w:t>
            </w:r>
            <w:r>
              <w:rPr>
                <w:rFonts w:hint="eastAsia" w:ascii="宋体" w:hAnsi="宋体" w:cs="宋体"/>
                <w:color w:val="auto"/>
              </w:rPr>
              <w:t>采取防泄漏、防溢流、防腐蚀等措施，严格危险化学品的管理，正常工况下不会导致危险化学品进入地下污染地下水质以及区域 土壤质量。若所有防护措施都出问题，发生破裂引起泄漏，物料泄漏后首先在地面形成液池，液池中有机溶剂大部分挥发进入大气环境，极少量通过大气沉降沉降到土壤，将形成地面径流。</w:t>
            </w:r>
          </w:p>
          <w:p>
            <w:pPr>
              <w:widowControl/>
              <w:ind w:firstLine="482"/>
              <w:jc w:val="left"/>
              <w:rPr>
                <w:b/>
                <w:bCs/>
                <w:color w:val="auto"/>
              </w:rPr>
            </w:pPr>
            <w:r>
              <w:rPr>
                <w:b/>
                <w:bCs/>
                <w:color w:val="auto"/>
              </w:rPr>
              <w:t xml:space="preserve">4.6.2防控措施 </w:t>
            </w:r>
          </w:p>
          <w:p>
            <w:pPr>
              <w:widowControl/>
              <w:ind w:firstLine="480"/>
              <w:jc w:val="left"/>
              <w:rPr>
                <w:color w:val="auto"/>
              </w:rPr>
            </w:pPr>
            <w:r>
              <w:rPr>
                <w:rFonts w:hint="eastAsia" w:ascii="宋体" w:hAnsi="宋体" w:cs="宋体"/>
                <w:color w:val="auto"/>
              </w:rPr>
              <w:t>地下水污染防治措施按照</w:t>
            </w:r>
            <w:r>
              <w:rPr>
                <w:color w:val="auto"/>
              </w:rPr>
              <w:t>“</w:t>
            </w:r>
            <w:r>
              <w:rPr>
                <w:rFonts w:hint="eastAsia" w:ascii="宋体" w:hAnsi="宋体" w:cs="宋体"/>
                <w:color w:val="auto"/>
              </w:rPr>
              <w:t>源头控制、分区防治、污染监控、应急响应</w:t>
            </w:r>
            <w:r>
              <w:rPr>
                <w:color w:val="auto"/>
              </w:rPr>
              <w:t>”</w:t>
            </w:r>
            <w:r>
              <w:rPr>
                <w:rFonts w:hint="eastAsia" w:ascii="宋体" w:hAnsi="宋体" w:cs="宋体"/>
                <w:color w:val="auto"/>
              </w:rPr>
              <w:t xml:space="preserve">相结合的原则，从污染物的产生、入渗、扩散、应急响应全方位进行控制。 </w:t>
            </w:r>
          </w:p>
          <w:p>
            <w:pPr>
              <w:widowControl/>
              <w:ind w:firstLine="480"/>
              <w:jc w:val="left"/>
              <w:rPr>
                <w:color w:val="auto"/>
              </w:rPr>
            </w:pPr>
            <w:r>
              <w:rPr>
                <w:color w:val="auto"/>
              </w:rPr>
              <w:t xml:space="preserve">（1）源头控制 </w:t>
            </w:r>
          </w:p>
          <w:p>
            <w:pPr>
              <w:widowControl/>
              <w:ind w:firstLine="480"/>
              <w:jc w:val="left"/>
              <w:rPr>
                <w:rFonts w:hint="eastAsia" w:ascii="宋体" w:hAnsi="宋体" w:cs="宋体"/>
                <w:color w:val="auto"/>
                <w:lang w:eastAsia="zh-CN"/>
              </w:rPr>
            </w:pPr>
            <w:r>
              <w:rPr>
                <w:rFonts w:hint="eastAsia" w:ascii="宋体" w:hAnsi="宋体" w:cs="宋体"/>
                <w:color w:val="auto"/>
              </w:rPr>
              <w:t>在项目危废暂存间、化学品库、空压机房设置托盘等设施，防止物料、危险废物跑、冒、滴、漏，包装桶采取密闭结构，针对空压机等管道阀门、弯头等容易出现跑冒滴漏处也应设置托盘</w:t>
            </w:r>
            <w:r>
              <w:rPr>
                <w:rFonts w:hint="eastAsia" w:ascii="宋体" w:hAnsi="宋体" w:cs="宋体"/>
                <w:color w:val="auto"/>
                <w:lang w:eastAsia="zh-CN"/>
              </w:rPr>
              <w:t>，将污染物泄漏的环境风险事故降低到最低程度。</w:t>
            </w:r>
          </w:p>
          <w:p>
            <w:pPr>
              <w:widowControl/>
              <w:ind w:firstLine="480"/>
              <w:jc w:val="left"/>
              <w:rPr>
                <w:color w:val="auto"/>
              </w:rPr>
            </w:pPr>
            <w:r>
              <w:rPr>
                <w:color w:val="auto"/>
              </w:rPr>
              <w:t xml:space="preserve">（2）分区防控要求 </w:t>
            </w:r>
          </w:p>
          <w:p>
            <w:pPr>
              <w:widowControl/>
              <w:ind w:firstLine="480"/>
              <w:rPr>
                <w:color w:val="auto"/>
              </w:rPr>
            </w:pPr>
            <w:r>
              <w:rPr>
                <w:color w:val="auto"/>
              </w:rPr>
              <w:t xml:space="preserve">根据厂区各生产功能单元可能泄漏至地面区域的污染物性质和生产单元的构筑方式、构筑材料，将厂区划分为重点防渗区、一般防渗区和简单防渗区及非防渗区： </w:t>
            </w:r>
          </w:p>
          <w:p>
            <w:pPr>
              <w:widowControl/>
              <w:ind w:firstLine="480"/>
              <w:jc w:val="left"/>
              <w:rPr>
                <w:color w:val="auto"/>
                <w:sz w:val="24"/>
                <w:szCs w:val="24"/>
              </w:rPr>
            </w:pPr>
            <w:r>
              <w:rPr>
                <w:color w:val="auto"/>
              </w:rPr>
              <w:t>重点防渗区：</w:t>
            </w:r>
            <w:r>
              <w:rPr>
                <w:rFonts w:hint="eastAsia"/>
                <w:color w:val="auto"/>
                <w:sz w:val="24"/>
                <w:szCs w:val="24"/>
                <w:highlight w:val="none"/>
              </w:rPr>
              <w:t>危废暂存间、化学品库、空压机房</w:t>
            </w:r>
            <w:r>
              <w:rPr>
                <w:color w:val="auto"/>
                <w:sz w:val="24"/>
                <w:szCs w:val="24"/>
              </w:rPr>
              <w:t>为重点防渗区。重点防渗区的防渗性能要求不低6.0m厚渗透系数为1.0×10</w:t>
            </w:r>
            <w:r>
              <w:rPr>
                <w:color w:val="auto"/>
                <w:sz w:val="24"/>
                <w:szCs w:val="24"/>
                <w:vertAlign w:val="superscript"/>
              </w:rPr>
              <w:t>-7</w:t>
            </w:r>
            <w:r>
              <w:rPr>
                <w:color w:val="auto"/>
                <w:sz w:val="24"/>
                <w:szCs w:val="24"/>
              </w:rPr>
              <w:t>cm/s的黏土层防渗性能，并采取防腐措施，危险废物暂存间按</w:t>
            </w:r>
            <w:r>
              <w:rPr>
                <w:rFonts w:hint="eastAsia"/>
                <w:color w:val="auto"/>
                <w:sz w:val="24"/>
                <w:szCs w:val="24"/>
                <w:lang w:eastAsia="zh-CN"/>
              </w:rPr>
              <w:t>《危险废物贮存污染控制标准》（GB18597—2023）</w:t>
            </w:r>
            <w:r>
              <w:rPr>
                <w:rFonts w:hint="eastAsia"/>
                <w:color w:val="auto"/>
                <w:sz w:val="24"/>
                <w:szCs w:val="24"/>
              </w:rPr>
              <w:t>，</w:t>
            </w:r>
            <w:r>
              <w:rPr>
                <w:rFonts w:hint="eastAsia"/>
                <w:color w:val="auto"/>
                <w:sz w:val="24"/>
                <w:szCs w:val="24"/>
                <w:lang w:val="en-US" w:eastAsia="zh-CN"/>
              </w:rPr>
              <w:t>防渗层为至少</w:t>
            </w:r>
            <w:r>
              <w:rPr>
                <w:rFonts w:hint="default"/>
                <w:color w:val="auto"/>
                <w:sz w:val="24"/>
                <w:szCs w:val="24"/>
                <w:lang w:val="en-US" w:eastAsia="zh-CN"/>
              </w:rPr>
              <w:t>1 m</w:t>
            </w:r>
            <w:r>
              <w:rPr>
                <w:rFonts w:hint="eastAsia"/>
                <w:color w:val="auto"/>
                <w:sz w:val="24"/>
                <w:szCs w:val="24"/>
                <w:lang w:val="en-US" w:eastAsia="zh-CN"/>
              </w:rPr>
              <w:t>厚黏土层（渗透系数不大于</w:t>
            </w:r>
            <w:r>
              <w:rPr>
                <w:rFonts w:hint="default"/>
                <w:color w:val="auto"/>
                <w:sz w:val="24"/>
                <w:szCs w:val="24"/>
                <w:lang w:val="en-US" w:eastAsia="zh-CN"/>
              </w:rPr>
              <w:t>10</w:t>
            </w:r>
            <w:r>
              <w:rPr>
                <w:rFonts w:hint="default"/>
                <w:color w:val="auto"/>
                <w:sz w:val="24"/>
                <w:szCs w:val="24"/>
                <w:vertAlign w:val="superscript"/>
                <w:lang w:val="en-US" w:eastAsia="zh-CN"/>
              </w:rPr>
              <w:t>-7</w:t>
            </w:r>
            <w:r>
              <w:rPr>
                <w:rFonts w:hint="default"/>
                <w:color w:val="auto"/>
                <w:sz w:val="24"/>
                <w:szCs w:val="24"/>
                <w:lang w:val="en-US" w:eastAsia="zh-CN"/>
              </w:rPr>
              <w:t xml:space="preserve"> cm/s</w:t>
            </w:r>
            <w:r>
              <w:rPr>
                <w:rFonts w:hint="eastAsia"/>
                <w:color w:val="auto"/>
                <w:sz w:val="24"/>
                <w:szCs w:val="24"/>
                <w:lang w:val="en-US" w:eastAsia="zh-CN"/>
              </w:rPr>
              <w:t>），或至少</w:t>
            </w:r>
            <w:r>
              <w:rPr>
                <w:rFonts w:hint="default"/>
                <w:color w:val="auto"/>
                <w:sz w:val="24"/>
                <w:szCs w:val="24"/>
                <w:lang w:val="en-US" w:eastAsia="zh-CN"/>
              </w:rPr>
              <w:t>2mm</w:t>
            </w:r>
            <w:r>
              <w:rPr>
                <w:rFonts w:hint="eastAsia"/>
                <w:color w:val="auto"/>
                <w:sz w:val="24"/>
                <w:szCs w:val="24"/>
                <w:lang w:val="en-US" w:eastAsia="zh-CN"/>
              </w:rPr>
              <w:t>厚高密度聚乙烯膜等人工防渗材料（渗透系数不大于</w:t>
            </w:r>
            <w:r>
              <w:rPr>
                <w:rFonts w:hint="default"/>
                <w:color w:val="auto"/>
                <w:sz w:val="24"/>
                <w:szCs w:val="24"/>
                <w:lang w:val="en-US" w:eastAsia="zh-CN"/>
              </w:rPr>
              <w:t>10</w:t>
            </w:r>
            <w:r>
              <w:rPr>
                <w:rFonts w:hint="default"/>
                <w:color w:val="auto"/>
                <w:sz w:val="24"/>
                <w:szCs w:val="24"/>
                <w:vertAlign w:val="superscript"/>
                <w:lang w:val="en-US" w:eastAsia="zh-CN"/>
              </w:rPr>
              <w:t xml:space="preserve"> -10</w:t>
            </w:r>
            <w:r>
              <w:rPr>
                <w:rFonts w:hint="default"/>
                <w:color w:val="auto"/>
                <w:sz w:val="24"/>
                <w:szCs w:val="24"/>
                <w:lang w:val="en-US" w:eastAsia="zh-CN"/>
              </w:rPr>
              <w:t>cm/s</w:t>
            </w:r>
            <w:r>
              <w:rPr>
                <w:rFonts w:hint="eastAsia"/>
                <w:color w:val="auto"/>
                <w:sz w:val="24"/>
                <w:szCs w:val="24"/>
                <w:lang w:val="en-US" w:eastAsia="zh-CN"/>
              </w:rPr>
              <w:t>）</w:t>
            </w:r>
            <w:r>
              <w:rPr>
                <w:rFonts w:hint="eastAsia"/>
                <w:color w:val="auto"/>
                <w:sz w:val="24"/>
                <w:szCs w:val="24"/>
              </w:rPr>
              <w:t>。</w:t>
            </w:r>
          </w:p>
          <w:p>
            <w:pPr>
              <w:widowControl/>
              <w:ind w:firstLine="480"/>
              <w:rPr>
                <w:color w:val="auto"/>
              </w:rPr>
            </w:pPr>
            <w:r>
              <w:rPr>
                <w:color w:val="auto"/>
              </w:rPr>
              <w:t>一般防渗区：</w:t>
            </w:r>
            <w:r>
              <w:rPr>
                <w:rFonts w:hint="eastAsia"/>
                <w:color w:val="auto"/>
              </w:rPr>
              <w:t>拟建项目一般固废暂存间及其他生产区域为一般防渗区。一般污染防渗区的防渗性能要求不低1.5m厚渗透系数为1.0×10</w:t>
            </w:r>
            <w:r>
              <w:rPr>
                <w:rFonts w:hint="eastAsia"/>
                <w:color w:val="auto"/>
                <w:vertAlign w:val="superscript"/>
              </w:rPr>
              <w:t>-7</w:t>
            </w:r>
            <w:r>
              <w:rPr>
                <w:rFonts w:hint="eastAsia"/>
                <w:color w:val="auto"/>
              </w:rPr>
              <w:t>cm/s的黏土层防渗性能。</w:t>
            </w:r>
          </w:p>
          <w:p>
            <w:pPr>
              <w:widowControl/>
              <w:ind w:firstLine="480"/>
              <w:jc w:val="left"/>
              <w:rPr>
                <w:color w:val="auto"/>
              </w:rPr>
            </w:pPr>
            <w:r>
              <w:rPr>
                <w:color w:val="auto"/>
              </w:rPr>
              <w:t>简单防渗区：车间内的</w:t>
            </w:r>
            <w:r>
              <w:rPr>
                <w:rFonts w:hint="eastAsia"/>
                <w:color w:val="auto"/>
                <w:lang w:eastAsia="zh-CN"/>
              </w:rPr>
              <w:t>综合楼、过道</w:t>
            </w:r>
            <w:r>
              <w:rPr>
                <w:rFonts w:hint="eastAsia"/>
                <w:color w:val="auto"/>
              </w:rPr>
              <w:t>等</w:t>
            </w:r>
            <w:r>
              <w:rPr>
                <w:color w:val="auto"/>
              </w:rPr>
              <w:t>其他区域做简单防渗。</w:t>
            </w:r>
          </w:p>
          <w:p>
            <w:pPr>
              <w:widowControl/>
              <w:ind w:firstLine="480"/>
              <w:jc w:val="left"/>
              <w:rPr>
                <w:color w:val="auto"/>
              </w:rPr>
            </w:pPr>
            <w:r>
              <w:rPr>
                <w:rFonts w:hint="eastAsia"/>
                <w:color w:val="auto"/>
              </w:rPr>
              <w:t>（3）</w:t>
            </w:r>
            <w:r>
              <w:rPr>
                <w:color w:val="auto"/>
              </w:rPr>
              <w:t>相关部门对设备设施检查、维护，要制定严格的检修标准、周期和考核标准，落实责任人，检查、维修人员要按照相关标准认真执行，定检后要验收，并做好记录。</w:t>
            </w:r>
          </w:p>
          <w:p>
            <w:pPr>
              <w:widowControl/>
              <w:ind w:firstLine="480"/>
              <w:jc w:val="left"/>
              <w:rPr>
                <w:color w:val="auto"/>
              </w:rPr>
            </w:pPr>
            <w:r>
              <w:rPr>
                <w:rFonts w:hint="eastAsia"/>
                <w:color w:val="auto"/>
              </w:rPr>
              <w:t>（4）项目危险废物不得与其他垃圾混存，必须委托具有危险废物处理资质的单位进行回收处置，禁止私自处理。</w:t>
            </w:r>
          </w:p>
          <w:p>
            <w:pPr>
              <w:spacing w:line="360" w:lineRule="auto"/>
              <w:rPr>
                <w:b/>
                <w:bCs/>
                <w:color w:val="auto"/>
                <w:kern w:val="0"/>
                <w:sz w:val="24"/>
              </w:rPr>
            </w:pPr>
            <w:r>
              <w:rPr>
                <w:b/>
                <w:bCs/>
                <w:color w:val="auto"/>
                <w:kern w:val="0"/>
                <w:sz w:val="24"/>
              </w:rPr>
              <w:t>4.</w:t>
            </w:r>
            <w:r>
              <w:rPr>
                <w:rFonts w:hint="eastAsia"/>
                <w:b/>
                <w:bCs/>
                <w:color w:val="auto"/>
                <w:kern w:val="0"/>
                <w:sz w:val="24"/>
                <w:lang w:val="en-US" w:eastAsia="zh-CN"/>
              </w:rPr>
              <w:t>7</w:t>
            </w:r>
            <w:r>
              <w:rPr>
                <w:b/>
                <w:bCs/>
                <w:color w:val="auto"/>
                <w:kern w:val="0"/>
                <w:sz w:val="24"/>
              </w:rPr>
              <w:t>环境风险</w:t>
            </w:r>
          </w:p>
          <w:p>
            <w:pPr>
              <w:spacing w:line="360" w:lineRule="auto"/>
              <w:rPr>
                <w:b/>
                <w:bCs/>
                <w:color w:val="auto"/>
                <w:kern w:val="0"/>
                <w:sz w:val="24"/>
              </w:rPr>
            </w:pPr>
            <w:r>
              <w:rPr>
                <w:b/>
                <w:bCs/>
                <w:color w:val="auto"/>
                <w:kern w:val="0"/>
                <w:sz w:val="24"/>
              </w:rPr>
              <w:t>4.</w:t>
            </w:r>
            <w:r>
              <w:rPr>
                <w:rFonts w:hint="eastAsia"/>
                <w:b/>
                <w:bCs/>
                <w:color w:val="auto"/>
                <w:kern w:val="0"/>
                <w:sz w:val="24"/>
                <w:lang w:val="en-US" w:eastAsia="zh-CN"/>
              </w:rPr>
              <w:t>7</w:t>
            </w:r>
            <w:r>
              <w:rPr>
                <w:b/>
                <w:bCs/>
                <w:color w:val="auto"/>
                <w:kern w:val="0"/>
                <w:sz w:val="24"/>
              </w:rPr>
              <w:t>.1项目风险源分布情况及影响途径</w:t>
            </w:r>
          </w:p>
          <w:p>
            <w:pPr>
              <w:spacing w:line="360" w:lineRule="auto"/>
              <w:rPr>
                <w:b/>
                <w:bCs/>
                <w:color w:val="auto"/>
                <w:sz w:val="24"/>
              </w:rPr>
            </w:pPr>
            <w:r>
              <w:rPr>
                <w:b/>
                <w:bCs/>
                <w:color w:val="auto"/>
                <w:sz w:val="24"/>
              </w:rPr>
              <w:t>4.</w:t>
            </w:r>
            <w:r>
              <w:rPr>
                <w:rFonts w:hint="eastAsia"/>
                <w:b/>
                <w:bCs/>
                <w:color w:val="auto"/>
                <w:sz w:val="24"/>
                <w:lang w:val="en-US" w:eastAsia="zh-CN"/>
              </w:rPr>
              <w:t>7</w:t>
            </w:r>
            <w:r>
              <w:rPr>
                <w:b/>
                <w:bCs/>
                <w:color w:val="auto"/>
                <w:sz w:val="24"/>
              </w:rPr>
              <w:t>.1.1风险调查</w:t>
            </w:r>
          </w:p>
          <w:p>
            <w:pPr>
              <w:spacing w:line="360" w:lineRule="auto"/>
              <w:ind w:firstLine="480" w:firstLineChars="200"/>
              <w:rPr>
                <w:rFonts w:hint="default"/>
                <w:color w:val="auto"/>
                <w:sz w:val="24"/>
                <w:lang w:val="en-US" w:eastAsia="zh-CN"/>
              </w:rPr>
            </w:pPr>
            <w:r>
              <w:rPr>
                <w:color w:val="auto"/>
                <w:sz w:val="24"/>
              </w:rPr>
              <w:t>根据《危险化学品</w:t>
            </w:r>
            <w:r>
              <w:rPr>
                <w:rFonts w:hint="eastAsia"/>
                <w:color w:val="auto"/>
                <w:sz w:val="24"/>
                <w:lang w:eastAsia="zh-CN"/>
              </w:rPr>
              <w:t>目</w:t>
            </w:r>
            <w:r>
              <w:rPr>
                <w:color w:val="auto"/>
                <w:sz w:val="24"/>
              </w:rPr>
              <w:t>录》（201</w:t>
            </w:r>
            <w:r>
              <w:rPr>
                <w:rFonts w:hint="eastAsia"/>
                <w:color w:val="auto"/>
                <w:sz w:val="24"/>
                <w:lang w:val="en-US" w:eastAsia="zh-CN"/>
              </w:rPr>
              <w:t>5</w:t>
            </w:r>
            <w:r>
              <w:rPr>
                <w:color w:val="auto"/>
                <w:sz w:val="24"/>
              </w:rPr>
              <w:t>年版），拟建项目在生产、储存、运输等涉及的主要危险化学品为</w:t>
            </w:r>
            <w:r>
              <w:rPr>
                <w:rFonts w:hint="eastAsia"/>
                <w:color w:val="auto"/>
                <w:sz w:val="24"/>
                <w:lang w:eastAsia="zh-CN"/>
              </w:rPr>
              <w:t>润滑油、废润滑油、白乳胶</w:t>
            </w:r>
            <w:r>
              <w:rPr>
                <w:rFonts w:hint="eastAsia"/>
                <w:color w:val="auto"/>
                <w:kern w:val="0"/>
                <w:sz w:val="24"/>
                <w:lang w:bidi="ar"/>
              </w:rPr>
              <w:t>；</w:t>
            </w:r>
            <w:r>
              <w:rPr>
                <w:rFonts w:hint="eastAsia"/>
                <w:color w:val="auto"/>
                <w:kern w:val="0"/>
                <w:sz w:val="24"/>
                <w:lang w:eastAsia="zh-CN" w:bidi="ar"/>
              </w:rPr>
              <w:t>根据</w:t>
            </w:r>
            <w:r>
              <w:rPr>
                <w:rFonts w:hint="eastAsia"/>
                <w:color w:val="auto"/>
                <w:kern w:val="0"/>
                <w:sz w:val="24"/>
                <w:lang w:val="en-US" w:eastAsia="zh-CN" w:bidi="ar"/>
              </w:rPr>
              <w:t>MSDS，白乳胶中聚乙酸乙烯酯乳液，根据《化学品分类和标签规范 第18部分：急性毒性》（GB30000.18-2013），判定出其急性毒性为类别5，无临界值</w:t>
            </w:r>
            <w:r>
              <w:rPr>
                <w:rFonts w:hint="eastAsia"/>
                <w:color w:val="auto"/>
                <w:sz w:val="24"/>
                <w:lang w:eastAsia="zh-CN"/>
              </w:rPr>
              <w:t>；</w:t>
            </w:r>
            <w:r>
              <w:rPr>
                <w:rFonts w:hint="eastAsia"/>
                <w:color w:val="auto"/>
                <w:sz w:val="24"/>
                <w:lang w:val="en-US" w:eastAsia="zh-CN"/>
              </w:rPr>
              <w:t>润滑油、废润滑油属油类物质</w:t>
            </w:r>
            <w:r>
              <w:rPr>
                <w:rFonts w:hint="eastAsia"/>
                <w:color w:val="auto"/>
                <w:sz w:val="24"/>
                <w:lang w:eastAsia="zh-CN"/>
              </w:rPr>
              <w:t>临界量为</w:t>
            </w:r>
            <w:r>
              <w:rPr>
                <w:rFonts w:hint="eastAsia"/>
                <w:color w:val="auto"/>
                <w:sz w:val="24"/>
                <w:lang w:val="en-US" w:eastAsia="zh-CN"/>
              </w:rPr>
              <w:t>2500t。</w:t>
            </w:r>
          </w:p>
          <w:p>
            <w:pPr>
              <w:spacing w:line="360" w:lineRule="auto"/>
              <w:rPr>
                <w:b/>
                <w:bCs/>
                <w:color w:val="auto"/>
                <w:sz w:val="24"/>
              </w:rPr>
            </w:pPr>
            <w:r>
              <w:rPr>
                <w:b/>
                <w:bCs/>
                <w:color w:val="auto"/>
                <w:sz w:val="24"/>
              </w:rPr>
              <w:t>4.</w:t>
            </w:r>
            <w:r>
              <w:rPr>
                <w:rFonts w:hint="eastAsia"/>
                <w:b/>
                <w:bCs/>
                <w:color w:val="auto"/>
                <w:sz w:val="24"/>
                <w:lang w:val="en-US" w:eastAsia="zh-CN"/>
              </w:rPr>
              <w:t>7</w:t>
            </w:r>
            <w:r>
              <w:rPr>
                <w:b/>
                <w:bCs/>
                <w:color w:val="auto"/>
                <w:sz w:val="24"/>
              </w:rPr>
              <w:t>.1.2风险潜势初判</w:t>
            </w:r>
          </w:p>
          <w:p>
            <w:pPr>
              <w:spacing w:line="360" w:lineRule="auto"/>
              <w:ind w:firstLine="480" w:firstLineChars="200"/>
              <w:rPr>
                <w:color w:val="auto"/>
                <w:sz w:val="24"/>
              </w:rPr>
            </w:pPr>
            <w:r>
              <w:rPr>
                <w:color w:val="auto"/>
                <w:sz w:val="24"/>
              </w:rPr>
              <w:t>据《建设项目环境风险评价技术导则》（HJ169-2018）附录B.1，计算所涉及的每种危险物质在厂界内的最大存在总量与其在附录B中对应临界量的比值Q。</w:t>
            </w:r>
          </w:p>
          <w:p>
            <w:pPr>
              <w:spacing w:line="360" w:lineRule="auto"/>
              <w:ind w:firstLine="480" w:firstLineChars="200"/>
              <w:rPr>
                <w:color w:val="auto"/>
                <w:sz w:val="24"/>
              </w:rPr>
            </w:pPr>
            <w:r>
              <w:rPr>
                <w:color w:val="auto"/>
                <w:sz w:val="24"/>
              </w:rPr>
              <w:t>当企业只涉及一种风险物质时，该物质的数量与其临界量比值，即为Q。当企业存在多种风险物质时，则按下式计算：</w:t>
            </w:r>
          </w:p>
          <w:p>
            <w:pPr>
              <w:pStyle w:val="36"/>
              <w:spacing w:line="360" w:lineRule="auto"/>
              <w:ind w:firstLine="480" w:firstLineChars="200"/>
              <w:jc w:val="center"/>
              <w:rPr>
                <w:color w:val="auto"/>
              </w:rPr>
            </w:pPr>
            <w:r>
              <w:rPr>
                <w:color w:val="auto"/>
                <w:position w:val="-30"/>
              </w:rPr>
              <w:object>
                <v:shape id="_x0000_i1026" o:spt="75" type="#_x0000_t75" style="height:36pt;width:165.75pt;" o:ole="t" filled="f" o:preferrelative="t" stroked="f" coordsize="21600,21600">
                  <v:path/>
                  <v:fill on="f" focussize="0,0"/>
                  <v:stroke on="f"/>
                  <v:imagedata r:id="rId25" embosscolor="#FFFFFF" o:title=""/>
                  <o:lock v:ext="edit" grouping="f" rotation="f" text="f" aspectratio="t"/>
                  <w10:wrap type="none"/>
                  <w10:anchorlock/>
                </v:shape>
                <o:OLEObject Type="Embed" ProgID="Equation.KSEE3" ShapeID="_x0000_i1026" DrawAspect="Content" ObjectID="_1468075726" r:id="rId24">
                  <o:LockedField>false</o:LockedField>
                </o:OLEObject>
              </w:object>
            </w:r>
          </w:p>
          <w:p>
            <w:pPr>
              <w:widowControl/>
              <w:spacing w:line="360" w:lineRule="auto"/>
              <w:ind w:firstLine="480" w:firstLineChars="200"/>
              <w:rPr>
                <w:color w:val="auto"/>
                <w:sz w:val="24"/>
              </w:rPr>
            </w:pPr>
            <w:r>
              <w:rPr>
                <w:color w:val="auto"/>
                <w:kern w:val="0"/>
                <w:sz w:val="24"/>
                <w:lang w:bidi="ar"/>
              </w:rPr>
              <w:t>式中：</w:t>
            </w:r>
          </w:p>
          <w:p>
            <w:pPr>
              <w:widowControl/>
              <w:spacing w:line="360" w:lineRule="auto"/>
              <w:ind w:firstLine="960" w:firstLineChars="400"/>
              <w:rPr>
                <w:color w:val="auto"/>
                <w:sz w:val="24"/>
              </w:rPr>
            </w:pPr>
            <w:r>
              <w:rPr>
                <w:color w:val="auto"/>
                <w:kern w:val="0"/>
                <w:sz w:val="24"/>
                <w:lang w:bidi="ar"/>
              </w:rPr>
              <w:t>q</w:t>
            </w:r>
            <w:r>
              <w:rPr>
                <w:color w:val="auto"/>
                <w:kern w:val="0"/>
                <w:sz w:val="24"/>
                <w:vertAlign w:val="subscript"/>
                <w:lang w:bidi="ar"/>
              </w:rPr>
              <w:t>1</w:t>
            </w:r>
            <w:r>
              <w:rPr>
                <w:color w:val="auto"/>
                <w:kern w:val="0"/>
                <w:sz w:val="24"/>
                <w:lang w:bidi="ar"/>
              </w:rPr>
              <w:t>，q</w:t>
            </w:r>
            <w:r>
              <w:rPr>
                <w:color w:val="auto"/>
                <w:kern w:val="0"/>
                <w:sz w:val="24"/>
                <w:vertAlign w:val="subscript"/>
                <w:lang w:bidi="ar"/>
              </w:rPr>
              <w:t>2</w:t>
            </w:r>
            <w:r>
              <w:rPr>
                <w:color w:val="auto"/>
                <w:kern w:val="0"/>
                <w:sz w:val="24"/>
                <w:lang w:bidi="ar"/>
              </w:rPr>
              <w:t>……q</w:t>
            </w:r>
            <w:r>
              <w:rPr>
                <w:color w:val="auto"/>
                <w:kern w:val="0"/>
                <w:sz w:val="24"/>
                <w:vertAlign w:val="subscript"/>
                <w:lang w:bidi="ar"/>
              </w:rPr>
              <w:t>n</w:t>
            </w:r>
            <w:r>
              <w:rPr>
                <w:color w:val="auto"/>
                <w:kern w:val="0"/>
                <w:sz w:val="24"/>
                <w:lang w:bidi="ar"/>
              </w:rPr>
              <w:t>为每种危险物质最大存在总量，t。</w:t>
            </w:r>
          </w:p>
          <w:p>
            <w:pPr>
              <w:widowControl/>
              <w:spacing w:line="360" w:lineRule="auto"/>
              <w:ind w:firstLine="960" w:firstLineChars="400"/>
              <w:rPr>
                <w:rFonts w:hint="default" w:eastAsia="宋体"/>
                <w:color w:val="auto"/>
                <w:sz w:val="24"/>
                <w:lang w:val="en-US" w:eastAsia="zh-CN"/>
              </w:rPr>
            </w:pPr>
            <w:r>
              <w:rPr>
                <w:color w:val="auto"/>
                <w:kern w:val="0"/>
                <w:sz w:val="24"/>
                <w:lang w:bidi="ar"/>
              </w:rPr>
              <w:t>Q</w:t>
            </w:r>
            <w:r>
              <w:rPr>
                <w:color w:val="auto"/>
                <w:kern w:val="0"/>
                <w:sz w:val="24"/>
                <w:vertAlign w:val="subscript"/>
                <w:lang w:bidi="ar"/>
              </w:rPr>
              <w:t>1</w:t>
            </w:r>
            <w:r>
              <w:rPr>
                <w:color w:val="auto"/>
                <w:kern w:val="0"/>
                <w:sz w:val="24"/>
                <w:lang w:bidi="ar"/>
              </w:rPr>
              <w:t>、Q</w:t>
            </w:r>
            <w:r>
              <w:rPr>
                <w:color w:val="auto"/>
                <w:kern w:val="0"/>
                <w:sz w:val="24"/>
                <w:vertAlign w:val="subscript"/>
                <w:lang w:bidi="ar"/>
              </w:rPr>
              <w:t>2</w:t>
            </w:r>
            <w:r>
              <w:rPr>
                <w:color w:val="auto"/>
                <w:kern w:val="0"/>
                <w:sz w:val="24"/>
                <w:lang w:bidi="ar"/>
              </w:rPr>
              <w:t>……Q</w:t>
            </w:r>
            <w:r>
              <w:rPr>
                <w:color w:val="auto"/>
                <w:kern w:val="0"/>
                <w:sz w:val="24"/>
                <w:vertAlign w:val="subscript"/>
                <w:lang w:bidi="ar"/>
              </w:rPr>
              <w:t>n</w:t>
            </w:r>
            <w:r>
              <w:rPr>
                <w:color w:val="auto"/>
                <w:kern w:val="0"/>
                <w:sz w:val="24"/>
                <w:lang w:bidi="ar"/>
              </w:rPr>
              <w:t>为每种危险物质的临界量，t。</w:t>
            </w:r>
          </w:p>
          <w:p>
            <w:pPr>
              <w:widowControl/>
              <w:spacing w:line="360" w:lineRule="auto"/>
              <w:ind w:firstLine="960" w:firstLineChars="400"/>
              <w:rPr>
                <w:color w:val="auto"/>
                <w:sz w:val="24"/>
              </w:rPr>
            </w:pPr>
            <w:r>
              <w:rPr>
                <w:color w:val="auto"/>
                <w:kern w:val="0"/>
                <w:sz w:val="24"/>
                <w:lang w:bidi="ar"/>
              </w:rPr>
              <w:t>当Q＜1时，该项目环境风险潜势为</w:t>
            </w:r>
            <w:r>
              <w:rPr>
                <w:rFonts w:hint="eastAsia"/>
                <w:color w:val="auto"/>
                <w:kern w:val="0"/>
                <w:sz w:val="24"/>
                <w:lang w:val="en-US" w:eastAsia="zh-CN" w:bidi="ar"/>
              </w:rPr>
              <w:t>I</w:t>
            </w:r>
            <w:r>
              <w:rPr>
                <w:color w:val="auto"/>
                <w:kern w:val="0"/>
                <w:sz w:val="24"/>
                <w:lang w:bidi="ar"/>
              </w:rPr>
              <w:t>。</w:t>
            </w:r>
          </w:p>
          <w:p>
            <w:pPr>
              <w:widowControl/>
              <w:spacing w:line="360" w:lineRule="auto"/>
              <w:ind w:firstLine="960" w:firstLineChars="400"/>
              <w:rPr>
                <w:color w:val="auto"/>
                <w:sz w:val="24"/>
              </w:rPr>
            </w:pPr>
            <w:r>
              <w:rPr>
                <w:color w:val="auto"/>
                <w:kern w:val="0"/>
                <w:sz w:val="24"/>
                <w:lang w:bidi="ar"/>
              </w:rPr>
              <w:t>当Q≥1时，将Q值划分为：（1）1≤Q＜10；（2）10≤Q＜100；（3）Q≥100。</w:t>
            </w:r>
          </w:p>
          <w:p>
            <w:pPr>
              <w:spacing w:line="240" w:lineRule="auto"/>
              <w:jc w:val="center"/>
              <w:rPr>
                <w:b/>
                <w:bCs/>
                <w:color w:val="auto"/>
                <w:sz w:val="24"/>
              </w:rPr>
            </w:pPr>
            <w:r>
              <w:rPr>
                <w:b/>
                <w:bCs/>
                <w:color w:val="auto"/>
                <w:sz w:val="24"/>
              </w:rPr>
              <w:t>表4.</w:t>
            </w:r>
            <w:r>
              <w:rPr>
                <w:rFonts w:hint="eastAsia"/>
                <w:b/>
                <w:bCs/>
                <w:color w:val="auto"/>
                <w:sz w:val="24"/>
                <w:lang w:val="en-US" w:eastAsia="zh-CN"/>
              </w:rPr>
              <w:t>7</w:t>
            </w:r>
            <w:r>
              <w:rPr>
                <w:b/>
                <w:bCs/>
                <w:color w:val="auto"/>
                <w:sz w:val="24"/>
              </w:rPr>
              <w:t>-1   项目所涉及危化品储存情况</w:t>
            </w:r>
          </w:p>
          <w:tbl>
            <w:tblPr>
              <w:tblStyle w:val="2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392"/>
              <w:gridCol w:w="1364"/>
              <w:gridCol w:w="908"/>
              <w:gridCol w:w="1070"/>
              <w:gridCol w:w="1131"/>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序号</w:t>
                  </w:r>
                </w:p>
              </w:tc>
              <w:tc>
                <w:tcPr>
                  <w:tcW w:w="1392"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物料名称</w:t>
                  </w:r>
                </w:p>
              </w:tc>
              <w:tc>
                <w:tcPr>
                  <w:tcW w:w="1364"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CAS号</w:t>
                  </w:r>
                </w:p>
              </w:tc>
              <w:tc>
                <w:tcPr>
                  <w:tcW w:w="908"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储存</w:t>
                  </w:r>
                </w:p>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方式</w:t>
                  </w:r>
                </w:p>
              </w:tc>
              <w:tc>
                <w:tcPr>
                  <w:tcW w:w="1070"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最大</w:t>
                  </w:r>
                </w:p>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储存量</w:t>
                  </w:r>
                  <w:r>
                    <w:rPr>
                      <w:rFonts w:hint="eastAsia" w:ascii="Times New Roman" w:hAnsi="Times New Roman" w:cs="Times New Roman"/>
                      <w:color w:val="auto"/>
                      <w:sz w:val="21"/>
                      <w:szCs w:val="20"/>
                      <w:highlight w:val="none"/>
                    </w:rPr>
                    <w:t>(t)</w:t>
                  </w:r>
                </w:p>
              </w:tc>
              <w:tc>
                <w:tcPr>
                  <w:tcW w:w="1131"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临界量</w:t>
                  </w:r>
                  <w:r>
                    <w:rPr>
                      <w:rFonts w:hint="eastAsia" w:ascii="Times New Roman" w:hAnsi="Times New Roman" w:cs="Times New Roman"/>
                      <w:color w:val="auto"/>
                      <w:sz w:val="21"/>
                      <w:szCs w:val="20"/>
                      <w:highlight w:val="none"/>
                    </w:rPr>
                    <w:t>(t)</w:t>
                  </w:r>
                </w:p>
              </w:tc>
              <w:tc>
                <w:tcPr>
                  <w:tcW w:w="1203"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ascii="Times New Roman" w:hAnsi="Times New Roman" w:cs="Times New Roman"/>
                      <w:color w:val="auto"/>
                      <w:sz w:val="21"/>
                      <w:szCs w:val="20"/>
                      <w:highlight w:val="none"/>
                    </w:rPr>
                  </w:pPr>
                  <w:r>
                    <w:rPr>
                      <w:rFonts w:ascii="Times New Roman" w:hAnsi="Times New Roman" w:cs="Times New Roman"/>
                      <w:color w:val="auto"/>
                      <w:sz w:val="21"/>
                      <w:szCs w:val="20"/>
                      <w:highlight w:val="none"/>
                    </w:rPr>
                    <w:t>qn/Qn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cs="Times New Roman"/>
                      <w:color w:val="auto"/>
                      <w:sz w:val="21"/>
                      <w:szCs w:val="20"/>
                      <w:highlight w:val="none"/>
                      <w:lang w:val="en-US" w:eastAsia="zh-CN"/>
                    </w:rPr>
                  </w:pPr>
                  <w:r>
                    <w:rPr>
                      <w:rFonts w:hint="eastAsia" w:ascii="Times New Roman" w:hAnsi="Times New Roman" w:cs="Times New Roman"/>
                      <w:color w:val="auto"/>
                      <w:sz w:val="21"/>
                      <w:szCs w:val="20"/>
                      <w:highlight w:val="none"/>
                      <w:lang w:val="en-US" w:eastAsia="zh-CN"/>
                    </w:rPr>
                    <w:t>1</w:t>
                  </w:r>
                </w:p>
              </w:tc>
              <w:tc>
                <w:tcPr>
                  <w:tcW w:w="1392"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szCs w:val="20"/>
                      <w:highlight w:val="none"/>
                      <w:lang w:val="en-US" w:eastAsia="zh-CN"/>
                    </w:rPr>
                    <w:t>润滑油</w:t>
                  </w:r>
                </w:p>
              </w:tc>
              <w:tc>
                <w:tcPr>
                  <w:tcW w:w="1364"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default" w:ascii="Times New Roman" w:hAnsi="Times New Roman" w:eastAsia="宋体" w:cs="Times New Roman"/>
                      <w:b w:val="0"/>
                      <w:bCs/>
                      <w:color w:val="auto"/>
                      <w:sz w:val="21"/>
                      <w:szCs w:val="21"/>
                      <w:lang w:val="en-US" w:eastAsia="zh-CN"/>
                    </w:rPr>
                    <w:t>8042-47-5</w:t>
                  </w:r>
                </w:p>
              </w:tc>
              <w:tc>
                <w:tcPr>
                  <w:tcW w:w="908"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桶装</w:t>
                  </w:r>
                </w:p>
              </w:tc>
              <w:tc>
                <w:tcPr>
                  <w:tcW w:w="1070"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0.3</w:t>
                  </w:r>
                </w:p>
              </w:tc>
              <w:tc>
                <w:tcPr>
                  <w:tcW w:w="1131"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2500</w:t>
                  </w:r>
                </w:p>
              </w:tc>
              <w:tc>
                <w:tcPr>
                  <w:tcW w:w="1203" w:type="dxa"/>
                  <w:tcBorders>
                    <w:top w:val="single" w:color="auto" w:sz="4" w:space="0"/>
                    <w:left w:val="nil"/>
                    <w:bottom w:val="single" w:color="auto" w:sz="4" w:space="0"/>
                    <w:right w:val="single" w:color="auto" w:sz="4" w:space="0"/>
                  </w:tcBorders>
                  <w:noWrap w:val="0"/>
                  <w:vAlign w:val="top"/>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cs="Times New Roman"/>
                      <w:color w:val="auto"/>
                      <w:sz w:val="21"/>
                      <w:szCs w:val="20"/>
                      <w:highlight w:val="none"/>
                      <w:lang w:val="en-US" w:eastAsia="zh-CN"/>
                    </w:rPr>
                  </w:pPr>
                  <w:r>
                    <w:rPr>
                      <w:rFonts w:hint="eastAsia" w:ascii="Times New Roman" w:hAnsi="Times New Roman" w:cs="Times New Roman"/>
                      <w:color w:val="auto"/>
                      <w:sz w:val="21"/>
                      <w:szCs w:val="20"/>
                      <w:highlight w:val="none"/>
                      <w:lang w:val="en-US" w:eastAsia="zh-CN"/>
                    </w:rPr>
                    <w:t>2</w:t>
                  </w:r>
                </w:p>
              </w:tc>
              <w:tc>
                <w:tcPr>
                  <w:tcW w:w="1392"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废</w:t>
                  </w:r>
                  <w:r>
                    <w:rPr>
                      <w:rFonts w:hint="eastAsia" w:ascii="Times New Roman" w:hAnsi="Times New Roman" w:cs="Times New Roman"/>
                      <w:color w:val="auto"/>
                      <w:sz w:val="21"/>
                      <w:szCs w:val="20"/>
                      <w:highlight w:val="none"/>
                      <w:lang w:val="en-US" w:eastAsia="zh-CN"/>
                    </w:rPr>
                    <w:t>润滑油</w:t>
                  </w:r>
                </w:p>
              </w:tc>
              <w:tc>
                <w:tcPr>
                  <w:tcW w:w="1364"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w:t>
                  </w:r>
                </w:p>
              </w:tc>
              <w:tc>
                <w:tcPr>
                  <w:tcW w:w="908"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桶装</w:t>
                  </w:r>
                </w:p>
              </w:tc>
              <w:tc>
                <w:tcPr>
                  <w:tcW w:w="1070"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0.4</w:t>
                  </w:r>
                </w:p>
              </w:tc>
              <w:tc>
                <w:tcPr>
                  <w:tcW w:w="1131"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2500</w:t>
                  </w:r>
                </w:p>
              </w:tc>
              <w:tc>
                <w:tcPr>
                  <w:tcW w:w="1203" w:type="dxa"/>
                  <w:tcBorders>
                    <w:top w:val="single" w:color="auto" w:sz="4" w:space="0"/>
                    <w:left w:val="nil"/>
                    <w:bottom w:val="single" w:color="auto" w:sz="4" w:space="0"/>
                    <w:right w:val="single" w:color="auto" w:sz="4" w:space="0"/>
                  </w:tcBorders>
                  <w:noWrap w:val="0"/>
                  <w:vAlign w:val="top"/>
                </w:tcPr>
                <w:p>
                  <w:pPr>
                    <w:kinsoku w:val="0"/>
                    <w:overflowPunct w:val="0"/>
                    <w:autoSpaceDE w:val="0"/>
                    <w:autoSpaceDN w:val="0"/>
                    <w:adjustRightInd w:val="0"/>
                    <w:spacing w:line="240" w:lineRule="auto"/>
                    <w:ind w:firstLine="0" w:firstLine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0.00016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4" w:type="dxa"/>
                  <w:gridSpan w:val="6"/>
                  <w:tcBorders>
                    <w:top w:val="single" w:color="auto" w:sz="4" w:space="0"/>
                    <w:left w:val="single" w:color="auto" w:sz="4" w:space="0"/>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eastAsia" w:ascii="Times New Roman" w:hAnsi="Times New Roman" w:cs="Times New Roman"/>
                      <w:color w:val="auto"/>
                      <w:sz w:val="21"/>
                      <w:szCs w:val="20"/>
                      <w:highlight w:val="none"/>
                      <w:lang w:val="en-US" w:eastAsia="zh-CN"/>
                    </w:rPr>
                  </w:pPr>
                  <w:r>
                    <w:rPr>
                      <w:rFonts w:hint="eastAsia" w:ascii="Times New Roman" w:hAnsi="Times New Roman" w:cs="Times New Roman"/>
                      <w:color w:val="auto"/>
                      <w:sz w:val="21"/>
                      <w:szCs w:val="20"/>
                      <w:highlight w:val="none"/>
                      <w:lang w:val="en-US" w:eastAsia="zh-CN"/>
                    </w:rPr>
                    <w:t>合计</w:t>
                  </w:r>
                </w:p>
              </w:tc>
              <w:tc>
                <w:tcPr>
                  <w:tcW w:w="1203" w:type="dxa"/>
                  <w:tcBorders>
                    <w:top w:val="single" w:color="auto" w:sz="4" w:space="0"/>
                    <w:left w:val="nil"/>
                    <w:bottom w:val="single" w:color="auto" w:sz="4" w:space="0"/>
                    <w:right w:val="single" w:color="auto" w:sz="4" w:space="0"/>
                  </w:tcBorders>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cs="Times New Roman"/>
                      <w:color w:val="auto"/>
                      <w:sz w:val="21"/>
                      <w:szCs w:val="20"/>
                      <w:highlight w:val="none"/>
                      <w:lang w:val="en-US" w:eastAsia="zh-CN"/>
                    </w:rPr>
                  </w:pPr>
                  <w:r>
                    <w:rPr>
                      <w:rFonts w:hint="eastAsia" w:cs="Times New Roman"/>
                      <w:color w:val="auto"/>
                      <w:sz w:val="21"/>
                      <w:szCs w:val="20"/>
                      <w:highlight w:val="none"/>
                      <w:lang w:val="en-US" w:eastAsia="zh-CN"/>
                    </w:rPr>
                    <w:fldChar w:fldCharType="begin"/>
                  </w:r>
                  <w:r>
                    <w:rPr>
                      <w:rFonts w:hint="eastAsia" w:cs="Times New Roman"/>
                      <w:color w:val="auto"/>
                      <w:sz w:val="21"/>
                      <w:szCs w:val="20"/>
                      <w:highlight w:val="none"/>
                      <w:lang w:val="en-US" w:eastAsia="zh-CN"/>
                    </w:rPr>
                    <w:instrText xml:space="preserve"> = sum(G2:G4) \* MERGEFORMAT </w:instrText>
                  </w:r>
                  <w:r>
                    <w:rPr>
                      <w:rFonts w:hint="eastAsia" w:cs="Times New Roman"/>
                      <w:color w:val="auto"/>
                      <w:sz w:val="21"/>
                      <w:szCs w:val="20"/>
                      <w:highlight w:val="none"/>
                      <w:lang w:val="en-US" w:eastAsia="zh-CN"/>
                    </w:rPr>
                    <w:fldChar w:fldCharType="separate"/>
                  </w:r>
                  <w:r>
                    <w:rPr>
                      <w:rFonts w:hint="eastAsia" w:cs="Times New Roman"/>
                      <w:color w:val="auto"/>
                      <w:sz w:val="21"/>
                      <w:szCs w:val="20"/>
                      <w:highlight w:val="none"/>
                      <w:lang w:val="en-US" w:eastAsia="zh-CN"/>
                    </w:rPr>
                    <w:t>0.00028</w:t>
                  </w:r>
                  <w:r>
                    <w:rPr>
                      <w:rFonts w:hint="eastAsia" w:cs="Times New Roman"/>
                      <w:color w:val="auto"/>
                      <w:sz w:val="21"/>
                      <w:szCs w:val="20"/>
                      <w:highlight w:val="none"/>
                      <w:lang w:val="en-US" w:eastAsia="zh-CN"/>
                    </w:rPr>
                    <w:fldChar w:fldCharType="end"/>
                  </w:r>
                </w:p>
              </w:tc>
            </w:tr>
          </w:tbl>
          <w:p>
            <w:pPr>
              <w:adjustRightInd w:val="0"/>
              <w:snapToGrid w:val="0"/>
              <w:spacing w:line="360" w:lineRule="auto"/>
              <w:ind w:firstLine="480" w:firstLineChars="200"/>
              <w:rPr>
                <w:color w:val="auto"/>
                <w:sz w:val="24"/>
              </w:rPr>
            </w:pPr>
            <w:r>
              <w:rPr>
                <w:color w:val="auto"/>
                <w:sz w:val="24"/>
              </w:rPr>
              <w:t>根据《建设项目环境风险评价技术导则》（HJ169-2018），Q=</w:t>
            </w:r>
            <w:r>
              <w:rPr>
                <w:rFonts w:hint="eastAsia"/>
                <w:color w:val="auto"/>
                <w:sz w:val="24"/>
              </w:rPr>
              <w:t>0.00</w:t>
            </w:r>
            <w:r>
              <w:rPr>
                <w:rFonts w:hint="eastAsia"/>
                <w:color w:val="auto"/>
                <w:sz w:val="24"/>
                <w:lang w:val="en-US" w:eastAsia="zh-CN"/>
              </w:rPr>
              <w:t>0</w:t>
            </w:r>
            <w:r>
              <w:rPr>
                <w:rFonts w:hint="eastAsia"/>
                <w:color w:val="auto"/>
                <w:sz w:val="24"/>
              </w:rPr>
              <w:t>28</w:t>
            </w:r>
            <w:r>
              <w:rPr>
                <w:color w:val="auto"/>
                <w:sz w:val="24"/>
              </w:rPr>
              <w:t>&lt;1，该项目环境风险潜势为I</w:t>
            </w:r>
            <w:r>
              <w:rPr>
                <w:rFonts w:hint="eastAsia"/>
                <w:color w:val="auto"/>
                <w:sz w:val="24"/>
              </w:rPr>
              <w:t>，无需进行风险专题</w:t>
            </w:r>
            <w:r>
              <w:rPr>
                <w:color w:val="auto"/>
                <w:sz w:val="24"/>
              </w:rPr>
              <w:t>。</w:t>
            </w:r>
          </w:p>
          <w:p>
            <w:pPr>
              <w:spacing w:line="360" w:lineRule="auto"/>
              <w:rPr>
                <w:b/>
                <w:bCs/>
                <w:color w:val="auto"/>
                <w:sz w:val="24"/>
              </w:rPr>
            </w:pPr>
            <w:r>
              <w:rPr>
                <w:b/>
                <w:bCs/>
                <w:color w:val="auto"/>
                <w:sz w:val="24"/>
              </w:rPr>
              <w:t>4.</w:t>
            </w:r>
            <w:r>
              <w:rPr>
                <w:rFonts w:hint="eastAsia"/>
                <w:b/>
                <w:bCs/>
                <w:color w:val="auto"/>
                <w:sz w:val="24"/>
                <w:lang w:val="en-US" w:eastAsia="zh-CN"/>
              </w:rPr>
              <w:t>7.</w:t>
            </w:r>
            <w:r>
              <w:rPr>
                <w:b/>
                <w:bCs/>
                <w:color w:val="auto"/>
                <w:sz w:val="24"/>
              </w:rPr>
              <w:t>1.3风险事故分析</w:t>
            </w:r>
          </w:p>
          <w:p>
            <w:pPr>
              <w:spacing w:line="360" w:lineRule="auto"/>
              <w:ind w:firstLine="480" w:firstLineChars="200"/>
              <w:rPr>
                <w:rFonts w:hint="eastAsia" w:eastAsia="宋体"/>
                <w:color w:val="auto"/>
                <w:sz w:val="24"/>
                <w:lang w:eastAsia="zh-CN"/>
              </w:rPr>
            </w:pPr>
            <w:r>
              <w:rPr>
                <w:color w:val="auto"/>
                <w:sz w:val="24"/>
              </w:rPr>
              <w:t>拟建项目使用的原辅料、产品以及危废收集过程中涉及的危险物质为</w:t>
            </w:r>
            <w:r>
              <w:rPr>
                <w:rFonts w:hint="eastAsia"/>
                <w:color w:val="auto"/>
                <w:sz w:val="24"/>
                <w:lang w:eastAsia="zh-CN"/>
              </w:rPr>
              <w:t>，</w:t>
            </w:r>
            <w:r>
              <w:rPr>
                <w:color w:val="auto"/>
                <w:sz w:val="24"/>
              </w:rPr>
              <w:t>存放于</w:t>
            </w:r>
            <w:r>
              <w:rPr>
                <w:rFonts w:hint="eastAsia"/>
                <w:color w:val="auto"/>
                <w:sz w:val="24"/>
                <w:lang w:val="en-US" w:eastAsia="zh-CN"/>
              </w:rPr>
              <w:t>化学品库或危废暂存间</w:t>
            </w:r>
            <w:r>
              <w:rPr>
                <w:color w:val="auto"/>
                <w:sz w:val="24"/>
              </w:rPr>
              <w:t>。</w:t>
            </w:r>
            <w:r>
              <w:rPr>
                <w:rFonts w:hint="eastAsia"/>
                <w:color w:val="auto"/>
                <w:sz w:val="24"/>
                <w:lang w:eastAsia="zh-CN"/>
              </w:rPr>
              <w:t>润滑油、废润滑油</w:t>
            </w:r>
            <w:r>
              <w:rPr>
                <w:rFonts w:hint="eastAsia"/>
                <w:color w:val="auto"/>
                <w:sz w:val="24"/>
                <w:lang w:val="en-US" w:eastAsia="zh-CN"/>
              </w:rPr>
              <w:t>等</w:t>
            </w:r>
            <w:r>
              <w:rPr>
                <w:color w:val="auto"/>
                <w:sz w:val="24"/>
              </w:rPr>
              <w:t>属于易燃物质，如遇明火则会发生火灾事故，一旦发生，会对环境造成较大影响。考虑到物料爆炸不完全燃烧情况下，会产生</w:t>
            </w:r>
            <w:r>
              <w:rPr>
                <w:rFonts w:hint="eastAsia"/>
                <w:color w:val="auto"/>
                <w:sz w:val="24"/>
                <w:lang w:val="en-US" w:eastAsia="zh-CN"/>
              </w:rPr>
              <w:t>次生污染因子</w:t>
            </w:r>
            <w:r>
              <w:rPr>
                <w:color w:val="auto"/>
                <w:sz w:val="24"/>
              </w:rPr>
              <w:t>CO。若</w:t>
            </w:r>
            <w:r>
              <w:rPr>
                <w:rFonts w:hint="eastAsia"/>
                <w:color w:val="auto"/>
                <w:sz w:val="24"/>
                <w:lang w:eastAsia="zh-CN"/>
              </w:rPr>
              <w:t>润滑油、废润滑油</w:t>
            </w:r>
            <w:r>
              <w:rPr>
                <w:color w:val="auto"/>
                <w:sz w:val="24"/>
              </w:rPr>
              <w:t>包装破损</w:t>
            </w:r>
            <w:r>
              <w:rPr>
                <w:rFonts w:hint="eastAsia"/>
                <w:color w:val="auto"/>
                <w:sz w:val="24"/>
                <w:lang w:val="en-US" w:eastAsia="zh-CN"/>
              </w:rPr>
              <w:t>或泄露</w:t>
            </w:r>
            <w:r>
              <w:rPr>
                <w:color w:val="auto"/>
                <w:sz w:val="24"/>
              </w:rPr>
              <w:t>，会泄漏致门堤，溢出门堤进入雨水管网，对地表水和地下水造成影响。</w:t>
            </w:r>
          </w:p>
          <w:p>
            <w:pPr>
              <w:spacing w:line="360" w:lineRule="auto"/>
              <w:rPr>
                <w:b/>
                <w:bCs/>
                <w:color w:val="auto"/>
                <w:kern w:val="0"/>
                <w:sz w:val="24"/>
              </w:rPr>
            </w:pPr>
            <w:r>
              <w:rPr>
                <w:b/>
                <w:bCs/>
                <w:color w:val="auto"/>
                <w:kern w:val="0"/>
                <w:sz w:val="24"/>
              </w:rPr>
              <w:t>4.</w:t>
            </w:r>
            <w:r>
              <w:rPr>
                <w:rFonts w:hint="eastAsia"/>
                <w:b/>
                <w:bCs/>
                <w:color w:val="auto"/>
                <w:kern w:val="0"/>
                <w:sz w:val="24"/>
                <w:lang w:val="en-US" w:eastAsia="zh-CN"/>
              </w:rPr>
              <w:t>7</w:t>
            </w:r>
            <w:r>
              <w:rPr>
                <w:b/>
                <w:bCs/>
                <w:color w:val="auto"/>
                <w:kern w:val="0"/>
                <w:sz w:val="24"/>
              </w:rPr>
              <w:t>.2环境风险防范措施</w:t>
            </w:r>
          </w:p>
          <w:p>
            <w:pPr>
              <w:pStyle w:val="84"/>
              <w:spacing w:line="360" w:lineRule="auto"/>
              <w:ind w:left="0" w:leftChars="0" w:firstLine="480" w:firstLineChars="200"/>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①危废暂存间做重点防渗处理；防渗性能参照《危险废物贮存污染控制标准》（GB18597—2023）。危废暂存间内部根据危险废物类分开存放，危废暂存间危废下方设置托盘，危废暂存间内应设置截流设施；</w:t>
            </w:r>
          </w:p>
          <w:p>
            <w:pPr>
              <w:pStyle w:val="84"/>
              <w:spacing w:line="360" w:lineRule="auto"/>
              <w:ind w:left="0" w:leftChars="0" w:firstLine="480" w:firstLineChars="200"/>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②</w:t>
            </w:r>
            <w:r>
              <w:rPr>
                <w:rFonts w:hint="eastAsia"/>
                <w:color w:val="auto"/>
                <w:sz w:val="24"/>
                <w:szCs w:val="24"/>
                <w:highlight w:val="none"/>
              </w:rPr>
              <w:t>危废暂存间、化学品库、空压机房</w:t>
            </w:r>
            <w:r>
              <w:rPr>
                <w:color w:val="auto"/>
                <w:sz w:val="24"/>
                <w:szCs w:val="24"/>
              </w:rPr>
              <w:t>为重点防渗区。重点防渗区的防渗性能要求不低6.0m厚渗透系数为1.0×10</w:t>
            </w:r>
            <w:r>
              <w:rPr>
                <w:color w:val="auto"/>
                <w:sz w:val="24"/>
                <w:szCs w:val="24"/>
                <w:vertAlign w:val="superscript"/>
              </w:rPr>
              <w:t>-7</w:t>
            </w:r>
            <w:r>
              <w:rPr>
                <w:color w:val="auto"/>
                <w:sz w:val="24"/>
                <w:szCs w:val="24"/>
              </w:rPr>
              <w:t>cm/s的黏土层防渗性能，并采取防腐措施，危险废物暂存间按</w:t>
            </w:r>
            <w:r>
              <w:rPr>
                <w:rFonts w:hint="eastAsia"/>
                <w:color w:val="auto"/>
                <w:sz w:val="24"/>
                <w:szCs w:val="24"/>
                <w:lang w:eastAsia="zh-CN"/>
              </w:rPr>
              <w:t>《危险废物贮存污染控制标准》（GB18597—2023）</w:t>
            </w:r>
            <w:r>
              <w:rPr>
                <w:rFonts w:hint="eastAsia"/>
                <w:color w:val="auto"/>
                <w:sz w:val="24"/>
                <w:szCs w:val="24"/>
              </w:rPr>
              <w:t>，</w:t>
            </w:r>
            <w:r>
              <w:rPr>
                <w:rFonts w:hint="eastAsia"/>
                <w:color w:val="auto"/>
                <w:sz w:val="24"/>
                <w:szCs w:val="24"/>
                <w:lang w:val="en-US" w:eastAsia="zh-CN"/>
              </w:rPr>
              <w:t>防渗层为至少</w:t>
            </w:r>
            <w:r>
              <w:rPr>
                <w:rFonts w:hint="default"/>
                <w:color w:val="auto"/>
                <w:sz w:val="24"/>
                <w:szCs w:val="24"/>
                <w:lang w:val="en-US" w:eastAsia="zh-CN"/>
              </w:rPr>
              <w:t>1 m</w:t>
            </w:r>
            <w:r>
              <w:rPr>
                <w:rFonts w:hint="eastAsia"/>
                <w:color w:val="auto"/>
                <w:sz w:val="24"/>
                <w:szCs w:val="24"/>
                <w:lang w:val="en-US" w:eastAsia="zh-CN"/>
              </w:rPr>
              <w:t>厚黏土层（渗透系数不大于</w:t>
            </w:r>
            <w:r>
              <w:rPr>
                <w:rFonts w:hint="default"/>
                <w:color w:val="auto"/>
                <w:sz w:val="24"/>
                <w:szCs w:val="24"/>
                <w:lang w:val="en-US" w:eastAsia="zh-CN"/>
              </w:rPr>
              <w:t>10</w:t>
            </w:r>
            <w:r>
              <w:rPr>
                <w:rFonts w:hint="default"/>
                <w:color w:val="auto"/>
                <w:sz w:val="24"/>
                <w:szCs w:val="24"/>
                <w:vertAlign w:val="superscript"/>
                <w:lang w:val="en-US" w:eastAsia="zh-CN"/>
              </w:rPr>
              <w:t>-7</w:t>
            </w:r>
            <w:r>
              <w:rPr>
                <w:rFonts w:hint="default"/>
                <w:color w:val="auto"/>
                <w:sz w:val="24"/>
                <w:szCs w:val="24"/>
                <w:lang w:val="en-US" w:eastAsia="zh-CN"/>
              </w:rPr>
              <w:t xml:space="preserve"> cm/s</w:t>
            </w:r>
            <w:r>
              <w:rPr>
                <w:rFonts w:hint="eastAsia"/>
                <w:color w:val="auto"/>
                <w:sz w:val="24"/>
                <w:szCs w:val="24"/>
                <w:lang w:val="en-US" w:eastAsia="zh-CN"/>
              </w:rPr>
              <w:t>），或至少</w:t>
            </w:r>
            <w:r>
              <w:rPr>
                <w:rFonts w:hint="default"/>
                <w:color w:val="auto"/>
                <w:sz w:val="24"/>
                <w:szCs w:val="24"/>
                <w:lang w:val="en-US" w:eastAsia="zh-CN"/>
              </w:rPr>
              <w:t>2mm</w:t>
            </w:r>
            <w:r>
              <w:rPr>
                <w:rFonts w:hint="eastAsia"/>
                <w:color w:val="auto"/>
                <w:sz w:val="24"/>
                <w:szCs w:val="24"/>
                <w:lang w:val="en-US" w:eastAsia="zh-CN"/>
              </w:rPr>
              <w:t>厚高密度聚乙烯膜等人工防渗材料（渗透系数不大于</w:t>
            </w:r>
            <w:r>
              <w:rPr>
                <w:rFonts w:hint="default"/>
                <w:color w:val="auto"/>
                <w:sz w:val="24"/>
                <w:szCs w:val="24"/>
                <w:lang w:val="en-US" w:eastAsia="zh-CN"/>
              </w:rPr>
              <w:t>10</w:t>
            </w:r>
            <w:r>
              <w:rPr>
                <w:rFonts w:hint="default"/>
                <w:color w:val="auto"/>
                <w:sz w:val="24"/>
                <w:szCs w:val="24"/>
                <w:vertAlign w:val="superscript"/>
                <w:lang w:val="en-US" w:eastAsia="zh-CN"/>
              </w:rPr>
              <w:t xml:space="preserve"> -10</w:t>
            </w:r>
            <w:r>
              <w:rPr>
                <w:rFonts w:hint="default"/>
                <w:color w:val="auto"/>
                <w:sz w:val="24"/>
                <w:szCs w:val="24"/>
                <w:lang w:val="en-US" w:eastAsia="zh-CN"/>
              </w:rPr>
              <w:t>cm/s</w:t>
            </w:r>
            <w:r>
              <w:rPr>
                <w:rFonts w:hint="eastAsia"/>
                <w:color w:val="auto"/>
                <w:sz w:val="24"/>
                <w:szCs w:val="24"/>
                <w:lang w:val="en-US" w:eastAsia="zh-CN"/>
              </w:rPr>
              <w:t>）</w:t>
            </w:r>
            <w:r>
              <w:rPr>
                <w:rFonts w:hint="eastAsia"/>
                <w:color w:val="auto"/>
                <w:sz w:val="24"/>
                <w:szCs w:val="24"/>
              </w:rPr>
              <w:t>。</w:t>
            </w:r>
            <w:r>
              <w:rPr>
                <w:rFonts w:hint="eastAsia" w:ascii="Times New Roman" w:hAnsi="Times New Roman" w:eastAsia="宋体" w:cs="Times New Roman"/>
                <w:color w:val="auto"/>
                <w:sz w:val="24"/>
                <w:szCs w:val="24"/>
                <w:vertAlign w:val="baseline"/>
                <w:lang w:val="en-US" w:eastAsia="zh-CN"/>
              </w:rPr>
              <w:t>在物料下方设置托盘，防止其泄漏；在不同物料间增加隔断，分区存放，并在周边张贴禁止火源的标志，四周禁止有火源。</w:t>
            </w:r>
          </w:p>
          <w:p>
            <w:pPr>
              <w:pStyle w:val="84"/>
              <w:spacing w:line="360" w:lineRule="auto"/>
              <w:ind w:left="0" w:leftChars="0" w:firstLine="480" w:firstLineChars="200"/>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③设置环保管理机构，建立有环境保护管理制度，定期组织综合应急演练，编制有突发环境事件风险评估和应急预案。</w:t>
            </w:r>
          </w:p>
          <w:p>
            <w:pPr>
              <w:pStyle w:val="84"/>
              <w:spacing w:line="360" w:lineRule="auto"/>
              <w:ind w:left="0" w:leftChars="0" w:firstLine="0" w:firstLineChars="0"/>
              <w:jc w:val="both"/>
              <w:rPr>
                <w:rFonts w:hint="default" w:ascii="Times New Roman" w:hAnsi="Times New Roman" w:eastAsia="宋体" w:cs="Times New Roman"/>
                <w:color w:val="auto"/>
                <w:sz w:val="24"/>
                <w:szCs w:val="24"/>
                <w:vertAlign w:val="baseline"/>
                <w:lang w:val="en-US" w:eastAsia="zh-CN"/>
              </w:rPr>
            </w:pPr>
          </w:p>
        </w:tc>
      </w:tr>
    </w:tbl>
    <w:p>
      <w:pPr>
        <w:adjustRightInd w:val="0"/>
        <w:snapToGrid w:val="0"/>
        <w:rPr>
          <w:rFonts w:cs="宋体"/>
          <w:b/>
          <w:color w:val="auto"/>
          <w:kern w:val="0"/>
          <w:sz w:val="28"/>
          <w:szCs w:val="28"/>
        </w:rPr>
        <w:sectPr>
          <w:pgSz w:w="11907" w:h="16840"/>
          <w:pgMar w:top="1701" w:right="1531" w:bottom="2127" w:left="1531" w:header="851" w:footer="851" w:gutter="0"/>
          <w:cols w:space="720" w:num="1"/>
          <w:docGrid w:linePitch="312" w:charSpace="0"/>
        </w:sectPr>
      </w:pPr>
    </w:p>
    <w:p>
      <w:pPr>
        <w:pStyle w:val="20"/>
        <w:jc w:val="center"/>
        <w:outlineLvl w:val="0"/>
        <w:rPr>
          <w:rFonts w:ascii="Times New Roman" w:hAnsi="Times New Roman"/>
          <w:snapToGrid w:val="0"/>
          <w:color w:val="auto"/>
          <w:sz w:val="30"/>
          <w:szCs w:val="30"/>
        </w:rPr>
      </w:pPr>
      <w:bookmarkStart w:id="1" w:name="_Hlk54167917"/>
      <w:r>
        <w:rPr>
          <w:rFonts w:hint="eastAsia" w:ascii="Times New Roman" w:hAnsi="Times New Roman"/>
          <w:snapToGrid w:val="0"/>
          <w:color w:val="auto"/>
          <w:sz w:val="30"/>
          <w:szCs w:val="30"/>
          <w:lang w:eastAsia="zh-CN"/>
        </w:rPr>
        <w:t>五、环境保护</w:t>
      </w:r>
      <w:r>
        <w:rPr>
          <w:rFonts w:hint="eastAsia" w:ascii="Times New Roman" w:hAnsi="Times New Roman"/>
          <w:snapToGrid w:val="0"/>
          <w:color w:val="auto"/>
          <w:sz w:val="30"/>
          <w:szCs w:val="30"/>
        </w:rPr>
        <w:t>措施监督检查清单</w:t>
      </w:r>
      <w:bookmarkEnd w:id="1"/>
    </w:p>
    <w:tbl>
      <w:tblPr>
        <w:tblStyle w:val="25"/>
        <w:tblW w:w="497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747"/>
        <w:gridCol w:w="2733"/>
        <w:gridCol w:w="3416"/>
        <w:gridCol w:w="40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tcBorders>
              <w:tl2br w:val="single" w:color="auto" w:sz="4" w:space="0"/>
            </w:tcBorders>
          </w:tcPr>
          <w:p>
            <w:pPr>
              <w:pStyle w:val="41"/>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内容</w:t>
            </w:r>
          </w:p>
          <w:p>
            <w:pPr>
              <w:pStyle w:val="4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要素</w:t>
            </w:r>
          </w:p>
        </w:tc>
        <w:tc>
          <w:tcPr>
            <w:tcW w:w="642"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排放口(编号、名称)/污染源</w:t>
            </w:r>
          </w:p>
        </w:tc>
        <w:tc>
          <w:tcPr>
            <w:tcW w:w="1005"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污染物项目</w:t>
            </w:r>
          </w:p>
        </w:tc>
        <w:tc>
          <w:tcPr>
            <w:tcW w:w="1256"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环境保护措施</w:t>
            </w:r>
          </w:p>
        </w:tc>
        <w:tc>
          <w:tcPr>
            <w:tcW w:w="1486"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Merge w:val="restar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642" w:type="pct"/>
            <w:vAlign w:val="center"/>
          </w:tcPr>
          <w:p>
            <w:pPr>
              <w:pStyle w:val="97"/>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排气筒</w:t>
            </w:r>
            <w:r>
              <w:rPr>
                <w:rFonts w:hint="eastAsia" w:cs="Times New Roman"/>
                <w:color w:val="auto"/>
                <w:sz w:val="24"/>
                <w:szCs w:val="24"/>
                <w:lang w:eastAsia="zh-CN"/>
              </w:rPr>
              <w:t>DA001</w:t>
            </w:r>
          </w:p>
        </w:tc>
        <w:tc>
          <w:tcPr>
            <w:tcW w:w="1005" w:type="pct"/>
            <w:vAlign w:val="center"/>
          </w:tcPr>
          <w:p>
            <w:pPr>
              <w:pStyle w:val="97"/>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非甲烷总烃、臭气浓度</w:t>
            </w:r>
          </w:p>
        </w:tc>
        <w:tc>
          <w:tcPr>
            <w:tcW w:w="1256" w:type="pct"/>
            <w:vAlign w:val="center"/>
          </w:tcPr>
          <w:p>
            <w:pPr>
              <w:pStyle w:val="97"/>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项目卷管过程产生的胶粘废气经集气罩收集后通过“</w:t>
            </w:r>
            <w:r>
              <w:rPr>
                <w:rFonts w:hint="eastAsia" w:cs="Times New Roman"/>
                <w:color w:val="auto"/>
                <w:sz w:val="24"/>
                <w:szCs w:val="24"/>
                <w:lang w:val="en-US" w:eastAsia="zh-CN"/>
              </w:rPr>
              <w:t>活性炭吸附</w:t>
            </w:r>
            <w:r>
              <w:rPr>
                <w:rFonts w:hint="default" w:ascii="Times New Roman" w:hAnsi="Times New Roman" w:eastAsia="宋体" w:cs="Times New Roman"/>
                <w:color w:val="auto"/>
                <w:sz w:val="24"/>
                <w:szCs w:val="24"/>
                <w:lang w:val="en-US" w:eastAsia="zh-CN"/>
              </w:rPr>
              <w:t>”处理后通过15m高排气筒DA001排放。</w:t>
            </w:r>
          </w:p>
        </w:tc>
        <w:tc>
          <w:tcPr>
            <w:tcW w:w="1486" w:type="pct"/>
            <w:vAlign w:val="center"/>
          </w:tcPr>
          <w:p>
            <w:pPr>
              <w:pStyle w:val="41"/>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胶粘废气的非甲烷总烃执行《涂料、油墨及胶粘剂工业大气污染物排放标准》（GB37824—2019）中大气污染物特别排放限值</w:t>
            </w:r>
            <w:r>
              <w:rPr>
                <w:rFonts w:hint="eastAsia" w:cs="Times New Roman"/>
                <w:color w:val="auto"/>
                <w:sz w:val="24"/>
                <w:szCs w:val="24"/>
                <w:vertAlign w:val="baseline"/>
                <w:lang w:val="en-US" w:eastAsia="zh-CN"/>
              </w:rPr>
              <w:t>；非甲烷总烃≤60mg/m</w:t>
            </w:r>
            <w:r>
              <w:rPr>
                <w:rFonts w:hint="eastAsia" w:cs="Times New Roman"/>
                <w:color w:val="auto"/>
                <w:sz w:val="24"/>
                <w:szCs w:val="24"/>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Merge w:val="continue"/>
            <w:vAlign w:val="center"/>
          </w:tcPr>
          <w:p>
            <w:pPr>
              <w:pStyle w:val="41"/>
              <w:jc w:val="center"/>
              <w:rPr>
                <w:rFonts w:hint="default" w:ascii="Times New Roman" w:hAnsi="Times New Roman" w:eastAsia="宋体" w:cs="Times New Roman"/>
                <w:color w:val="auto"/>
                <w:sz w:val="24"/>
                <w:szCs w:val="24"/>
              </w:rPr>
            </w:pPr>
          </w:p>
        </w:tc>
        <w:tc>
          <w:tcPr>
            <w:tcW w:w="642"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排气筒</w:t>
            </w:r>
            <w:r>
              <w:rPr>
                <w:rFonts w:hint="eastAsia" w:cs="Times New Roman"/>
                <w:color w:val="auto"/>
                <w:sz w:val="24"/>
                <w:szCs w:val="24"/>
                <w:lang w:eastAsia="zh-CN"/>
              </w:rPr>
              <w:t>DA00</w:t>
            </w:r>
            <w:r>
              <w:rPr>
                <w:rFonts w:hint="eastAsia" w:cs="Times New Roman"/>
                <w:color w:val="auto"/>
                <w:sz w:val="24"/>
                <w:szCs w:val="24"/>
                <w:lang w:val="en-US" w:eastAsia="zh-CN"/>
              </w:rPr>
              <w:t>2</w:t>
            </w:r>
          </w:p>
        </w:tc>
        <w:tc>
          <w:tcPr>
            <w:tcW w:w="1005" w:type="pct"/>
            <w:vAlign w:val="center"/>
          </w:tcPr>
          <w:p>
            <w:pPr>
              <w:pStyle w:val="97"/>
              <w:rPr>
                <w:rFonts w:hint="eastAsia" w:cs="Times New Roman"/>
                <w:color w:val="auto"/>
                <w:sz w:val="24"/>
                <w:szCs w:val="24"/>
                <w:lang w:eastAsia="zh-CN"/>
              </w:rPr>
            </w:pPr>
            <w:r>
              <w:rPr>
                <w:rFonts w:hint="eastAsia" w:cs="Times New Roman"/>
                <w:color w:val="auto"/>
                <w:sz w:val="24"/>
                <w:szCs w:val="24"/>
                <w:lang w:eastAsia="zh-CN"/>
              </w:rPr>
              <w:t>非甲烷总烃、臭气浓度</w:t>
            </w:r>
          </w:p>
        </w:tc>
        <w:tc>
          <w:tcPr>
            <w:tcW w:w="1256" w:type="pct"/>
            <w:vAlign w:val="center"/>
          </w:tcPr>
          <w:p>
            <w:pPr>
              <w:pStyle w:val="97"/>
              <w:jc w:val="center"/>
              <w:rPr>
                <w:rFonts w:hint="default" w:cs="Times New Roman"/>
                <w:color w:val="auto"/>
                <w:sz w:val="24"/>
                <w:szCs w:val="24"/>
                <w:lang w:val="en-US" w:eastAsia="zh-CN"/>
              </w:rPr>
            </w:pPr>
            <w:r>
              <w:rPr>
                <w:rFonts w:hint="default" w:cs="Times New Roman"/>
                <w:color w:val="auto"/>
                <w:sz w:val="24"/>
                <w:szCs w:val="24"/>
                <w:lang w:val="en-US" w:eastAsia="zh-CN"/>
              </w:rPr>
              <w:t>项目流延废气、吹膜废气经集气罩收集后通过“二级活性炭吸附”处理后通过15m高排气筒DA002排放。</w:t>
            </w:r>
          </w:p>
        </w:tc>
        <w:tc>
          <w:tcPr>
            <w:tcW w:w="1486" w:type="pct"/>
            <w:vMerge w:val="restart"/>
            <w:vAlign w:val="center"/>
          </w:tcPr>
          <w:p>
            <w:pPr>
              <w:pStyle w:val="41"/>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非甲烷总烃</w:t>
            </w:r>
            <w:r>
              <w:rPr>
                <w:rFonts w:hint="default" w:ascii="Times New Roman" w:hAnsi="Times New Roman" w:eastAsia="宋体" w:cs="Times New Roman"/>
                <w:color w:val="auto"/>
                <w:sz w:val="24"/>
                <w:szCs w:val="24"/>
                <w:vertAlign w:val="baseline"/>
                <w:lang w:val="en-GB" w:eastAsia="zh-CN"/>
              </w:rPr>
              <w:t>执行《合成树脂工业污染物排放标准》（GB31572-2015）中大气污染物特别排放限值</w:t>
            </w:r>
            <w:r>
              <w:rPr>
                <w:rFonts w:hint="eastAsia" w:cs="Times New Roman"/>
                <w:color w:val="auto"/>
                <w:sz w:val="24"/>
                <w:szCs w:val="24"/>
                <w:vertAlign w:val="baseline"/>
                <w:lang w:val="en-GB" w:eastAsia="zh-CN"/>
              </w:rPr>
              <w:t>，臭气浓度执行《恶臭污染物排放标准》（GB14554-93）相关标准要求；非甲烷总烃≤</w:t>
            </w:r>
            <w:r>
              <w:rPr>
                <w:rFonts w:hint="eastAsia" w:cs="Times New Roman"/>
                <w:color w:val="auto"/>
                <w:sz w:val="24"/>
                <w:szCs w:val="24"/>
                <w:vertAlign w:val="baseline"/>
                <w:lang w:val="en-US" w:eastAsia="zh-CN"/>
              </w:rPr>
              <w:t>60mg/m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、臭气浓度≤2000(无量纲)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Merge w:val="continue"/>
            <w:vAlign w:val="center"/>
          </w:tcPr>
          <w:p>
            <w:pPr>
              <w:pStyle w:val="41"/>
              <w:jc w:val="center"/>
              <w:rPr>
                <w:rFonts w:hint="default" w:ascii="Times New Roman" w:hAnsi="Times New Roman" w:eastAsia="宋体" w:cs="Times New Roman"/>
                <w:color w:val="auto"/>
                <w:sz w:val="24"/>
                <w:szCs w:val="24"/>
              </w:rPr>
            </w:pPr>
          </w:p>
        </w:tc>
        <w:tc>
          <w:tcPr>
            <w:tcW w:w="642" w:type="pct"/>
            <w:vAlign w:val="center"/>
          </w:tcPr>
          <w:p>
            <w:pPr>
              <w:pStyle w:val="97"/>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排气筒</w:t>
            </w:r>
            <w:r>
              <w:rPr>
                <w:rFonts w:hint="eastAsia" w:cs="Times New Roman"/>
                <w:color w:val="auto"/>
                <w:sz w:val="24"/>
                <w:szCs w:val="24"/>
                <w:lang w:eastAsia="zh-CN"/>
              </w:rPr>
              <w:t>DA00</w:t>
            </w:r>
            <w:r>
              <w:rPr>
                <w:rFonts w:hint="eastAsia" w:cs="Times New Roman"/>
                <w:color w:val="auto"/>
                <w:sz w:val="24"/>
                <w:szCs w:val="24"/>
                <w:lang w:val="en-US" w:eastAsia="zh-CN"/>
              </w:rPr>
              <w:t>3</w:t>
            </w:r>
          </w:p>
        </w:tc>
        <w:tc>
          <w:tcPr>
            <w:tcW w:w="1005" w:type="pct"/>
            <w:vAlign w:val="center"/>
          </w:tcPr>
          <w:p>
            <w:pPr>
              <w:pStyle w:val="97"/>
              <w:rPr>
                <w:rFonts w:hint="eastAsia" w:cs="Times New Roman"/>
                <w:color w:val="auto"/>
                <w:sz w:val="24"/>
                <w:szCs w:val="24"/>
                <w:lang w:eastAsia="zh-CN"/>
              </w:rPr>
            </w:pPr>
            <w:r>
              <w:rPr>
                <w:rFonts w:hint="eastAsia" w:cs="Times New Roman"/>
                <w:color w:val="auto"/>
                <w:sz w:val="24"/>
                <w:szCs w:val="24"/>
                <w:lang w:eastAsia="zh-CN"/>
              </w:rPr>
              <w:t>非甲烷总烃</w:t>
            </w:r>
          </w:p>
        </w:tc>
        <w:tc>
          <w:tcPr>
            <w:tcW w:w="1256" w:type="pct"/>
            <w:vAlign w:val="center"/>
          </w:tcPr>
          <w:p>
            <w:pPr>
              <w:pStyle w:val="97"/>
              <w:jc w:val="center"/>
              <w:rPr>
                <w:rFonts w:hint="default" w:cs="Times New Roman"/>
                <w:color w:val="auto"/>
                <w:sz w:val="24"/>
                <w:szCs w:val="24"/>
                <w:lang w:val="en-US" w:eastAsia="zh-CN"/>
              </w:rPr>
            </w:pPr>
            <w:r>
              <w:rPr>
                <w:rFonts w:hint="eastAsia" w:cs="Times New Roman"/>
                <w:color w:val="auto"/>
                <w:sz w:val="24"/>
                <w:szCs w:val="24"/>
                <w:lang w:val="en-US" w:eastAsia="zh-CN"/>
              </w:rPr>
              <w:t>危废间废气通过收集后经“活性炭吸附”处理后通过15m高排气筒DA003排放。</w:t>
            </w:r>
          </w:p>
        </w:tc>
        <w:tc>
          <w:tcPr>
            <w:tcW w:w="1486" w:type="pct"/>
            <w:vMerge w:val="continue"/>
            <w:vAlign w:val="center"/>
          </w:tcPr>
          <w:p>
            <w:pPr>
              <w:pStyle w:val="41"/>
              <w:jc w:val="center"/>
              <w:rPr>
                <w:rFonts w:hint="default" w:ascii="Times New Roman" w:hAnsi="Times New Roman" w:eastAsia="宋体" w:cs="Times New Roman"/>
                <w:color w:val="auto"/>
                <w:sz w:val="24"/>
                <w:szCs w:val="24"/>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Merge w:val="continue"/>
            <w:vAlign w:val="center"/>
          </w:tcPr>
          <w:p>
            <w:pPr>
              <w:pStyle w:val="41"/>
              <w:jc w:val="center"/>
              <w:rPr>
                <w:rFonts w:hint="default" w:ascii="Times New Roman" w:hAnsi="Times New Roman" w:eastAsia="宋体" w:cs="Times New Roman"/>
                <w:color w:val="auto"/>
                <w:sz w:val="24"/>
                <w:szCs w:val="24"/>
              </w:rPr>
            </w:pPr>
          </w:p>
        </w:tc>
        <w:tc>
          <w:tcPr>
            <w:tcW w:w="642" w:type="pct"/>
            <w:vAlign w:val="center"/>
          </w:tcPr>
          <w:p>
            <w:pPr>
              <w:pStyle w:val="97"/>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排气筒</w:t>
            </w:r>
            <w:r>
              <w:rPr>
                <w:rFonts w:hint="eastAsia" w:cs="Times New Roman"/>
                <w:color w:val="auto"/>
                <w:sz w:val="24"/>
                <w:szCs w:val="24"/>
                <w:lang w:eastAsia="zh-CN"/>
              </w:rPr>
              <w:t>DA00</w:t>
            </w:r>
            <w:r>
              <w:rPr>
                <w:rFonts w:hint="eastAsia" w:cs="Times New Roman"/>
                <w:color w:val="auto"/>
                <w:sz w:val="24"/>
                <w:szCs w:val="24"/>
                <w:lang w:val="en-US" w:eastAsia="zh-CN"/>
              </w:rPr>
              <w:t>4</w:t>
            </w:r>
          </w:p>
        </w:tc>
        <w:tc>
          <w:tcPr>
            <w:tcW w:w="1005" w:type="pct"/>
            <w:vAlign w:val="center"/>
          </w:tcPr>
          <w:p>
            <w:pPr>
              <w:pStyle w:val="97"/>
              <w:rPr>
                <w:rFonts w:hint="eastAsia" w:cs="Times New Roman"/>
                <w:color w:val="auto"/>
                <w:sz w:val="24"/>
                <w:szCs w:val="24"/>
                <w:lang w:eastAsia="zh-CN"/>
              </w:rPr>
            </w:pPr>
            <w:r>
              <w:rPr>
                <w:rFonts w:hint="eastAsia" w:cs="Times New Roman"/>
                <w:color w:val="auto"/>
                <w:sz w:val="24"/>
                <w:szCs w:val="24"/>
                <w:lang w:eastAsia="zh-CN"/>
              </w:rPr>
              <w:t>油烟、非甲烷总烃</w:t>
            </w:r>
          </w:p>
        </w:tc>
        <w:tc>
          <w:tcPr>
            <w:tcW w:w="1256" w:type="pct"/>
            <w:vAlign w:val="center"/>
          </w:tcPr>
          <w:p>
            <w:pPr>
              <w:pStyle w:val="97"/>
              <w:jc w:val="center"/>
              <w:rPr>
                <w:rFonts w:hint="eastAsia" w:cs="Times New Roman"/>
                <w:color w:val="auto"/>
                <w:sz w:val="24"/>
                <w:szCs w:val="24"/>
                <w:lang w:val="en-US" w:eastAsia="zh-CN"/>
              </w:rPr>
            </w:pPr>
            <w:r>
              <w:rPr>
                <w:rFonts w:hint="eastAsia" w:cs="Times New Roman"/>
                <w:color w:val="auto"/>
                <w:sz w:val="24"/>
                <w:szCs w:val="24"/>
                <w:lang w:val="en-US" w:eastAsia="zh-CN"/>
              </w:rPr>
              <w:t>在灶头上方设集气罩，安装台油烟净化器，集气罩收集的食堂废气经引风机引入油烟净化器处理后引至DA004排气筒15m排放。</w:t>
            </w:r>
          </w:p>
        </w:tc>
        <w:tc>
          <w:tcPr>
            <w:tcW w:w="1486" w:type="pct"/>
            <w:vAlign w:val="center"/>
          </w:tcPr>
          <w:p>
            <w:pPr>
              <w:pStyle w:val="41"/>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食堂油烟及非甲烷总烃，执行《餐饮业大气污染物排放标准》（DB50/859-2018）</w:t>
            </w:r>
            <w:r>
              <w:rPr>
                <w:rFonts w:hint="eastAsia" w:cs="Times New Roman"/>
                <w:color w:val="auto"/>
                <w:sz w:val="24"/>
                <w:szCs w:val="24"/>
                <w:vertAlign w:val="baseline"/>
                <w:lang w:val="en-US" w:eastAsia="zh-CN"/>
              </w:rPr>
              <w:t>；油烟≤1.0mg/m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、非甲烷总烃≤10.0mg/m</w:t>
            </w:r>
            <w:r>
              <w:rPr>
                <w:rFonts w:hint="eastAsia" w:cs="Times New Roman"/>
                <w:color w:val="auto"/>
                <w:sz w:val="24"/>
                <w:szCs w:val="24"/>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Merge w:val="continue"/>
            <w:vAlign w:val="center"/>
          </w:tcPr>
          <w:p>
            <w:pPr>
              <w:pStyle w:val="41"/>
              <w:jc w:val="center"/>
              <w:rPr>
                <w:rFonts w:hint="default" w:ascii="Times New Roman" w:hAnsi="Times New Roman" w:eastAsia="宋体" w:cs="Times New Roman"/>
                <w:color w:val="auto"/>
                <w:sz w:val="24"/>
                <w:szCs w:val="24"/>
              </w:rPr>
            </w:pPr>
          </w:p>
        </w:tc>
        <w:tc>
          <w:tcPr>
            <w:tcW w:w="642" w:type="pct"/>
            <w:vAlign w:val="center"/>
          </w:tcPr>
          <w:p>
            <w:pPr>
              <w:pStyle w:val="99"/>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eastAsia="zh-CN"/>
              </w:rPr>
              <w:t>外</w:t>
            </w:r>
          </w:p>
        </w:tc>
        <w:tc>
          <w:tcPr>
            <w:tcW w:w="1005" w:type="pct"/>
            <w:vAlign w:val="center"/>
          </w:tcPr>
          <w:p>
            <w:pPr>
              <w:pStyle w:val="9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lang w:val="en-US" w:eastAsia="zh-CN"/>
              </w:rPr>
              <w:t>、非甲烷总烃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臭气浓度</w:t>
            </w:r>
            <w:r>
              <w:rPr>
                <w:rFonts w:hint="eastAsia" w:cs="Times New Roman"/>
                <w:color w:val="auto"/>
                <w:sz w:val="24"/>
                <w:lang w:eastAsia="zh-CN"/>
              </w:rPr>
              <w:t>、</w:t>
            </w:r>
            <w:r>
              <w:rPr>
                <w:rFonts w:ascii="Times New Roman" w:cs="Times New Roman"/>
                <w:color w:val="auto"/>
              </w:rPr>
              <w:t>H</w:t>
            </w:r>
            <w:r>
              <w:rPr>
                <w:rFonts w:ascii="Times New Roman" w:cs="Times New Roman"/>
                <w:color w:val="auto"/>
                <w:vertAlign w:val="subscript"/>
              </w:rPr>
              <w:t>2</w:t>
            </w:r>
            <w:r>
              <w:rPr>
                <w:rFonts w:ascii="Times New Roman" w:cs="Times New Roman"/>
                <w:color w:val="auto"/>
              </w:rPr>
              <w:t>S、NH</w:t>
            </w:r>
            <w:r>
              <w:rPr>
                <w:rFonts w:ascii="Times New Roman" w:cs="Times New Roman"/>
                <w:color w:val="auto"/>
                <w:vertAlign w:val="subscript"/>
              </w:rPr>
              <w:t>3</w:t>
            </w:r>
          </w:p>
        </w:tc>
        <w:tc>
          <w:tcPr>
            <w:tcW w:w="1256" w:type="pct"/>
            <w:vMerge w:val="restar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在生化池顶部设置专用管道，生化池废气通过专用管道引至屋顶排放；其余未收集的废气以无组织形式排放，加强车间通风。</w:t>
            </w:r>
          </w:p>
          <w:p>
            <w:pPr>
              <w:pStyle w:val="97"/>
              <w:rPr>
                <w:rFonts w:hint="default" w:ascii="Times New Roman" w:hAnsi="Times New Roman" w:eastAsia="宋体" w:cs="Times New Roman"/>
                <w:color w:val="auto"/>
                <w:sz w:val="24"/>
                <w:szCs w:val="24"/>
              </w:rPr>
            </w:pPr>
          </w:p>
        </w:tc>
        <w:tc>
          <w:tcPr>
            <w:tcW w:w="1486" w:type="pct"/>
            <w:vAlign w:val="center"/>
          </w:tcPr>
          <w:p>
            <w:pPr>
              <w:pStyle w:val="41"/>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颗粒物和非甲烷总烃执行合成树脂工业污染物排放标准》（GB31572-2015）中大气污染排放限值</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臭气浓度</w:t>
            </w:r>
            <w:r>
              <w:rPr>
                <w:rFonts w:hint="eastAsia" w:cs="Times New Roman"/>
                <w:color w:val="auto"/>
                <w:sz w:val="24"/>
                <w:lang w:eastAsia="zh-CN"/>
              </w:rPr>
              <w:t>、</w:t>
            </w:r>
            <w:r>
              <w:rPr>
                <w:rFonts w:ascii="Times New Roman" w:cs="Times New Roman"/>
                <w:color w:val="auto"/>
              </w:rPr>
              <w:t>H</w:t>
            </w:r>
            <w:r>
              <w:rPr>
                <w:rFonts w:ascii="Times New Roman" w:cs="Times New Roman"/>
                <w:color w:val="auto"/>
                <w:vertAlign w:val="subscript"/>
              </w:rPr>
              <w:t>2</w:t>
            </w:r>
            <w:r>
              <w:rPr>
                <w:rFonts w:ascii="Times New Roman" w:cs="Times New Roman"/>
                <w:color w:val="auto"/>
              </w:rPr>
              <w:t>S、NH</w:t>
            </w:r>
            <w:r>
              <w:rPr>
                <w:rFonts w:ascii="Times New Roman" w:cs="Times New Roman"/>
                <w:color w:val="auto"/>
                <w:vertAlign w:val="subscript"/>
              </w:rPr>
              <w:t>3</w:t>
            </w:r>
            <w:r>
              <w:rPr>
                <w:rFonts w:hint="eastAsia"/>
                <w:color w:val="auto"/>
                <w:sz w:val="24"/>
                <w:szCs w:val="22"/>
                <w:lang w:eastAsia="zh-CN"/>
              </w:rPr>
              <w:t>执行《恶臭污染物排放标准》（GB14554-93）相关标准要求；</w:t>
            </w:r>
            <w:r>
              <w:rPr>
                <w:rFonts w:hint="eastAsia" w:cs="Times New Roman"/>
                <w:color w:val="auto"/>
                <w:sz w:val="24"/>
                <w:szCs w:val="24"/>
                <w:lang w:val="en-US" w:eastAsia="zh-CN"/>
              </w:rPr>
              <w:t>非甲烷总烃≤4.0mg/m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w:t>
            </w:r>
            <w:r>
              <w:rPr>
                <w:rFonts w:hint="eastAsia" w:cs="Times New Roman"/>
                <w:color w:val="auto"/>
                <w:sz w:val="24"/>
                <w:szCs w:val="24"/>
                <w:lang w:val="en-US" w:eastAsia="zh-CN"/>
              </w:rPr>
              <w:t>颗粒物≤1.0mg/m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、臭气浓度≤20（无量纲）、H</w:t>
            </w:r>
            <w:r>
              <w:rPr>
                <w:rFonts w:hint="eastAsia" w:cs="Times New Roman"/>
                <w:color w:val="auto"/>
                <w:sz w:val="24"/>
                <w:szCs w:val="24"/>
                <w:vertAlign w:val="subscript"/>
                <w:lang w:val="en-US" w:eastAsia="zh-CN"/>
              </w:rPr>
              <w:t>2</w:t>
            </w:r>
            <w:r>
              <w:rPr>
                <w:rFonts w:hint="eastAsia" w:cs="Times New Roman"/>
                <w:color w:val="auto"/>
                <w:sz w:val="24"/>
                <w:szCs w:val="24"/>
                <w:vertAlign w:val="baseline"/>
                <w:lang w:val="en-US" w:eastAsia="zh-CN"/>
              </w:rPr>
              <w:t>S≤0.06mg/m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vertAlign w:val="baseline"/>
                <w:lang w:val="en-US" w:eastAsia="zh-CN"/>
              </w:rPr>
              <w:t>≤1.5mg/m</w:t>
            </w:r>
            <w:r>
              <w:rPr>
                <w:rFonts w:hint="eastAsia" w:cs="Times New Roman"/>
                <w:color w:val="auto"/>
                <w:sz w:val="24"/>
                <w:szCs w:val="24"/>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Merge w:val="continue"/>
            <w:vAlign w:val="center"/>
          </w:tcPr>
          <w:p>
            <w:pPr>
              <w:pStyle w:val="41"/>
              <w:jc w:val="center"/>
              <w:rPr>
                <w:rFonts w:hint="default" w:ascii="Times New Roman" w:hAnsi="Times New Roman" w:eastAsia="宋体" w:cs="Times New Roman"/>
                <w:color w:val="auto"/>
                <w:sz w:val="24"/>
                <w:szCs w:val="24"/>
              </w:rPr>
            </w:pPr>
          </w:p>
        </w:tc>
        <w:tc>
          <w:tcPr>
            <w:tcW w:w="642" w:type="pct"/>
            <w:vAlign w:val="center"/>
          </w:tcPr>
          <w:p>
            <w:pPr>
              <w:pStyle w:val="99"/>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厂房外</w:t>
            </w:r>
          </w:p>
        </w:tc>
        <w:tc>
          <w:tcPr>
            <w:tcW w:w="1005" w:type="pct"/>
            <w:vAlign w:val="center"/>
          </w:tcPr>
          <w:p>
            <w:pPr>
              <w:pStyle w:val="9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非甲烷总烃</w:t>
            </w:r>
          </w:p>
        </w:tc>
        <w:tc>
          <w:tcPr>
            <w:tcW w:w="1256" w:type="pct"/>
            <w:vMerge w:val="continue"/>
            <w:vAlign w:val="center"/>
          </w:tcPr>
          <w:p>
            <w:pPr>
              <w:pStyle w:val="97"/>
              <w:rPr>
                <w:rFonts w:hint="default" w:ascii="Times New Roman" w:hAnsi="Times New Roman" w:eastAsia="宋体" w:cs="Times New Roman"/>
                <w:color w:val="auto"/>
                <w:sz w:val="24"/>
                <w:szCs w:val="24"/>
              </w:rPr>
            </w:pPr>
          </w:p>
        </w:tc>
        <w:tc>
          <w:tcPr>
            <w:tcW w:w="1486" w:type="pct"/>
            <w:vAlign w:val="center"/>
          </w:tcPr>
          <w:p>
            <w:pPr>
              <w:pStyle w:val="41"/>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《挥发性有机物无组织排放控制标准》（GB37822-2019）特别排放限值</w:t>
            </w: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642"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综合废水</w:t>
            </w:r>
          </w:p>
        </w:tc>
        <w:tc>
          <w:tcPr>
            <w:tcW w:w="1005" w:type="pct"/>
            <w:vAlign w:val="center"/>
          </w:tcPr>
          <w:p>
            <w:pPr>
              <w:pStyle w:val="9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pH、COD、BOD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、SS、NH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-N、TP、TN</w:t>
            </w:r>
            <w:r>
              <w:rPr>
                <w:rFonts w:hint="eastAsia" w:cs="Times New Roman"/>
                <w:color w:val="auto"/>
                <w:sz w:val="24"/>
                <w:szCs w:val="24"/>
                <w:lang w:val="en-US" w:eastAsia="zh-CN"/>
              </w:rPr>
              <w:t>、石油类、动植物油、LAS</w:t>
            </w:r>
          </w:p>
        </w:tc>
        <w:tc>
          <w:tcPr>
            <w:tcW w:w="1256" w:type="pct"/>
            <w:vAlign w:val="center"/>
          </w:tcPr>
          <w:p>
            <w:pPr>
              <w:pStyle w:val="97"/>
              <w:rPr>
                <w:rFonts w:hint="default" w:ascii="Times New Roman" w:hAnsi="Times New Roman" w:eastAsia="宋体" w:cs="Times New Roman"/>
                <w:color w:val="auto"/>
                <w:sz w:val="24"/>
                <w:szCs w:val="24"/>
                <w:lang w:val="en-US" w:eastAsia="zh-CN"/>
              </w:rPr>
            </w:pPr>
            <w:r>
              <w:rPr>
                <w:rFonts w:hint="eastAsia"/>
                <w:color w:val="auto"/>
                <w:szCs w:val="24"/>
                <w:lang w:val="en-GB" w:eastAsia="zh-CN"/>
              </w:rPr>
              <w:t>拟建项目冷却水循环使用，每半年排放一次；项目食堂废水、地面清洁废水经自建隔油池处理后与生活污水、冷却循环废水一同通过生化池处理达到《污水综合排放标准》（GB8978-1996）三级标准（氨氮、TP、TN参照污水排入城镇下水道水质标准》（GB/T31962-2015）B级标准）后，经市政污水管网进入东城污水处理厂处理达到《城镇污水处理厂污染物排放标准》(GB18918-2002)一级B标准后排入建淮远河</w:t>
            </w:r>
            <w:r>
              <w:rPr>
                <w:rFonts w:hint="default" w:ascii="Times New Roman" w:hAnsi="Times New Roman" w:eastAsia="宋体" w:cs="Times New Roman"/>
                <w:color w:val="auto"/>
                <w:sz w:val="24"/>
                <w:szCs w:val="24"/>
                <w:lang w:val="en-US" w:eastAsia="zh-CN"/>
              </w:rPr>
              <w:t>。</w:t>
            </w:r>
          </w:p>
        </w:tc>
        <w:tc>
          <w:tcPr>
            <w:tcW w:w="1486" w:type="pct"/>
            <w:vAlign w:val="center"/>
          </w:tcPr>
          <w:p>
            <w:pPr>
              <w:pStyle w:val="97"/>
              <w:jc w:val="center"/>
              <w:rPr>
                <w:rFonts w:hint="default" w:ascii="Times New Roman" w:hAnsi="Times New Roman" w:eastAsia="宋体" w:cs="Times New Roman"/>
                <w:color w:val="auto"/>
                <w:sz w:val="24"/>
                <w:szCs w:val="24"/>
              </w:rPr>
            </w:pPr>
            <w:r>
              <w:rPr>
                <w:color w:val="auto"/>
                <w:szCs w:val="24"/>
              </w:rPr>
              <w:t>《污水综合排放标准》（GB8978-1996）三级标准</w:t>
            </w:r>
            <w:r>
              <w:rPr>
                <w:rFonts w:hint="eastAsia"/>
                <w:color w:val="auto"/>
                <w:szCs w:val="24"/>
                <w:lang w:eastAsia="zh-CN"/>
              </w:rPr>
              <w:t>。</w:t>
            </w:r>
            <w:r>
              <w:rPr>
                <w:rFonts w:hint="eastAsia" w:hAnsi="宋体"/>
                <w:color w:val="auto"/>
                <w:szCs w:val="21"/>
              </w:rPr>
              <w:t>pH</w:t>
            </w:r>
            <w:r>
              <w:rPr>
                <w:rFonts w:hint="eastAsia" w:hAnsi="宋体"/>
                <w:color w:val="auto"/>
                <w:szCs w:val="21"/>
                <w:lang w:eastAsia="zh-CN"/>
              </w:rPr>
              <w:t>：</w:t>
            </w:r>
            <w:r>
              <w:rPr>
                <w:rFonts w:hint="eastAsia" w:hAnsi="宋体"/>
                <w:color w:val="auto"/>
                <w:szCs w:val="21"/>
              </w:rPr>
              <w:t>6~9</w:t>
            </w:r>
            <w:r>
              <w:rPr>
                <w:rFonts w:hint="eastAsia"/>
                <w:color w:val="auto"/>
                <w:szCs w:val="21"/>
              </w:rPr>
              <w:t>（无量纲）</w:t>
            </w:r>
            <w:r>
              <w:rPr>
                <w:rFonts w:hint="eastAsia" w:hAnsi="宋体"/>
                <w:color w:val="auto"/>
                <w:szCs w:val="21"/>
              </w:rPr>
              <w:t>、</w:t>
            </w:r>
            <w:r>
              <w:rPr>
                <w:color w:val="auto"/>
                <w:szCs w:val="21"/>
              </w:rPr>
              <w:t xml:space="preserve"> COD</w:t>
            </w:r>
            <w:r>
              <w:rPr>
                <w:rFonts w:hint="eastAsia"/>
                <w:color w:val="auto"/>
                <w:szCs w:val="21"/>
                <w:lang w:eastAsia="zh-CN"/>
              </w:rPr>
              <w:t>：</w:t>
            </w:r>
            <w:r>
              <w:rPr>
                <w:color w:val="auto"/>
                <w:szCs w:val="21"/>
              </w:rPr>
              <w:t>500mg/L</w:t>
            </w:r>
            <w:r>
              <w:rPr>
                <w:rFonts w:hAnsi="宋体"/>
                <w:color w:val="auto"/>
                <w:szCs w:val="21"/>
              </w:rPr>
              <w:t>、</w:t>
            </w:r>
            <w:r>
              <w:rPr>
                <w:color w:val="auto"/>
                <w:szCs w:val="21"/>
              </w:rPr>
              <w:t>BOD</w:t>
            </w:r>
            <w:r>
              <w:rPr>
                <w:color w:val="auto"/>
                <w:szCs w:val="21"/>
                <w:vertAlign w:val="subscript"/>
              </w:rPr>
              <w:t>5</w:t>
            </w:r>
            <w:r>
              <w:rPr>
                <w:rFonts w:hint="eastAsia"/>
                <w:color w:val="auto"/>
                <w:szCs w:val="21"/>
                <w:lang w:eastAsia="zh-CN"/>
              </w:rPr>
              <w:t>：</w:t>
            </w:r>
            <w:r>
              <w:rPr>
                <w:color w:val="auto"/>
                <w:szCs w:val="21"/>
              </w:rPr>
              <w:t>300mg/L</w:t>
            </w:r>
            <w:r>
              <w:rPr>
                <w:rFonts w:hAnsi="宋体"/>
                <w:color w:val="auto"/>
                <w:szCs w:val="21"/>
              </w:rPr>
              <w:t>、</w:t>
            </w:r>
            <w:r>
              <w:rPr>
                <w:color w:val="auto"/>
                <w:szCs w:val="21"/>
              </w:rPr>
              <w:t>SS</w:t>
            </w:r>
            <w:r>
              <w:rPr>
                <w:rFonts w:hint="eastAsia"/>
                <w:color w:val="auto"/>
                <w:szCs w:val="21"/>
                <w:lang w:eastAsia="zh-CN"/>
              </w:rPr>
              <w:t>：</w:t>
            </w:r>
            <w:r>
              <w:rPr>
                <w:color w:val="auto"/>
                <w:szCs w:val="21"/>
              </w:rPr>
              <w:t>400mg/L</w:t>
            </w:r>
            <w:r>
              <w:rPr>
                <w:rFonts w:hint="eastAsia"/>
                <w:color w:val="auto"/>
                <w:szCs w:val="21"/>
                <w:lang w:eastAsia="zh-CN"/>
              </w:rPr>
              <w:t>、</w:t>
            </w:r>
            <w:r>
              <w:rPr>
                <w:rFonts w:hint="eastAsia"/>
                <w:color w:val="auto"/>
                <w:szCs w:val="21"/>
                <w:lang w:val="en-US" w:eastAsia="zh-CN"/>
              </w:rPr>
              <w:t>LAS：20</w:t>
            </w:r>
            <w:r>
              <w:rPr>
                <w:color w:val="auto"/>
                <w:szCs w:val="21"/>
              </w:rPr>
              <w:t>mg/L</w:t>
            </w:r>
            <w:r>
              <w:rPr>
                <w:rFonts w:hint="eastAsia" w:hAnsi="宋体"/>
                <w:color w:val="auto"/>
                <w:szCs w:val="21"/>
              </w:rPr>
              <w:t>；</w:t>
            </w:r>
            <w:r>
              <w:rPr>
                <w:rFonts w:hAnsi="宋体"/>
                <w:color w:val="auto"/>
                <w:szCs w:val="21"/>
              </w:rPr>
              <w:t>《污水排入城镇下水道水质标准》（GB/T31962-2015）N</w:t>
            </w:r>
            <w:r>
              <w:rPr>
                <w:color w:val="auto"/>
                <w:szCs w:val="21"/>
              </w:rPr>
              <w:t>H</w:t>
            </w:r>
            <w:r>
              <w:rPr>
                <w:color w:val="auto"/>
                <w:szCs w:val="21"/>
                <w:vertAlign w:val="subscript"/>
              </w:rPr>
              <w:t>3</w:t>
            </w:r>
            <w:r>
              <w:rPr>
                <w:color w:val="auto"/>
                <w:szCs w:val="21"/>
              </w:rPr>
              <w:t>-N</w:t>
            </w:r>
            <w:r>
              <w:rPr>
                <w:rFonts w:hint="eastAsia"/>
                <w:color w:val="auto"/>
                <w:szCs w:val="21"/>
                <w:lang w:eastAsia="zh-CN"/>
              </w:rPr>
              <w:t>：</w:t>
            </w:r>
            <w:r>
              <w:rPr>
                <w:color w:val="auto"/>
                <w:szCs w:val="21"/>
              </w:rPr>
              <w:t>45mg/L</w:t>
            </w:r>
            <w:r>
              <w:rPr>
                <w:rFonts w:hint="eastAsia"/>
                <w:color w:val="auto"/>
                <w:szCs w:val="21"/>
                <w:lang w:eastAsia="zh-CN"/>
              </w:rPr>
              <w:t>、</w:t>
            </w:r>
            <w:r>
              <w:rPr>
                <w:rFonts w:hint="eastAsia"/>
                <w:color w:val="auto"/>
                <w:szCs w:val="21"/>
                <w:lang w:val="en-US" w:eastAsia="zh-CN"/>
              </w:rPr>
              <w:t>TP：8</w:t>
            </w:r>
            <w:r>
              <w:rPr>
                <w:color w:val="auto"/>
                <w:szCs w:val="21"/>
              </w:rPr>
              <w:t>mg/L</w:t>
            </w:r>
            <w:r>
              <w:rPr>
                <w:rFonts w:hint="eastAsia"/>
                <w:color w:val="auto"/>
                <w:szCs w:val="21"/>
                <w:lang w:eastAsia="zh-CN"/>
              </w:rPr>
              <w:t>、</w:t>
            </w:r>
            <w:r>
              <w:rPr>
                <w:rFonts w:hint="eastAsia"/>
                <w:color w:val="auto"/>
                <w:szCs w:val="21"/>
                <w:lang w:val="en-US" w:eastAsia="zh-CN"/>
              </w:rPr>
              <w:t>TN：70</w:t>
            </w:r>
            <w:r>
              <w:rPr>
                <w:color w:val="auto"/>
                <w:szCs w:val="21"/>
              </w:rPr>
              <w:t>mg/L</w:t>
            </w: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09"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642"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设备噪声</w:t>
            </w:r>
          </w:p>
        </w:tc>
        <w:tc>
          <w:tcPr>
            <w:tcW w:w="1005"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等效A声级</w:t>
            </w:r>
          </w:p>
        </w:tc>
        <w:tc>
          <w:tcPr>
            <w:tcW w:w="1256"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选用低噪声设备</w:t>
            </w:r>
            <w:r>
              <w:rPr>
                <w:rFonts w:hint="default" w:ascii="Times New Roman" w:hAnsi="Times New Roman" w:eastAsia="宋体" w:cs="Times New Roman"/>
                <w:color w:val="auto"/>
                <w:sz w:val="24"/>
                <w:szCs w:val="24"/>
                <w:lang w:eastAsia="zh-CN"/>
              </w:rPr>
              <w:t>合理布局、</w:t>
            </w:r>
            <w:r>
              <w:rPr>
                <w:rFonts w:hint="default" w:ascii="Times New Roman" w:hAnsi="Times New Roman" w:eastAsia="宋体" w:cs="Times New Roman"/>
                <w:color w:val="auto"/>
                <w:sz w:val="24"/>
                <w:szCs w:val="24"/>
              </w:rPr>
              <w:t>建筑隔声、基础减振</w:t>
            </w:r>
            <w:r>
              <w:rPr>
                <w:rFonts w:hint="default" w:ascii="Times New Roman" w:hAnsi="Times New Roman" w:eastAsia="宋体" w:cs="Times New Roman"/>
                <w:color w:val="auto"/>
                <w:sz w:val="24"/>
                <w:szCs w:val="24"/>
                <w:lang w:eastAsia="zh-CN"/>
              </w:rPr>
              <w:t>、隔音罩</w:t>
            </w:r>
            <w:r>
              <w:rPr>
                <w:rFonts w:hint="eastAsia" w:cs="Times New Roman"/>
                <w:color w:val="auto"/>
                <w:sz w:val="24"/>
                <w:szCs w:val="24"/>
                <w:lang w:eastAsia="zh-CN"/>
              </w:rPr>
              <w:t>、</w:t>
            </w:r>
            <w:r>
              <w:rPr>
                <w:rFonts w:hint="eastAsia" w:cs="Times New Roman"/>
                <w:color w:val="auto"/>
                <w:sz w:val="24"/>
                <w:szCs w:val="24"/>
                <w:lang w:val="en-US" w:eastAsia="zh-CN"/>
              </w:rPr>
              <w:t>消声器</w:t>
            </w:r>
            <w:r>
              <w:rPr>
                <w:rFonts w:hint="eastAsia" w:cs="Times New Roman"/>
                <w:color w:val="auto"/>
                <w:sz w:val="24"/>
                <w:szCs w:val="24"/>
                <w:lang w:eastAsia="zh-CN"/>
              </w:rPr>
              <w:t>等</w:t>
            </w:r>
          </w:p>
        </w:tc>
        <w:tc>
          <w:tcPr>
            <w:tcW w:w="1486" w:type="pct"/>
            <w:vAlign w:val="center"/>
          </w:tcPr>
          <w:p>
            <w:pPr>
              <w:pStyle w:val="97"/>
              <w:jc w:val="center"/>
              <w:rPr>
                <w:rFonts w:hint="default" w:ascii="Times New Roman" w:hAnsi="Times New Roman" w:eastAsia="宋体" w:cs="Times New Roman"/>
                <w:color w:val="auto"/>
                <w:sz w:val="24"/>
                <w:szCs w:val="24"/>
              </w:rPr>
            </w:pPr>
            <w:r>
              <w:rPr>
                <w:rFonts w:hint="eastAsia" w:cs="Times New Roman"/>
                <w:color w:val="auto"/>
                <w:sz w:val="24"/>
                <w:szCs w:val="24"/>
                <w:lang w:eastAsia="zh-CN"/>
              </w:rPr>
              <w:t>噪声执行</w:t>
            </w:r>
            <w:r>
              <w:rPr>
                <w:rFonts w:hint="default" w:ascii="Times New Roman" w:hAnsi="Times New Roman" w:eastAsia="宋体" w:cs="Times New Roman"/>
                <w:color w:val="auto"/>
                <w:sz w:val="24"/>
                <w:szCs w:val="24"/>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9"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642"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005"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256"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486" w:type="pct"/>
            <w:vAlign w:val="center"/>
          </w:tcPr>
          <w:p>
            <w:pPr>
              <w:pStyle w:val="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09"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4390" w:type="pct"/>
            <w:gridSpan w:val="4"/>
            <w:vAlign w:val="center"/>
          </w:tcPr>
          <w:p>
            <w:pPr>
              <w:pStyle w:val="97"/>
              <w:spacing w:line="360" w:lineRule="auto"/>
              <w:ind w:firstLine="480" w:firstLineChars="200"/>
              <w:jc w:val="both"/>
              <w:rPr>
                <w:rFonts w:hint="default" w:ascii="Times New Roman" w:hAnsi="Times New Roman" w:eastAsia="宋体" w:cs="Times New Roman"/>
                <w:color w:val="auto"/>
                <w:sz w:val="24"/>
                <w:szCs w:val="24"/>
              </w:rPr>
            </w:pPr>
            <w:r>
              <w:rPr>
                <w:rFonts w:hint="default"/>
                <w:color w:val="auto"/>
                <w:sz w:val="24"/>
                <w:szCs w:val="24"/>
                <w:highlight w:val="none"/>
                <w:vertAlign w:val="baseline"/>
              </w:rPr>
              <w:t>一般工业固废暂存区位于厂房2F</w:t>
            </w:r>
            <w:r>
              <w:rPr>
                <w:rFonts w:hint="eastAsia"/>
                <w:color w:val="auto"/>
                <w:sz w:val="24"/>
                <w:szCs w:val="24"/>
                <w:highlight w:val="none"/>
                <w:vertAlign w:val="baseline"/>
                <w:lang w:eastAsia="zh-CN"/>
              </w:rPr>
              <w:t>南</w:t>
            </w:r>
            <w:r>
              <w:rPr>
                <w:rFonts w:hint="default"/>
                <w:color w:val="auto"/>
                <w:sz w:val="24"/>
                <w:szCs w:val="24"/>
                <w:highlight w:val="none"/>
                <w:vertAlign w:val="baseline"/>
              </w:rPr>
              <w:t>侧，面积60m</w:t>
            </w:r>
            <w:r>
              <w:rPr>
                <w:rFonts w:hint="default"/>
                <w:color w:val="auto"/>
                <w:sz w:val="24"/>
                <w:szCs w:val="24"/>
                <w:highlight w:val="none"/>
                <w:vertAlign w:val="superscript"/>
              </w:rPr>
              <w:t>2</w:t>
            </w:r>
            <w:r>
              <w:rPr>
                <w:rFonts w:hint="default"/>
                <w:color w:val="auto"/>
                <w:sz w:val="24"/>
                <w:szCs w:val="24"/>
                <w:highlight w:val="none"/>
                <w:vertAlign w:val="baseline"/>
              </w:rPr>
              <w:t>，暂存要为边角料。危废暂存间厂房2F东</w:t>
            </w:r>
            <w:r>
              <w:rPr>
                <w:rFonts w:hint="eastAsia"/>
                <w:color w:val="auto"/>
                <w:sz w:val="24"/>
                <w:szCs w:val="24"/>
                <w:highlight w:val="none"/>
                <w:vertAlign w:val="baseline"/>
                <w:lang w:eastAsia="zh-CN"/>
              </w:rPr>
              <w:t>南</w:t>
            </w:r>
            <w:r>
              <w:rPr>
                <w:rFonts w:hint="default"/>
                <w:color w:val="auto"/>
                <w:sz w:val="24"/>
                <w:szCs w:val="24"/>
                <w:highlight w:val="none"/>
                <w:vertAlign w:val="baseline"/>
              </w:rPr>
              <w:t>侧，面积10m</w:t>
            </w:r>
            <w:r>
              <w:rPr>
                <w:rFonts w:hint="default"/>
                <w:color w:val="auto"/>
                <w:sz w:val="24"/>
                <w:szCs w:val="24"/>
                <w:highlight w:val="none"/>
                <w:vertAlign w:val="superscript"/>
              </w:rPr>
              <w:t>2</w:t>
            </w:r>
            <w:r>
              <w:rPr>
                <w:rFonts w:hint="default"/>
                <w:color w:val="auto"/>
                <w:sz w:val="24"/>
                <w:szCs w:val="24"/>
                <w:highlight w:val="none"/>
                <w:vertAlign w:val="baseline"/>
              </w:rPr>
              <w:t>，暂存</w:t>
            </w:r>
            <w:r>
              <w:rPr>
                <w:rFonts w:hint="eastAsia" w:cs="Times New Roman"/>
                <w:color w:val="auto"/>
                <w:sz w:val="24"/>
                <w:szCs w:val="24"/>
                <w:lang w:val="en-US" w:eastAsia="zh-CN"/>
              </w:rPr>
              <w:t>边角料（含胶渣）、</w:t>
            </w:r>
            <w:r>
              <w:rPr>
                <w:rFonts w:hint="default"/>
                <w:color w:val="auto"/>
                <w:sz w:val="24"/>
                <w:szCs w:val="24"/>
                <w:highlight w:val="none"/>
                <w:vertAlign w:val="baseline"/>
              </w:rPr>
              <w:t>废润滑油、废含油棉纱手套、废润滑油桶、废活性炭、空压机含油废液、废胶桶；危险废物定期交有危废处理资质的单位转运、处理；危废间满足《危险废物贮存污染控制标准》（GB18597-2023）要求，危废暂存间应按要求采取“四防”措施，配置托盘，与有危废处理资质单位签订危废处置合同，执行《危险废物转移管理办法》中转移申报及转移联单相关规定。生活垃圾收集后交环卫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09"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4390" w:type="pct"/>
            <w:gridSpan w:val="4"/>
          </w:tcPr>
          <w:p>
            <w:pPr>
              <w:widowControl/>
              <w:ind w:firstLine="480"/>
              <w:jc w:val="left"/>
              <w:rPr>
                <w:rFonts w:hint="eastAsia" w:ascii="Times New Roman" w:hAnsi="Times New Roman" w:eastAsia="宋体" w:cs="Times New Roman"/>
                <w:color w:val="auto"/>
                <w:sz w:val="24"/>
                <w:szCs w:val="24"/>
                <w:lang w:eastAsia="zh-CN"/>
              </w:rPr>
            </w:pPr>
            <w:r>
              <w:rPr>
                <w:rFonts w:hint="eastAsia"/>
                <w:color w:val="auto"/>
                <w:sz w:val="24"/>
                <w:szCs w:val="24"/>
                <w:highlight w:val="none"/>
              </w:rPr>
              <w:t>在项目危废暂存间、化学品库、空压机房设置托盘等设施，防止物料、危险废物跑、冒、滴、漏，包装桶采取密闭结构，针对空压机等管道阀门、弯头等容易出现跑冒滴漏处也应设置托盘，将污染物泄漏的环境风险事故降低到最低程度。</w:t>
            </w:r>
            <w:r>
              <w:rPr>
                <w:color w:val="auto"/>
                <w:sz w:val="24"/>
                <w:szCs w:val="24"/>
              </w:rPr>
              <w:t>根据厂区各生产功能单元可能泄漏至地面区域的污染物性质和生产单元的构筑方式、构筑材料，将厂区划分为重点防渗区、一般防渗区和简单防渗区及非防渗区：重点防渗区：</w:t>
            </w:r>
            <w:r>
              <w:rPr>
                <w:rFonts w:hint="eastAsia"/>
                <w:color w:val="auto"/>
                <w:sz w:val="24"/>
                <w:szCs w:val="24"/>
                <w:highlight w:val="none"/>
              </w:rPr>
              <w:t>危废暂存间、化学品库、空压机房</w:t>
            </w:r>
            <w:r>
              <w:rPr>
                <w:color w:val="auto"/>
                <w:sz w:val="24"/>
                <w:szCs w:val="24"/>
              </w:rPr>
              <w:t>为重点防渗区。重点防渗区的防渗性能要求不低6.0m厚渗透系数为1.0×10</w:t>
            </w:r>
            <w:r>
              <w:rPr>
                <w:color w:val="auto"/>
                <w:sz w:val="24"/>
                <w:szCs w:val="24"/>
                <w:vertAlign w:val="superscript"/>
              </w:rPr>
              <w:t>-7</w:t>
            </w:r>
            <w:r>
              <w:rPr>
                <w:color w:val="auto"/>
                <w:sz w:val="24"/>
                <w:szCs w:val="24"/>
              </w:rPr>
              <w:t>cm/s的黏土层防渗性能，并采取防腐措施，危险废物暂存间按</w:t>
            </w:r>
            <w:r>
              <w:rPr>
                <w:rFonts w:hint="eastAsia"/>
                <w:color w:val="auto"/>
                <w:sz w:val="24"/>
                <w:szCs w:val="24"/>
                <w:lang w:eastAsia="zh-CN"/>
              </w:rPr>
              <w:t>《危险废物贮存污染控制标准》（GB18597—2023）</w:t>
            </w:r>
            <w:r>
              <w:rPr>
                <w:rFonts w:hint="eastAsia"/>
                <w:color w:val="auto"/>
                <w:sz w:val="24"/>
                <w:szCs w:val="24"/>
              </w:rPr>
              <w:t>，</w:t>
            </w:r>
            <w:r>
              <w:rPr>
                <w:rFonts w:hint="eastAsia"/>
                <w:color w:val="auto"/>
                <w:sz w:val="24"/>
                <w:szCs w:val="24"/>
                <w:lang w:val="en-US" w:eastAsia="zh-CN"/>
              </w:rPr>
              <w:t>防渗层为至少</w:t>
            </w:r>
            <w:r>
              <w:rPr>
                <w:rFonts w:hint="default"/>
                <w:color w:val="auto"/>
                <w:sz w:val="24"/>
                <w:szCs w:val="24"/>
                <w:lang w:val="en-US" w:eastAsia="zh-CN"/>
              </w:rPr>
              <w:t>1 m</w:t>
            </w:r>
            <w:r>
              <w:rPr>
                <w:rFonts w:hint="eastAsia"/>
                <w:color w:val="auto"/>
                <w:sz w:val="24"/>
                <w:szCs w:val="24"/>
                <w:lang w:val="en-US" w:eastAsia="zh-CN"/>
              </w:rPr>
              <w:t>厚黏土层（渗透系数不大于</w:t>
            </w:r>
            <w:r>
              <w:rPr>
                <w:rFonts w:hint="default"/>
                <w:color w:val="auto"/>
                <w:sz w:val="24"/>
                <w:szCs w:val="24"/>
                <w:lang w:val="en-US" w:eastAsia="zh-CN"/>
              </w:rPr>
              <w:t>10</w:t>
            </w:r>
            <w:r>
              <w:rPr>
                <w:rFonts w:hint="default"/>
                <w:color w:val="auto"/>
                <w:sz w:val="24"/>
                <w:szCs w:val="24"/>
                <w:vertAlign w:val="superscript"/>
                <w:lang w:val="en-US" w:eastAsia="zh-CN"/>
              </w:rPr>
              <w:t>-7</w:t>
            </w:r>
            <w:r>
              <w:rPr>
                <w:rFonts w:hint="default"/>
                <w:color w:val="auto"/>
                <w:sz w:val="24"/>
                <w:szCs w:val="24"/>
                <w:lang w:val="en-US" w:eastAsia="zh-CN"/>
              </w:rPr>
              <w:t xml:space="preserve"> cm/s</w:t>
            </w:r>
            <w:r>
              <w:rPr>
                <w:rFonts w:hint="eastAsia"/>
                <w:color w:val="auto"/>
                <w:sz w:val="24"/>
                <w:szCs w:val="24"/>
                <w:lang w:val="en-US" w:eastAsia="zh-CN"/>
              </w:rPr>
              <w:t>），或至少</w:t>
            </w:r>
            <w:r>
              <w:rPr>
                <w:rFonts w:hint="default"/>
                <w:color w:val="auto"/>
                <w:sz w:val="24"/>
                <w:szCs w:val="24"/>
                <w:lang w:val="en-US" w:eastAsia="zh-CN"/>
              </w:rPr>
              <w:t>2mm</w:t>
            </w:r>
            <w:r>
              <w:rPr>
                <w:rFonts w:hint="eastAsia"/>
                <w:color w:val="auto"/>
                <w:sz w:val="24"/>
                <w:szCs w:val="24"/>
                <w:lang w:val="en-US" w:eastAsia="zh-CN"/>
              </w:rPr>
              <w:t>厚高密度聚乙烯膜等人工防渗材料（渗透系数不大于</w:t>
            </w:r>
            <w:r>
              <w:rPr>
                <w:rFonts w:hint="default"/>
                <w:color w:val="auto"/>
                <w:sz w:val="24"/>
                <w:szCs w:val="24"/>
                <w:lang w:val="en-US" w:eastAsia="zh-CN"/>
              </w:rPr>
              <w:t>10</w:t>
            </w:r>
            <w:r>
              <w:rPr>
                <w:rFonts w:hint="default"/>
                <w:color w:val="auto"/>
                <w:sz w:val="24"/>
                <w:szCs w:val="24"/>
                <w:vertAlign w:val="superscript"/>
                <w:lang w:val="en-US" w:eastAsia="zh-CN"/>
              </w:rPr>
              <w:t xml:space="preserve"> -10</w:t>
            </w:r>
            <w:r>
              <w:rPr>
                <w:rFonts w:hint="default"/>
                <w:color w:val="auto"/>
                <w:sz w:val="24"/>
                <w:szCs w:val="24"/>
                <w:lang w:val="en-US" w:eastAsia="zh-CN"/>
              </w:rPr>
              <w:t>cm/s</w:t>
            </w:r>
            <w:r>
              <w:rPr>
                <w:rFonts w:hint="eastAsia"/>
                <w:color w:val="auto"/>
                <w:sz w:val="24"/>
                <w:szCs w:val="24"/>
                <w:lang w:val="en-US" w:eastAsia="zh-CN"/>
              </w:rPr>
              <w:t>）</w:t>
            </w:r>
            <w:r>
              <w:rPr>
                <w:rFonts w:hint="eastAsia"/>
                <w:color w:val="auto"/>
                <w:sz w:val="24"/>
                <w:szCs w:val="24"/>
              </w:rPr>
              <w:t>。</w:t>
            </w:r>
            <w:r>
              <w:rPr>
                <w:color w:val="auto"/>
                <w:sz w:val="24"/>
                <w:szCs w:val="24"/>
              </w:rPr>
              <w:t>一般防渗区：拟建项目一般固废暂存间</w:t>
            </w:r>
            <w:r>
              <w:rPr>
                <w:rFonts w:hint="eastAsia"/>
                <w:color w:val="auto"/>
                <w:sz w:val="24"/>
                <w:szCs w:val="24"/>
              </w:rPr>
              <w:t>及</w:t>
            </w:r>
            <w:r>
              <w:rPr>
                <w:color w:val="auto"/>
                <w:sz w:val="24"/>
                <w:szCs w:val="24"/>
              </w:rPr>
              <w:t>其他</w:t>
            </w:r>
            <w:r>
              <w:rPr>
                <w:rFonts w:hint="eastAsia"/>
                <w:color w:val="auto"/>
                <w:sz w:val="24"/>
                <w:szCs w:val="24"/>
              </w:rPr>
              <w:t>生产</w:t>
            </w:r>
            <w:r>
              <w:rPr>
                <w:color w:val="auto"/>
                <w:sz w:val="24"/>
                <w:szCs w:val="24"/>
              </w:rPr>
              <w:t>区域为一般防渗区。一般污染防渗区的防渗性能要求不低1.5m厚渗透系数为1.0×10</w:t>
            </w:r>
            <w:r>
              <w:rPr>
                <w:color w:val="auto"/>
                <w:sz w:val="24"/>
                <w:szCs w:val="24"/>
                <w:vertAlign w:val="superscript"/>
              </w:rPr>
              <w:t>-7</w:t>
            </w:r>
            <w:r>
              <w:rPr>
                <w:color w:val="auto"/>
                <w:sz w:val="24"/>
                <w:szCs w:val="24"/>
              </w:rPr>
              <w:t>cm/s的黏土层防渗性能。简单防渗区：</w:t>
            </w:r>
            <w:r>
              <w:rPr>
                <w:rFonts w:hint="eastAsia"/>
                <w:color w:val="auto"/>
                <w:sz w:val="24"/>
                <w:szCs w:val="24"/>
                <w:lang w:eastAsia="zh-CN"/>
              </w:rPr>
              <w:t>综合楼、过道</w:t>
            </w:r>
            <w:r>
              <w:rPr>
                <w:rFonts w:hint="eastAsia"/>
                <w:color w:val="auto"/>
                <w:sz w:val="24"/>
                <w:szCs w:val="24"/>
              </w:rPr>
              <w:t>等</w:t>
            </w:r>
            <w:r>
              <w:rPr>
                <w:color w:val="auto"/>
                <w:sz w:val="24"/>
                <w:szCs w:val="24"/>
              </w:rPr>
              <w:t>其他区域做简单防渗。</w:t>
            </w:r>
            <w:r>
              <w:rPr>
                <w:rFonts w:hint="eastAsia"/>
                <w:color w:val="auto"/>
                <w:sz w:val="24"/>
                <w:szCs w:val="24"/>
              </w:rPr>
              <w:t>相关部门对设备设施检查、维护，要制定严格的检修标准、周期和考核标准，落实责任人，检查、维修人员要按照相关标准认真执行，定检后要验收，并做好记录。项目危险废物不得与其他垃圾混存，必须委托具有危险废物处理资质的单位进行回收处置，禁止私自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09"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w:t>
            </w:r>
          </w:p>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措施</w:t>
            </w:r>
          </w:p>
        </w:tc>
        <w:tc>
          <w:tcPr>
            <w:tcW w:w="4390" w:type="pct"/>
            <w:gridSpan w:val="4"/>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w:t>
            </w:r>
          </w:p>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防范措施</w:t>
            </w:r>
          </w:p>
        </w:tc>
        <w:tc>
          <w:tcPr>
            <w:tcW w:w="4390" w:type="pct"/>
            <w:gridSpan w:val="4"/>
          </w:tcPr>
          <w:p>
            <w:pPr>
              <w:pStyle w:val="84"/>
              <w:spacing w:line="360" w:lineRule="auto"/>
              <w:ind w:firstLine="480"/>
              <w:jc w:val="both"/>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①危废暂存间做重点防渗处理；防渗性能参照《危险废物贮存污染控制标准》（GB18597—2023）。危废暂存间内部根据危险废物类分开存放，危废暂存间危废下方设置托盘，危废暂存间内应设置截流设施；</w:t>
            </w:r>
          </w:p>
          <w:p>
            <w:pPr>
              <w:pStyle w:val="84"/>
              <w:spacing w:line="360" w:lineRule="auto"/>
              <w:ind w:left="0" w:leftChars="0" w:firstLine="0" w:firstLineChars="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w:t>
            </w:r>
            <w:r>
              <w:rPr>
                <w:rFonts w:hint="eastAsia"/>
                <w:color w:val="auto"/>
                <w:sz w:val="24"/>
                <w:szCs w:val="24"/>
                <w:highlight w:val="none"/>
              </w:rPr>
              <w:t>危废暂存间、化学品库、空压机房</w:t>
            </w:r>
            <w:r>
              <w:rPr>
                <w:color w:val="auto"/>
                <w:sz w:val="24"/>
                <w:szCs w:val="24"/>
              </w:rPr>
              <w:t>为重点防渗区。重点防渗区的防渗性能要求不低6.0m厚渗透系数为1.0×10</w:t>
            </w:r>
            <w:r>
              <w:rPr>
                <w:color w:val="auto"/>
                <w:sz w:val="24"/>
                <w:szCs w:val="24"/>
                <w:vertAlign w:val="superscript"/>
              </w:rPr>
              <w:t>-7</w:t>
            </w:r>
            <w:r>
              <w:rPr>
                <w:color w:val="auto"/>
                <w:sz w:val="24"/>
                <w:szCs w:val="24"/>
              </w:rPr>
              <w:t>cm/s的黏土层防渗性能，并采取防腐措施，危险废物暂存间按</w:t>
            </w:r>
            <w:r>
              <w:rPr>
                <w:rFonts w:hint="eastAsia"/>
                <w:color w:val="auto"/>
                <w:sz w:val="24"/>
                <w:szCs w:val="24"/>
                <w:lang w:eastAsia="zh-CN"/>
              </w:rPr>
              <w:t>《危险废物贮存污染控制标准》（GB18597—2023）</w:t>
            </w:r>
            <w:r>
              <w:rPr>
                <w:rFonts w:hint="eastAsia"/>
                <w:color w:val="auto"/>
                <w:sz w:val="24"/>
                <w:szCs w:val="24"/>
              </w:rPr>
              <w:t>，</w:t>
            </w:r>
            <w:r>
              <w:rPr>
                <w:rFonts w:hint="eastAsia"/>
                <w:color w:val="auto"/>
                <w:sz w:val="24"/>
                <w:szCs w:val="24"/>
                <w:lang w:val="en-US" w:eastAsia="zh-CN"/>
              </w:rPr>
              <w:t>防渗层为至少</w:t>
            </w:r>
            <w:r>
              <w:rPr>
                <w:rFonts w:hint="default"/>
                <w:color w:val="auto"/>
                <w:sz w:val="24"/>
                <w:szCs w:val="24"/>
                <w:lang w:val="en-US" w:eastAsia="zh-CN"/>
              </w:rPr>
              <w:t>1 m</w:t>
            </w:r>
            <w:r>
              <w:rPr>
                <w:rFonts w:hint="eastAsia"/>
                <w:color w:val="auto"/>
                <w:sz w:val="24"/>
                <w:szCs w:val="24"/>
                <w:lang w:val="en-US" w:eastAsia="zh-CN"/>
              </w:rPr>
              <w:t>厚黏土层（渗透系数不大于</w:t>
            </w:r>
            <w:r>
              <w:rPr>
                <w:rFonts w:hint="default"/>
                <w:color w:val="auto"/>
                <w:sz w:val="24"/>
                <w:szCs w:val="24"/>
                <w:lang w:val="en-US" w:eastAsia="zh-CN"/>
              </w:rPr>
              <w:t>10</w:t>
            </w:r>
            <w:r>
              <w:rPr>
                <w:rFonts w:hint="default"/>
                <w:color w:val="auto"/>
                <w:sz w:val="24"/>
                <w:szCs w:val="24"/>
                <w:vertAlign w:val="superscript"/>
                <w:lang w:val="en-US" w:eastAsia="zh-CN"/>
              </w:rPr>
              <w:t>-7</w:t>
            </w:r>
            <w:r>
              <w:rPr>
                <w:rFonts w:hint="default"/>
                <w:color w:val="auto"/>
                <w:sz w:val="24"/>
                <w:szCs w:val="24"/>
                <w:lang w:val="en-US" w:eastAsia="zh-CN"/>
              </w:rPr>
              <w:t xml:space="preserve"> cm/s</w:t>
            </w:r>
            <w:r>
              <w:rPr>
                <w:rFonts w:hint="eastAsia"/>
                <w:color w:val="auto"/>
                <w:sz w:val="24"/>
                <w:szCs w:val="24"/>
                <w:lang w:val="en-US" w:eastAsia="zh-CN"/>
              </w:rPr>
              <w:t>），或至少</w:t>
            </w:r>
            <w:r>
              <w:rPr>
                <w:rFonts w:hint="default"/>
                <w:color w:val="auto"/>
                <w:sz w:val="24"/>
                <w:szCs w:val="24"/>
                <w:lang w:val="en-US" w:eastAsia="zh-CN"/>
              </w:rPr>
              <w:t>2mm</w:t>
            </w:r>
            <w:r>
              <w:rPr>
                <w:rFonts w:hint="eastAsia"/>
                <w:color w:val="auto"/>
                <w:sz w:val="24"/>
                <w:szCs w:val="24"/>
                <w:lang w:val="en-US" w:eastAsia="zh-CN"/>
              </w:rPr>
              <w:t>厚高密度聚乙烯膜等人工防渗材料（渗透系数不大于</w:t>
            </w:r>
            <w:r>
              <w:rPr>
                <w:rFonts w:hint="default"/>
                <w:color w:val="auto"/>
                <w:sz w:val="24"/>
                <w:szCs w:val="24"/>
                <w:lang w:val="en-US" w:eastAsia="zh-CN"/>
              </w:rPr>
              <w:t>10</w:t>
            </w:r>
            <w:r>
              <w:rPr>
                <w:rFonts w:hint="default"/>
                <w:color w:val="auto"/>
                <w:sz w:val="24"/>
                <w:szCs w:val="24"/>
                <w:vertAlign w:val="superscript"/>
                <w:lang w:val="en-US" w:eastAsia="zh-CN"/>
              </w:rPr>
              <w:t xml:space="preserve"> -10</w:t>
            </w:r>
            <w:r>
              <w:rPr>
                <w:rFonts w:hint="default"/>
                <w:color w:val="auto"/>
                <w:sz w:val="24"/>
                <w:szCs w:val="24"/>
                <w:lang w:val="en-US" w:eastAsia="zh-CN"/>
              </w:rPr>
              <w:t>cm/s</w:t>
            </w:r>
            <w:r>
              <w:rPr>
                <w:rFonts w:hint="eastAsia"/>
                <w:color w:val="auto"/>
                <w:sz w:val="24"/>
                <w:szCs w:val="24"/>
                <w:lang w:val="en-US" w:eastAsia="zh-CN"/>
              </w:rPr>
              <w:t>）</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在物料下方设置托盘，防止其泄漏；在不同物料间增加隔断，分区存放，并在周边张贴禁止火源的标志，四周禁止有火源。</w:t>
            </w:r>
          </w:p>
          <w:p>
            <w:pPr>
              <w:pStyle w:val="84"/>
              <w:spacing w:line="360" w:lineRule="auto"/>
              <w:ind w:firstLine="480"/>
              <w:jc w:val="both"/>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kern w:val="2"/>
                <w:sz w:val="24"/>
                <w:szCs w:val="24"/>
                <w:highlight w:val="none"/>
                <w:lang w:val="en-US" w:eastAsia="zh-CN" w:bidi="ar-SA"/>
              </w:rPr>
              <w:t>③设置环保管理机构，建立有环境保护管理制度，定期组织综合应急演练，编制有突发环境事件风险评估和应急预案。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09" w:type="pct"/>
            <w:vAlign w:val="center"/>
          </w:tcPr>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w:t>
            </w:r>
          </w:p>
          <w:p>
            <w:pPr>
              <w:pStyle w:val="41"/>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管理要求</w:t>
            </w:r>
          </w:p>
        </w:tc>
        <w:tc>
          <w:tcPr>
            <w:tcW w:w="4390" w:type="pct"/>
            <w:gridSpan w:val="4"/>
            <w:vAlign w:val="center"/>
          </w:tcPr>
          <w:p>
            <w:pPr>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环境管理制度：按环保部门有关规定办理环评、验收及相关手续。符合环保“三同时”规定，运行正常，建立环境管理机构；环境保护档案齐 全，有环境保护管理机构和人员，环境保护设施维护专人管理。</w:t>
            </w:r>
          </w:p>
          <w:p>
            <w:pPr>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排污口规范设置：</w:t>
            </w:r>
          </w:p>
          <w:p>
            <w:pPr>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①废气排气筒应修建采样平台，设置监测采样口，采样口的设置应符合《污染源技术规范》要求；采样口必须设置常备电源；排气筒应设置标志牌。</w:t>
            </w:r>
          </w:p>
          <w:p>
            <w:pPr>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②危险废物暂存间、一般工业固废暂存间应设置标志牌。</w:t>
            </w:r>
          </w:p>
          <w:p>
            <w:pPr>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③工业企业厂界噪声测点应在法定厂界外1米，高度1.2米以上的噪声敏感处，在固定噪声源厂界噪声敏感且对外界影响最大处设置监测点。</w:t>
            </w:r>
          </w:p>
          <w:p>
            <w:pPr>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④排污口必须按照国家颁布的有关污染物强制性排放标准的要求，设置排污口标志牌。标志牌设置应距污染物排污口及固体废物贮存区或采样、 监测点附近且醒目处，并能长久保留。可根据情况分别选择设置立式或平面固定式标志牌，在地面设置标志牌上缘距离地面2m。标志牌制作 和规格参照《关于印发排污口标志牌技术规格的通知》（环办[2003]95号）执行</w:t>
            </w:r>
            <w:r>
              <w:rPr>
                <w:rFonts w:hint="eastAsia" w:cs="Times New Roman"/>
                <w:color w:val="auto"/>
                <w:sz w:val="24"/>
                <w:szCs w:val="24"/>
                <w:lang w:val="en-US" w:eastAsia="zh-CN"/>
              </w:rPr>
              <w:t>。</w:t>
            </w:r>
          </w:p>
        </w:tc>
      </w:tr>
    </w:tbl>
    <w:p>
      <w:pPr>
        <w:rPr>
          <w:color w:val="auto"/>
        </w:rPr>
        <w:sectPr>
          <w:pgSz w:w="16838" w:h="11906" w:orient="landscape"/>
          <w:pgMar w:top="1531" w:right="1701" w:bottom="1531" w:left="1701" w:header="851" w:footer="851" w:gutter="0"/>
          <w:cols w:space="720" w:num="1"/>
          <w:docGrid w:linePitch="312" w:charSpace="0"/>
        </w:sectPr>
      </w:pPr>
    </w:p>
    <w:p>
      <w:pPr>
        <w:pStyle w:val="20"/>
        <w:jc w:val="center"/>
        <w:outlineLvl w:val="0"/>
        <w:rPr>
          <w:rFonts w:ascii="Times New Roman" w:hAnsi="Times New Roman"/>
          <w:snapToGrid w:val="0"/>
          <w:color w:val="auto"/>
          <w:sz w:val="30"/>
          <w:szCs w:val="30"/>
        </w:rPr>
      </w:pPr>
      <w:r>
        <w:rPr>
          <w:rFonts w:hint="eastAsia" w:ascii="Times New Roman" w:hAnsi="Times New Roman"/>
          <w:snapToGrid w:val="0"/>
          <w:color w:val="auto"/>
          <w:sz w:val="30"/>
          <w:szCs w:val="30"/>
        </w:rPr>
        <w:t>六、结论</w:t>
      </w:r>
    </w:p>
    <w:tbl>
      <w:tblPr>
        <w:tblStyle w:val="2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8" w:hRule="atLeast"/>
          <w:jc w:val="center"/>
        </w:trPr>
        <w:tc>
          <w:tcPr>
            <w:tcW w:w="3247" w:type="pct"/>
          </w:tcPr>
          <w:p>
            <w:pPr>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拟建项目</w:t>
            </w:r>
            <w:r>
              <w:rPr>
                <w:rFonts w:hint="default" w:ascii="Times New Roman" w:hAnsi="Times New Roman" w:cs="Times New Roman"/>
                <w:color w:val="auto"/>
              </w:rPr>
              <w:t>符合国家产业政策</w:t>
            </w:r>
            <w:r>
              <w:rPr>
                <w:rFonts w:hint="eastAsia" w:cs="Times New Roman"/>
                <w:color w:val="auto"/>
                <w:lang w:eastAsia="zh-CN"/>
              </w:rPr>
              <w:t>，</w:t>
            </w:r>
            <w:r>
              <w:rPr>
                <w:rFonts w:hint="default" w:ascii="Times New Roman" w:hAnsi="Times New Roman" w:cs="Times New Roman"/>
                <w:color w:val="auto"/>
              </w:rPr>
              <w:t>符合城市总体规划，符合铜梁高新区蒲吕片区的产业定位要求，选址合理；外排污染物经有效治理措施治理后，能够做到达标排放，对环境影响在可接受范围内；因此，从环境保护角度来说，本评价认为“重庆冠华包装科技有限公司塑料包装、塑料膜生产项目”建设可行。</w:t>
            </w: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480"/>
              <w:rPr>
                <w:rFonts w:cs="宋体"/>
                <w:color w:val="auto"/>
                <w:sz w:val="24"/>
              </w:rPr>
            </w:pPr>
          </w:p>
          <w:p>
            <w:pPr>
              <w:pStyle w:val="33"/>
              <w:ind w:left="0" w:leftChars="0"/>
              <w:jc w:val="both"/>
              <w:rPr>
                <w:rFonts w:cs="宋体"/>
                <w:color w:val="auto"/>
                <w:sz w:val="24"/>
              </w:rPr>
            </w:pPr>
          </w:p>
        </w:tc>
      </w:tr>
    </w:tbl>
    <w:p>
      <w:pPr>
        <w:pStyle w:val="36"/>
        <w:rPr>
          <w:rFonts w:hint="default" w:eastAsia="宋体"/>
          <w:color w:val="auto"/>
          <w:lang w:val="en-US" w:eastAsia="zh-CN"/>
        </w:rPr>
        <w:sectPr>
          <w:pgSz w:w="11906" w:h="16838"/>
          <w:pgMar w:top="1701" w:right="1531" w:bottom="1701" w:left="1531" w:header="851" w:footer="851" w:gutter="0"/>
          <w:cols w:space="720" w:num="1"/>
          <w:docGrid w:linePitch="312" w:charSpace="0"/>
        </w:sectPr>
      </w:pPr>
    </w:p>
    <w:p>
      <w:pPr>
        <w:pStyle w:val="20"/>
        <w:adjustRightInd w:val="0"/>
        <w:snapToGrid w:val="0"/>
        <w:spacing w:before="0" w:beforeAutospacing="0" w:after="0" w:afterAutospacing="0" w:line="648" w:lineRule="auto"/>
        <w:outlineLvl w:val="0"/>
        <w:rPr>
          <w:rFonts w:ascii="Times New Roman" w:hAnsi="Times New Roman"/>
          <w:snapToGrid w:val="0"/>
          <w:color w:val="auto"/>
          <w:sz w:val="32"/>
          <w:szCs w:val="32"/>
        </w:rPr>
      </w:pPr>
      <w:r>
        <w:rPr>
          <w:rFonts w:hint="eastAsia" w:ascii="Times New Roman" w:hAnsi="Times New Roman"/>
          <w:snapToGrid w:val="0"/>
          <w:color w:val="auto"/>
          <w:sz w:val="32"/>
          <w:szCs w:val="32"/>
        </w:rPr>
        <w:t>附表</w:t>
      </w:r>
    </w:p>
    <w:p>
      <w:pPr>
        <w:pStyle w:val="20"/>
        <w:adjustRightInd w:val="0"/>
        <w:snapToGrid w:val="0"/>
        <w:spacing w:before="0" w:beforeAutospacing="0" w:after="0" w:afterAutospacing="0" w:line="360" w:lineRule="auto"/>
        <w:jc w:val="center"/>
        <w:outlineLvl w:val="0"/>
        <w:rPr>
          <w:rFonts w:hint="eastAsia" w:ascii="Times New Roman" w:hAnsi="Times New Roman"/>
          <w:snapToGrid w:val="0"/>
          <w:color w:val="auto"/>
          <w:sz w:val="38"/>
          <w:szCs w:val="38"/>
        </w:rPr>
      </w:pPr>
      <w:r>
        <w:rPr>
          <w:rFonts w:hint="eastAsia" w:ascii="Times New Roman" w:hAnsi="Times New Roman"/>
          <w:snapToGrid w:val="0"/>
          <w:color w:val="auto"/>
          <w:sz w:val="38"/>
          <w:szCs w:val="38"/>
        </w:rPr>
        <w:t>建设项目污染物排放量汇总表</w:t>
      </w:r>
    </w:p>
    <w:tbl>
      <w:tblPr>
        <w:tblStyle w:val="2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695"/>
        <w:gridCol w:w="1654"/>
        <w:gridCol w:w="1255"/>
        <w:gridCol w:w="1711"/>
        <w:gridCol w:w="1525"/>
        <w:gridCol w:w="1722"/>
        <w:gridCol w:w="1398"/>
        <w:gridCol w:w="13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44" w:type="pct"/>
            <w:tcBorders>
              <w:tl2br w:val="single" w:color="auto" w:sz="4" w:space="0"/>
            </w:tcBorders>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right"/>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项目</w:t>
            </w:r>
          </w:p>
          <w:p>
            <w:pPr>
              <w:kinsoku w:val="0"/>
              <w:overflowPunct w:val="0"/>
              <w:autoSpaceDE w:val="0"/>
              <w:autoSpaceDN w:val="0"/>
              <w:adjustRightInd w:val="0"/>
              <w:snapToGrid w:val="0"/>
              <w:spacing w:line="240" w:lineRule="auto"/>
              <w:ind w:firstLine="0" w:firstLineChars="0"/>
              <w:jc w:val="left"/>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分类</w:t>
            </w:r>
          </w:p>
        </w:tc>
        <w:tc>
          <w:tcPr>
            <w:tcW w:w="628" w:type="pct"/>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污染物名称</w:t>
            </w:r>
          </w:p>
        </w:tc>
        <w:tc>
          <w:tcPr>
            <w:tcW w:w="613" w:type="pct"/>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现有工程</w:t>
            </w:r>
          </w:p>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排放量（固体废物产生量）</w:t>
            </w:r>
            <w:r>
              <w:rPr>
                <w:rFonts w:ascii="Times New Roman" w:hAnsi="Times New Roman" w:cs="Times New Roman"/>
                <w:b/>
                <w:color w:val="auto"/>
                <w:spacing w:val="-6"/>
                <w:kern w:val="21"/>
                <w:sz w:val="24"/>
                <w:szCs w:val="24"/>
              </w:rPr>
              <w:fldChar w:fldCharType="begin"/>
            </w:r>
            <w:r>
              <w:rPr>
                <w:rFonts w:ascii="Times New Roman" w:hAnsi="Times New Roman" w:cs="Times New Roman"/>
                <w:b/>
                <w:color w:val="auto"/>
                <w:spacing w:val="-6"/>
                <w:kern w:val="21"/>
                <w:sz w:val="24"/>
                <w:szCs w:val="24"/>
              </w:rPr>
              <w:instrText xml:space="preserve"> = 1 \* GB3 \* MERGEFORMAT </w:instrText>
            </w:r>
            <w:r>
              <w:rPr>
                <w:rFonts w:ascii="Times New Roman" w:hAnsi="Times New Roman" w:cs="Times New Roman"/>
                <w:b/>
                <w:color w:val="auto"/>
                <w:spacing w:val="-6"/>
                <w:kern w:val="21"/>
                <w:sz w:val="24"/>
                <w:szCs w:val="24"/>
              </w:rPr>
              <w:fldChar w:fldCharType="separate"/>
            </w:r>
            <w:r>
              <w:rPr>
                <w:rFonts w:ascii="Times New Roman" w:hAnsi="Times New Roman" w:cs="Times New Roman"/>
                <w:b/>
                <w:color w:val="auto"/>
                <w:kern w:val="2"/>
                <w:sz w:val="24"/>
                <w:szCs w:val="24"/>
              </w:rPr>
              <w:t>①</w:t>
            </w:r>
            <w:r>
              <w:rPr>
                <w:rFonts w:ascii="Times New Roman" w:hAnsi="Times New Roman" w:cs="Times New Roman"/>
                <w:b/>
                <w:color w:val="auto"/>
                <w:spacing w:val="-6"/>
                <w:kern w:val="21"/>
                <w:sz w:val="24"/>
                <w:szCs w:val="24"/>
              </w:rPr>
              <w:fldChar w:fldCharType="end"/>
            </w:r>
          </w:p>
        </w:tc>
        <w:tc>
          <w:tcPr>
            <w:tcW w:w="465" w:type="pct"/>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现有工程</w:t>
            </w:r>
          </w:p>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许可排放量</w:t>
            </w:r>
          </w:p>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fldChar w:fldCharType="begin"/>
            </w:r>
            <w:r>
              <w:rPr>
                <w:rFonts w:ascii="Times New Roman" w:hAnsi="Times New Roman" w:cs="Times New Roman"/>
                <w:b/>
                <w:color w:val="auto"/>
                <w:spacing w:val="-6"/>
                <w:kern w:val="21"/>
                <w:sz w:val="24"/>
                <w:szCs w:val="24"/>
              </w:rPr>
              <w:instrText xml:space="preserve"> = 2 \* GB3 \* MERGEFORMAT </w:instrText>
            </w:r>
            <w:r>
              <w:rPr>
                <w:rFonts w:ascii="Times New Roman" w:hAnsi="Times New Roman" w:cs="Times New Roman"/>
                <w:b/>
                <w:color w:val="auto"/>
                <w:spacing w:val="-6"/>
                <w:kern w:val="21"/>
                <w:sz w:val="24"/>
                <w:szCs w:val="24"/>
              </w:rPr>
              <w:fldChar w:fldCharType="separate"/>
            </w:r>
            <w:r>
              <w:rPr>
                <w:rFonts w:ascii="Times New Roman" w:hAnsi="Times New Roman" w:cs="Times New Roman"/>
                <w:b/>
                <w:color w:val="auto"/>
                <w:spacing w:val="-6"/>
                <w:kern w:val="21"/>
                <w:sz w:val="24"/>
                <w:szCs w:val="24"/>
              </w:rPr>
              <w:t>②</w:t>
            </w:r>
            <w:r>
              <w:rPr>
                <w:rFonts w:ascii="Times New Roman" w:hAnsi="Times New Roman" w:cs="Times New Roman"/>
                <w:b/>
                <w:color w:val="auto"/>
                <w:spacing w:val="-6"/>
                <w:kern w:val="21"/>
                <w:sz w:val="24"/>
                <w:szCs w:val="24"/>
              </w:rPr>
              <w:fldChar w:fldCharType="end"/>
            </w:r>
          </w:p>
        </w:tc>
        <w:tc>
          <w:tcPr>
            <w:tcW w:w="634" w:type="pct"/>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在建工程</w:t>
            </w:r>
          </w:p>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排放量（固体废物产生量）</w:t>
            </w:r>
            <w:r>
              <w:rPr>
                <w:rFonts w:ascii="Times New Roman" w:hAnsi="Times New Roman" w:cs="Times New Roman"/>
                <w:b/>
                <w:color w:val="auto"/>
                <w:spacing w:val="-6"/>
                <w:kern w:val="21"/>
                <w:sz w:val="24"/>
                <w:szCs w:val="24"/>
              </w:rPr>
              <w:fldChar w:fldCharType="begin"/>
            </w:r>
            <w:r>
              <w:rPr>
                <w:rFonts w:ascii="Times New Roman" w:hAnsi="Times New Roman" w:cs="Times New Roman"/>
                <w:b/>
                <w:color w:val="auto"/>
                <w:spacing w:val="-6"/>
                <w:kern w:val="21"/>
                <w:sz w:val="24"/>
                <w:szCs w:val="24"/>
              </w:rPr>
              <w:instrText xml:space="preserve"> = 3 \* GB3 \* MERGEFORMAT </w:instrText>
            </w:r>
            <w:r>
              <w:rPr>
                <w:rFonts w:ascii="Times New Roman" w:hAnsi="Times New Roman" w:cs="Times New Roman"/>
                <w:b/>
                <w:color w:val="auto"/>
                <w:spacing w:val="-6"/>
                <w:kern w:val="21"/>
                <w:sz w:val="24"/>
                <w:szCs w:val="24"/>
              </w:rPr>
              <w:fldChar w:fldCharType="separate"/>
            </w:r>
            <w:r>
              <w:rPr>
                <w:rFonts w:ascii="Times New Roman" w:hAnsi="Times New Roman" w:cs="Times New Roman"/>
                <w:b/>
                <w:color w:val="auto"/>
                <w:kern w:val="2"/>
                <w:sz w:val="24"/>
                <w:szCs w:val="24"/>
              </w:rPr>
              <w:t>③</w:t>
            </w:r>
            <w:r>
              <w:rPr>
                <w:rFonts w:ascii="Times New Roman" w:hAnsi="Times New Roman" w:cs="Times New Roman"/>
                <w:b/>
                <w:color w:val="auto"/>
                <w:spacing w:val="-6"/>
                <w:kern w:val="21"/>
                <w:sz w:val="24"/>
                <w:szCs w:val="24"/>
              </w:rPr>
              <w:fldChar w:fldCharType="end"/>
            </w:r>
          </w:p>
        </w:tc>
        <w:tc>
          <w:tcPr>
            <w:tcW w:w="565" w:type="pct"/>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color w:val="auto"/>
                <w:spacing w:val="-6"/>
                <w:kern w:val="21"/>
                <w:sz w:val="24"/>
                <w:szCs w:val="24"/>
                <w:lang w:eastAsia="zh-CN"/>
              </w:rPr>
            </w:pPr>
            <w:r>
              <w:rPr>
                <w:rFonts w:hint="default" w:ascii="Times New Roman" w:hAnsi="Times New Roman" w:cs="Times New Roman"/>
                <w:b/>
                <w:color w:val="auto"/>
                <w:spacing w:val="-6"/>
                <w:kern w:val="21"/>
                <w:sz w:val="24"/>
                <w:szCs w:val="24"/>
                <w:lang w:eastAsia="zh-CN"/>
              </w:rPr>
              <w:t>拟建项目</w:t>
            </w:r>
          </w:p>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排放量（固体废物产生量）</w:t>
            </w:r>
            <w:r>
              <w:rPr>
                <w:rFonts w:ascii="Times New Roman" w:hAnsi="Times New Roman" w:cs="Times New Roman"/>
                <w:b/>
                <w:color w:val="auto"/>
                <w:spacing w:val="-6"/>
                <w:kern w:val="21"/>
                <w:sz w:val="24"/>
                <w:szCs w:val="24"/>
              </w:rPr>
              <w:fldChar w:fldCharType="begin"/>
            </w:r>
            <w:r>
              <w:rPr>
                <w:rFonts w:ascii="Times New Roman" w:hAnsi="Times New Roman" w:cs="Times New Roman"/>
                <w:b/>
                <w:color w:val="auto"/>
                <w:spacing w:val="-6"/>
                <w:kern w:val="21"/>
                <w:sz w:val="24"/>
                <w:szCs w:val="24"/>
              </w:rPr>
              <w:instrText xml:space="preserve"> = 4 \* GB3 \* MERGEFORMAT </w:instrText>
            </w:r>
            <w:r>
              <w:rPr>
                <w:rFonts w:ascii="Times New Roman" w:hAnsi="Times New Roman" w:cs="Times New Roman"/>
                <w:b/>
                <w:color w:val="auto"/>
                <w:spacing w:val="-6"/>
                <w:kern w:val="21"/>
                <w:sz w:val="24"/>
                <w:szCs w:val="24"/>
              </w:rPr>
              <w:fldChar w:fldCharType="separate"/>
            </w:r>
            <w:r>
              <w:rPr>
                <w:rFonts w:ascii="Times New Roman" w:hAnsi="Times New Roman" w:cs="Times New Roman"/>
                <w:b/>
                <w:color w:val="auto"/>
                <w:kern w:val="2"/>
                <w:sz w:val="24"/>
                <w:szCs w:val="24"/>
              </w:rPr>
              <w:t>④</w:t>
            </w:r>
            <w:r>
              <w:rPr>
                <w:rFonts w:ascii="Times New Roman" w:hAnsi="Times New Roman" w:cs="Times New Roman"/>
                <w:b/>
                <w:color w:val="auto"/>
                <w:spacing w:val="-6"/>
                <w:kern w:val="21"/>
                <w:sz w:val="24"/>
                <w:szCs w:val="24"/>
              </w:rPr>
              <w:fldChar w:fldCharType="end"/>
            </w:r>
          </w:p>
        </w:tc>
        <w:tc>
          <w:tcPr>
            <w:tcW w:w="638" w:type="pct"/>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16"/>
                <w:kern w:val="21"/>
                <w:sz w:val="24"/>
                <w:szCs w:val="24"/>
              </w:rPr>
            </w:pPr>
            <w:r>
              <w:rPr>
                <w:rFonts w:ascii="Times New Roman" w:hAnsi="Times New Roman" w:cs="Times New Roman"/>
                <w:b/>
                <w:color w:val="auto"/>
                <w:spacing w:val="-16"/>
                <w:kern w:val="21"/>
                <w:sz w:val="24"/>
                <w:szCs w:val="24"/>
              </w:rPr>
              <w:t>以新带老削减量</w:t>
            </w:r>
          </w:p>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16"/>
                <w:kern w:val="21"/>
                <w:sz w:val="24"/>
                <w:szCs w:val="24"/>
              </w:rPr>
            </w:pPr>
            <w:r>
              <w:rPr>
                <w:rFonts w:ascii="Times New Roman" w:hAnsi="Times New Roman" w:cs="Times New Roman"/>
                <w:b/>
                <w:color w:val="auto"/>
                <w:spacing w:val="-16"/>
                <w:kern w:val="21"/>
                <w:sz w:val="24"/>
                <w:szCs w:val="24"/>
              </w:rPr>
              <w:t>（新建项目不填）</w:t>
            </w:r>
            <w:r>
              <w:rPr>
                <w:rFonts w:ascii="Times New Roman" w:hAnsi="Times New Roman" w:cs="Times New Roman"/>
                <w:b/>
                <w:color w:val="auto"/>
                <w:spacing w:val="-16"/>
                <w:kern w:val="21"/>
                <w:sz w:val="24"/>
                <w:szCs w:val="24"/>
              </w:rPr>
              <w:fldChar w:fldCharType="begin"/>
            </w:r>
            <w:r>
              <w:rPr>
                <w:rFonts w:ascii="Times New Roman" w:hAnsi="Times New Roman" w:cs="Times New Roman"/>
                <w:b/>
                <w:color w:val="auto"/>
                <w:spacing w:val="-16"/>
                <w:kern w:val="21"/>
                <w:sz w:val="24"/>
                <w:szCs w:val="24"/>
              </w:rPr>
              <w:instrText xml:space="preserve"> = 5 \* GB3 \* MERGEFORMAT </w:instrText>
            </w:r>
            <w:r>
              <w:rPr>
                <w:rFonts w:ascii="Times New Roman" w:hAnsi="Times New Roman" w:cs="Times New Roman"/>
                <w:b/>
                <w:color w:val="auto"/>
                <w:spacing w:val="-16"/>
                <w:kern w:val="21"/>
                <w:sz w:val="24"/>
                <w:szCs w:val="24"/>
              </w:rPr>
              <w:fldChar w:fldCharType="separate"/>
            </w:r>
            <w:r>
              <w:rPr>
                <w:rFonts w:ascii="Times New Roman" w:hAnsi="Times New Roman" w:cs="Times New Roman"/>
                <w:b/>
                <w:color w:val="auto"/>
                <w:kern w:val="2"/>
                <w:sz w:val="24"/>
                <w:szCs w:val="24"/>
              </w:rPr>
              <w:t>⑤</w:t>
            </w:r>
            <w:r>
              <w:rPr>
                <w:rFonts w:ascii="Times New Roman" w:hAnsi="Times New Roman" w:cs="Times New Roman"/>
                <w:b/>
                <w:color w:val="auto"/>
                <w:spacing w:val="-16"/>
                <w:kern w:val="21"/>
                <w:sz w:val="24"/>
                <w:szCs w:val="24"/>
              </w:rPr>
              <w:fldChar w:fldCharType="end"/>
            </w:r>
          </w:p>
        </w:tc>
        <w:tc>
          <w:tcPr>
            <w:tcW w:w="518" w:type="pct"/>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16"/>
                <w:kern w:val="21"/>
                <w:sz w:val="24"/>
                <w:szCs w:val="24"/>
              </w:rPr>
            </w:pPr>
            <w:r>
              <w:rPr>
                <w:rFonts w:hint="default" w:ascii="Times New Roman" w:hAnsi="Times New Roman" w:cs="Times New Roman"/>
                <w:b/>
                <w:color w:val="auto"/>
                <w:spacing w:val="-16"/>
                <w:kern w:val="21"/>
                <w:sz w:val="24"/>
                <w:szCs w:val="24"/>
                <w:lang w:eastAsia="zh-CN"/>
              </w:rPr>
              <w:t>拟建项目</w:t>
            </w:r>
            <w:r>
              <w:rPr>
                <w:rFonts w:ascii="Times New Roman" w:hAnsi="Times New Roman" w:cs="Times New Roman"/>
                <w:b/>
                <w:color w:val="auto"/>
                <w:spacing w:val="-16"/>
                <w:kern w:val="21"/>
                <w:sz w:val="24"/>
                <w:szCs w:val="24"/>
              </w:rPr>
              <w:t>建成后全厂排放量（固体废物产生量）</w:t>
            </w:r>
            <w:r>
              <w:rPr>
                <w:rFonts w:ascii="Times New Roman" w:hAnsi="Times New Roman" w:cs="Times New Roman"/>
                <w:b/>
                <w:color w:val="auto"/>
                <w:spacing w:val="-16"/>
                <w:kern w:val="21"/>
                <w:sz w:val="24"/>
                <w:szCs w:val="24"/>
              </w:rPr>
              <w:fldChar w:fldCharType="begin"/>
            </w:r>
            <w:r>
              <w:rPr>
                <w:rFonts w:ascii="Times New Roman" w:hAnsi="Times New Roman" w:cs="Times New Roman"/>
                <w:b/>
                <w:color w:val="auto"/>
                <w:spacing w:val="-16"/>
                <w:kern w:val="21"/>
                <w:sz w:val="24"/>
                <w:szCs w:val="24"/>
              </w:rPr>
              <w:instrText xml:space="preserve"> = 6 \* GB3 \* MERGEFORMAT </w:instrText>
            </w:r>
            <w:r>
              <w:rPr>
                <w:rFonts w:ascii="Times New Roman" w:hAnsi="Times New Roman" w:cs="Times New Roman"/>
                <w:b/>
                <w:color w:val="auto"/>
                <w:spacing w:val="-16"/>
                <w:kern w:val="21"/>
                <w:sz w:val="24"/>
                <w:szCs w:val="24"/>
              </w:rPr>
              <w:fldChar w:fldCharType="separate"/>
            </w:r>
            <w:r>
              <w:rPr>
                <w:rFonts w:ascii="Times New Roman" w:hAnsi="Times New Roman" w:cs="Times New Roman"/>
                <w:b/>
                <w:color w:val="auto"/>
                <w:kern w:val="2"/>
                <w:sz w:val="24"/>
                <w:szCs w:val="24"/>
              </w:rPr>
              <w:t>⑥</w:t>
            </w:r>
            <w:r>
              <w:rPr>
                <w:rFonts w:ascii="Times New Roman" w:hAnsi="Times New Roman" w:cs="Times New Roman"/>
                <w:b/>
                <w:color w:val="auto"/>
                <w:spacing w:val="-16"/>
                <w:kern w:val="21"/>
                <w:sz w:val="24"/>
                <w:szCs w:val="24"/>
              </w:rPr>
              <w:fldChar w:fldCharType="end"/>
            </w:r>
          </w:p>
        </w:tc>
        <w:tc>
          <w:tcPr>
            <w:tcW w:w="491" w:type="pct"/>
            <w:noWrap w:val="0"/>
            <w:tcMar>
              <w:left w:w="28" w:type="dxa"/>
              <w:right w:w="28" w:type="dxa"/>
            </w:tcMar>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t>变化量</w:t>
            </w:r>
          </w:p>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spacing w:val="-6"/>
                <w:kern w:val="21"/>
                <w:sz w:val="24"/>
                <w:szCs w:val="24"/>
              </w:rPr>
            </w:pPr>
            <w:r>
              <w:rPr>
                <w:rFonts w:ascii="Times New Roman" w:hAnsi="Times New Roman" w:cs="Times New Roman"/>
                <w:b/>
                <w:color w:val="auto"/>
                <w:spacing w:val="-6"/>
                <w:kern w:val="21"/>
                <w:sz w:val="24"/>
                <w:szCs w:val="24"/>
              </w:rPr>
              <w:fldChar w:fldCharType="begin"/>
            </w:r>
            <w:r>
              <w:rPr>
                <w:rFonts w:ascii="Times New Roman" w:hAnsi="Times New Roman" w:cs="Times New Roman"/>
                <w:b/>
                <w:color w:val="auto"/>
                <w:spacing w:val="-6"/>
                <w:kern w:val="21"/>
                <w:sz w:val="24"/>
                <w:szCs w:val="24"/>
              </w:rPr>
              <w:instrText xml:space="preserve"> = 7 \* GB3 \* MERGEFORMAT </w:instrText>
            </w:r>
            <w:r>
              <w:rPr>
                <w:rFonts w:ascii="Times New Roman" w:hAnsi="Times New Roman" w:cs="Times New Roman"/>
                <w:b/>
                <w:color w:val="auto"/>
                <w:spacing w:val="-6"/>
                <w:kern w:val="21"/>
                <w:sz w:val="24"/>
                <w:szCs w:val="24"/>
              </w:rPr>
              <w:fldChar w:fldCharType="separate"/>
            </w:r>
            <w:r>
              <w:rPr>
                <w:rFonts w:ascii="Times New Roman" w:hAnsi="Times New Roman" w:cs="Times New Roman"/>
                <w:b/>
                <w:color w:val="auto"/>
                <w:kern w:val="2"/>
                <w:sz w:val="24"/>
                <w:szCs w:val="24"/>
              </w:rPr>
              <w:t>⑦</w:t>
            </w:r>
            <w:r>
              <w:rPr>
                <w:rFonts w:ascii="Times New Roman" w:hAnsi="Times New Roman" w:cs="Times New Roman"/>
                <w:b/>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4" w:type="pct"/>
            <w:vMerge w:val="restart"/>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r>
              <w:rPr>
                <w:rFonts w:ascii="Times New Roman" w:hAnsi="Times New Roman" w:cs="Times New Roman"/>
                <w:b/>
                <w:color w:val="auto"/>
                <w:kern w:val="21"/>
                <w:sz w:val="24"/>
                <w:szCs w:val="24"/>
              </w:rPr>
              <w:t>废气</w:t>
            </w:r>
          </w:p>
        </w:tc>
        <w:tc>
          <w:tcPr>
            <w:tcW w:w="628" w:type="pct"/>
            <w:noWrap w:val="0"/>
            <w:vAlign w:val="center"/>
          </w:tcPr>
          <w:p>
            <w:pPr>
              <w:kinsoku w:val="0"/>
              <w:overflowPunct w:val="0"/>
              <w:autoSpaceDE w:val="0"/>
              <w:autoSpaceDN w:val="0"/>
              <w:adjustRightInd w:val="0"/>
              <w:snapToGrid w:val="0"/>
              <w:spacing w:line="240" w:lineRule="auto"/>
              <w:ind w:firstLine="0" w:firstLineChars="0"/>
              <w:jc w:val="center"/>
              <w:rPr>
                <w:rFonts w:hint="default" w:ascii="Times New Roman" w:hAnsi="Times New Roman" w:eastAsia="宋体" w:cs="Times New Roman"/>
                <w:bCs/>
                <w:color w:val="auto"/>
                <w:kern w:val="21"/>
                <w:sz w:val="24"/>
                <w:szCs w:val="24"/>
                <w:lang w:eastAsia="zh-CN"/>
              </w:rPr>
            </w:pPr>
            <w:r>
              <w:rPr>
                <w:rFonts w:hint="default" w:ascii="Times New Roman" w:hAnsi="Times New Roman" w:cs="Times New Roman"/>
                <w:bCs/>
                <w:color w:val="auto"/>
                <w:kern w:val="21"/>
                <w:sz w:val="24"/>
                <w:szCs w:val="24"/>
                <w:lang w:eastAsia="zh-CN"/>
              </w:rPr>
              <w:t>非甲烷总烃</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kern w:val="21"/>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kern w:val="21"/>
                <w:sz w:val="24"/>
                <w:szCs w:val="24"/>
                <w:lang w:val="zh-CN"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kern w:val="2"/>
                <w:sz w:val="24"/>
                <w:szCs w:val="24"/>
                <w:lang w:bidi="zh-CN"/>
              </w:rPr>
            </w:pPr>
          </w:p>
        </w:tc>
        <w:tc>
          <w:tcPr>
            <w:tcW w:w="565" w:type="pct"/>
            <w:noWrap w:val="0"/>
            <w:vAlign w:val="center"/>
          </w:tcPr>
          <w:p>
            <w:pPr>
              <w:pStyle w:val="41"/>
              <w:spacing w:line="240" w:lineRule="auto"/>
              <w:jc w:val="center"/>
              <w:rPr>
                <w:rFonts w:ascii="Times New Roman" w:hAnsi="Times New Roman" w:cs="Times New Roman"/>
                <w:color w:val="auto"/>
                <w:sz w:val="24"/>
                <w:szCs w:val="24"/>
              </w:rPr>
            </w:pPr>
            <w:r>
              <w:rPr>
                <w:rFonts w:hint="eastAsia" w:cs="Times New Roman"/>
                <w:color w:val="auto"/>
                <w:sz w:val="24"/>
                <w:szCs w:val="24"/>
                <w:lang w:val="en-US" w:eastAsia="zh-CN"/>
              </w:rPr>
              <w:t>1.832</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4"/>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sz w:val="24"/>
                <w:szCs w:val="24"/>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sz w:val="24"/>
                <w:szCs w:val="24"/>
              </w:rPr>
            </w:pPr>
          </w:p>
        </w:tc>
        <w:tc>
          <w:tcPr>
            <w:tcW w:w="491"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sz w:val="24"/>
                <w:szCs w:val="24"/>
              </w:rPr>
            </w:pPr>
            <w:r>
              <w:rPr>
                <w:rFonts w:hint="eastAsia"/>
                <w:color w:val="auto"/>
                <w:kern w:val="0"/>
                <w:sz w:val="24"/>
                <w:szCs w:val="24"/>
                <w:highlight w:val="none"/>
                <w:lang w:val="en-US" w:eastAsia="zh-CN"/>
              </w:rPr>
              <w:t>+</w:t>
            </w:r>
            <w:r>
              <w:rPr>
                <w:rFonts w:hint="eastAsia" w:cs="Times New Roman"/>
                <w:color w:val="auto"/>
                <w:sz w:val="24"/>
                <w:szCs w:val="24"/>
                <w:lang w:val="en-US" w:eastAsia="zh-CN"/>
              </w:rPr>
              <w:t>1.832</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kinsoku w:val="0"/>
              <w:overflowPunct w:val="0"/>
              <w:autoSpaceDE w:val="0"/>
              <w:autoSpaceDN w:val="0"/>
              <w:adjustRightInd w:val="0"/>
              <w:snapToGrid w:val="0"/>
              <w:spacing w:line="240" w:lineRule="auto"/>
              <w:ind w:firstLine="0" w:firstLineChars="0"/>
              <w:jc w:val="center"/>
              <w:rPr>
                <w:rFonts w:hint="default" w:ascii="Times New Roman" w:hAnsi="Times New Roman" w:cs="Times New Roman"/>
                <w:bCs/>
                <w:color w:val="auto"/>
                <w:kern w:val="21"/>
                <w:sz w:val="24"/>
                <w:szCs w:val="24"/>
                <w:lang w:eastAsia="zh-CN"/>
              </w:rPr>
            </w:pPr>
            <w:r>
              <w:rPr>
                <w:rFonts w:hint="eastAsia" w:cs="Times New Roman"/>
                <w:bCs/>
                <w:color w:val="auto"/>
                <w:kern w:val="21"/>
                <w:sz w:val="24"/>
                <w:szCs w:val="24"/>
                <w:lang w:eastAsia="zh-CN"/>
              </w:rPr>
              <w:t>油烟</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kern w:val="21"/>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kern w:val="21"/>
                <w:sz w:val="24"/>
                <w:szCs w:val="24"/>
                <w:lang w:val="zh-CN"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kern w:val="2"/>
                <w:sz w:val="24"/>
                <w:szCs w:val="24"/>
                <w:lang w:bidi="zh-CN"/>
              </w:rPr>
            </w:pPr>
          </w:p>
        </w:tc>
        <w:tc>
          <w:tcPr>
            <w:tcW w:w="565" w:type="pct"/>
            <w:noWrap w:val="0"/>
            <w:vAlign w:val="center"/>
          </w:tcPr>
          <w:p>
            <w:pPr>
              <w:pStyle w:val="41"/>
              <w:spacing w:line="240" w:lineRule="auto"/>
              <w:jc w:val="center"/>
              <w:rPr>
                <w:rFonts w:hint="default"/>
                <w:color w:val="auto"/>
                <w:kern w:val="0"/>
                <w:sz w:val="24"/>
                <w:szCs w:val="24"/>
                <w:highlight w:val="none"/>
                <w:lang w:val="en-US" w:eastAsia="zh-CN"/>
              </w:rPr>
            </w:pPr>
            <w:r>
              <w:rPr>
                <w:rFonts w:hint="eastAsia"/>
                <w:color w:val="auto"/>
                <w:kern w:val="0"/>
                <w:sz w:val="24"/>
                <w:szCs w:val="24"/>
                <w:highlight w:val="none"/>
                <w:lang w:val="en-US" w:eastAsia="zh-CN"/>
              </w:rPr>
              <w:t>0.001</w:t>
            </w:r>
            <w:r>
              <w:rPr>
                <w:rFonts w:hint="default" w:ascii="Times New Roman" w:hAnsi="Times New Roman" w:cs="Times New Roman"/>
                <w:color w:val="auto"/>
                <w:sz w:val="24"/>
                <w:szCs w:val="24"/>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sz w:val="24"/>
                <w:szCs w:val="24"/>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sz w:val="24"/>
                <w:szCs w:val="24"/>
              </w:rPr>
            </w:pPr>
          </w:p>
        </w:tc>
        <w:tc>
          <w:tcPr>
            <w:tcW w:w="491" w:type="pct"/>
            <w:noWrap w:val="0"/>
            <w:vAlign w:val="center"/>
          </w:tcPr>
          <w:p>
            <w:pPr>
              <w:kinsoku w:val="0"/>
              <w:overflowPunct w:val="0"/>
              <w:autoSpaceDE w:val="0"/>
              <w:autoSpaceDN w:val="0"/>
              <w:adjustRightInd w:val="0"/>
              <w:spacing w:line="360" w:lineRule="exact"/>
              <w:ind w:firstLine="0" w:firstLineChars="0"/>
              <w:jc w:val="center"/>
              <w:rPr>
                <w:rFonts w:hint="eastAsia"/>
                <w:color w:val="auto"/>
                <w:kern w:val="0"/>
                <w:sz w:val="24"/>
                <w:szCs w:val="24"/>
                <w:highlight w:val="none"/>
                <w:lang w:val="en-US" w:eastAsia="zh-CN"/>
              </w:rPr>
            </w:pPr>
            <w:r>
              <w:rPr>
                <w:rFonts w:hint="eastAsia"/>
                <w:color w:val="auto"/>
                <w:kern w:val="0"/>
                <w:sz w:val="24"/>
                <w:szCs w:val="24"/>
                <w:highlight w:val="none"/>
                <w:lang w:val="en-US" w:eastAsia="zh-CN"/>
              </w:rPr>
              <w:t>+0.001</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restart"/>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r>
              <w:rPr>
                <w:rFonts w:ascii="Times New Roman" w:hAnsi="Times New Roman" w:cs="Times New Roman"/>
                <w:b/>
                <w:color w:val="auto"/>
                <w:kern w:val="21"/>
                <w:sz w:val="24"/>
                <w:szCs w:val="24"/>
              </w:rPr>
              <w:t>废水</w:t>
            </w:r>
          </w:p>
        </w:tc>
        <w:tc>
          <w:tcPr>
            <w:tcW w:w="628" w:type="pct"/>
            <w:noWrap w:val="0"/>
            <w:vAlign w:val="center"/>
          </w:tcPr>
          <w:p>
            <w:pPr>
              <w:pStyle w:val="41"/>
              <w:spacing w:line="240" w:lineRule="auto"/>
              <w:jc w:val="center"/>
              <w:rPr>
                <w:rFonts w:ascii="Times New Roman" w:hAnsi="Times New Roman" w:eastAsia="宋体" w:cs="Times New Roman"/>
                <w:color w:val="auto"/>
                <w:w w:val="100"/>
                <w:kern w:val="2"/>
                <w:sz w:val="24"/>
                <w:szCs w:val="22"/>
                <w:lang w:val="en-US" w:eastAsia="zh-CN" w:bidi="ar-SA"/>
              </w:rPr>
            </w:pPr>
            <w:r>
              <w:rPr>
                <w:color w:val="auto"/>
                <w:sz w:val="24"/>
                <w:szCs w:val="22"/>
              </w:rPr>
              <w:t>COD</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0.2</w:t>
            </w:r>
            <w:r>
              <w:rPr>
                <w:rFonts w:hint="default" w:ascii="Times New Roman" w:hAnsi="Times New Roman" w:cs="Times New Roman"/>
                <w:color w:val="auto"/>
                <w:sz w:val="24"/>
                <w:szCs w:val="24"/>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0.2</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pStyle w:val="41"/>
              <w:spacing w:line="240" w:lineRule="auto"/>
              <w:jc w:val="center"/>
              <w:rPr>
                <w:rFonts w:ascii="Times New Roman" w:hAnsi="Times New Roman" w:eastAsia="宋体" w:cs="Times New Roman"/>
                <w:color w:val="auto"/>
                <w:w w:val="100"/>
                <w:kern w:val="2"/>
                <w:sz w:val="24"/>
                <w:szCs w:val="22"/>
                <w:lang w:val="en-US" w:eastAsia="zh-CN" w:bidi="ar-SA"/>
              </w:rPr>
            </w:pPr>
            <w:r>
              <w:rPr>
                <w:color w:val="auto"/>
                <w:sz w:val="24"/>
                <w:szCs w:val="22"/>
              </w:rPr>
              <w:t>BOD</w:t>
            </w:r>
            <w:r>
              <w:rPr>
                <w:color w:val="auto"/>
                <w:sz w:val="24"/>
                <w:szCs w:val="22"/>
                <w:vertAlign w:val="subscript"/>
              </w:rPr>
              <w:t>5</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0.067</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0.067</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pStyle w:val="41"/>
              <w:spacing w:line="240" w:lineRule="auto"/>
              <w:jc w:val="center"/>
              <w:rPr>
                <w:rFonts w:ascii="Times New Roman" w:hAnsi="Times New Roman" w:eastAsia="宋体" w:cs="Times New Roman"/>
                <w:color w:val="auto"/>
                <w:w w:val="100"/>
                <w:kern w:val="2"/>
                <w:sz w:val="24"/>
                <w:szCs w:val="22"/>
                <w:lang w:val="en-US" w:eastAsia="zh-CN" w:bidi="ar-SA"/>
              </w:rPr>
            </w:pPr>
            <w:r>
              <w:rPr>
                <w:color w:val="auto"/>
                <w:sz w:val="24"/>
                <w:szCs w:val="22"/>
              </w:rPr>
              <w:t>SS</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0.067</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0.067</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pStyle w:val="41"/>
              <w:spacing w:line="240" w:lineRule="auto"/>
              <w:jc w:val="center"/>
              <w:rPr>
                <w:rFonts w:ascii="Times New Roman" w:hAnsi="Times New Roman" w:eastAsia="宋体" w:cs="Times New Roman"/>
                <w:color w:val="auto"/>
                <w:w w:val="100"/>
                <w:kern w:val="2"/>
                <w:sz w:val="24"/>
                <w:szCs w:val="22"/>
                <w:lang w:val="en-US" w:eastAsia="zh-CN" w:bidi="ar-SA"/>
              </w:rPr>
            </w:pPr>
            <w:r>
              <w:rPr>
                <w:color w:val="auto"/>
                <w:sz w:val="24"/>
                <w:szCs w:val="24"/>
              </w:rPr>
              <w:t>NH</w:t>
            </w:r>
            <w:r>
              <w:rPr>
                <w:color w:val="auto"/>
                <w:sz w:val="24"/>
                <w:szCs w:val="24"/>
                <w:vertAlign w:val="subscript"/>
              </w:rPr>
              <w:t>3</w:t>
            </w:r>
            <w:r>
              <w:rPr>
                <w:color w:val="auto"/>
                <w:sz w:val="24"/>
                <w:szCs w:val="24"/>
              </w:rPr>
              <w:t>-N</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0.027</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0.027</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pStyle w:val="41"/>
              <w:spacing w:line="240" w:lineRule="auto"/>
              <w:jc w:val="center"/>
              <w:rPr>
                <w:rFonts w:hint="eastAsia" w:ascii="Times New Roman" w:hAnsi="Times New Roman" w:eastAsia="宋体" w:cs="Times New Roman"/>
                <w:color w:val="auto"/>
                <w:w w:val="100"/>
                <w:kern w:val="2"/>
                <w:sz w:val="24"/>
                <w:szCs w:val="24"/>
                <w:lang w:val="en-US" w:eastAsia="zh-CN" w:bidi="ar-SA"/>
              </w:rPr>
            </w:pPr>
            <w:r>
              <w:rPr>
                <w:rFonts w:hint="eastAsia"/>
                <w:color w:val="auto"/>
                <w:sz w:val="24"/>
                <w:szCs w:val="24"/>
              </w:rPr>
              <w:t>TP</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eastAsia"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0.003</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eastAsia"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0.003</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pStyle w:val="41"/>
              <w:spacing w:line="240" w:lineRule="auto"/>
              <w:jc w:val="center"/>
              <w:rPr>
                <w:rFonts w:hint="eastAsia" w:ascii="Times New Roman" w:hAnsi="Times New Roman" w:eastAsia="宋体" w:cs="Times New Roman"/>
                <w:color w:val="auto"/>
                <w:w w:val="100"/>
                <w:kern w:val="2"/>
                <w:sz w:val="24"/>
                <w:szCs w:val="24"/>
                <w:lang w:val="en-US" w:eastAsia="zh-CN" w:bidi="ar-SA"/>
              </w:rPr>
            </w:pPr>
            <w:r>
              <w:rPr>
                <w:rFonts w:hint="eastAsia"/>
                <w:color w:val="auto"/>
                <w:sz w:val="24"/>
                <w:szCs w:val="24"/>
              </w:rPr>
              <w:t>TN</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eastAsia"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0.067</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eastAsia"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0.067</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pStyle w:val="41"/>
              <w:spacing w:line="240" w:lineRule="auto"/>
              <w:jc w:val="center"/>
              <w:rPr>
                <w:rFonts w:hint="eastAsia" w:ascii="Times New Roman" w:hAnsi="Times New Roman" w:eastAsia="宋体" w:cs="Times New Roman"/>
                <w:color w:val="auto"/>
                <w:w w:val="100"/>
                <w:kern w:val="2"/>
                <w:sz w:val="24"/>
                <w:szCs w:val="24"/>
                <w:lang w:val="en-US" w:eastAsia="zh-CN" w:bidi="ar-SA"/>
              </w:rPr>
            </w:pPr>
            <w:r>
              <w:rPr>
                <w:rFonts w:hint="eastAsia"/>
                <w:color w:val="auto"/>
                <w:sz w:val="24"/>
                <w:szCs w:val="24"/>
                <w:lang w:eastAsia="zh-CN"/>
              </w:rPr>
              <w:t>石油类</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eastAsia"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0.01</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eastAsia"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0.01</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pStyle w:val="41"/>
              <w:spacing w:line="240" w:lineRule="auto"/>
              <w:jc w:val="center"/>
              <w:rPr>
                <w:rFonts w:hint="eastAsia" w:ascii="Times New Roman" w:hAnsi="Times New Roman" w:eastAsia="宋体" w:cs="Times New Roman"/>
                <w:color w:val="auto"/>
                <w:w w:val="100"/>
                <w:kern w:val="2"/>
                <w:sz w:val="24"/>
                <w:szCs w:val="24"/>
                <w:lang w:val="en-US" w:eastAsia="zh-CN" w:bidi="ar-SA"/>
              </w:rPr>
            </w:pPr>
            <w:r>
              <w:rPr>
                <w:rFonts w:hint="eastAsia"/>
                <w:color w:val="auto"/>
                <w:sz w:val="24"/>
                <w:szCs w:val="24"/>
                <w:lang w:eastAsia="zh-CN"/>
              </w:rPr>
              <w:t>动植物油</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eastAsia"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0.01</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eastAsia"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0.01</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44" w:type="pct"/>
            <w:vMerge w:val="continue"/>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p>
        </w:tc>
        <w:tc>
          <w:tcPr>
            <w:tcW w:w="628" w:type="pct"/>
            <w:noWrap w:val="0"/>
            <w:vAlign w:val="center"/>
          </w:tcPr>
          <w:p>
            <w:pPr>
              <w:pStyle w:val="41"/>
              <w:spacing w:line="240" w:lineRule="auto"/>
              <w:jc w:val="center"/>
              <w:rPr>
                <w:rFonts w:hint="default"/>
                <w:color w:val="auto"/>
                <w:sz w:val="24"/>
                <w:szCs w:val="24"/>
                <w:lang w:val="en-US" w:eastAsia="zh-CN"/>
              </w:rPr>
            </w:pPr>
            <w:r>
              <w:rPr>
                <w:rFonts w:hint="eastAsia"/>
                <w:color w:val="auto"/>
                <w:sz w:val="24"/>
                <w:szCs w:val="24"/>
                <w:lang w:val="en-US" w:eastAsia="zh-CN"/>
              </w:rPr>
              <w:t>LAS</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65" w:type="pct"/>
            <w:noWrap w:val="0"/>
            <w:vAlign w:val="center"/>
          </w:tcPr>
          <w:p>
            <w:pPr>
              <w:pStyle w:val="41"/>
              <w:spacing w:line="240" w:lineRule="auto"/>
              <w:jc w:val="center"/>
              <w:rPr>
                <w:rFonts w:hint="default" w:ascii="Times New Roman" w:hAnsi="Times New Roman" w:eastAsia="宋体" w:cs="Times New Roman"/>
                <w:color w:val="auto"/>
                <w:w w:val="100"/>
                <w:kern w:val="2"/>
                <w:sz w:val="24"/>
                <w:szCs w:val="22"/>
                <w:lang w:val="en-US" w:eastAsia="zh-CN" w:bidi="ar-SA"/>
              </w:rPr>
            </w:pPr>
            <w:r>
              <w:rPr>
                <w:rFonts w:hint="eastAsia" w:ascii="Times New Roman" w:hAnsi="Times New Roman" w:eastAsia="宋体" w:cs="Times New Roman"/>
                <w:color w:val="auto"/>
                <w:sz w:val="24"/>
                <w:szCs w:val="22"/>
              </w:rPr>
              <w:t>0.003</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1326" w:type="dxa"/>
            <w:noWrap w:val="0"/>
            <w:vAlign w:val="center"/>
          </w:tcPr>
          <w:p>
            <w:pPr>
              <w:pStyle w:val="41"/>
              <w:spacing w:line="240" w:lineRule="auto"/>
              <w:jc w:val="center"/>
              <w:rPr>
                <w:rFonts w:hint="eastAsia"/>
                <w:color w:val="auto"/>
                <w:kern w:val="0"/>
                <w:sz w:val="24"/>
                <w:szCs w:val="24"/>
                <w:highlight w:val="none"/>
                <w:lang w:val="en-US" w:eastAsia="zh-CN"/>
              </w:rPr>
            </w:pPr>
            <w:r>
              <w:rPr>
                <w:rFonts w:hint="eastAsia"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rPr>
              <w:t>0.003</w:t>
            </w:r>
            <w:r>
              <w:rPr>
                <w:rFonts w:hint="default" w:ascii="Times New Roman" w:hAnsi="Times New Roman" w:cs="Times New Roman"/>
                <w:color w:val="auto"/>
                <w:sz w:val="24"/>
                <w:szCs w:val="24"/>
              </w:rPr>
              <w:t>t/a</w:t>
            </w:r>
            <w:r>
              <w:rPr>
                <w:rFonts w:hint="eastAsia" w:ascii="Times New Roman" w:hAnsi="Times New Roman" w:eastAsia="宋体"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44" w:type="pct"/>
            <w:noWrap w:val="0"/>
            <w:vAlign w:val="center"/>
          </w:tcPr>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r>
              <w:rPr>
                <w:rFonts w:ascii="Times New Roman" w:hAnsi="Times New Roman" w:cs="Times New Roman"/>
                <w:b/>
                <w:color w:val="auto"/>
                <w:kern w:val="21"/>
                <w:sz w:val="24"/>
                <w:szCs w:val="24"/>
              </w:rPr>
              <w:t>一般工业</w:t>
            </w:r>
          </w:p>
          <w:p>
            <w:pPr>
              <w:kinsoku w:val="0"/>
              <w:overflowPunct w:val="0"/>
              <w:autoSpaceDE w:val="0"/>
              <w:autoSpaceDN w:val="0"/>
              <w:adjustRightInd w:val="0"/>
              <w:snapToGrid w:val="0"/>
              <w:spacing w:line="240" w:lineRule="auto"/>
              <w:ind w:firstLine="0" w:firstLineChars="0"/>
              <w:jc w:val="center"/>
              <w:rPr>
                <w:rFonts w:ascii="Times New Roman" w:hAnsi="Times New Roman" w:cs="Times New Roman"/>
                <w:b/>
                <w:color w:val="auto"/>
                <w:kern w:val="21"/>
                <w:sz w:val="24"/>
                <w:szCs w:val="24"/>
              </w:rPr>
            </w:pPr>
            <w:r>
              <w:rPr>
                <w:rFonts w:ascii="Times New Roman" w:hAnsi="Times New Roman" w:cs="Times New Roman"/>
                <w:b/>
                <w:color w:val="auto"/>
                <w:kern w:val="21"/>
                <w:sz w:val="24"/>
                <w:szCs w:val="24"/>
              </w:rPr>
              <w:t>固体废物</w:t>
            </w:r>
          </w:p>
        </w:tc>
        <w:tc>
          <w:tcPr>
            <w:tcW w:w="628" w:type="pct"/>
            <w:noWrap w:val="0"/>
            <w:vAlign w:val="center"/>
          </w:tcPr>
          <w:p>
            <w:pPr>
              <w:kinsoku w:val="0"/>
              <w:overflowPunct w:val="0"/>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边角料</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en-US" w:eastAsia="zh-CN"/>
              </w:rPr>
            </w:pPr>
          </w:p>
        </w:tc>
        <w:tc>
          <w:tcPr>
            <w:tcW w:w="465"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highlight w:val="yellow"/>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highlight w:val="yellow"/>
                <w:lang w:bidi="zh-CN"/>
              </w:rPr>
            </w:pPr>
          </w:p>
        </w:tc>
        <w:tc>
          <w:tcPr>
            <w:tcW w:w="565"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274t/a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zh-CN"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491"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4"/>
                <w:szCs w:val="24"/>
                <w:highlight w:val="none"/>
                <w:lang w:val="en-US" w:eastAsia="zh-CN"/>
              </w:rPr>
            </w:pPr>
            <w:r>
              <w:rPr>
                <w:rFonts w:hint="eastAsia"/>
                <w:color w:val="auto"/>
                <w:sz w:val="24"/>
                <w:szCs w:val="24"/>
                <w:highlight w:val="none"/>
                <w:lang w:val="en-US" w:eastAsia="zh-CN"/>
              </w:rPr>
              <w:t>+274</w:t>
            </w:r>
            <w:r>
              <w:rPr>
                <w:rFonts w:hint="eastAsia" w:ascii="Times New Roman" w:hAnsi="Times New Roman" w:eastAsia="宋体" w:cs="Times New Roman"/>
                <w:color w:val="auto"/>
                <w:kern w:val="0"/>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restar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color w:val="auto"/>
                <w:sz w:val="24"/>
                <w:szCs w:val="24"/>
              </w:rPr>
            </w:pPr>
            <w:r>
              <w:rPr>
                <w:rFonts w:hint="default" w:ascii="Times New Roman" w:hAnsi="Times New Roman" w:cs="Times New Roman"/>
                <w:b/>
                <w:color w:val="auto"/>
                <w:kern w:val="21"/>
                <w:sz w:val="24"/>
                <w:szCs w:val="24"/>
              </w:rPr>
              <w:t>危险废物</w:t>
            </w:r>
          </w:p>
        </w:tc>
        <w:tc>
          <w:tcPr>
            <w:tcW w:w="628"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废胶桶</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en-US" w:eastAsia="zh-CN"/>
              </w:rPr>
            </w:pPr>
          </w:p>
        </w:tc>
        <w:tc>
          <w:tcPr>
            <w:tcW w:w="465" w:type="pct"/>
            <w:noWrap w:val="0"/>
            <w:vAlign w:val="top"/>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565"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0.06</w:t>
            </w:r>
            <w:r>
              <w:rPr>
                <w:rFonts w:hint="eastAsia" w:ascii="Times New Roman" w:hAnsi="Times New Roman" w:eastAsia="宋体" w:cs="Times New Roman"/>
                <w:color w:val="auto"/>
                <w:kern w:val="0"/>
                <w:sz w:val="24"/>
                <w:szCs w:val="24"/>
                <w:highlight w:val="none"/>
                <w:lang w:val="en-US" w:eastAsia="zh-CN"/>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zh-CN"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491"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+0.06</w:t>
            </w:r>
            <w:r>
              <w:rPr>
                <w:rFonts w:hint="eastAsia" w:ascii="Times New Roman" w:hAnsi="Times New Roman" w:eastAsia="宋体" w:cs="Times New Roman"/>
                <w:color w:val="auto"/>
                <w:kern w:val="0"/>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444" w:type="pct"/>
            <w:vMerge w:val="continue"/>
            <w:noWrap w:val="0"/>
            <w:vAlign w:val="center"/>
          </w:tcPr>
          <w:p>
            <w:pPr>
              <w:kinsoku w:val="0"/>
              <w:overflowPunct w:val="0"/>
              <w:autoSpaceDE w:val="0"/>
              <w:autoSpaceDN w:val="0"/>
              <w:adjustRightInd w:val="0"/>
              <w:spacing w:line="360" w:lineRule="exact"/>
              <w:ind w:firstLine="0" w:firstLineChars="0"/>
              <w:jc w:val="center"/>
              <w:rPr>
                <w:rFonts w:hint="default" w:ascii="Times New Roman" w:hAnsi="Times New Roman" w:cs="Times New Roman"/>
                <w:b/>
                <w:color w:val="auto"/>
                <w:kern w:val="21"/>
                <w:sz w:val="24"/>
                <w:szCs w:val="24"/>
              </w:rPr>
            </w:pPr>
          </w:p>
        </w:tc>
        <w:tc>
          <w:tcPr>
            <w:tcW w:w="628" w:type="pct"/>
            <w:noWrap w:val="0"/>
            <w:vAlign w:val="center"/>
          </w:tcPr>
          <w:p>
            <w:pPr>
              <w:kinsoku w:val="0"/>
              <w:overflowPunct w:val="0"/>
              <w:autoSpaceDE w:val="0"/>
              <w:autoSpaceDN w:val="0"/>
              <w:adjustRightInd w:val="0"/>
              <w:spacing w:line="24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边角料（含胶渣）</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en-US" w:eastAsia="zh-CN"/>
              </w:rPr>
            </w:pPr>
          </w:p>
        </w:tc>
        <w:tc>
          <w:tcPr>
            <w:tcW w:w="465" w:type="pct"/>
            <w:noWrap w:val="0"/>
            <w:vAlign w:val="top"/>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565" w:type="pct"/>
            <w:noWrap w:val="0"/>
            <w:vAlign w:val="center"/>
          </w:tcPr>
          <w:p>
            <w:pPr>
              <w:kinsoku w:val="0"/>
              <w:overflowPunct w:val="0"/>
              <w:autoSpaceDE w:val="0"/>
              <w:autoSpaceDN w:val="0"/>
              <w:adjustRightInd w:val="0"/>
              <w:spacing w:line="240" w:lineRule="auto"/>
              <w:ind w:firstLine="0" w:firstLineChars="0"/>
              <w:jc w:val="center"/>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0.25</w:t>
            </w:r>
            <w:r>
              <w:rPr>
                <w:rFonts w:hint="eastAsia" w:ascii="Times New Roman" w:hAnsi="Times New Roman" w:eastAsia="宋体" w:cs="Times New Roman"/>
                <w:color w:val="auto"/>
                <w:kern w:val="0"/>
                <w:sz w:val="24"/>
                <w:szCs w:val="24"/>
                <w:highlight w:val="none"/>
                <w:lang w:val="en-US" w:eastAsia="zh-CN"/>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zh-CN"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491" w:type="pct"/>
            <w:noWrap w:val="0"/>
            <w:vAlign w:val="center"/>
          </w:tcPr>
          <w:p>
            <w:pPr>
              <w:kinsoku w:val="0"/>
              <w:overflowPunct w:val="0"/>
              <w:autoSpaceDE w:val="0"/>
              <w:autoSpaceDN w:val="0"/>
              <w:adjustRightInd w:val="0"/>
              <w:spacing w:line="240" w:lineRule="auto"/>
              <w:ind w:firstLine="0" w:firstLineChars="0"/>
              <w:jc w:val="center"/>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+0.25</w:t>
            </w:r>
            <w:r>
              <w:rPr>
                <w:rFonts w:hint="eastAsia" w:ascii="Times New Roman" w:hAnsi="Times New Roman" w:eastAsia="宋体" w:cs="Times New Roman"/>
                <w:color w:val="auto"/>
                <w:kern w:val="0"/>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noWrap w:val="0"/>
            <w:vAlign w:val="center"/>
          </w:tcPr>
          <w:p>
            <w:pPr>
              <w:kinsoku w:val="0"/>
              <w:overflowPunct w:val="0"/>
              <w:autoSpaceDE w:val="0"/>
              <w:autoSpaceDN w:val="0"/>
              <w:adjustRightInd w:val="0"/>
              <w:spacing w:line="360" w:lineRule="exact"/>
              <w:ind w:firstLine="0" w:firstLineChars="0"/>
              <w:jc w:val="center"/>
              <w:rPr>
                <w:rFonts w:hint="default" w:ascii="Times New Roman" w:hAnsi="Times New Roman" w:cs="Times New Roman"/>
                <w:b/>
                <w:color w:val="auto"/>
                <w:kern w:val="21"/>
                <w:sz w:val="24"/>
                <w:szCs w:val="24"/>
              </w:rPr>
            </w:pPr>
          </w:p>
        </w:tc>
        <w:tc>
          <w:tcPr>
            <w:tcW w:w="628"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废活性炭</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en-US" w:eastAsia="zh-CN"/>
              </w:rPr>
            </w:pPr>
          </w:p>
        </w:tc>
        <w:tc>
          <w:tcPr>
            <w:tcW w:w="465" w:type="pct"/>
            <w:noWrap w:val="0"/>
            <w:vAlign w:val="top"/>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565"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Cs w:val="24"/>
                <w:lang w:val="en-US" w:eastAsia="zh-CN"/>
              </w:rPr>
              <w:t>46.74</w:t>
            </w:r>
            <w:r>
              <w:rPr>
                <w:rFonts w:hint="eastAsia" w:ascii="Times New Roman" w:hAnsi="Times New Roman" w:eastAsia="宋体" w:cs="Times New Roman"/>
                <w:color w:val="auto"/>
                <w:kern w:val="0"/>
                <w:sz w:val="24"/>
                <w:szCs w:val="24"/>
                <w:highlight w:val="none"/>
                <w:lang w:val="en-US" w:eastAsia="zh-CN"/>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zh-CN"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491"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r>
              <w:rPr>
                <w:rFonts w:hint="eastAsia" w:cs="Times New Roman"/>
                <w:color w:val="auto"/>
                <w:szCs w:val="24"/>
                <w:lang w:val="en-US" w:eastAsia="zh-CN"/>
              </w:rPr>
              <w:t>46.74</w:t>
            </w:r>
            <w:r>
              <w:rPr>
                <w:rFonts w:hint="eastAsia" w:ascii="Times New Roman" w:hAnsi="Times New Roman" w:eastAsia="宋体" w:cs="Times New Roman"/>
                <w:color w:val="auto"/>
                <w:kern w:val="0"/>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noWrap w:val="0"/>
            <w:vAlign w:val="center"/>
          </w:tcPr>
          <w:p>
            <w:pPr>
              <w:kinsoku w:val="0"/>
              <w:overflowPunct w:val="0"/>
              <w:autoSpaceDE w:val="0"/>
              <w:autoSpaceDN w:val="0"/>
              <w:adjustRightInd w:val="0"/>
              <w:spacing w:line="360" w:lineRule="exact"/>
              <w:ind w:firstLine="0" w:firstLineChars="0"/>
              <w:jc w:val="center"/>
              <w:rPr>
                <w:rFonts w:hint="default" w:ascii="Times New Roman" w:hAnsi="Times New Roman" w:cs="Times New Roman"/>
                <w:b/>
                <w:color w:val="auto"/>
                <w:kern w:val="21"/>
                <w:sz w:val="24"/>
                <w:szCs w:val="24"/>
              </w:rPr>
            </w:pPr>
          </w:p>
        </w:tc>
        <w:tc>
          <w:tcPr>
            <w:tcW w:w="628"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润滑油</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en-US" w:eastAsia="zh-CN"/>
              </w:rPr>
            </w:pPr>
          </w:p>
        </w:tc>
        <w:tc>
          <w:tcPr>
            <w:tcW w:w="465" w:type="pct"/>
            <w:noWrap w:val="0"/>
            <w:vAlign w:val="top"/>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565"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0.4</w:t>
            </w:r>
            <w:r>
              <w:rPr>
                <w:rFonts w:hint="eastAsia" w:ascii="Times New Roman" w:hAnsi="Times New Roman" w:eastAsia="宋体" w:cs="Times New Roman"/>
                <w:color w:val="auto"/>
                <w:kern w:val="0"/>
                <w:sz w:val="24"/>
                <w:szCs w:val="24"/>
                <w:highlight w:val="none"/>
                <w:lang w:val="en-US" w:eastAsia="zh-CN"/>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zh-CN"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491"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r>
              <w:rPr>
                <w:rFonts w:hint="eastAsia" w:cs="Times New Roman"/>
                <w:color w:val="auto"/>
                <w:sz w:val="24"/>
                <w:szCs w:val="24"/>
                <w:lang w:val="en-US" w:eastAsia="zh-CN"/>
              </w:rPr>
              <w:t>0.4</w:t>
            </w:r>
            <w:r>
              <w:rPr>
                <w:rFonts w:hint="eastAsia" w:ascii="Times New Roman" w:hAnsi="Times New Roman" w:eastAsia="宋体" w:cs="Times New Roman"/>
                <w:color w:val="auto"/>
                <w:kern w:val="0"/>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noWrap w:val="0"/>
            <w:vAlign w:val="center"/>
          </w:tcPr>
          <w:p>
            <w:pPr>
              <w:kinsoku w:val="0"/>
              <w:overflowPunct w:val="0"/>
              <w:autoSpaceDE w:val="0"/>
              <w:autoSpaceDN w:val="0"/>
              <w:adjustRightInd w:val="0"/>
              <w:spacing w:line="360" w:lineRule="exact"/>
              <w:ind w:firstLine="0" w:firstLineChars="0"/>
              <w:jc w:val="center"/>
              <w:rPr>
                <w:rFonts w:hint="default" w:ascii="Times New Roman" w:hAnsi="Times New Roman" w:cs="Times New Roman"/>
                <w:b/>
                <w:color w:val="auto"/>
                <w:kern w:val="21"/>
                <w:sz w:val="24"/>
                <w:szCs w:val="24"/>
              </w:rPr>
            </w:pPr>
          </w:p>
        </w:tc>
        <w:tc>
          <w:tcPr>
            <w:tcW w:w="628"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润滑油</w:t>
            </w:r>
            <w:r>
              <w:rPr>
                <w:rFonts w:hint="eastAsia" w:ascii="Times New Roman" w:hAnsi="Times New Roman" w:eastAsia="宋体" w:cs="Times New Roman"/>
                <w:color w:val="auto"/>
                <w:sz w:val="24"/>
                <w:szCs w:val="24"/>
                <w:lang w:val="en-US" w:eastAsia="zh-CN"/>
              </w:rPr>
              <w:t>桶</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en-US" w:eastAsia="zh-CN"/>
              </w:rPr>
            </w:pPr>
          </w:p>
        </w:tc>
        <w:tc>
          <w:tcPr>
            <w:tcW w:w="465" w:type="pct"/>
            <w:noWrap w:val="0"/>
            <w:vAlign w:val="top"/>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565"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0.5</w:t>
            </w:r>
            <w:r>
              <w:rPr>
                <w:rFonts w:hint="eastAsia" w:ascii="Times New Roman" w:hAnsi="Times New Roman" w:eastAsia="宋体" w:cs="Times New Roman"/>
                <w:color w:val="auto"/>
                <w:kern w:val="0"/>
                <w:sz w:val="24"/>
                <w:szCs w:val="24"/>
                <w:highlight w:val="none"/>
                <w:lang w:val="en-US" w:eastAsia="zh-CN"/>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zh-CN"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491"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r>
              <w:rPr>
                <w:rFonts w:hint="eastAsia" w:cs="Times New Roman"/>
                <w:color w:val="auto"/>
                <w:sz w:val="24"/>
                <w:szCs w:val="24"/>
                <w:lang w:val="en-US" w:eastAsia="zh-CN"/>
              </w:rPr>
              <w:t>0.5</w:t>
            </w:r>
            <w:r>
              <w:rPr>
                <w:rFonts w:hint="eastAsia" w:ascii="Times New Roman" w:hAnsi="Times New Roman" w:eastAsia="宋体" w:cs="Times New Roman"/>
                <w:color w:val="auto"/>
                <w:kern w:val="0"/>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noWrap w:val="0"/>
            <w:vAlign w:val="center"/>
          </w:tcPr>
          <w:p>
            <w:pPr>
              <w:kinsoku w:val="0"/>
              <w:overflowPunct w:val="0"/>
              <w:autoSpaceDE w:val="0"/>
              <w:autoSpaceDN w:val="0"/>
              <w:adjustRightInd w:val="0"/>
              <w:spacing w:line="360" w:lineRule="exact"/>
              <w:ind w:firstLine="0" w:firstLineChars="0"/>
              <w:jc w:val="center"/>
              <w:rPr>
                <w:rFonts w:hint="default" w:ascii="Times New Roman" w:hAnsi="Times New Roman" w:cs="Times New Roman"/>
                <w:b/>
                <w:color w:val="auto"/>
                <w:kern w:val="21"/>
                <w:sz w:val="24"/>
                <w:szCs w:val="24"/>
              </w:rPr>
            </w:pPr>
          </w:p>
        </w:tc>
        <w:tc>
          <w:tcPr>
            <w:tcW w:w="628"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含油抹布和手套</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en-US" w:eastAsia="zh-CN"/>
              </w:rPr>
            </w:pPr>
          </w:p>
        </w:tc>
        <w:tc>
          <w:tcPr>
            <w:tcW w:w="465" w:type="pct"/>
            <w:noWrap w:val="0"/>
            <w:vAlign w:val="top"/>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565"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0.05</w:t>
            </w:r>
            <w:r>
              <w:rPr>
                <w:rFonts w:hint="eastAsia" w:ascii="Times New Roman" w:hAnsi="Times New Roman" w:eastAsia="宋体" w:cs="Times New Roman"/>
                <w:color w:val="auto"/>
                <w:kern w:val="0"/>
                <w:sz w:val="24"/>
                <w:szCs w:val="24"/>
                <w:highlight w:val="none"/>
                <w:lang w:val="en-US" w:eastAsia="zh-CN"/>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zh-CN"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491"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r>
              <w:rPr>
                <w:rFonts w:hint="eastAsia" w:cs="Times New Roman"/>
                <w:color w:val="auto"/>
                <w:sz w:val="24"/>
                <w:szCs w:val="24"/>
                <w:lang w:val="en-US" w:eastAsia="zh-CN"/>
              </w:rPr>
              <w:t>0.05</w:t>
            </w:r>
            <w:r>
              <w:rPr>
                <w:rFonts w:hint="eastAsia" w:ascii="Times New Roman" w:hAnsi="Times New Roman" w:eastAsia="宋体" w:cs="Times New Roman"/>
                <w:color w:val="auto"/>
                <w:kern w:val="0"/>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noWrap w:val="0"/>
            <w:vAlign w:val="center"/>
          </w:tcPr>
          <w:p>
            <w:pPr>
              <w:kinsoku w:val="0"/>
              <w:overflowPunct w:val="0"/>
              <w:autoSpaceDE w:val="0"/>
              <w:autoSpaceDN w:val="0"/>
              <w:adjustRightInd w:val="0"/>
              <w:spacing w:line="360" w:lineRule="exact"/>
              <w:ind w:firstLine="0" w:firstLineChars="0"/>
              <w:jc w:val="center"/>
              <w:rPr>
                <w:rFonts w:hint="default" w:ascii="Times New Roman" w:hAnsi="Times New Roman" w:cs="Times New Roman"/>
                <w:b/>
                <w:color w:val="auto"/>
                <w:kern w:val="21"/>
                <w:sz w:val="24"/>
                <w:szCs w:val="24"/>
              </w:rPr>
            </w:pPr>
          </w:p>
        </w:tc>
        <w:tc>
          <w:tcPr>
            <w:tcW w:w="628"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空压机含油废液</w:t>
            </w:r>
          </w:p>
        </w:tc>
        <w:tc>
          <w:tcPr>
            <w:tcW w:w="613"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en-US" w:eastAsia="zh-CN"/>
              </w:rPr>
            </w:pPr>
          </w:p>
        </w:tc>
        <w:tc>
          <w:tcPr>
            <w:tcW w:w="465" w:type="pct"/>
            <w:noWrap w:val="0"/>
            <w:vAlign w:val="top"/>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634" w:type="pct"/>
            <w:noWrap w:val="0"/>
            <w:vAlign w:val="center"/>
          </w:tcPr>
          <w:p>
            <w:pPr>
              <w:kinsoku w:val="0"/>
              <w:overflowPunct w:val="0"/>
              <w:autoSpaceDE w:val="0"/>
              <w:autoSpaceDN w:val="0"/>
              <w:adjustRightInd w:val="0"/>
              <w:spacing w:line="360" w:lineRule="exact"/>
              <w:ind w:firstLine="0" w:firstLineChars="0"/>
              <w:jc w:val="center"/>
              <w:rPr>
                <w:rFonts w:ascii="Times New Roman" w:hAnsi="Times New Roman" w:cs="Times New Roman"/>
                <w:b/>
                <w:color w:val="auto"/>
                <w:kern w:val="2"/>
                <w:sz w:val="24"/>
                <w:szCs w:val="24"/>
                <w:lang w:bidi="zh-CN"/>
              </w:rPr>
            </w:pPr>
          </w:p>
        </w:tc>
        <w:tc>
          <w:tcPr>
            <w:tcW w:w="565"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0.01</w:t>
            </w:r>
            <w:r>
              <w:rPr>
                <w:rFonts w:hint="eastAsia" w:ascii="Times New Roman" w:hAnsi="Times New Roman" w:eastAsia="宋体" w:cs="Times New Roman"/>
                <w:color w:val="auto"/>
                <w:kern w:val="0"/>
                <w:sz w:val="24"/>
                <w:szCs w:val="24"/>
                <w:highlight w:val="none"/>
                <w:lang w:val="en-US" w:eastAsia="zh-CN"/>
              </w:rPr>
              <w:t>t/a</w:t>
            </w:r>
          </w:p>
        </w:tc>
        <w:tc>
          <w:tcPr>
            <w:tcW w:w="63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val="zh-CN" w:eastAsia="zh-CN"/>
              </w:rPr>
            </w:pPr>
          </w:p>
        </w:tc>
        <w:tc>
          <w:tcPr>
            <w:tcW w:w="518" w:type="pct"/>
            <w:noWrap w:val="0"/>
            <w:vAlign w:val="center"/>
          </w:tcPr>
          <w:p>
            <w:pPr>
              <w:kinsoku w:val="0"/>
              <w:overflowPunct w:val="0"/>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4"/>
                <w:szCs w:val="24"/>
                <w:highlight w:val="none"/>
                <w:lang w:eastAsia="zh-CN"/>
              </w:rPr>
            </w:pPr>
          </w:p>
        </w:tc>
        <w:tc>
          <w:tcPr>
            <w:tcW w:w="491" w:type="pct"/>
            <w:noWrap w:val="0"/>
            <w:vAlign w:val="center"/>
          </w:tcPr>
          <w:p>
            <w:pPr>
              <w:kinsoku w:val="0"/>
              <w:overflowPunct w:val="0"/>
              <w:autoSpaceDE w:val="0"/>
              <w:autoSpaceDN w:val="0"/>
              <w:adjustRightIn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r>
              <w:rPr>
                <w:rFonts w:hint="eastAsia" w:cs="Times New Roman"/>
                <w:color w:val="auto"/>
                <w:sz w:val="24"/>
                <w:szCs w:val="24"/>
                <w:lang w:val="en-US" w:eastAsia="zh-CN"/>
              </w:rPr>
              <w:t>0.01</w:t>
            </w:r>
            <w:r>
              <w:rPr>
                <w:rFonts w:hint="eastAsia" w:ascii="Times New Roman" w:hAnsi="Times New Roman" w:eastAsia="宋体" w:cs="Times New Roman"/>
                <w:color w:val="auto"/>
                <w:kern w:val="0"/>
                <w:sz w:val="24"/>
                <w:szCs w:val="24"/>
                <w:highlight w:val="none"/>
                <w:lang w:val="en-US" w:eastAsia="zh-CN"/>
              </w:rPr>
              <w:t>t/a</w:t>
            </w:r>
          </w:p>
        </w:tc>
      </w:tr>
    </w:tbl>
    <w:p>
      <w:pPr>
        <w:pStyle w:val="42"/>
        <w:spacing w:before="192" w:beforeLines="80" w:after="24"/>
        <w:jc w:val="left"/>
        <w:rPr>
          <w:rFonts w:ascii="Times New Roman"/>
          <w:snapToGrid w:val="0"/>
          <w:color w:val="auto"/>
          <w:spacing w:val="-6"/>
          <w:kern w:val="21"/>
          <w:szCs w:val="21"/>
        </w:rPr>
        <w:sectPr>
          <w:footerReference r:id="rId6" w:type="default"/>
          <w:pgSz w:w="16838" w:h="11906" w:orient="landscape"/>
          <w:pgMar w:top="1531" w:right="1701" w:bottom="1531" w:left="1701" w:header="851" w:footer="851" w:gutter="0"/>
          <w:cols w:space="720" w:num="1"/>
          <w:docGrid w:linePitch="312" w:charSpace="0"/>
        </w:sect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ascii="Times New Roman"/>
          <w:color w:val="auto"/>
          <w:szCs w:val="21"/>
        </w:rPr>
        <w:t>①</w:t>
      </w:r>
      <w:r>
        <w:rPr>
          <w:rFonts w:ascii="Times New Roman"/>
          <w:snapToGrid w:val="0"/>
          <w:color w:val="auto"/>
          <w:spacing w:val="-6"/>
          <w:kern w:val="21"/>
          <w:szCs w:val="21"/>
        </w:rPr>
        <w:fldChar w:fldCharType="end"/>
      </w:r>
    </w:p>
    <w:p>
      <w:r>
        <w:drawing>
          <wp:inline distT="0" distB="0" distL="114300" distR="114300">
            <wp:extent cx="5607050" cy="7065010"/>
            <wp:effectExtent l="0" t="0" r="6350" b="8890"/>
            <wp:docPr id="1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true"/>
                    </pic:cNvPicPr>
                  </pic:nvPicPr>
                  <pic:blipFill>
                    <a:blip r:embed="rId26"/>
                    <a:stretch>
                      <a:fillRect/>
                    </a:stretch>
                  </pic:blipFill>
                  <pic:spPr>
                    <a:xfrm>
                      <a:off x="0" y="0"/>
                      <a:ext cx="5607050" cy="7065010"/>
                    </a:xfrm>
                    <a:prstGeom prst="rect">
                      <a:avLst/>
                    </a:prstGeom>
                    <a:noFill/>
                    <a:ln>
                      <a:noFill/>
                    </a:ln>
                  </pic:spPr>
                </pic:pic>
              </a:graphicData>
            </a:graphic>
          </wp:inline>
        </w:drawing>
      </w:r>
    </w:p>
    <w:p>
      <w:pPr>
        <w:jc w:val="center"/>
        <w:rPr>
          <w:b/>
          <w:bCs/>
          <w:sz w:val="28"/>
          <w:szCs w:val="28"/>
        </w:rPr>
      </w:pPr>
      <w:r>
        <w:rPr>
          <w:rFonts w:hint="eastAsia"/>
          <w:b/>
          <w:bCs/>
          <w:sz w:val="28"/>
          <w:szCs w:val="28"/>
        </w:rPr>
        <w:t>附图1项目地理位置图</w:t>
      </w:r>
    </w:p>
    <w:sectPr>
      <w:pgSz w:w="11906" w:h="16838"/>
      <w:pgMar w:top="1701" w:right="1531" w:bottom="1701" w:left="153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Narrow">
    <w:altName w:val="Times New Roman"/>
    <w:panose1 w:val="020B0606020202030204"/>
    <w:charset w:val="00"/>
    <w:family w:val="swiss"/>
    <w:pitch w:val="default"/>
    <w:sig w:usb0="00000000" w:usb1="00000000" w:usb2="00000000" w:usb3="00000000" w:csb0="2000009F" w:csb1="DFD70000"/>
  </w:font>
  <w:font w:name="仿宋_GB2312">
    <w:altName w:val="方正仿宋_GBK"/>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90</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pPr>
      <w:pStyle w:val="17"/>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074E1"/>
    <w:multiLevelType w:val="singleLevel"/>
    <w:tmpl w:val="809074E1"/>
    <w:lvl w:ilvl="0" w:tentative="0">
      <w:start w:val="1"/>
      <w:numFmt w:val="decimal"/>
      <w:suff w:val="nothing"/>
      <w:lvlText w:val="（%1）"/>
      <w:lvlJc w:val="left"/>
    </w:lvl>
  </w:abstractNum>
  <w:abstractNum w:abstractNumId="1">
    <w:nsid w:val="7DAC70D7"/>
    <w:multiLevelType w:val="singleLevel"/>
    <w:tmpl w:val="7DAC70D7"/>
    <w:lvl w:ilvl="0" w:tentative="0">
      <w:start w:val="8"/>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oNotHyphenateCaps/>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iMzBjMzcyYTc0ZTQ5ZDg5MDU4ZDU5MjkyNGRjNGQifQ=="/>
  </w:docVars>
  <w:rsids>
    <w:rsidRoot w:val="00172A27"/>
    <w:rsid w:val="000060B3"/>
    <w:rsid w:val="00022C47"/>
    <w:rsid w:val="0002317D"/>
    <w:rsid w:val="00034F1A"/>
    <w:rsid w:val="0004364B"/>
    <w:rsid w:val="00047231"/>
    <w:rsid w:val="00050F2F"/>
    <w:rsid w:val="00061B1F"/>
    <w:rsid w:val="0007029F"/>
    <w:rsid w:val="000733C4"/>
    <w:rsid w:val="00074783"/>
    <w:rsid w:val="0008070B"/>
    <w:rsid w:val="000810AC"/>
    <w:rsid w:val="00081A02"/>
    <w:rsid w:val="00082231"/>
    <w:rsid w:val="0009166F"/>
    <w:rsid w:val="00092D38"/>
    <w:rsid w:val="0009377B"/>
    <w:rsid w:val="00095EE9"/>
    <w:rsid w:val="000A20C9"/>
    <w:rsid w:val="000B058F"/>
    <w:rsid w:val="000B4467"/>
    <w:rsid w:val="000B4DB9"/>
    <w:rsid w:val="000C09AC"/>
    <w:rsid w:val="000C2B12"/>
    <w:rsid w:val="000C767F"/>
    <w:rsid w:val="000D5A44"/>
    <w:rsid w:val="000D6A2B"/>
    <w:rsid w:val="000E3ED2"/>
    <w:rsid w:val="000F1261"/>
    <w:rsid w:val="000F5982"/>
    <w:rsid w:val="00103449"/>
    <w:rsid w:val="001070ED"/>
    <w:rsid w:val="00110C5C"/>
    <w:rsid w:val="00131F42"/>
    <w:rsid w:val="001357F1"/>
    <w:rsid w:val="0013650D"/>
    <w:rsid w:val="00140FA8"/>
    <w:rsid w:val="00142FEB"/>
    <w:rsid w:val="00143A2D"/>
    <w:rsid w:val="00145A41"/>
    <w:rsid w:val="00151675"/>
    <w:rsid w:val="00154706"/>
    <w:rsid w:val="00157435"/>
    <w:rsid w:val="001621D9"/>
    <w:rsid w:val="00172A27"/>
    <w:rsid w:val="0017504D"/>
    <w:rsid w:val="0017671A"/>
    <w:rsid w:val="00177422"/>
    <w:rsid w:val="00184590"/>
    <w:rsid w:val="001848B1"/>
    <w:rsid w:val="001853CB"/>
    <w:rsid w:val="001870D1"/>
    <w:rsid w:val="001873CD"/>
    <w:rsid w:val="0018781E"/>
    <w:rsid w:val="0019262D"/>
    <w:rsid w:val="001A1B35"/>
    <w:rsid w:val="001A48A2"/>
    <w:rsid w:val="001A6F61"/>
    <w:rsid w:val="001B72B8"/>
    <w:rsid w:val="001C0B7B"/>
    <w:rsid w:val="001C69B3"/>
    <w:rsid w:val="001D2392"/>
    <w:rsid w:val="001D5595"/>
    <w:rsid w:val="001D7874"/>
    <w:rsid w:val="001D7F22"/>
    <w:rsid w:val="001E1C34"/>
    <w:rsid w:val="001E3C31"/>
    <w:rsid w:val="001F0F17"/>
    <w:rsid w:val="001F12A9"/>
    <w:rsid w:val="001F3347"/>
    <w:rsid w:val="001F69E4"/>
    <w:rsid w:val="00210482"/>
    <w:rsid w:val="002125B4"/>
    <w:rsid w:val="00213AA6"/>
    <w:rsid w:val="002155B8"/>
    <w:rsid w:val="00224839"/>
    <w:rsid w:val="002249B2"/>
    <w:rsid w:val="00226574"/>
    <w:rsid w:val="002278EC"/>
    <w:rsid w:val="0023280E"/>
    <w:rsid w:val="002377D1"/>
    <w:rsid w:val="00243C05"/>
    <w:rsid w:val="002506BC"/>
    <w:rsid w:val="00252B06"/>
    <w:rsid w:val="00254345"/>
    <w:rsid w:val="00264557"/>
    <w:rsid w:val="00272568"/>
    <w:rsid w:val="002805AB"/>
    <w:rsid w:val="00284204"/>
    <w:rsid w:val="002900E4"/>
    <w:rsid w:val="00291773"/>
    <w:rsid w:val="00294A13"/>
    <w:rsid w:val="002A168C"/>
    <w:rsid w:val="002A3DC7"/>
    <w:rsid w:val="002B49E2"/>
    <w:rsid w:val="002B7B00"/>
    <w:rsid w:val="002B7C44"/>
    <w:rsid w:val="002C2B17"/>
    <w:rsid w:val="002C37B1"/>
    <w:rsid w:val="002C425D"/>
    <w:rsid w:val="002D3DD0"/>
    <w:rsid w:val="002D748A"/>
    <w:rsid w:val="002E1F3A"/>
    <w:rsid w:val="002E298A"/>
    <w:rsid w:val="002F2B9C"/>
    <w:rsid w:val="00301978"/>
    <w:rsid w:val="0030332C"/>
    <w:rsid w:val="003051C2"/>
    <w:rsid w:val="00312296"/>
    <w:rsid w:val="00314F0E"/>
    <w:rsid w:val="00321D8E"/>
    <w:rsid w:val="00325928"/>
    <w:rsid w:val="00332863"/>
    <w:rsid w:val="0033684D"/>
    <w:rsid w:val="00337B42"/>
    <w:rsid w:val="00341B42"/>
    <w:rsid w:val="0034348F"/>
    <w:rsid w:val="00343A67"/>
    <w:rsid w:val="00343D79"/>
    <w:rsid w:val="00356653"/>
    <w:rsid w:val="0035743F"/>
    <w:rsid w:val="00357BE2"/>
    <w:rsid w:val="00360E27"/>
    <w:rsid w:val="0036170C"/>
    <w:rsid w:val="00366E0F"/>
    <w:rsid w:val="003719FB"/>
    <w:rsid w:val="00381A72"/>
    <w:rsid w:val="0038248B"/>
    <w:rsid w:val="00384676"/>
    <w:rsid w:val="00390857"/>
    <w:rsid w:val="003A180F"/>
    <w:rsid w:val="003A22AE"/>
    <w:rsid w:val="003A4BF3"/>
    <w:rsid w:val="003A5FD4"/>
    <w:rsid w:val="003B420D"/>
    <w:rsid w:val="003C6C16"/>
    <w:rsid w:val="003D794D"/>
    <w:rsid w:val="003E3058"/>
    <w:rsid w:val="003E76A9"/>
    <w:rsid w:val="003F0809"/>
    <w:rsid w:val="003F6A8C"/>
    <w:rsid w:val="003F755C"/>
    <w:rsid w:val="00406F01"/>
    <w:rsid w:val="00416D50"/>
    <w:rsid w:val="00416FD5"/>
    <w:rsid w:val="00417772"/>
    <w:rsid w:val="00420434"/>
    <w:rsid w:val="00420E6A"/>
    <w:rsid w:val="00425A9E"/>
    <w:rsid w:val="00426D6B"/>
    <w:rsid w:val="00431E6C"/>
    <w:rsid w:val="00433CE7"/>
    <w:rsid w:val="00452738"/>
    <w:rsid w:val="00456091"/>
    <w:rsid w:val="00466321"/>
    <w:rsid w:val="004743CF"/>
    <w:rsid w:val="0047747C"/>
    <w:rsid w:val="00484B9B"/>
    <w:rsid w:val="004855F6"/>
    <w:rsid w:val="0048661E"/>
    <w:rsid w:val="00494670"/>
    <w:rsid w:val="004A268D"/>
    <w:rsid w:val="004A3823"/>
    <w:rsid w:val="004C65C1"/>
    <w:rsid w:val="004D3ABF"/>
    <w:rsid w:val="004D4BE6"/>
    <w:rsid w:val="004E5EE1"/>
    <w:rsid w:val="004E6946"/>
    <w:rsid w:val="004F1AD8"/>
    <w:rsid w:val="005039CB"/>
    <w:rsid w:val="0050558F"/>
    <w:rsid w:val="00506286"/>
    <w:rsid w:val="00510813"/>
    <w:rsid w:val="005115B4"/>
    <w:rsid w:val="00511990"/>
    <w:rsid w:val="00511DE0"/>
    <w:rsid w:val="00514870"/>
    <w:rsid w:val="00514B9B"/>
    <w:rsid w:val="00517F02"/>
    <w:rsid w:val="00524303"/>
    <w:rsid w:val="005258A2"/>
    <w:rsid w:val="00526156"/>
    <w:rsid w:val="00527233"/>
    <w:rsid w:val="005326CA"/>
    <w:rsid w:val="005401AE"/>
    <w:rsid w:val="00542E07"/>
    <w:rsid w:val="00545424"/>
    <w:rsid w:val="00554A7B"/>
    <w:rsid w:val="0055572C"/>
    <w:rsid w:val="0056106A"/>
    <w:rsid w:val="005720AE"/>
    <w:rsid w:val="005837DE"/>
    <w:rsid w:val="00594D77"/>
    <w:rsid w:val="005969E4"/>
    <w:rsid w:val="005A06B7"/>
    <w:rsid w:val="005A1759"/>
    <w:rsid w:val="005A68A7"/>
    <w:rsid w:val="005B2BDB"/>
    <w:rsid w:val="005C22E8"/>
    <w:rsid w:val="005D36AB"/>
    <w:rsid w:val="006167E5"/>
    <w:rsid w:val="00617CC3"/>
    <w:rsid w:val="006377A6"/>
    <w:rsid w:val="00637A3D"/>
    <w:rsid w:val="00640FB2"/>
    <w:rsid w:val="006411EF"/>
    <w:rsid w:val="00643439"/>
    <w:rsid w:val="00646CBB"/>
    <w:rsid w:val="006748B8"/>
    <w:rsid w:val="006775C3"/>
    <w:rsid w:val="0069290A"/>
    <w:rsid w:val="0069775A"/>
    <w:rsid w:val="00697813"/>
    <w:rsid w:val="006A3EE8"/>
    <w:rsid w:val="006A72BF"/>
    <w:rsid w:val="006B03F2"/>
    <w:rsid w:val="006B37DC"/>
    <w:rsid w:val="006B4F68"/>
    <w:rsid w:val="006B5F60"/>
    <w:rsid w:val="006B7B10"/>
    <w:rsid w:val="006C0592"/>
    <w:rsid w:val="006C272E"/>
    <w:rsid w:val="006C3E06"/>
    <w:rsid w:val="006C4385"/>
    <w:rsid w:val="006C5479"/>
    <w:rsid w:val="006D13B5"/>
    <w:rsid w:val="006D1F65"/>
    <w:rsid w:val="006D5A24"/>
    <w:rsid w:val="006E12FF"/>
    <w:rsid w:val="006E3F74"/>
    <w:rsid w:val="006E607E"/>
    <w:rsid w:val="00706C5D"/>
    <w:rsid w:val="00706EF5"/>
    <w:rsid w:val="00721D5F"/>
    <w:rsid w:val="00727153"/>
    <w:rsid w:val="00732922"/>
    <w:rsid w:val="00741178"/>
    <w:rsid w:val="00747346"/>
    <w:rsid w:val="0075162E"/>
    <w:rsid w:val="0075256D"/>
    <w:rsid w:val="00754034"/>
    <w:rsid w:val="00756556"/>
    <w:rsid w:val="007618C4"/>
    <w:rsid w:val="00767980"/>
    <w:rsid w:val="00770B19"/>
    <w:rsid w:val="0077463F"/>
    <w:rsid w:val="00775F12"/>
    <w:rsid w:val="007836EA"/>
    <w:rsid w:val="00784CDA"/>
    <w:rsid w:val="007906C4"/>
    <w:rsid w:val="007940EA"/>
    <w:rsid w:val="007967E8"/>
    <w:rsid w:val="007A2170"/>
    <w:rsid w:val="007A22BF"/>
    <w:rsid w:val="007A3323"/>
    <w:rsid w:val="007A3CC2"/>
    <w:rsid w:val="007B193E"/>
    <w:rsid w:val="007B72B8"/>
    <w:rsid w:val="007B7A58"/>
    <w:rsid w:val="007C21B5"/>
    <w:rsid w:val="007C5594"/>
    <w:rsid w:val="007E4BD2"/>
    <w:rsid w:val="00801393"/>
    <w:rsid w:val="00802F88"/>
    <w:rsid w:val="00804502"/>
    <w:rsid w:val="0081293E"/>
    <w:rsid w:val="008138FD"/>
    <w:rsid w:val="00815465"/>
    <w:rsid w:val="00817E9A"/>
    <w:rsid w:val="008306BD"/>
    <w:rsid w:val="00831A80"/>
    <w:rsid w:val="00833743"/>
    <w:rsid w:val="008340A4"/>
    <w:rsid w:val="0086184D"/>
    <w:rsid w:val="00870661"/>
    <w:rsid w:val="0087135F"/>
    <w:rsid w:val="00872D94"/>
    <w:rsid w:val="00880364"/>
    <w:rsid w:val="00891592"/>
    <w:rsid w:val="00891E9E"/>
    <w:rsid w:val="008972F1"/>
    <w:rsid w:val="008A0F13"/>
    <w:rsid w:val="008A2F68"/>
    <w:rsid w:val="008A5942"/>
    <w:rsid w:val="008B01D8"/>
    <w:rsid w:val="008B2265"/>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6967"/>
    <w:rsid w:val="009155E8"/>
    <w:rsid w:val="0091736D"/>
    <w:rsid w:val="0093037A"/>
    <w:rsid w:val="0094154D"/>
    <w:rsid w:val="0095038D"/>
    <w:rsid w:val="0095155F"/>
    <w:rsid w:val="00952150"/>
    <w:rsid w:val="00954429"/>
    <w:rsid w:val="009563CE"/>
    <w:rsid w:val="0096069F"/>
    <w:rsid w:val="00962BFB"/>
    <w:rsid w:val="00976328"/>
    <w:rsid w:val="0097680D"/>
    <w:rsid w:val="00982438"/>
    <w:rsid w:val="0098404C"/>
    <w:rsid w:val="00985283"/>
    <w:rsid w:val="00995088"/>
    <w:rsid w:val="00995992"/>
    <w:rsid w:val="009A03E5"/>
    <w:rsid w:val="009A0ACC"/>
    <w:rsid w:val="009A0E29"/>
    <w:rsid w:val="009A0F3B"/>
    <w:rsid w:val="009A1BB4"/>
    <w:rsid w:val="009A2628"/>
    <w:rsid w:val="009A3200"/>
    <w:rsid w:val="009B0897"/>
    <w:rsid w:val="009B1F23"/>
    <w:rsid w:val="009B7BD9"/>
    <w:rsid w:val="009C4BE7"/>
    <w:rsid w:val="009C7DD5"/>
    <w:rsid w:val="009C7F76"/>
    <w:rsid w:val="009E1C20"/>
    <w:rsid w:val="009E227D"/>
    <w:rsid w:val="009E5019"/>
    <w:rsid w:val="009F2D4F"/>
    <w:rsid w:val="00A0318D"/>
    <w:rsid w:val="00A04F1B"/>
    <w:rsid w:val="00A0501B"/>
    <w:rsid w:val="00A14947"/>
    <w:rsid w:val="00A32A83"/>
    <w:rsid w:val="00A368DB"/>
    <w:rsid w:val="00A423AA"/>
    <w:rsid w:val="00A53EC6"/>
    <w:rsid w:val="00A5478F"/>
    <w:rsid w:val="00A55C0F"/>
    <w:rsid w:val="00A62AFE"/>
    <w:rsid w:val="00A8713F"/>
    <w:rsid w:val="00A90BA1"/>
    <w:rsid w:val="00A93AD4"/>
    <w:rsid w:val="00A97A9A"/>
    <w:rsid w:val="00AA0671"/>
    <w:rsid w:val="00AA2531"/>
    <w:rsid w:val="00AA38AA"/>
    <w:rsid w:val="00AA69AD"/>
    <w:rsid w:val="00AB1E09"/>
    <w:rsid w:val="00AB5330"/>
    <w:rsid w:val="00AB76DB"/>
    <w:rsid w:val="00AB7747"/>
    <w:rsid w:val="00AC14CE"/>
    <w:rsid w:val="00AC1AB3"/>
    <w:rsid w:val="00AC2A56"/>
    <w:rsid w:val="00AC3C34"/>
    <w:rsid w:val="00AC74A9"/>
    <w:rsid w:val="00AC7F9C"/>
    <w:rsid w:val="00AD055E"/>
    <w:rsid w:val="00AD1F35"/>
    <w:rsid w:val="00AD47A7"/>
    <w:rsid w:val="00AF0CBF"/>
    <w:rsid w:val="00AF257F"/>
    <w:rsid w:val="00AF33CF"/>
    <w:rsid w:val="00AF4D50"/>
    <w:rsid w:val="00AF6179"/>
    <w:rsid w:val="00B02E26"/>
    <w:rsid w:val="00B03CAF"/>
    <w:rsid w:val="00B108C9"/>
    <w:rsid w:val="00B1295A"/>
    <w:rsid w:val="00B20A45"/>
    <w:rsid w:val="00B22C5C"/>
    <w:rsid w:val="00B24F30"/>
    <w:rsid w:val="00B26F08"/>
    <w:rsid w:val="00B272E5"/>
    <w:rsid w:val="00B31ABF"/>
    <w:rsid w:val="00B33BE3"/>
    <w:rsid w:val="00B46B44"/>
    <w:rsid w:val="00B475C8"/>
    <w:rsid w:val="00B47920"/>
    <w:rsid w:val="00B53B5D"/>
    <w:rsid w:val="00B57674"/>
    <w:rsid w:val="00B6055E"/>
    <w:rsid w:val="00B619D1"/>
    <w:rsid w:val="00B6317D"/>
    <w:rsid w:val="00B7723F"/>
    <w:rsid w:val="00B80534"/>
    <w:rsid w:val="00B81DDF"/>
    <w:rsid w:val="00B8433C"/>
    <w:rsid w:val="00B87491"/>
    <w:rsid w:val="00BA29E9"/>
    <w:rsid w:val="00BA5644"/>
    <w:rsid w:val="00BA7142"/>
    <w:rsid w:val="00BB237C"/>
    <w:rsid w:val="00BB41A3"/>
    <w:rsid w:val="00BC32DC"/>
    <w:rsid w:val="00BC35B6"/>
    <w:rsid w:val="00BC6786"/>
    <w:rsid w:val="00BD1B51"/>
    <w:rsid w:val="00BD4596"/>
    <w:rsid w:val="00BE1405"/>
    <w:rsid w:val="00BE312D"/>
    <w:rsid w:val="00BE70AC"/>
    <w:rsid w:val="00BF1859"/>
    <w:rsid w:val="00BF1C20"/>
    <w:rsid w:val="00C01A9C"/>
    <w:rsid w:val="00C04A5F"/>
    <w:rsid w:val="00C10578"/>
    <w:rsid w:val="00C12E9E"/>
    <w:rsid w:val="00C135BC"/>
    <w:rsid w:val="00C15C95"/>
    <w:rsid w:val="00C2596A"/>
    <w:rsid w:val="00C27537"/>
    <w:rsid w:val="00C328FE"/>
    <w:rsid w:val="00C33507"/>
    <w:rsid w:val="00C37EC6"/>
    <w:rsid w:val="00C4409D"/>
    <w:rsid w:val="00C44539"/>
    <w:rsid w:val="00C44E72"/>
    <w:rsid w:val="00C45A06"/>
    <w:rsid w:val="00C45C99"/>
    <w:rsid w:val="00C47E5B"/>
    <w:rsid w:val="00C61E4B"/>
    <w:rsid w:val="00C64BFF"/>
    <w:rsid w:val="00C704E9"/>
    <w:rsid w:val="00C763C9"/>
    <w:rsid w:val="00C76713"/>
    <w:rsid w:val="00C770C8"/>
    <w:rsid w:val="00C80057"/>
    <w:rsid w:val="00C82232"/>
    <w:rsid w:val="00C82913"/>
    <w:rsid w:val="00C85D00"/>
    <w:rsid w:val="00C972B1"/>
    <w:rsid w:val="00CA2CCE"/>
    <w:rsid w:val="00CA43FD"/>
    <w:rsid w:val="00CA7EF8"/>
    <w:rsid w:val="00CC489B"/>
    <w:rsid w:val="00CC6F07"/>
    <w:rsid w:val="00CD2BCD"/>
    <w:rsid w:val="00CD3A4C"/>
    <w:rsid w:val="00CE0378"/>
    <w:rsid w:val="00CE10E9"/>
    <w:rsid w:val="00CE112A"/>
    <w:rsid w:val="00CE2910"/>
    <w:rsid w:val="00CE3DF0"/>
    <w:rsid w:val="00CE5393"/>
    <w:rsid w:val="00CF36BE"/>
    <w:rsid w:val="00CF458F"/>
    <w:rsid w:val="00CF6000"/>
    <w:rsid w:val="00D003F3"/>
    <w:rsid w:val="00D035A4"/>
    <w:rsid w:val="00D0364F"/>
    <w:rsid w:val="00D06834"/>
    <w:rsid w:val="00D154E8"/>
    <w:rsid w:val="00D2672D"/>
    <w:rsid w:val="00D308ED"/>
    <w:rsid w:val="00D36D86"/>
    <w:rsid w:val="00D428AA"/>
    <w:rsid w:val="00D45C53"/>
    <w:rsid w:val="00D50A34"/>
    <w:rsid w:val="00D53EFA"/>
    <w:rsid w:val="00D63A61"/>
    <w:rsid w:val="00D8488D"/>
    <w:rsid w:val="00D91104"/>
    <w:rsid w:val="00D94A7C"/>
    <w:rsid w:val="00D95896"/>
    <w:rsid w:val="00DA12DB"/>
    <w:rsid w:val="00DA134C"/>
    <w:rsid w:val="00DB2983"/>
    <w:rsid w:val="00DC1257"/>
    <w:rsid w:val="00DC3DC0"/>
    <w:rsid w:val="00DC528F"/>
    <w:rsid w:val="00DC5B2B"/>
    <w:rsid w:val="00DD318D"/>
    <w:rsid w:val="00DF2E12"/>
    <w:rsid w:val="00DF315A"/>
    <w:rsid w:val="00DF514A"/>
    <w:rsid w:val="00DF6690"/>
    <w:rsid w:val="00DF6804"/>
    <w:rsid w:val="00E0358D"/>
    <w:rsid w:val="00E04323"/>
    <w:rsid w:val="00E070A2"/>
    <w:rsid w:val="00E105C5"/>
    <w:rsid w:val="00E1483A"/>
    <w:rsid w:val="00E2656A"/>
    <w:rsid w:val="00E30F4A"/>
    <w:rsid w:val="00E412D0"/>
    <w:rsid w:val="00E438D5"/>
    <w:rsid w:val="00E54CDE"/>
    <w:rsid w:val="00E56322"/>
    <w:rsid w:val="00E569D2"/>
    <w:rsid w:val="00E60982"/>
    <w:rsid w:val="00E62C62"/>
    <w:rsid w:val="00E654C1"/>
    <w:rsid w:val="00E65D97"/>
    <w:rsid w:val="00E72A5A"/>
    <w:rsid w:val="00E73354"/>
    <w:rsid w:val="00E906FC"/>
    <w:rsid w:val="00E9242D"/>
    <w:rsid w:val="00EA1B2D"/>
    <w:rsid w:val="00EB3829"/>
    <w:rsid w:val="00EB5255"/>
    <w:rsid w:val="00EB5C47"/>
    <w:rsid w:val="00ED0639"/>
    <w:rsid w:val="00ED0E35"/>
    <w:rsid w:val="00EE09F6"/>
    <w:rsid w:val="00EE12E9"/>
    <w:rsid w:val="00EF4755"/>
    <w:rsid w:val="00EF7135"/>
    <w:rsid w:val="00F027DB"/>
    <w:rsid w:val="00F14A7A"/>
    <w:rsid w:val="00F22985"/>
    <w:rsid w:val="00F313EE"/>
    <w:rsid w:val="00F3383E"/>
    <w:rsid w:val="00F42D74"/>
    <w:rsid w:val="00F44549"/>
    <w:rsid w:val="00F465A7"/>
    <w:rsid w:val="00F50B7C"/>
    <w:rsid w:val="00F550E6"/>
    <w:rsid w:val="00F708B7"/>
    <w:rsid w:val="00F74345"/>
    <w:rsid w:val="00F80A0A"/>
    <w:rsid w:val="00F82B19"/>
    <w:rsid w:val="00F9212D"/>
    <w:rsid w:val="00F965DA"/>
    <w:rsid w:val="00FA406A"/>
    <w:rsid w:val="00FA42EA"/>
    <w:rsid w:val="00FA4B11"/>
    <w:rsid w:val="00FB503A"/>
    <w:rsid w:val="00FB516C"/>
    <w:rsid w:val="00FD0236"/>
    <w:rsid w:val="00FD18F4"/>
    <w:rsid w:val="00FD54DB"/>
    <w:rsid w:val="00FD619F"/>
    <w:rsid w:val="00FE16F2"/>
    <w:rsid w:val="00FE4316"/>
    <w:rsid w:val="00FF6BED"/>
    <w:rsid w:val="010A29DC"/>
    <w:rsid w:val="011B0745"/>
    <w:rsid w:val="01290F7E"/>
    <w:rsid w:val="012D498F"/>
    <w:rsid w:val="014C3CE7"/>
    <w:rsid w:val="01504677"/>
    <w:rsid w:val="01517E3B"/>
    <w:rsid w:val="015D1E09"/>
    <w:rsid w:val="017401B8"/>
    <w:rsid w:val="01761836"/>
    <w:rsid w:val="01991FF2"/>
    <w:rsid w:val="01A068E2"/>
    <w:rsid w:val="01A06E17"/>
    <w:rsid w:val="01A52705"/>
    <w:rsid w:val="01B36B27"/>
    <w:rsid w:val="01BB0C12"/>
    <w:rsid w:val="01CE1479"/>
    <w:rsid w:val="01D05026"/>
    <w:rsid w:val="01D521D6"/>
    <w:rsid w:val="01DA40E6"/>
    <w:rsid w:val="01E25ABE"/>
    <w:rsid w:val="01F77D13"/>
    <w:rsid w:val="01F9640F"/>
    <w:rsid w:val="01FB30C7"/>
    <w:rsid w:val="021423D3"/>
    <w:rsid w:val="0214761E"/>
    <w:rsid w:val="021A6229"/>
    <w:rsid w:val="021F4C24"/>
    <w:rsid w:val="022364EE"/>
    <w:rsid w:val="02274A65"/>
    <w:rsid w:val="02295152"/>
    <w:rsid w:val="022B2C0A"/>
    <w:rsid w:val="023322BC"/>
    <w:rsid w:val="02427F54"/>
    <w:rsid w:val="025B1048"/>
    <w:rsid w:val="025D2FB3"/>
    <w:rsid w:val="02697903"/>
    <w:rsid w:val="02A36655"/>
    <w:rsid w:val="02B060A9"/>
    <w:rsid w:val="02B41332"/>
    <w:rsid w:val="02CE3CE8"/>
    <w:rsid w:val="02DA3CC1"/>
    <w:rsid w:val="02EB0B08"/>
    <w:rsid w:val="02F96569"/>
    <w:rsid w:val="032725B5"/>
    <w:rsid w:val="03294016"/>
    <w:rsid w:val="03463182"/>
    <w:rsid w:val="034B3CA0"/>
    <w:rsid w:val="036C25F1"/>
    <w:rsid w:val="03707EDF"/>
    <w:rsid w:val="03765AC8"/>
    <w:rsid w:val="03775031"/>
    <w:rsid w:val="038621BF"/>
    <w:rsid w:val="03895387"/>
    <w:rsid w:val="038977AF"/>
    <w:rsid w:val="03904983"/>
    <w:rsid w:val="03AB3D4A"/>
    <w:rsid w:val="03B91CED"/>
    <w:rsid w:val="03E6736C"/>
    <w:rsid w:val="03EA5919"/>
    <w:rsid w:val="03EA7B21"/>
    <w:rsid w:val="03EE1054"/>
    <w:rsid w:val="0401799A"/>
    <w:rsid w:val="04087B2D"/>
    <w:rsid w:val="040B024B"/>
    <w:rsid w:val="0443374F"/>
    <w:rsid w:val="04651754"/>
    <w:rsid w:val="046D5C70"/>
    <w:rsid w:val="04704033"/>
    <w:rsid w:val="04A12FB8"/>
    <w:rsid w:val="04A37820"/>
    <w:rsid w:val="04AC4A4D"/>
    <w:rsid w:val="04B32967"/>
    <w:rsid w:val="04BC152B"/>
    <w:rsid w:val="04C472A9"/>
    <w:rsid w:val="04C9495C"/>
    <w:rsid w:val="04D017AD"/>
    <w:rsid w:val="04DC01E5"/>
    <w:rsid w:val="04FF5F55"/>
    <w:rsid w:val="05016FDF"/>
    <w:rsid w:val="05555387"/>
    <w:rsid w:val="0567385E"/>
    <w:rsid w:val="05B21FF6"/>
    <w:rsid w:val="05B44CC5"/>
    <w:rsid w:val="05BE3D95"/>
    <w:rsid w:val="05C72168"/>
    <w:rsid w:val="05E10040"/>
    <w:rsid w:val="05F70902"/>
    <w:rsid w:val="05F83EAE"/>
    <w:rsid w:val="061A4248"/>
    <w:rsid w:val="0624417F"/>
    <w:rsid w:val="06346446"/>
    <w:rsid w:val="063D0CA4"/>
    <w:rsid w:val="063D4CBA"/>
    <w:rsid w:val="063E7D85"/>
    <w:rsid w:val="06524B3D"/>
    <w:rsid w:val="067601CC"/>
    <w:rsid w:val="06792F82"/>
    <w:rsid w:val="067B0D0F"/>
    <w:rsid w:val="06A16199"/>
    <w:rsid w:val="06A36281"/>
    <w:rsid w:val="06B64207"/>
    <w:rsid w:val="06C27EB6"/>
    <w:rsid w:val="06DA3E86"/>
    <w:rsid w:val="06F71E54"/>
    <w:rsid w:val="06F95049"/>
    <w:rsid w:val="06FF1C51"/>
    <w:rsid w:val="070677A2"/>
    <w:rsid w:val="070D0D20"/>
    <w:rsid w:val="07293586"/>
    <w:rsid w:val="07295285"/>
    <w:rsid w:val="0730490E"/>
    <w:rsid w:val="07407ADF"/>
    <w:rsid w:val="074552B3"/>
    <w:rsid w:val="074958E1"/>
    <w:rsid w:val="07636392"/>
    <w:rsid w:val="07770C56"/>
    <w:rsid w:val="077B2559"/>
    <w:rsid w:val="079C15D2"/>
    <w:rsid w:val="07A338CB"/>
    <w:rsid w:val="07B66513"/>
    <w:rsid w:val="07BB4B39"/>
    <w:rsid w:val="07D946EB"/>
    <w:rsid w:val="07DD5CD1"/>
    <w:rsid w:val="07F53A21"/>
    <w:rsid w:val="07F92E63"/>
    <w:rsid w:val="08031FAE"/>
    <w:rsid w:val="080468A6"/>
    <w:rsid w:val="08086CCB"/>
    <w:rsid w:val="08095F8A"/>
    <w:rsid w:val="080B2FD4"/>
    <w:rsid w:val="08193C70"/>
    <w:rsid w:val="08336BA7"/>
    <w:rsid w:val="084B23BA"/>
    <w:rsid w:val="086A184A"/>
    <w:rsid w:val="087072C6"/>
    <w:rsid w:val="088418F5"/>
    <w:rsid w:val="08853200"/>
    <w:rsid w:val="08882800"/>
    <w:rsid w:val="088D4B46"/>
    <w:rsid w:val="08D7211B"/>
    <w:rsid w:val="08ED25ED"/>
    <w:rsid w:val="08F20EC2"/>
    <w:rsid w:val="08F301FA"/>
    <w:rsid w:val="09175A66"/>
    <w:rsid w:val="091C7E89"/>
    <w:rsid w:val="092217DD"/>
    <w:rsid w:val="0925728E"/>
    <w:rsid w:val="09275F7F"/>
    <w:rsid w:val="093A7294"/>
    <w:rsid w:val="093B3DD3"/>
    <w:rsid w:val="09431F13"/>
    <w:rsid w:val="094B67B1"/>
    <w:rsid w:val="094F21D7"/>
    <w:rsid w:val="096207BC"/>
    <w:rsid w:val="09642737"/>
    <w:rsid w:val="09741730"/>
    <w:rsid w:val="098011EF"/>
    <w:rsid w:val="099B2F86"/>
    <w:rsid w:val="09A12369"/>
    <w:rsid w:val="09A13B22"/>
    <w:rsid w:val="09B50345"/>
    <w:rsid w:val="09CD3DAF"/>
    <w:rsid w:val="09CD74AD"/>
    <w:rsid w:val="09DC124B"/>
    <w:rsid w:val="09DE6CFC"/>
    <w:rsid w:val="09E25089"/>
    <w:rsid w:val="09E31636"/>
    <w:rsid w:val="09E428B0"/>
    <w:rsid w:val="09FE5DA0"/>
    <w:rsid w:val="0A050A9B"/>
    <w:rsid w:val="0A0849C6"/>
    <w:rsid w:val="0A263993"/>
    <w:rsid w:val="0A2D3AC2"/>
    <w:rsid w:val="0A3541BE"/>
    <w:rsid w:val="0A354A3D"/>
    <w:rsid w:val="0A3E7253"/>
    <w:rsid w:val="0A657CD1"/>
    <w:rsid w:val="0A7F1BCA"/>
    <w:rsid w:val="0A895FB2"/>
    <w:rsid w:val="0A8A3300"/>
    <w:rsid w:val="0A977AC0"/>
    <w:rsid w:val="0AA25A34"/>
    <w:rsid w:val="0AA755DF"/>
    <w:rsid w:val="0AB269FB"/>
    <w:rsid w:val="0AC659C1"/>
    <w:rsid w:val="0AC66547"/>
    <w:rsid w:val="0AE731E4"/>
    <w:rsid w:val="0AF2762F"/>
    <w:rsid w:val="0B02753B"/>
    <w:rsid w:val="0B09756E"/>
    <w:rsid w:val="0B0B35D9"/>
    <w:rsid w:val="0B120D44"/>
    <w:rsid w:val="0B3C730D"/>
    <w:rsid w:val="0B4C4C4D"/>
    <w:rsid w:val="0B4F66B5"/>
    <w:rsid w:val="0B5E57DF"/>
    <w:rsid w:val="0B64769C"/>
    <w:rsid w:val="0B713AF9"/>
    <w:rsid w:val="0BB55095"/>
    <w:rsid w:val="0BBF6E3F"/>
    <w:rsid w:val="0BC1792C"/>
    <w:rsid w:val="0BD27BF6"/>
    <w:rsid w:val="0BD60382"/>
    <w:rsid w:val="0BDA22EB"/>
    <w:rsid w:val="0BE1033E"/>
    <w:rsid w:val="0BE1376E"/>
    <w:rsid w:val="0BE33F30"/>
    <w:rsid w:val="0BED7332"/>
    <w:rsid w:val="0BF05EA2"/>
    <w:rsid w:val="0BF92F8E"/>
    <w:rsid w:val="0C0D7CDD"/>
    <w:rsid w:val="0C2E4277"/>
    <w:rsid w:val="0C3B3C7D"/>
    <w:rsid w:val="0C5B15AB"/>
    <w:rsid w:val="0C605637"/>
    <w:rsid w:val="0C650AB2"/>
    <w:rsid w:val="0C724712"/>
    <w:rsid w:val="0C7A529B"/>
    <w:rsid w:val="0CA75583"/>
    <w:rsid w:val="0CAB2EAE"/>
    <w:rsid w:val="0CBF1239"/>
    <w:rsid w:val="0CCB4C1C"/>
    <w:rsid w:val="0CD21ED4"/>
    <w:rsid w:val="0CF122B7"/>
    <w:rsid w:val="0CF167FE"/>
    <w:rsid w:val="0D023324"/>
    <w:rsid w:val="0D370153"/>
    <w:rsid w:val="0D3856F3"/>
    <w:rsid w:val="0D38720C"/>
    <w:rsid w:val="0D3A4DDB"/>
    <w:rsid w:val="0D4235E4"/>
    <w:rsid w:val="0D430EAD"/>
    <w:rsid w:val="0D474670"/>
    <w:rsid w:val="0D4F1F3A"/>
    <w:rsid w:val="0D5C7B16"/>
    <w:rsid w:val="0D600996"/>
    <w:rsid w:val="0D602882"/>
    <w:rsid w:val="0D621C7D"/>
    <w:rsid w:val="0D641A1E"/>
    <w:rsid w:val="0D677056"/>
    <w:rsid w:val="0D781D77"/>
    <w:rsid w:val="0D787B48"/>
    <w:rsid w:val="0D8919CC"/>
    <w:rsid w:val="0D983D6F"/>
    <w:rsid w:val="0DB810F2"/>
    <w:rsid w:val="0DC920A1"/>
    <w:rsid w:val="0DD028B8"/>
    <w:rsid w:val="0DD81855"/>
    <w:rsid w:val="0DEB7750"/>
    <w:rsid w:val="0DEC1085"/>
    <w:rsid w:val="0DF447F8"/>
    <w:rsid w:val="0DFD5943"/>
    <w:rsid w:val="0E141674"/>
    <w:rsid w:val="0E1A1D85"/>
    <w:rsid w:val="0E1C00CB"/>
    <w:rsid w:val="0E3101A0"/>
    <w:rsid w:val="0E3667DA"/>
    <w:rsid w:val="0E3F19ED"/>
    <w:rsid w:val="0E47402B"/>
    <w:rsid w:val="0E4856E7"/>
    <w:rsid w:val="0E4C5F1A"/>
    <w:rsid w:val="0E4F79DE"/>
    <w:rsid w:val="0E574529"/>
    <w:rsid w:val="0E625BB8"/>
    <w:rsid w:val="0E63197E"/>
    <w:rsid w:val="0E691385"/>
    <w:rsid w:val="0E7069AE"/>
    <w:rsid w:val="0E73034D"/>
    <w:rsid w:val="0E8071AE"/>
    <w:rsid w:val="0EA130F1"/>
    <w:rsid w:val="0EBB3639"/>
    <w:rsid w:val="0EC10408"/>
    <w:rsid w:val="0ECD194F"/>
    <w:rsid w:val="0EE72544"/>
    <w:rsid w:val="0EF751A3"/>
    <w:rsid w:val="0F13775A"/>
    <w:rsid w:val="0F1E2C37"/>
    <w:rsid w:val="0F297733"/>
    <w:rsid w:val="0F4B40EC"/>
    <w:rsid w:val="0F5F45FE"/>
    <w:rsid w:val="0F9A112B"/>
    <w:rsid w:val="0FC63F72"/>
    <w:rsid w:val="0FD4668D"/>
    <w:rsid w:val="0FF41A7F"/>
    <w:rsid w:val="0FFC6866"/>
    <w:rsid w:val="102F2341"/>
    <w:rsid w:val="1030671F"/>
    <w:rsid w:val="10414076"/>
    <w:rsid w:val="105807EF"/>
    <w:rsid w:val="105E30EC"/>
    <w:rsid w:val="106D2F64"/>
    <w:rsid w:val="107240FA"/>
    <w:rsid w:val="10961B97"/>
    <w:rsid w:val="10974EB6"/>
    <w:rsid w:val="10A24520"/>
    <w:rsid w:val="10B63710"/>
    <w:rsid w:val="10BF534C"/>
    <w:rsid w:val="10C858C1"/>
    <w:rsid w:val="10CF50A9"/>
    <w:rsid w:val="10D529DF"/>
    <w:rsid w:val="10F10820"/>
    <w:rsid w:val="10FC7AED"/>
    <w:rsid w:val="11107BCE"/>
    <w:rsid w:val="111C2F7A"/>
    <w:rsid w:val="11257EF1"/>
    <w:rsid w:val="11261FE3"/>
    <w:rsid w:val="112C70AC"/>
    <w:rsid w:val="11367411"/>
    <w:rsid w:val="113A241A"/>
    <w:rsid w:val="113F441C"/>
    <w:rsid w:val="11665CA1"/>
    <w:rsid w:val="11671CA6"/>
    <w:rsid w:val="11915409"/>
    <w:rsid w:val="11AC3A03"/>
    <w:rsid w:val="11AD6351"/>
    <w:rsid w:val="11C30CED"/>
    <w:rsid w:val="11CA67D3"/>
    <w:rsid w:val="11CB5C18"/>
    <w:rsid w:val="11CF4CB9"/>
    <w:rsid w:val="11E61E70"/>
    <w:rsid w:val="11E726F1"/>
    <w:rsid w:val="11EB000E"/>
    <w:rsid w:val="11EE4331"/>
    <w:rsid w:val="120804A4"/>
    <w:rsid w:val="121256F8"/>
    <w:rsid w:val="1232455F"/>
    <w:rsid w:val="12543896"/>
    <w:rsid w:val="125A2E22"/>
    <w:rsid w:val="12655AA1"/>
    <w:rsid w:val="127102C1"/>
    <w:rsid w:val="128E5200"/>
    <w:rsid w:val="12917410"/>
    <w:rsid w:val="12933832"/>
    <w:rsid w:val="12A7535E"/>
    <w:rsid w:val="12AF5961"/>
    <w:rsid w:val="12B015A2"/>
    <w:rsid w:val="12BA2A75"/>
    <w:rsid w:val="13024A89"/>
    <w:rsid w:val="1306068D"/>
    <w:rsid w:val="130E7F67"/>
    <w:rsid w:val="131B3929"/>
    <w:rsid w:val="131E6A83"/>
    <w:rsid w:val="13386F35"/>
    <w:rsid w:val="13484008"/>
    <w:rsid w:val="13504092"/>
    <w:rsid w:val="13531EF0"/>
    <w:rsid w:val="13575410"/>
    <w:rsid w:val="136169C3"/>
    <w:rsid w:val="13737783"/>
    <w:rsid w:val="137E3E9D"/>
    <w:rsid w:val="13936861"/>
    <w:rsid w:val="13951726"/>
    <w:rsid w:val="13B45C1E"/>
    <w:rsid w:val="13C00BDB"/>
    <w:rsid w:val="13D34B93"/>
    <w:rsid w:val="13D53040"/>
    <w:rsid w:val="13E7095B"/>
    <w:rsid w:val="13F60F16"/>
    <w:rsid w:val="14182BDC"/>
    <w:rsid w:val="142A23D2"/>
    <w:rsid w:val="143363D6"/>
    <w:rsid w:val="14396509"/>
    <w:rsid w:val="144813FA"/>
    <w:rsid w:val="144A03E6"/>
    <w:rsid w:val="14564C3D"/>
    <w:rsid w:val="14573C2D"/>
    <w:rsid w:val="145F0F86"/>
    <w:rsid w:val="14700D31"/>
    <w:rsid w:val="14924ECB"/>
    <w:rsid w:val="14963D43"/>
    <w:rsid w:val="14A55B45"/>
    <w:rsid w:val="14CD18FF"/>
    <w:rsid w:val="14DD2C3C"/>
    <w:rsid w:val="14E93FBC"/>
    <w:rsid w:val="150205AB"/>
    <w:rsid w:val="150A284E"/>
    <w:rsid w:val="150B3FCD"/>
    <w:rsid w:val="150C6B2E"/>
    <w:rsid w:val="15284F31"/>
    <w:rsid w:val="15455939"/>
    <w:rsid w:val="15974B8A"/>
    <w:rsid w:val="159B366D"/>
    <w:rsid w:val="15B8653F"/>
    <w:rsid w:val="15DD3609"/>
    <w:rsid w:val="15E9674D"/>
    <w:rsid w:val="16087E1D"/>
    <w:rsid w:val="161800A7"/>
    <w:rsid w:val="161F262E"/>
    <w:rsid w:val="16210154"/>
    <w:rsid w:val="16212E78"/>
    <w:rsid w:val="16234702"/>
    <w:rsid w:val="162714E3"/>
    <w:rsid w:val="163D186E"/>
    <w:rsid w:val="16497752"/>
    <w:rsid w:val="164D1616"/>
    <w:rsid w:val="165D4F05"/>
    <w:rsid w:val="16750FCC"/>
    <w:rsid w:val="16786B3F"/>
    <w:rsid w:val="168D2B4F"/>
    <w:rsid w:val="16AD7EB3"/>
    <w:rsid w:val="16B35B9D"/>
    <w:rsid w:val="16BE11ED"/>
    <w:rsid w:val="16D015FD"/>
    <w:rsid w:val="16D91361"/>
    <w:rsid w:val="16DC2581"/>
    <w:rsid w:val="16FA2753"/>
    <w:rsid w:val="17075EC4"/>
    <w:rsid w:val="1722235D"/>
    <w:rsid w:val="173D12E7"/>
    <w:rsid w:val="17701D14"/>
    <w:rsid w:val="17735226"/>
    <w:rsid w:val="17757423"/>
    <w:rsid w:val="17760A52"/>
    <w:rsid w:val="178575AF"/>
    <w:rsid w:val="179C1F5C"/>
    <w:rsid w:val="17A94013"/>
    <w:rsid w:val="17AB5B42"/>
    <w:rsid w:val="17B711D8"/>
    <w:rsid w:val="17C074F9"/>
    <w:rsid w:val="17C51D43"/>
    <w:rsid w:val="17D775F2"/>
    <w:rsid w:val="18006340"/>
    <w:rsid w:val="180E5A16"/>
    <w:rsid w:val="181A032E"/>
    <w:rsid w:val="181A7CA3"/>
    <w:rsid w:val="181E30CD"/>
    <w:rsid w:val="183063C7"/>
    <w:rsid w:val="18324035"/>
    <w:rsid w:val="185E7C9F"/>
    <w:rsid w:val="18743AAD"/>
    <w:rsid w:val="187630AF"/>
    <w:rsid w:val="189F624C"/>
    <w:rsid w:val="18A21B92"/>
    <w:rsid w:val="18AB4E55"/>
    <w:rsid w:val="18B54B84"/>
    <w:rsid w:val="18C778F1"/>
    <w:rsid w:val="18CC0EB4"/>
    <w:rsid w:val="18D42E53"/>
    <w:rsid w:val="18D5171E"/>
    <w:rsid w:val="18DB685C"/>
    <w:rsid w:val="18DC6ED5"/>
    <w:rsid w:val="190E496A"/>
    <w:rsid w:val="191D00CC"/>
    <w:rsid w:val="19411560"/>
    <w:rsid w:val="19566F82"/>
    <w:rsid w:val="198D4A46"/>
    <w:rsid w:val="19974BAF"/>
    <w:rsid w:val="19AA4925"/>
    <w:rsid w:val="19C12A89"/>
    <w:rsid w:val="19CA465F"/>
    <w:rsid w:val="19D30B98"/>
    <w:rsid w:val="19D56800"/>
    <w:rsid w:val="19DA1EDC"/>
    <w:rsid w:val="19DB4D4C"/>
    <w:rsid w:val="19E400AB"/>
    <w:rsid w:val="19EF5415"/>
    <w:rsid w:val="1A10528E"/>
    <w:rsid w:val="1A1C66C0"/>
    <w:rsid w:val="1A42393B"/>
    <w:rsid w:val="1A876D04"/>
    <w:rsid w:val="1A9321B6"/>
    <w:rsid w:val="1A990843"/>
    <w:rsid w:val="1A9D36E1"/>
    <w:rsid w:val="1A9D6A01"/>
    <w:rsid w:val="1AA516C5"/>
    <w:rsid w:val="1AA94BBC"/>
    <w:rsid w:val="1AAD45DE"/>
    <w:rsid w:val="1ACD4F1A"/>
    <w:rsid w:val="1AD97E88"/>
    <w:rsid w:val="1AF52219"/>
    <w:rsid w:val="1B046F80"/>
    <w:rsid w:val="1B0818E3"/>
    <w:rsid w:val="1B1C30FD"/>
    <w:rsid w:val="1B2050DD"/>
    <w:rsid w:val="1B3267B5"/>
    <w:rsid w:val="1B3975A9"/>
    <w:rsid w:val="1B3A0AF2"/>
    <w:rsid w:val="1B40161D"/>
    <w:rsid w:val="1B441859"/>
    <w:rsid w:val="1B487BB9"/>
    <w:rsid w:val="1B493317"/>
    <w:rsid w:val="1B655AF7"/>
    <w:rsid w:val="1B6606B1"/>
    <w:rsid w:val="1B9B340C"/>
    <w:rsid w:val="1B9D7812"/>
    <w:rsid w:val="1BBA618D"/>
    <w:rsid w:val="1BD3384C"/>
    <w:rsid w:val="1BD37FAF"/>
    <w:rsid w:val="1BD54313"/>
    <w:rsid w:val="1BDE22B1"/>
    <w:rsid w:val="1BE75248"/>
    <w:rsid w:val="1C1118F2"/>
    <w:rsid w:val="1C166281"/>
    <w:rsid w:val="1C2D6990"/>
    <w:rsid w:val="1C3A35F2"/>
    <w:rsid w:val="1C3E5E28"/>
    <w:rsid w:val="1C406CA4"/>
    <w:rsid w:val="1C5906AE"/>
    <w:rsid w:val="1C59369B"/>
    <w:rsid w:val="1C5C5385"/>
    <w:rsid w:val="1C5E7925"/>
    <w:rsid w:val="1C5F1266"/>
    <w:rsid w:val="1C603FFD"/>
    <w:rsid w:val="1C6E062E"/>
    <w:rsid w:val="1C6E4B94"/>
    <w:rsid w:val="1C7D5DFB"/>
    <w:rsid w:val="1C8F1934"/>
    <w:rsid w:val="1C99272F"/>
    <w:rsid w:val="1CBA2E40"/>
    <w:rsid w:val="1CBB6940"/>
    <w:rsid w:val="1CD02101"/>
    <w:rsid w:val="1CF004A7"/>
    <w:rsid w:val="1CF30EA4"/>
    <w:rsid w:val="1CF74B49"/>
    <w:rsid w:val="1CFD070F"/>
    <w:rsid w:val="1D004716"/>
    <w:rsid w:val="1D07499A"/>
    <w:rsid w:val="1D0B2C2D"/>
    <w:rsid w:val="1D1117FE"/>
    <w:rsid w:val="1D2C27DF"/>
    <w:rsid w:val="1D2E03E6"/>
    <w:rsid w:val="1D3733AD"/>
    <w:rsid w:val="1D4477A8"/>
    <w:rsid w:val="1D4779FA"/>
    <w:rsid w:val="1D5F6196"/>
    <w:rsid w:val="1D6132A5"/>
    <w:rsid w:val="1D664681"/>
    <w:rsid w:val="1D6831EC"/>
    <w:rsid w:val="1D6D1ED1"/>
    <w:rsid w:val="1D7278C7"/>
    <w:rsid w:val="1D851E4D"/>
    <w:rsid w:val="1D8E56D5"/>
    <w:rsid w:val="1D9F623E"/>
    <w:rsid w:val="1DBB6F37"/>
    <w:rsid w:val="1DC1649A"/>
    <w:rsid w:val="1DC860FE"/>
    <w:rsid w:val="1DC968E0"/>
    <w:rsid w:val="1DD106B2"/>
    <w:rsid w:val="1DEA10D8"/>
    <w:rsid w:val="1DF47D91"/>
    <w:rsid w:val="1DF96FA3"/>
    <w:rsid w:val="1E2C606F"/>
    <w:rsid w:val="1E3F3C95"/>
    <w:rsid w:val="1E403142"/>
    <w:rsid w:val="1E42335E"/>
    <w:rsid w:val="1E451F0D"/>
    <w:rsid w:val="1E46404A"/>
    <w:rsid w:val="1E4824D2"/>
    <w:rsid w:val="1E595186"/>
    <w:rsid w:val="1E672E2D"/>
    <w:rsid w:val="1E6D7CAF"/>
    <w:rsid w:val="1E7135D0"/>
    <w:rsid w:val="1E74289B"/>
    <w:rsid w:val="1E761DC7"/>
    <w:rsid w:val="1E7A43DA"/>
    <w:rsid w:val="1E966749"/>
    <w:rsid w:val="1EB40D7A"/>
    <w:rsid w:val="1EBF3830"/>
    <w:rsid w:val="1EC54BA5"/>
    <w:rsid w:val="1ECA3BCD"/>
    <w:rsid w:val="1EE700E6"/>
    <w:rsid w:val="1EE77FEA"/>
    <w:rsid w:val="1EFD39B4"/>
    <w:rsid w:val="1F007B97"/>
    <w:rsid w:val="1F042890"/>
    <w:rsid w:val="1F042A0C"/>
    <w:rsid w:val="1F1904D1"/>
    <w:rsid w:val="1F1B54E5"/>
    <w:rsid w:val="1F2C1C90"/>
    <w:rsid w:val="1F367AA2"/>
    <w:rsid w:val="1F576B87"/>
    <w:rsid w:val="1F9A3E88"/>
    <w:rsid w:val="1FC906EB"/>
    <w:rsid w:val="1FD44702"/>
    <w:rsid w:val="1FE7539E"/>
    <w:rsid w:val="1FFC33F8"/>
    <w:rsid w:val="20044A3F"/>
    <w:rsid w:val="20143648"/>
    <w:rsid w:val="202F1E34"/>
    <w:rsid w:val="20336CE1"/>
    <w:rsid w:val="2036576F"/>
    <w:rsid w:val="20390124"/>
    <w:rsid w:val="203B1D78"/>
    <w:rsid w:val="20451FFF"/>
    <w:rsid w:val="20624E68"/>
    <w:rsid w:val="20671BE0"/>
    <w:rsid w:val="20963CB8"/>
    <w:rsid w:val="20A81A1B"/>
    <w:rsid w:val="20B07FB6"/>
    <w:rsid w:val="20B16E6F"/>
    <w:rsid w:val="20B500AF"/>
    <w:rsid w:val="20B646FB"/>
    <w:rsid w:val="20B72CE7"/>
    <w:rsid w:val="20C70E45"/>
    <w:rsid w:val="20C81335"/>
    <w:rsid w:val="20F435D7"/>
    <w:rsid w:val="20F719F1"/>
    <w:rsid w:val="210B3A95"/>
    <w:rsid w:val="2113659E"/>
    <w:rsid w:val="21335378"/>
    <w:rsid w:val="21361BE1"/>
    <w:rsid w:val="213B74B1"/>
    <w:rsid w:val="21574578"/>
    <w:rsid w:val="215A2310"/>
    <w:rsid w:val="21632A1D"/>
    <w:rsid w:val="216567CD"/>
    <w:rsid w:val="216C118A"/>
    <w:rsid w:val="21A66910"/>
    <w:rsid w:val="21AB1B1E"/>
    <w:rsid w:val="21AD6A27"/>
    <w:rsid w:val="21B42372"/>
    <w:rsid w:val="21B74D60"/>
    <w:rsid w:val="21BA5C86"/>
    <w:rsid w:val="21DE318A"/>
    <w:rsid w:val="21EF5B80"/>
    <w:rsid w:val="21FC1444"/>
    <w:rsid w:val="220463B0"/>
    <w:rsid w:val="221929E4"/>
    <w:rsid w:val="221D0F76"/>
    <w:rsid w:val="222F3BF9"/>
    <w:rsid w:val="22343AED"/>
    <w:rsid w:val="223A04E0"/>
    <w:rsid w:val="22405E06"/>
    <w:rsid w:val="22462B8C"/>
    <w:rsid w:val="224B03BB"/>
    <w:rsid w:val="224F6049"/>
    <w:rsid w:val="225569A6"/>
    <w:rsid w:val="22576990"/>
    <w:rsid w:val="226A4C31"/>
    <w:rsid w:val="228541E1"/>
    <w:rsid w:val="22B3766C"/>
    <w:rsid w:val="22BD2C44"/>
    <w:rsid w:val="22C54230"/>
    <w:rsid w:val="22C60956"/>
    <w:rsid w:val="22DC41E5"/>
    <w:rsid w:val="22F47480"/>
    <w:rsid w:val="230545C1"/>
    <w:rsid w:val="23080F53"/>
    <w:rsid w:val="23157FA7"/>
    <w:rsid w:val="231954BB"/>
    <w:rsid w:val="232626EB"/>
    <w:rsid w:val="23294AEC"/>
    <w:rsid w:val="233640E5"/>
    <w:rsid w:val="23503DAE"/>
    <w:rsid w:val="236C1997"/>
    <w:rsid w:val="237B69CA"/>
    <w:rsid w:val="237E330B"/>
    <w:rsid w:val="238D4BCD"/>
    <w:rsid w:val="23952D2D"/>
    <w:rsid w:val="239B0BA6"/>
    <w:rsid w:val="23A13E21"/>
    <w:rsid w:val="23B0586E"/>
    <w:rsid w:val="23C341FE"/>
    <w:rsid w:val="23C84DE9"/>
    <w:rsid w:val="23CF178A"/>
    <w:rsid w:val="23D0275C"/>
    <w:rsid w:val="23DA7B95"/>
    <w:rsid w:val="23DE1C48"/>
    <w:rsid w:val="23F46BC2"/>
    <w:rsid w:val="240210CD"/>
    <w:rsid w:val="24076812"/>
    <w:rsid w:val="24135899"/>
    <w:rsid w:val="241906BD"/>
    <w:rsid w:val="242B32DF"/>
    <w:rsid w:val="24381196"/>
    <w:rsid w:val="244607B5"/>
    <w:rsid w:val="24546DA1"/>
    <w:rsid w:val="247F0898"/>
    <w:rsid w:val="247F6433"/>
    <w:rsid w:val="248A70C4"/>
    <w:rsid w:val="24B02BD3"/>
    <w:rsid w:val="24BF09F7"/>
    <w:rsid w:val="24EA518B"/>
    <w:rsid w:val="24F858EE"/>
    <w:rsid w:val="250B2FA5"/>
    <w:rsid w:val="252B5E48"/>
    <w:rsid w:val="252D53FE"/>
    <w:rsid w:val="252E6F1F"/>
    <w:rsid w:val="253A0F0D"/>
    <w:rsid w:val="253A4D98"/>
    <w:rsid w:val="254411CA"/>
    <w:rsid w:val="25463F78"/>
    <w:rsid w:val="25594263"/>
    <w:rsid w:val="257A466B"/>
    <w:rsid w:val="258336A2"/>
    <w:rsid w:val="25B04C60"/>
    <w:rsid w:val="25BD0697"/>
    <w:rsid w:val="25C31C6D"/>
    <w:rsid w:val="25CC02D3"/>
    <w:rsid w:val="25EC2D81"/>
    <w:rsid w:val="262008E6"/>
    <w:rsid w:val="263043E3"/>
    <w:rsid w:val="26325368"/>
    <w:rsid w:val="26370213"/>
    <w:rsid w:val="265A289C"/>
    <w:rsid w:val="26621949"/>
    <w:rsid w:val="266E0041"/>
    <w:rsid w:val="26760048"/>
    <w:rsid w:val="26961CCB"/>
    <w:rsid w:val="26A34BB6"/>
    <w:rsid w:val="26B71B25"/>
    <w:rsid w:val="26BF7842"/>
    <w:rsid w:val="26C25B5E"/>
    <w:rsid w:val="26E86B9F"/>
    <w:rsid w:val="26F2691D"/>
    <w:rsid w:val="26F5440B"/>
    <w:rsid w:val="27384221"/>
    <w:rsid w:val="274405A6"/>
    <w:rsid w:val="274C7238"/>
    <w:rsid w:val="2756665E"/>
    <w:rsid w:val="275E7BDD"/>
    <w:rsid w:val="27605F57"/>
    <w:rsid w:val="277057A2"/>
    <w:rsid w:val="2788287C"/>
    <w:rsid w:val="27A658F8"/>
    <w:rsid w:val="27AA3B57"/>
    <w:rsid w:val="27AC7A9A"/>
    <w:rsid w:val="27B84691"/>
    <w:rsid w:val="27BC55FA"/>
    <w:rsid w:val="27C305E0"/>
    <w:rsid w:val="27CE57C9"/>
    <w:rsid w:val="27DF3AA1"/>
    <w:rsid w:val="27E25A8C"/>
    <w:rsid w:val="27F20344"/>
    <w:rsid w:val="280D3643"/>
    <w:rsid w:val="280E5026"/>
    <w:rsid w:val="281C4D81"/>
    <w:rsid w:val="281F020D"/>
    <w:rsid w:val="28234A5B"/>
    <w:rsid w:val="28253E44"/>
    <w:rsid w:val="28262A5B"/>
    <w:rsid w:val="2829733C"/>
    <w:rsid w:val="28302BBE"/>
    <w:rsid w:val="283C30BA"/>
    <w:rsid w:val="28432C58"/>
    <w:rsid w:val="28497009"/>
    <w:rsid w:val="28620676"/>
    <w:rsid w:val="286303C8"/>
    <w:rsid w:val="28715CBE"/>
    <w:rsid w:val="28720E19"/>
    <w:rsid w:val="28745C84"/>
    <w:rsid w:val="288D2D3E"/>
    <w:rsid w:val="28956780"/>
    <w:rsid w:val="28BA6FE6"/>
    <w:rsid w:val="28D779C1"/>
    <w:rsid w:val="28DB73CB"/>
    <w:rsid w:val="28FC3A33"/>
    <w:rsid w:val="290309EC"/>
    <w:rsid w:val="290336DA"/>
    <w:rsid w:val="2914493A"/>
    <w:rsid w:val="29206EB8"/>
    <w:rsid w:val="293D0AD2"/>
    <w:rsid w:val="29402163"/>
    <w:rsid w:val="29595666"/>
    <w:rsid w:val="295D54F0"/>
    <w:rsid w:val="29633BD2"/>
    <w:rsid w:val="2964748E"/>
    <w:rsid w:val="29706A52"/>
    <w:rsid w:val="29780936"/>
    <w:rsid w:val="297D2191"/>
    <w:rsid w:val="297E3F2C"/>
    <w:rsid w:val="29815EDC"/>
    <w:rsid w:val="29857FF1"/>
    <w:rsid w:val="29874881"/>
    <w:rsid w:val="2991598F"/>
    <w:rsid w:val="2992326E"/>
    <w:rsid w:val="29977434"/>
    <w:rsid w:val="29AE3DA3"/>
    <w:rsid w:val="29BF4150"/>
    <w:rsid w:val="29C4095E"/>
    <w:rsid w:val="29C47453"/>
    <w:rsid w:val="29C67A8C"/>
    <w:rsid w:val="29C67F0D"/>
    <w:rsid w:val="29CB110C"/>
    <w:rsid w:val="29CC60EE"/>
    <w:rsid w:val="29DB1E34"/>
    <w:rsid w:val="29E325E0"/>
    <w:rsid w:val="29FF2B93"/>
    <w:rsid w:val="29FF7F83"/>
    <w:rsid w:val="2A031502"/>
    <w:rsid w:val="2A065960"/>
    <w:rsid w:val="2A13795C"/>
    <w:rsid w:val="2A1940E5"/>
    <w:rsid w:val="2A2E26D9"/>
    <w:rsid w:val="2A436AA4"/>
    <w:rsid w:val="2A452503"/>
    <w:rsid w:val="2A5E6BD4"/>
    <w:rsid w:val="2A731760"/>
    <w:rsid w:val="2A834AE2"/>
    <w:rsid w:val="2A8738B0"/>
    <w:rsid w:val="2A891595"/>
    <w:rsid w:val="2A8F174B"/>
    <w:rsid w:val="2A994305"/>
    <w:rsid w:val="2AA42CAA"/>
    <w:rsid w:val="2AB314AF"/>
    <w:rsid w:val="2ADD7F15"/>
    <w:rsid w:val="2AF057B7"/>
    <w:rsid w:val="2AF47DBA"/>
    <w:rsid w:val="2AFF1BC3"/>
    <w:rsid w:val="2B0B40D3"/>
    <w:rsid w:val="2B153A96"/>
    <w:rsid w:val="2B373CD4"/>
    <w:rsid w:val="2B526C54"/>
    <w:rsid w:val="2B617A62"/>
    <w:rsid w:val="2B6B4E3F"/>
    <w:rsid w:val="2B7D4FC6"/>
    <w:rsid w:val="2B802C2A"/>
    <w:rsid w:val="2B814737"/>
    <w:rsid w:val="2B8B28CB"/>
    <w:rsid w:val="2BA936A8"/>
    <w:rsid w:val="2BAB2D48"/>
    <w:rsid w:val="2BBA007F"/>
    <w:rsid w:val="2BF149A6"/>
    <w:rsid w:val="2C263D2A"/>
    <w:rsid w:val="2C315A5A"/>
    <w:rsid w:val="2C407F42"/>
    <w:rsid w:val="2C4629C0"/>
    <w:rsid w:val="2C4B1C25"/>
    <w:rsid w:val="2C532F64"/>
    <w:rsid w:val="2C56663D"/>
    <w:rsid w:val="2C834B2B"/>
    <w:rsid w:val="2C8D3827"/>
    <w:rsid w:val="2C921329"/>
    <w:rsid w:val="2C976A6D"/>
    <w:rsid w:val="2CB8471C"/>
    <w:rsid w:val="2CC10A69"/>
    <w:rsid w:val="2CDE6744"/>
    <w:rsid w:val="2CE14A4E"/>
    <w:rsid w:val="2CEB3DAA"/>
    <w:rsid w:val="2CF64242"/>
    <w:rsid w:val="2D2169F9"/>
    <w:rsid w:val="2D376474"/>
    <w:rsid w:val="2D54363B"/>
    <w:rsid w:val="2D6F5ED5"/>
    <w:rsid w:val="2D7659EB"/>
    <w:rsid w:val="2D810449"/>
    <w:rsid w:val="2D9547E3"/>
    <w:rsid w:val="2D972610"/>
    <w:rsid w:val="2D9E56F5"/>
    <w:rsid w:val="2DBC7BA3"/>
    <w:rsid w:val="2DC61F0B"/>
    <w:rsid w:val="2DF52ECC"/>
    <w:rsid w:val="2DF9330D"/>
    <w:rsid w:val="2E060803"/>
    <w:rsid w:val="2E0A233D"/>
    <w:rsid w:val="2E104C1D"/>
    <w:rsid w:val="2E12144A"/>
    <w:rsid w:val="2E276557"/>
    <w:rsid w:val="2E344674"/>
    <w:rsid w:val="2E424BD1"/>
    <w:rsid w:val="2E510F90"/>
    <w:rsid w:val="2E667F96"/>
    <w:rsid w:val="2E812F03"/>
    <w:rsid w:val="2E8226AB"/>
    <w:rsid w:val="2E867B96"/>
    <w:rsid w:val="2E96593A"/>
    <w:rsid w:val="2E9A713E"/>
    <w:rsid w:val="2EB81C85"/>
    <w:rsid w:val="2EC03A1F"/>
    <w:rsid w:val="2ECC76FA"/>
    <w:rsid w:val="2ED367E7"/>
    <w:rsid w:val="2EEA003D"/>
    <w:rsid w:val="2EFC7851"/>
    <w:rsid w:val="2F122D83"/>
    <w:rsid w:val="2F1321AD"/>
    <w:rsid w:val="2F274E6E"/>
    <w:rsid w:val="2F38573D"/>
    <w:rsid w:val="2F3E44AB"/>
    <w:rsid w:val="2F4A060C"/>
    <w:rsid w:val="2F4C2EAD"/>
    <w:rsid w:val="2F5B6BE3"/>
    <w:rsid w:val="2F726CB1"/>
    <w:rsid w:val="2F74326E"/>
    <w:rsid w:val="2F9C1339"/>
    <w:rsid w:val="2FA017E6"/>
    <w:rsid w:val="2FB70977"/>
    <w:rsid w:val="2FBD70AE"/>
    <w:rsid w:val="2FC260AC"/>
    <w:rsid w:val="2FC43176"/>
    <w:rsid w:val="2FC87B70"/>
    <w:rsid w:val="2FC936EA"/>
    <w:rsid w:val="2FD065E6"/>
    <w:rsid w:val="2FD96870"/>
    <w:rsid w:val="2FF32DC2"/>
    <w:rsid w:val="301C2C3D"/>
    <w:rsid w:val="302B0300"/>
    <w:rsid w:val="303831AA"/>
    <w:rsid w:val="303D4DC5"/>
    <w:rsid w:val="30580BC9"/>
    <w:rsid w:val="306043D0"/>
    <w:rsid w:val="30824D5E"/>
    <w:rsid w:val="30AD50E3"/>
    <w:rsid w:val="30B17EED"/>
    <w:rsid w:val="30D8545C"/>
    <w:rsid w:val="30E60832"/>
    <w:rsid w:val="31016E1B"/>
    <w:rsid w:val="31052591"/>
    <w:rsid w:val="31113754"/>
    <w:rsid w:val="31120D83"/>
    <w:rsid w:val="31132A03"/>
    <w:rsid w:val="311A1C17"/>
    <w:rsid w:val="311A7E90"/>
    <w:rsid w:val="311E2ED7"/>
    <w:rsid w:val="3150750E"/>
    <w:rsid w:val="315619EE"/>
    <w:rsid w:val="315C449C"/>
    <w:rsid w:val="31604D3D"/>
    <w:rsid w:val="31754FED"/>
    <w:rsid w:val="319F103E"/>
    <w:rsid w:val="31A9216C"/>
    <w:rsid w:val="31B772F8"/>
    <w:rsid w:val="31B82709"/>
    <w:rsid w:val="31C54046"/>
    <w:rsid w:val="31CA33D7"/>
    <w:rsid w:val="31D05482"/>
    <w:rsid w:val="31E50C83"/>
    <w:rsid w:val="31F07608"/>
    <w:rsid w:val="32151529"/>
    <w:rsid w:val="32400B34"/>
    <w:rsid w:val="3255145A"/>
    <w:rsid w:val="327A560E"/>
    <w:rsid w:val="32821B23"/>
    <w:rsid w:val="329D7B5B"/>
    <w:rsid w:val="329E6876"/>
    <w:rsid w:val="32A84135"/>
    <w:rsid w:val="32AA50F9"/>
    <w:rsid w:val="32B22BB0"/>
    <w:rsid w:val="32C10194"/>
    <w:rsid w:val="32C10D49"/>
    <w:rsid w:val="32CC6396"/>
    <w:rsid w:val="32EC1057"/>
    <w:rsid w:val="32F032E3"/>
    <w:rsid w:val="32FC0D5C"/>
    <w:rsid w:val="331D3F73"/>
    <w:rsid w:val="33224602"/>
    <w:rsid w:val="332B5E28"/>
    <w:rsid w:val="333015F2"/>
    <w:rsid w:val="33307EBA"/>
    <w:rsid w:val="333F4900"/>
    <w:rsid w:val="33423060"/>
    <w:rsid w:val="334B6320"/>
    <w:rsid w:val="335D7CDD"/>
    <w:rsid w:val="33642679"/>
    <w:rsid w:val="336C3D47"/>
    <w:rsid w:val="337551CC"/>
    <w:rsid w:val="338B6188"/>
    <w:rsid w:val="339A66DA"/>
    <w:rsid w:val="33D2124F"/>
    <w:rsid w:val="33D60C64"/>
    <w:rsid w:val="33D84D88"/>
    <w:rsid w:val="33D934D4"/>
    <w:rsid w:val="33F9432B"/>
    <w:rsid w:val="33FE2F6A"/>
    <w:rsid w:val="340021AF"/>
    <w:rsid w:val="340E07E5"/>
    <w:rsid w:val="34191DEB"/>
    <w:rsid w:val="34235BF7"/>
    <w:rsid w:val="342856B7"/>
    <w:rsid w:val="34772D3F"/>
    <w:rsid w:val="348A763C"/>
    <w:rsid w:val="34CF1E0B"/>
    <w:rsid w:val="34DC4F59"/>
    <w:rsid w:val="34E06495"/>
    <w:rsid w:val="35041C2E"/>
    <w:rsid w:val="35142B6E"/>
    <w:rsid w:val="35153392"/>
    <w:rsid w:val="35307CB9"/>
    <w:rsid w:val="35685CDB"/>
    <w:rsid w:val="357F6FC1"/>
    <w:rsid w:val="358C5FA8"/>
    <w:rsid w:val="359F29EC"/>
    <w:rsid w:val="35A204FC"/>
    <w:rsid w:val="35A55D9A"/>
    <w:rsid w:val="35BD5B74"/>
    <w:rsid w:val="35C15DF1"/>
    <w:rsid w:val="35C32E3F"/>
    <w:rsid w:val="35C752E5"/>
    <w:rsid w:val="35CD16F6"/>
    <w:rsid w:val="35EA3590"/>
    <w:rsid w:val="35ED7AFB"/>
    <w:rsid w:val="35EF252D"/>
    <w:rsid w:val="36074A7F"/>
    <w:rsid w:val="36266A00"/>
    <w:rsid w:val="362B64E2"/>
    <w:rsid w:val="362C6642"/>
    <w:rsid w:val="363A263C"/>
    <w:rsid w:val="364975AD"/>
    <w:rsid w:val="36523735"/>
    <w:rsid w:val="365361C7"/>
    <w:rsid w:val="36633A19"/>
    <w:rsid w:val="367F3961"/>
    <w:rsid w:val="36923549"/>
    <w:rsid w:val="36924237"/>
    <w:rsid w:val="36AE3AD9"/>
    <w:rsid w:val="36B75FBF"/>
    <w:rsid w:val="36BD0C45"/>
    <w:rsid w:val="36EA1AE7"/>
    <w:rsid w:val="36FD3FA4"/>
    <w:rsid w:val="37162BDD"/>
    <w:rsid w:val="37330438"/>
    <w:rsid w:val="37405977"/>
    <w:rsid w:val="37470070"/>
    <w:rsid w:val="37480B62"/>
    <w:rsid w:val="37557FA3"/>
    <w:rsid w:val="37570315"/>
    <w:rsid w:val="375F415B"/>
    <w:rsid w:val="37B9324C"/>
    <w:rsid w:val="37BB4E78"/>
    <w:rsid w:val="37CC3C80"/>
    <w:rsid w:val="37D10A5A"/>
    <w:rsid w:val="37D5265A"/>
    <w:rsid w:val="37E00298"/>
    <w:rsid w:val="37E22D78"/>
    <w:rsid w:val="37EC3D08"/>
    <w:rsid w:val="382D2B1B"/>
    <w:rsid w:val="3834314E"/>
    <w:rsid w:val="383806D8"/>
    <w:rsid w:val="385F67CD"/>
    <w:rsid w:val="38837149"/>
    <w:rsid w:val="38883315"/>
    <w:rsid w:val="38A7222B"/>
    <w:rsid w:val="38AE6B69"/>
    <w:rsid w:val="38B302F9"/>
    <w:rsid w:val="38BB4E95"/>
    <w:rsid w:val="38BD3868"/>
    <w:rsid w:val="38C121CA"/>
    <w:rsid w:val="38C22C79"/>
    <w:rsid w:val="38EF38D2"/>
    <w:rsid w:val="38F12CD3"/>
    <w:rsid w:val="38F94775"/>
    <w:rsid w:val="3908380E"/>
    <w:rsid w:val="390B3BC0"/>
    <w:rsid w:val="39246437"/>
    <w:rsid w:val="392971ED"/>
    <w:rsid w:val="392A1F5A"/>
    <w:rsid w:val="39325651"/>
    <w:rsid w:val="39342537"/>
    <w:rsid w:val="39431594"/>
    <w:rsid w:val="39584A2E"/>
    <w:rsid w:val="39602492"/>
    <w:rsid w:val="39642867"/>
    <w:rsid w:val="396534A4"/>
    <w:rsid w:val="398C0F24"/>
    <w:rsid w:val="39AA4A39"/>
    <w:rsid w:val="39B42172"/>
    <w:rsid w:val="39BD779E"/>
    <w:rsid w:val="39C75412"/>
    <w:rsid w:val="39C77AB7"/>
    <w:rsid w:val="39DF5A8E"/>
    <w:rsid w:val="39E103D7"/>
    <w:rsid w:val="39EA0974"/>
    <w:rsid w:val="39F308D4"/>
    <w:rsid w:val="3A131645"/>
    <w:rsid w:val="3A2512FC"/>
    <w:rsid w:val="3A25583C"/>
    <w:rsid w:val="3A2B6F44"/>
    <w:rsid w:val="3A704957"/>
    <w:rsid w:val="3A872856"/>
    <w:rsid w:val="3A881472"/>
    <w:rsid w:val="3A907485"/>
    <w:rsid w:val="3A9D3FA6"/>
    <w:rsid w:val="3AAE0DBB"/>
    <w:rsid w:val="3AB50B0C"/>
    <w:rsid w:val="3AC20346"/>
    <w:rsid w:val="3AC7400B"/>
    <w:rsid w:val="3AD76783"/>
    <w:rsid w:val="3ADA52E7"/>
    <w:rsid w:val="3ADF6D4B"/>
    <w:rsid w:val="3B0342C5"/>
    <w:rsid w:val="3B162AEA"/>
    <w:rsid w:val="3B371634"/>
    <w:rsid w:val="3B3763D1"/>
    <w:rsid w:val="3B3A381D"/>
    <w:rsid w:val="3B401778"/>
    <w:rsid w:val="3B4B1527"/>
    <w:rsid w:val="3B605257"/>
    <w:rsid w:val="3B665F78"/>
    <w:rsid w:val="3B714A5C"/>
    <w:rsid w:val="3B7734BA"/>
    <w:rsid w:val="3B7B3FC2"/>
    <w:rsid w:val="3B8B6F33"/>
    <w:rsid w:val="3BB6076E"/>
    <w:rsid w:val="3BC178E2"/>
    <w:rsid w:val="3BC93981"/>
    <w:rsid w:val="3BD01B51"/>
    <w:rsid w:val="3BF83155"/>
    <w:rsid w:val="3C1478BD"/>
    <w:rsid w:val="3C2E5BE3"/>
    <w:rsid w:val="3C2F6E1E"/>
    <w:rsid w:val="3C333E8E"/>
    <w:rsid w:val="3C34305E"/>
    <w:rsid w:val="3C3E6BD4"/>
    <w:rsid w:val="3C480C89"/>
    <w:rsid w:val="3C493F93"/>
    <w:rsid w:val="3C4F64BA"/>
    <w:rsid w:val="3C5A5148"/>
    <w:rsid w:val="3C7473A8"/>
    <w:rsid w:val="3CA41EFE"/>
    <w:rsid w:val="3CA64660"/>
    <w:rsid w:val="3CAB3899"/>
    <w:rsid w:val="3CAC726D"/>
    <w:rsid w:val="3CB94393"/>
    <w:rsid w:val="3CD92F78"/>
    <w:rsid w:val="3CDA245A"/>
    <w:rsid w:val="3CDB298B"/>
    <w:rsid w:val="3CE471E2"/>
    <w:rsid w:val="3D031AB2"/>
    <w:rsid w:val="3D0F66A9"/>
    <w:rsid w:val="3D117DE0"/>
    <w:rsid w:val="3D1E06B7"/>
    <w:rsid w:val="3D22781A"/>
    <w:rsid w:val="3D271C45"/>
    <w:rsid w:val="3D2743D8"/>
    <w:rsid w:val="3D2E610A"/>
    <w:rsid w:val="3D365DB5"/>
    <w:rsid w:val="3D483969"/>
    <w:rsid w:val="3D4C2F74"/>
    <w:rsid w:val="3D504012"/>
    <w:rsid w:val="3D743952"/>
    <w:rsid w:val="3D815689"/>
    <w:rsid w:val="3D9602DF"/>
    <w:rsid w:val="3D96219E"/>
    <w:rsid w:val="3DBE08B9"/>
    <w:rsid w:val="3DC32CD6"/>
    <w:rsid w:val="3DD9262B"/>
    <w:rsid w:val="3DF36025"/>
    <w:rsid w:val="3E0931E1"/>
    <w:rsid w:val="3E0C30FD"/>
    <w:rsid w:val="3E2252D7"/>
    <w:rsid w:val="3E233E36"/>
    <w:rsid w:val="3E234634"/>
    <w:rsid w:val="3E291849"/>
    <w:rsid w:val="3E371153"/>
    <w:rsid w:val="3E3C0424"/>
    <w:rsid w:val="3E3C43A7"/>
    <w:rsid w:val="3E4A6B0F"/>
    <w:rsid w:val="3E4F2FC3"/>
    <w:rsid w:val="3E550FFE"/>
    <w:rsid w:val="3E5B2EF8"/>
    <w:rsid w:val="3E65241E"/>
    <w:rsid w:val="3E99617B"/>
    <w:rsid w:val="3EBE2E2C"/>
    <w:rsid w:val="3EDA0523"/>
    <w:rsid w:val="3EE81DC1"/>
    <w:rsid w:val="3EED1D3A"/>
    <w:rsid w:val="3EF17E75"/>
    <w:rsid w:val="3F06225F"/>
    <w:rsid w:val="3F22740F"/>
    <w:rsid w:val="3F447CD4"/>
    <w:rsid w:val="3F626993"/>
    <w:rsid w:val="3F877871"/>
    <w:rsid w:val="3FAC07E7"/>
    <w:rsid w:val="3FBD69F5"/>
    <w:rsid w:val="3FC04606"/>
    <w:rsid w:val="3FC971EC"/>
    <w:rsid w:val="3FD5198B"/>
    <w:rsid w:val="40021920"/>
    <w:rsid w:val="40030FCB"/>
    <w:rsid w:val="400420D2"/>
    <w:rsid w:val="40045AFF"/>
    <w:rsid w:val="40061FE5"/>
    <w:rsid w:val="40073C8A"/>
    <w:rsid w:val="40124A4D"/>
    <w:rsid w:val="40153B3C"/>
    <w:rsid w:val="401C1EA8"/>
    <w:rsid w:val="40363F4D"/>
    <w:rsid w:val="40366CBE"/>
    <w:rsid w:val="406B10B4"/>
    <w:rsid w:val="407A6407"/>
    <w:rsid w:val="40833636"/>
    <w:rsid w:val="408C7A8A"/>
    <w:rsid w:val="409D2C76"/>
    <w:rsid w:val="40AB7C36"/>
    <w:rsid w:val="40B04B42"/>
    <w:rsid w:val="40B07D2D"/>
    <w:rsid w:val="40B43F91"/>
    <w:rsid w:val="40C64484"/>
    <w:rsid w:val="40DB4C80"/>
    <w:rsid w:val="40E462B5"/>
    <w:rsid w:val="40EE6A5B"/>
    <w:rsid w:val="40F21D9D"/>
    <w:rsid w:val="410111B2"/>
    <w:rsid w:val="41111AEE"/>
    <w:rsid w:val="412564DF"/>
    <w:rsid w:val="413F003B"/>
    <w:rsid w:val="41642D9C"/>
    <w:rsid w:val="416501B3"/>
    <w:rsid w:val="416D0C17"/>
    <w:rsid w:val="417F620B"/>
    <w:rsid w:val="41880B91"/>
    <w:rsid w:val="419C200E"/>
    <w:rsid w:val="41B9630E"/>
    <w:rsid w:val="41C77F0A"/>
    <w:rsid w:val="41D65061"/>
    <w:rsid w:val="41EB4B77"/>
    <w:rsid w:val="41F41211"/>
    <w:rsid w:val="41F759FB"/>
    <w:rsid w:val="41FF3FCE"/>
    <w:rsid w:val="4200449D"/>
    <w:rsid w:val="421B0EE0"/>
    <w:rsid w:val="42206020"/>
    <w:rsid w:val="422422CC"/>
    <w:rsid w:val="423A3BCC"/>
    <w:rsid w:val="424B1749"/>
    <w:rsid w:val="424B1F8E"/>
    <w:rsid w:val="424E57D2"/>
    <w:rsid w:val="42525B4B"/>
    <w:rsid w:val="42554B5E"/>
    <w:rsid w:val="425A3757"/>
    <w:rsid w:val="425A7701"/>
    <w:rsid w:val="426B5A21"/>
    <w:rsid w:val="42701657"/>
    <w:rsid w:val="428B2688"/>
    <w:rsid w:val="428D67A3"/>
    <w:rsid w:val="42B26C49"/>
    <w:rsid w:val="42C121F4"/>
    <w:rsid w:val="42CB3AF4"/>
    <w:rsid w:val="42DE2513"/>
    <w:rsid w:val="42F85A90"/>
    <w:rsid w:val="42FF4848"/>
    <w:rsid w:val="43145A61"/>
    <w:rsid w:val="432910FF"/>
    <w:rsid w:val="432C77BA"/>
    <w:rsid w:val="433A6FE6"/>
    <w:rsid w:val="43436705"/>
    <w:rsid w:val="43480868"/>
    <w:rsid w:val="434C1AAA"/>
    <w:rsid w:val="43505D4C"/>
    <w:rsid w:val="4350713C"/>
    <w:rsid w:val="436653E0"/>
    <w:rsid w:val="437B5E7B"/>
    <w:rsid w:val="4380435E"/>
    <w:rsid w:val="43965CB1"/>
    <w:rsid w:val="43C4431A"/>
    <w:rsid w:val="43C90C6A"/>
    <w:rsid w:val="43CB6B8A"/>
    <w:rsid w:val="43DA701D"/>
    <w:rsid w:val="43DF71C3"/>
    <w:rsid w:val="43FA50D9"/>
    <w:rsid w:val="441C172C"/>
    <w:rsid w:val="441F1F36"/>
    <w:rsid w:val="441F6F03"/>
    <w:rsid w:val="443860A4"/>
    <w:rsid w:val="44482EA9"/>
    <w:rsid w:val="444C3D3F"/>
    <w:rsid w:val="444D4547"/>
    <w:rsid w:val="445508C0"/>
    <w:rsid w:val="445E0A72"/>
    <w:rsid w:val="447144E1"/>
    <w:rsid w:val="448124D1"/>
    <w:rsid w:val="44B951CC"/>
    <w:rsid w:val="44CD14E0"/>
    <w:rsid w:val="44D11DB8"/>
    <w:rsid w:val="44D23720"/>
    <w:rsid w:val="44DA7D62"/>
    <w:rsid w:val="44E420ED"/>
    <w:rsid w:val="44F20B0B"/>
    <w:rsid w:val="4505349E"/>
    <w:rsid w:val="451834C3"/>
    <w:rsid w:val="451B5251"/>
    <w:rsid w:val="452C6569"/>
    <w:rsid w:val="452E5F4C"/>
    <w:rsid w:val="45573180"/>
    <w:rsid w:val="455B29F8"/>
    <w:rsid w:val="455F63EC"/>
    <w:rsid w:val="45612018"/>
    <w:rsid w:val="456879D7"/>
    <w:rsid w:val="456B356D"/>
    <w:rsid w:val="45815C3B"/>
    <w:rsid w:val="458732C4"/>
    <w:rsid w:val="458946E9"/>
    <w:rsid w:val="458D4601"/>
    <w:rsid w:val="459A2C03"/>
    <w:rsid w:val="45A009C7"/>
    <w:rsid w:val="45A47C0E"/>
    <w:rsid w:val="45A77E8F"/>
    <w:rsid w:val="45BD47F6"/>
    <w:rsid w:val="45EC57D9"/>
    <w:rsid w:val="45F41F06"/>
    <w:rsid w:val="460423BC"/>
    <w:rsid w:val="4611045D"/>
    <w:rsid w:val="4626040B"/>
    <w:rsid w:val="462D7DB9"/>
    <w:rsid w:val="46331209"/>
    <w:rsid w:val="46344BC0"/>
    <w:rsid w:val="46577FD6"/>
    <w:rsid w:val="46627117"/>
    <w:rsid w:val="46655E7F"/>
    <w:rsid w:val="46661587"/>
    <w:rsid w:val="467A631E"/>
    <w:rsid w:val="468E49E3"/>
    <w:rsid w:val="469D2F78"/>
    <w:rsid w:val="46A1705E"/>
    <w:rsid w:val="46B9247E"/>
    <w:rsid w:val="46C52FF4"/>
    <w:rsid w:val="46C5394D"/>
    <w:rsid w:val="46CA2BEE"/>
    <w:rsid w:val="46CB4508"/>
    <w:rsid w:val="46D35AAF"/>
    <w:rsid w:val="46D955A7"/>
    <w:rsid w:val="46E95459"/>
    <w:rsid w:val="46F54B62"/>
    <w:rsid w:val="46F76F01"/>
    <w:rsid w:val="47103047"/>
    <w:rsid w:val="47133957"/>
    <w:rsid w:val="471774A0"/>
    <w:rsid w:val="471E7589"/>
    <w:rsid w:val="473B68F5"/>
    <w:rsid w:val="473E1234"/>
    <w:rsid w:val="474D5040"/>
    <w:rsid w:val="47587A44"/>
    <w:rsid w:val="475A2C17"/>
    <w:rsid w:val="475E4F0F"/>
    <w:rsid w:val="47713E34"/>
    <w:rsid w:val="479741F4"/>
    <w:rsid w:val="47A07E0C"/>
    <w:rsid w:val="47C04462"/>
    <w:rsid w:val="47C702AC"/>
    <w:rsid w:val="47CA648B"/>
    <w:rsid w:val="47E35CAD"/>
    <w:rsid w:val="4811719D"/>
    <w:rsid w:val="482108A6"/>
    <w:rsid w:val="482631F8"/>
    <w:rsid w:val="482F2508"/>
    <w:rsid w:val="483D511B"/>
    <w:rsid w:val="48500F74"/>
    <w:rsid w:val="48693111"/>
    <w:rsid w:val="4870272E"/>
    <w:rsid w:val="488E2A10"/>
    <w:rsid w:val="489101F1"/>
    <w:rsid w:val="489E776C"/>
    <w:rsid w:val="48D0220F"/>
    <w:rsid w:val="48D770CF"/>
    <w:rsid w:val="48D8133D"/>
    <w:rsid w:val="48E6003E"/>
    <w:rsid w:val="48F86B09"/>
    <w:rsid w:val="48FD279E"/>
    <w:rsid w:val="48FD7CFE"/>
    <w:rsid w:val="49042D03"/>
    <w:rsid w:val="49066BB2"/>
    <w:rsid w:val="49333200"/>
    <w:rsid w:val="493A7381"/>
    <w:rsid w:val="493D3714"/>
    <w:rsid w:val="494B5FDE"/>
    <w:rsid w:val="494C013A"/>
    <w:rsid w:val="496E207B"/>
    <w:rsid w:val="497551B2"/>
    <w:rsid w:val="497F71F2"/>
    <w:rsid w:val="49B60E19"/>
    <w:rsid w:val="49D92995"/>
    <w:rsid w:val="49DC7715"/>
    <w:rsid w:val="49F82538"/>
    <w:rsid w:val="4A023139"/>
    <w:rsid w:val="4A0B1CB2"/>
    <w:rsid w:val="4A21452C"/>
    <w:rsid w:val="4A301A0D"/>
    <w:rsid w:val="4A3335E5"/>
    <w:rsid w:val="4A7A50E3"/>
    <w:rsid w:val="4A7B576F"/>
    <w:rsid w:val="4AA16945"/>
    <w:rsid w:val="4AAE7501"/>
    <w:rsid w:val="4AB26D0D"/>
    <w:rsid w:val="4AB84195"/>
    <w:rsid w:val="4AD50A83"/>
    <w:rsid w:val="4AD83A5D"/>
    <w:rsid w:val="4AE127B3"/>
    <w:rsid w:val="4AEA0FDC"/>
    <w:rsid w:val="4AF53CC2"/>
    <w:rsid w:val="4AF561A9"/>
    <w:rsid w:val="4AF92164"/>
    <w:rsid w:val="4B033A37"/>
    <w:rsid w:val="4B043118"/>
    <w:rsid w:val="4B053D46"/>
    <w:rsid w:val="4B2C18A2"/>
    <w:rsid w:val="4B2C4E6C"/>
    <w:rsid w:val="4B395582"/>
    <w:rsid w:val="4B43754F"/>
    <w:rsid w:val="4B575439"/>
    <w:rsid w:val="4B5B3A61"/>
    <w:rsid w:val="4B7176D2"/>
    <w:rsid w:val="4B72001D"/>
    <w:rsid w:val="4B7560B2"/>
    <w:rsid w:val="4B7668BA"/>
    <w:rsid w:val="4B806B09"/>
    <w:rsid w:val="4BA228CC"/>
    <w:rsid w:val="4BBA104A"/>
    <w:rsid w:val="4BC845F3"/>
    <w:rsid w:val="4BCE14DD"/>
    <w:rsid w:val="4BCE389F"/>
    <w:rsid w:val="4C1917E2"/>
    <w:rsid w:val="4C1B2839"/>
    <w:rsid w:val="4C313E6C"/>
    <w:rsid w:val="4C320F83"/>
    <w:rsid w:val="4C4A0649"/>
    <w:rsid w:val="4C4E060A"/>
    <w:rsid w:val="4C5158BF"/>
    <w:rsid w:val="4C5A5BC9"/>
    <w:rsid w:val="4C6F2FAB"/>
    <w:rsid w:val="4C7E5ECA"/>
    <w:rsid w:val="4C876AA5"/>
    <w:rsid w:val="4CB91A77"/>
    <w:rsid w:val="4CC03659"/>
    <w:rsid w:val="4CC918B1"/>
    <w:rsid w:val="4CC95E8A"/>
    <w:rsid w:val="4CDC1C79"/>
    <w:rsid w:val="4CE21478"/>
    <w:rsid w:val="4CE702F3"/>
    <w:rsid w:val="4CEB1651"/>
    <w:rsid w:val="4CEB58BB"/>
    <w:rsid w:val="4CF86760"/>
    <w:rsid w:val="4D0E00FB"/>
    <w:rsid w:val="4D176606"/>
    <w:rsid w:val="4D1E36A7"/>
    <w:rsid w:val="4D251F0C"/>
    <w:rsid w:val="4D4128AF"/>
    <w:rsid w:val="4D482874"/>
    <w:rsid w:val="4D633CD5"/>
    <w:rsid w:val="4D7B0FC5"/>
    <w:rsid w:val="4D840003"/>
    <w:rsid w:val="4DA53CBC"/>
    <w:rsid w:val="4DD22796"/>
    <w:rsid w:val="4DEC4FB0"/>
    <w:rsid w:val="4DF31452"/>
    <w:rsid w:val="4E075D8A"/>
    <w:rsid w:val="4E197388"/>
    <w:rsid w:val="4E28097D"/>
    <w:rsid w:val="4E4172C0"/>
    <w:rsid w:val="4E477893"/>
    <w:rsid w:val="4E4B1B8B"/>
    <w:rsid w:val="4E564601"/>
    <w:rsid w:val="4E642AD3"/>
    <w:rsid w:val="4E650F5B"/>
    <w:rsid w:val="4E8C5BD5"/>
    <w:rsid w:val="4EA652F2"/>
    <w:rsid w:val="4EC00FAD"/>
    <w:rsid w:val="4EDE24FE"/>
    <w:rsid w:val="4EDF083F"/>
    <w:rsid w:val="4EFA0DBA"/>
    <w:rsid w:val="4F0146C6"/>
    <w:rsid w:val="4F106DB5"/>
    <w:rsid w:val="4F161B19"/>
    <w:rsid w:val="4F2F6994"/>
    <w:rsid w:val="4F456A38"/>
    <w:rsid w:val="4F555777"/>
    <w:rsid w:val="4F5764E6"/>
    <w:rsid w:val="4F797A37"/>
    <w:rsid w:val="4F9843DC"/>
    <w:rsid w:val="4F9962C8"/>
    <w:rsid w:val="4FAD1E7C"/>
    <w:rsid w:val="4FBD3A5E"/>
    <w:rsid w:val="4FC62A8C"/>
    <w:rsid w:val="4FCF3474"/>
    <w:rsid w:val="4FD35189"/>
    <w:rsid w:val="4FD6738C"/>
    <w:rsid w:val="4FE20F0D"/>
    <w:rsid w:val="4FE51552"/>
    <w:rsid w:val="4FFF0B65"/>
    <w:rsid w:val="50015FAF"/>
    <w:rsid w:val="501C6CBB"/>
    <w:rsid w:val="50247584"/>
    <w:rsid w:val="502977A5"/>
    <w:rsid w:val="50490922"/>
    <w:rsid w:val="50504C4B"/>
    <w:rsid w:val="50546455"/>
    <w:rsid w:val="50630DC7"/>
    <w:rsid w:val="50645391"/>
    <w:rsid w:val="506E05ED"/>
    <w:rsid w:val="50840E19"/>
    <w:rsid w:val="508E4D2C"/>
    <w:rsid w:val="509C6E7C"/>
    <w:rsid w:val="50B32BC5"/>
    <w:rsid w:val="50B41176"/>
    <w:rsid w:val="50B51318"/>
    <w:rsid w:val="50B77A2E"/>
    <w:rsid w:val="50BE0859"/>
    <w:rsid w:val="50C92254"/>
    <w:rsid w:val="50D92DFE"/>
    <w:rsid w:val="50E91AFA"/>
    <w:rsid w:val="51012553"/>
    <w:rsid w:val="51152C73"/>
    <w:rsid w:val="512752A7"/>
    <w:rsid w:val="5148613B"/>
    <w:rsid w:val="5156444F"/>
    <w:rsid w:val="515B1319"/>
    <w:rsid w:val="5162104E"/>
    <w:rsid w:val="516474DC"/>
    <w:rsid w:val="51686B3A"/>
    <w:rsid w:val="517A0BF1"/>
    <w:rsid w:val="518A094D"/>
    <w:rsid w:val="518A2E35"/>
    <w:rsid w:val="5197213C"/>
    <w:rsid w:val="51AD6A88"/>
    <w:rsid w:val="51BD785B"/>
    <w:rsid w:val="51C9270A"/>
    <w:rsid w:val="51CC3D56"/>
    <w:rsid w:val="51DA6E2E"/>
    <w:rsid w:val="51DB5D35"/>
    <w:rsid w:val="51E577CB"/>
    <w:rsid w:val="51EC0CAD"/>
    <w:rsid w:val="520D1722"/>
    <w:rsid w:val="521001C7"/>
    <w:rsid w:val="521C5760"/>
    <w:rsid w:val="521D1354"/>
    <w:rsid w:val="5223655D"/>
    <w:rsid w:val="523262C5"/>
    <w:rsid w:val="523F53C7"/>
    <w:rsid w:val="524C5F82"/>
    <w:rsid w:val="52567A78"/>
    <w:rsid w:val="525766EF"/>
    <w:rsid w:val="526C3B5B"/>
    <w:rsid w:val="527C18BE"/>
    <w:rsid w:val="527F3531"/>
    <w:rsid w:val="527F642F"/>
    <w:rsid w:val="528700D2"/>
    <w:rsid w:val="52941EB8"/>
    <w:rsid w:val="529F60FA"/>
    <w:rsid w:val="52A824B1"/>
    <w:rsid w:val="52B40412"/>
    <w:rsid w:val="52BD109D"/>
    <w:rsid w:val="52D94783"/>
    <w:rsid w:val="531208AC"/>
    <w:rsid w:val="5312649D"/>
    <w:rsid w:val="53226CDE"/>
    <w:rsid w:val="53522CDF"/>
    <w:rsid w:val="5360276B"/>
    <w:rsid w:val="536E5A80"/>
    <w:rsid w:val="537712CC"/>
    <w:rsid w:val="539343DA"/>
    <w:rsid w:val="539C73DD"/>
    <w:rsid w:val="539F3AC0"/>
    <w:rsid w:val="53A039CC"/>
    <w:rsid w:val="53A1505A"/>
    <w:rsid w:val="53A2665E"/>
    <w:rsid w:val="53A919B3"/>
    <w:rsid w:val="53AB330A"/>
    <w:rsid w:val="53AC519E"/>
    <w:rsid w:val="53C61FB7"/>
    <w:rsid w:val="53CF062A"/>
    <w:rsid w:val="53D4076B"/>
    <w:rsid w:val="53DF24DA"/>
    <w:rsid w:val="54002A01"/>
    <w:rsid w:val="54063E08"/>
    <w:rsid w:val="540D7C63"/>
    <w:rsid w:val="542362A5"/>
    <w:rsid w:val="54315302"/>
    <w:rsid w:val="543437E8"/>
    <w:rsid w:val="54397A0A"/>
    <w:rsid w:val="544D26A8"/>
    <w:rsid w:val="54594E52"/>
    <w:rsid w:val="546155E5"/>
    <w:rsid w:val="54663865"/>
    <w:rsid w:val="546675C6"/>
    <w:rsid w:val="54773191"/>
    <w:rsid w:val="547C20EC"/>
    <w:rsid w:val="547D0CE9"/>
    <w:rsid w:val="547D49D8"/>
    <w:rsid w:val="54815C8B"/>
    <w:rsid w:val="54900066"/>
    <w:rsid w:val="549302BA"/>
    <w:rsid w:val="54B037EF"/>
    <w:rsid w:val="54C72D9D"/>
    <w:rsid w:val="54CB0A2C"/>
    <w:rsid w:val="54D101F8"/>
    <w:rsid w:val="54F73313"/>
    <w:rsid w:val="54F80955"/>
    <w:rsid w:val="55206B01"/>
    <w:rsid w:val="55331C05"/>
    <w:rsid w:val="55411C18"/>
    <w:rsid w:val="55445A90"/>
    <w:rsid w:val="555170A7"/>
    <w:rsid w:val="55617844"/>
    <w:rsid w:val="55640808"/>
    <w:rsid w:val="556D70AF"/>
    <w:rsid w:val="556E620B"/>
    <w:rsid w:val="557303DC"/>
    <w:rsid w:val="5587536D"/>
    <w:rsid w:val="55931C50"/>
    <w:rsid w:val="559B174B"/>
    <w:rsid w:val="55A53333"/>
    <w:rsid w:val="55C47E2D"/>
    <w:rsid w:val="55CE0CF4"/>
    <w:rsid w:val="55CE3C9D"/>
    <w:rsid w:val="55D004F9"/>
    <w:rsid w:val="55DA564E"/>
    <w:rsid w:val="55E36576"/>
    <w:rsid w:val="55ED6F99"/>
    <w:rsid w:val="560C104B"/>
    <w:rsid w:val="560E3442"/>
    <w:rsid w:val="56126509"/>
    <w:rsid w:val="561D5263"/>
    <w:rsid w:val="56241298"/>
    <w:rsid w:val="562B576B"/>
    <w:rsid w:val="563D7CE8"/>
    <w:rsid w:val="56574EF1"/>
    <w:rsid w:val="5667214D"/>
    <w:rsid w:val="56801418"/>
    <w:rsid w:val="56947474"/>
    <w:rsid w:val="56B22A9C"/>
    <w:rsid w:val="56B50954"/>
    <w:rsid w:val="56D26326"/>
    <w:rsid w:val="56EA4D2C"/>
    <w:rsid w:val="572E653D"/>
    <w:rsid w:val="575A116E"/>
    <w:rsid w:val="57680A38"/>
    <w:rsid w:val="57693A57"/>
    <w:rsid w:val="577F43DB"/>
    <w:rsid w:val="57812A0C"/>
    <w:rsid w:val="57B361FB"/>
    <w:rsid w:val="57B72A76"/>
    <w:rsid w:val="57BA6CB8"/>
    <w:rsid w:val="57C3426C"/>
    <w:rsid w:val="57CB06D3"/>
    <w:rsid w:val="57CE1F93"/>
    <w:rsid w:val="57DB219A"/>
    <w:rsid w:val="57F430AE"/>
    <w:rsid w:val="581C161E"/>
    <w:rsid w:val="5822248B"/>
    <w:rsid w:val="582E099A"/>
    <w:rsid w:val="583C31B4"/>
    <w:rsid w:val="58656E3C"/>
    <w:rsid w:val="588743D1"/>
    <w:rsid w:val="5887701A"/>
    <w:rsid w:val="588B6D6F"/>
    <w:rsid w:val="588F4C61"/>
    <w:rsid w:val="58C356C7"/>
    <w:rsid w:val="58C35AE4"/>
    <w:rsid w:val="58CF0D57"/>
    <w:rsid w:val="58D42BE2"/>
    <w:rsid w:val="58E128BA"/>
    <w:rsid w:val="58E60CC4"/>
    <w:rsid w:val="58E71B7F"/>
    <w:rsid w:val="58EB68C6"/>
    <w:rsid w:val="58F51731"/>
    <w:rsid w:val="5915750D"/>
    <w:rsid w:val="591D6557"/>
    <w:rsid w:val="592C2E0C"/>
    <w:rsid w:val="592E31E1"/>
    <w:rsid w:val="59614D97"/>
    <w:rsid w:val="59864414"/>
    <w:rsid w:val="59950045"/>
    <w:rsid w:val="59B53C0B"/>
    <w:rsid w:val="59B77A55"/>
    <w:rsid w:val="59C0439F"/>
    <w:rsid w:val="59C15A2F"/>
    <w:rsid w:val="59DC7627"/>
    <w:rsid w:val="59F44455"/>
    <w:rsid w:val="59FB038A"/>
    <w:rsid w:val="59FF1410"/>
    <w:rsid w:val="5A0076FD"/>
    <w:rsid w:val="5A08298A"/>
    <w:rsid w:val="5A220000"/>
    <w:rsid w:val="5A250E91"/>
    <w:rsid w:val="5A2C7BF1"/>
    <w:rsid w:val="5A316A60"/>
    <w:rsid w:val="5A340E5D"/>
    <w:rsid w:val="5A3A7603"/>
    <w:rsid w:val="5A4532B2"/>
    <w:rsid w:val="5A4864A0"/>
    <w:rsid w:val="5A986AD6"/>
    <w:rsid w:val="5AA12BDF"/>
    <w:rsid w:val="5AB2196F"/>
    <w:rsid w:val="5AB32912"/>
    <w:rsid w:val="5ABE2233"/>
    <w:rsid w:val="5AC71221"/>
    <w:rsid w:val="5AE729EA"/>
    <w:rsid w:val="5B086B5E"/>
    <w:rsid w:val="5B405F6B"/>
    <w:rsid w:val="5B801CF7"/>
    <w:rsid w:val="5B8C1F04"/>
    <w:rsid w:val="5B8D5BAB"/>
    <w:rsid w:val="5B9D7A5D"/>
    <w:rsid w:val="5BAC49CB"/>
    <w:rsid w:val="5BB26409"/>
    <w:rsid w:val="5BDC77C1"/>
    <w:rsid w:val="5BDF5D95"/>
    <w:rsid w:val="5BFB1AAF"/>
    <w:rsid w:val="5BFE7528"/>
    <w:rsid w:val="5C09040C"/>
    <w:rsid w:val="5C164BB9"/>
    <w:rsid w:val="5C1A61D1"/>
    <w:rsid w:val="5C3774BC"/>
    <w:rsid w:val="5C396A44"/>
    <w:rsid w:val="5C563ECD"/>
    <w:rsid w:val="5C5E5D29"/>
    <w:rsid w:val="5C785072"/>
    <w:rsid w:val="5C7A2B89"/>
    <w:rsid w:val="5C7F2AAC"/>
    <w:rsid w:val="5C94634E"/>
    <w:rsid w:val="5CA3177A"/>
    <w:rsid w:val="5CB230F5"/>
    <w:rsid w:val="5CBE6BDA"/>
    <w:rsid w:val="5CDB1D2E"/>
    <w:rsid w:val="5CE047AB"/>
    <w:rsid w:val="5CE14476"/>
    <w:rsid w:val="5CE318F0"/>
    <w:rsid w:val="5CE669FC"/>
    <w:rsid w:val="5CF45110"/>
    <w:rsid w:val="5D02158D"/>
    <w:rsid w:val="5D193C09"/>
    <w:rsid w:val="5D1B05C5"/>
    <w:rsid w:val="5D1F4104"/>
    <w:rsid w:val="5D403E72"/>
    <w:rsid w:val="5D427B6F"/>
    <w:rsid w:val="5D556CBC"/>
    <w:rsid w:val="5D6B031C"/>
    <w:rsid w:val="5D755FEE"/>
    <w:rsid w:val="5D781920"/>
    <w:rsid w:val="5D8C3710"/>
    <w:rsid w:val="5D9D382E"/>
    <w:rsid w:val="5DA037E7"/>
    <w:rsid w:val="5DBB104D"/>
    <w:rsid w:val="5DCB34C8"/>
    <w:rsid w:val="5DD82EDA"/>
    <w:rsid w:val="5DE01EC3"/>
    <w:rsid w:val="5DE66CB3"/>
    <w:rsid w:val="5E044F54"/>
    <w:rsid w:val="5E0E058B"/>
    <w:rsid w:val="5E1C21BB"/>
    <w:rsid w:val="5E1F49BA"/>
    <w:rsid w:val="5E2467F1"/>
    <w:rsid w:val="5E2D5263"/>
    <w:rsid w:val="5E3247DD"/>
    <w:rsid w:val="5E40626B"/>
    <w:rsid w:val="5E407C0D"/>
    <w:rsid w:val="5E41366B"/>
    <w:rsid w:val="5E481C2B"/>
    <w:rsid w:val="5E585EE9"/>
    <w:rsid w:val="5E611AA9"/>
    <w:rsid w:val="5E68083A"/>
    <w:rsid w:val="5E6C61E9"/>
    <w:rsid w:val="5E912F6A"/>
    <w:rsid w:val="5E91775E"/>
    <w:rsid w:val="5EA175E0"/>
    <w:rsid w:val="5EA570CF"/>
    <w:rsid w:val="5EB708B3"/>
    <w:rsid w:val="5EBD58AC"/>
    <w:rsid w:val="5EC55F90"/>
    <w:rsid w:val="5EC8021D"/>
    <w:rsid w:val="5ECB3C4A"/>
    <w:rsid w:val="5ECE6E70"/>
    <w:rsid w:val="5ED23109"/>
    <w:rsid w:val="5ED62235"/>
    <w:rsid w:val="5ED919B0"/>
    <w:rsid w:val="5EF74545"/>
    <w:rsid w:val="5F0441B1"/>
    <w:rsid w:val="5F1A2B43"/>
    <w:rsid w:val="5F425260"/>
    <w:rsid w:val="5F681F1D"/>
    <w:rsid w:val="5F826E2A"/>
    <w:rsid w:val="5F8C7449"/>
    <w:rsid w:val="5F9417B4"/>
    <w:rsid w:val="5FB837BB"/>
    <w:rsid w:val="5FBB3F96"/>
    <w:rsid w:val="5FD5720F"/>
    <w:rsid w:val="5FD63524"/>
    <w:rsid w:val="5FD7610E"/>
    <w:rsid w:val="5FDA624B"/>
    <w:rsid w:val="5FDE69C2"/>
    <w:rsid w:val="5FE6794D"/>
    <w:rsid w:val="5FEE6E12"/>
    <w:rsid w:val="5FFB036A"/>
    <w:rsid w:val="602429D5"/>
    <w:rsid w:val="603D5158"/>
    <w:rsid w:val="60560557"/>
    <w:rsid w:val="60597371"/>
    <w:rsid w:val="6061325F"/>
    <w:rsid w:val="60751DC2"/>
    <w:rsid w:val="607D37A6"/>
    <w:rsid w:val="60844B35"/>
    <w:rsid w:val="6091771F"/>
    <w:rsid w:val="609E54B7"/>
    <w:rsid w:val="60A3265F"/>
    <w:rsid w:val="60AC5E39"/>
    <w:rsid w:val="60CC405A"/>
    <w:rsid w:val="60D24E09"/>
    <w:rsid w:val="60EB48A5"/>
    <w:rsid w:val="60EE2FE6"/>
    <w:rsid w:val="61021942"/>
    <w:rsid w:val="610F63CB"/>
    <w:rsid w:val="611418AC"/>
    <w:rsid w:val="611B4083"/>
    <w:rsid w:val="612150BC"/>
    <w:rsid w:val="614627CF"/>
    <w:rsid w:val="615663A9"/>
    <w:rsid w:val="616E07A4"/>
    <w:rsid w:val="61760465"/>
    <w:rsid w:val="618E5646"/>
    <w:rsid w:val="618F23FC"/>
    <w:rsid w:val="619931D5"/>
    <w:rsid w:val="61AD2ACD"/>
    <w:rsid w:val="61B251B7"/>
    <w:rsid w:val="61E1038B"/>
    <w:rsid w:val="61E215D8"/>
    <w:rsid w:val="621401F9"/>
    <w:rsid w:val="62180081"/>
    <w:rsid w:val="62195B77"/>
    <w:rsid w:val="621B3775"/>
    <w:rsid w:val="621B6A10"/>
    <w:rsid w:val="62233ED9"/>
    <w:rsid w:val="62364782"/>
    <w:rsid w:val="6237641C"/>
    <w:rsid w:val="623D0FE4"/>
    <w:rsid w:val="623F037F"/>
    <w:rsid w:val="62467333"/>
    <w:rsid w:val="624C7D81"/>
    <w:rsid w:val="624D239A"/>
    <w:rsid w:val="62587296"/>
    <w:rsid w:val="626562A0"/>
    <w:rsid w:val="6266314D"/>
    <w:rsid w:val="6269729D"/>
    <w:rsid w:val="626D5465"/>
    <w:rsid w:val="62703CE2"/>
    <w:rsid w:val="62896E00"/>
    <w:rsid w:val="628E6A76"/>
    <w:rsid w:val="62C222B4"/>
    <w:rsid w:val="63061CD5"/>
    <w:rsid w:val="631B764B"/>
    <w:rsid w:val="631C068E"/>
    <w:rsid w:val="634661E7"/>
    <w:rsid w:val="63561D07"/>
    <w:rsid w:val="635D7F42"/>
    <w:rsid w:val="635E1DB7"/>
    <w:rsid w:val="63633909"/>
    <w:rsid w:val="638E2247"/>
    <w:rsid w:val="63931444"/>
    <w:rsid w:val="6394356A"/>
    <w:rsid w:val="63974B7F"/>
    <w:rsid w:val="63B200EB"/>
    <w:rsid w:val="63C3147F"/>
    <w:rsid w:val="63C61B2C"/>
    <w:rsid w:val="63D328E4"/>
    <w:rsid w:val="63D40BE9"/>
    <w:rsid w:val="63E47698"/>
    <w:rsid w:val="63F41FD1"/>
    <w:rsid w:val="63F64CFC"/>
    <w:rsid w:val="63FE1AB3"/>
    <w:rsid w:val="64102431"/>
    <w:rsid w:val="64132533"/>
    <w:rsid w:val="641461CF"/>
    <w:rsid w:val="642B744B"/>
    <w:rsid w:val="643947B1"/>
    <w:rsid w:val="645F570B"/>
    <w:rsid w:val="64710DF6"/>
    <w:rsid w:val="64826A81"/>
    <w:rsid w:val="649036D2"/>
    <w:rsid w:val="64931488"/>
    <w:rsid w:val="64A5243A"/>
    <w:rsid w:val="64BF1B75"/>
    <w:rsid w:val="64C549EA"/>
    <w:rsid w:val="64CD38AB"/>
    <w:rsid w:val="64DB32D2"/>
    <w:rsid w:val="64E74C0A"/>
    <w:rsid w:val="64EF278B"/>
    <w:rsid w:val="64F531DE"/>
    <w:rsid w:val="64FB2EEB"/>
    <w:rsid w:val="65003A97"/>
    <w:rsid w:val="650F7E7C"/>
    <w:rsid w:val="65154DA7"/>
    <w:rsid w:val="65373578"/>
    <w:rsid w:val="656201DB"/>
    <w:rsid w:val="657C2232"/>
    <w:rsid w:val="658F3A95"/>
    <w:rsid w:val="65B16261"/>
    <w:rsid w:val="65E543F6"/>
    <w:rsid w:val="66055EE9"/>
    <w:rsid w:val="66093D06"/>
    <w:rsid w:val="661F3314"/>
    <w:rsid w:val="66230976"/>
    <w:rsid w:val="662C65E2"/>
    <w:rsid w:val="66364987"/>
    <w:rsid w:val="664B03A7"/>
    <w:rsid w:val="66630DCD"/>
    <w:rsid w:val="66793CB4"/>
    <w:rsid w:val="667E5ABC"/>
    <w:rsid w:val="669219BF"/>
    <w:rsid w:val="669F032B"/>
    <w:rsid w:val="66A222AA"/>
    <w:rsid w:val="66B15F58"/>
    <w:rsid w:val="66B64A73"/>
    <w:rsid w:val="66B64FD6"/>
    <w:rsid w:val="66BD1F95"/>
    <w:rsid w:val="66CA1476"/>
    <w:rsid w:val="66CC4D9F"/>
    <w:rsid w:val="66D216D6"/>
    <w:rsid w:val="66D21FFD"/>
    <w:rsid w:val="66E1175E"/>
    <w:rsid w:val="66E154BC"/>
    <w:rsid w:val="66E22B04"/>
    <w:rsid w:val="66E44D3B"/>
    <w:rsid w:val="66E93FBB"/>
    <w:rsid w:val="66EF4361"/>
    <w:rsid w:val="66F94E5B"/>
    <w:rsid w:val="66FE3167"/>
    <w:rsid w:val="670C1C2F"/>
    <w:rsid w:val="671F124A"/>
    <w:rsid w:val="67283C70"/>
    <w:rsid w:val="672C04BF"/>
    <w:rsid w:val="672F50CE"/>
    <w:rsid w:val="673367F5"/>
    <w:rsid w:val="673A2833"/>
    <w:rsid w:val="676A09A6"/>
    <w:rsid w:val="67705E13"/>
    <w:rsid w:val="67787679"/>
    <w:rsid w:val="677A33C6"/>
    <w:rsid w:val="67836359"/>
    <w:rsid w:val="67A00DF9"/>
    <w:rsid w:val="67EB7247"/>
    <w:rsid w:val="67EC525E"/>
    <w:rsid w:val="67F32B5E"/>
    <w:rsid w:val="67FC79C9"/>
    <w:rsid w:val="6808604B"/>
    <w:rsid w:val="680B1697"/>
    <w:rsid w:val="681F6961"/>
    <w:rsid w:val="6847475A"/>
    <w:rsid w:val="6848469A"/>
    <w:rsid w:val="68575811"/>
    <w:rsid w:val="68610A2F"/>
    <w:rsid w:val="68674C5C"/>
    <w:rsid w:val="68686AEA"/>
    <w:rsid w:val="687820C3"/>
    <w:rsid w:val="68785114"/>
    <w:rsid w:val="687A4751"/>
    <w:rsid w:val="68805514"/>
    <w:rsid w:val="688D0564"/>
    <w:rsid w:val="68945891"/>
    <w:rsid w:val="689901CD"/>
    <w:rsid w:val="68AA7102"/>
    <w:rsid w:val="68AB126A"/>
    <w:rsid w:val="68C968BB"/>
    <w:rsid w:val="68D91796"/>
    <w:rsid w:val="68F121E3"/>
    <w:rsid w:val="68F3629C"/>
    <w:rsid w:val="68FD4652"/>
    <w:rsid w:val="690C528F"/>
    <w:rsid w:val="69180510"/>
    <w:rsid w:val="69211004"/>
    <w:rsid w:val="69236D3A"/>
    <w:rsid w:val="69316E2F"/>
    <w:rsid w:val="694A7B0C"/>
    <w:rsid w:val="694E2071"/>
    <w:rsid w:val="695C3AB5"/>
    <w:rsid w:val="696574CD"/>
    <w:rsid w:val="696C5CA3"/>
    <w:rsid w:val="69743E7E"/>
    <w:rsid w:val="69756323"/>
    <w:rsid w:val="69766163"/>
    <w:rsid w:val="697A3B33"/>
    <w:rsid w:val="697C4130"/>
    <w:rsid w:val="69802A3B"/>
    <w:rsid w:val="69AA1877"/>
    <w:rsid w:val="69AE36FE"/>
    <w:rsid w:val="69B028D0"/>
    <w:rsid w:val="69C9180A"/>
    <w:rsid w:val="69CE5B68"/>
    <w:rsid w:val="69D44760"/>
    <w:rsid w:val="69DA133C"/>
    <w:rsid w:val="69E4625A"/>
    <w:rsid w:val="6A125821"/>
    <w:rsid w:val="6A3144D2"/>
    <w:rsid w:val="6A3E1D61"/>
    <w:rsid w:val="6A520EC7"/>
    <w:rsid w:val="6A6257BB"/>
    <w:rsid w:val="6A681023"/>
    <w:rsid w:val="6AA4386C"/>
    <w:rsid w:val="6ABC732D"/>
    <w:rsid w:val="6ADA4804"/>
    <w:rsid w:val="6AEE798A"/>
    <w:rsid w:val="6AF04E1C"/>
    <w:rsid w:val="6AF87E20"/>
    <w:rsid w:val="6B302B5B"/>
    <w:rsid w:val="6B322639"/>
    <w:rsid w:val="6B474A66"/>
    <w:rsid w:val="6B4750DC"/>
    <w:rsid w:val="6B4F7A59"/>
    <w:rsid w:val="6B511E49"/>
    <w:rsid w:val="6B683339"/>
    <w:rsid w:val="6B6D58A9"/>
    <w:rsid w:val="6B7615AB"/>
    <w:rsid w:val="6B784315"/>
    <w:rsid w:val="6B845C42"/>
    <w:rsid w:val="6B8B0EEC"/>
    <w:rsid w:val="6B8F14D7"/>
    <w:rsid w:val="6BA74D5C"/>
    <w:rsid w:val="6BC7521B"/>
    <w:rsid w:val="6BD611C7"/>
    <w:rsid w:val="6BF54FFD"/>
    <w:rsid w:val="6C033F85"/>
    <w:rsid w:val="6C0A006E"/>
    <w:rsid w:val="6C3A5D05"/>
    <w:rsid w:val="6C474C68"/>
    <w:rsid w:val="6C5A5578"/>
    <w:rsid w:val="6C636C38"/>
    <w:rsid w:val="6C701AFA"/>
    <w:rsid w:val="6C823267"/>
    <w:rsid w:val="6C866BB0"/>
    <w:rsid w:val="6C8849B9"/>
    <w:rsid w:val="6CA0308B"/>
    <w:rsid w:val="6CB336ED"/>
    <w:rsid w:val="6CC67EA4"/>
    <w:rsid w:val="6CCB2DC8"/>
    <w:rsid w:val="6CEC0C2D"/>
    <w:rsid w:val="6CFD0B5E"/>
    <w:rsid w:val="6D033E37"/>
    <w:rsid w:val="6D1C60F5"/>
    <w:rsid w:val="6D343F8E"/>
    <w:rsid w:val="6D517A1E"/>
    <w:rsid w:val="6D523054"/>
    <w:rsid w:val="6D5B67B2"/>
    <w:rsid w:val="6D5D41AD"/>
    <w:rsid w:val="6D684F72"/>
    <w:rsid w:val="6D6D02BE"/>
    <w:rsid w:val="6D786045"/>
    <w:rsid w:val="6D841598"/>
    <w:rsid w:val="6DAF0D17"/>
    <w:rsid w:val="6DAF495D"/>
    <w:rsid w:val="6DB34098"/>
    <w:rsid w:val="6DB545B6"/>
    <w:rsid w:val="6DBD7292"/>
    <w:rsid w:val="6DE02FB4"/>
    <w:rsid w:val="6DE213D7"/>
    <w:rsid w:val="6DE97279"/>
    <w:rsid w:val="6DF10A88"/>
    <w:rsid w:val="6E0502E3"/>
    <w:rsid w:val="6E060CFF"/>
    <w:rsid w:val="6E0D51AE"/>
    <w:rsid w:val="6E10484B"/>
    <w:rsid w:val="6E514CED"/>
    <w:rsid w:val="6E6E472E"/>
    <w:rsid w:val="6E75035E"/>
    <w:rsid w:val="6E7E6AD3"/>
    <w:rsid w:val="6EAB48B3"/>
    <w:rsid w:val="6EB563D5"/>
    <w:rsid w:val="6EC607CD"/>
    <w:rsid w:val="6ED8602E"/>
    <w:rsid w:val="6ED92677"/>
    <w:rsid w:val="6EEB0F84"/>
    <w:rsid w:val="6EF80F84"/>
    <w:rsid w:val="6EF84431"/>
    <w:rsid w:val="6F0621EF"/>
    <w:rsid w:val="6F082E04"/>
    <w:rsid w:val="6F0C2145"/>
    <w:rsid w:val="6F196A51"/>
    <w:rsid w:val="6F225983"/>
    <w:rsid w:val="6F2B261F"/>
    <w:rsid w:val="6F4227C7"/>
    <w:rsid w:val="6F457210"/>
    <w:rsid w:val="6F6873CF"/>
    <w:rsid w:val="6F6919E1"/>
    <w:rsid w:val="6F880263"/>
    <w:rsid w:val="6F8E3585"/>
    <w:rsid w:val="6FB45B74"/>
    <w:rsid w:val="6FCE6272"/>
    <w:rsid w:val="6FE43E1F"/>
    <w:rsid w:val="6FFC5590"/>
    <w:rsid w:val="701D453F"/>
    <w:rsid w:val="702C2AF3"/>
    <w:rsid w:val="70377C07"/>
    <w:rsid w:val="70405496"/>
    <w:rsid w:val="705A75EC"/>
    <w:rsid w:val="705D159F"/>
    <w:rsid w:val="706758D9"/>
    <w:rsid w:val="706978A3"/>
    <w:rsid w:val="706D1DD0"/>
    <w:rsid w:val="70760D0B"/>
    <w:rsid w:val="70770AE2"/>
    <w:rsid w:val="70856B87"/>
    <w:rsid w:val="709204E2"/>
    <w:rsid w:val="70B4387C"/>
    <w:rsid w:val="70D527EE"/>
    <w:rsid w:val="70E71CC4"/>
    <w:rsid w:val="71132507"/>
    <w:rsid w:val="71194B72"/>
    <w:rsid w:val="71495621"/>
    <w:rsid w:val="71512B95"/>
    <w:rsid w:val="71587693"/>
    <w:rsid w:val="715B5300"/>
    <w:rsid w:val="715C11B6"/>
    <w:rsid w:val="71956646"/>
    <w:rsid w:val="71B019F7"/>
    <w:rsid w:val="71BF5282"/>
    <w:rsid w:val="71D27F8A"/>
    <w:rsid w:val="71DB1B59"/>
    <w:rsid w:val="71EB74F1"/>
    <w:rsid w:val="71FA2025"/>
    <w:rsid w:val="71FE597D"/>
    <w:rsid w:val="72141A90"/>
    <w:rsid w:val="72264F9C"/>
    <w:rsid w:val="724D391F"/>
    <w:rsid w:val="724F12FA"/>
    <w:rsid w:val="72553024"/>
    <w:rsid w:val="725A1EAC"/>
    <w:rsid w:val="7265653F"/>
    <w:rsid w:val="7283071E"/>
    <w:rsid w:val="72992607"/>
    <w:rsid w:val="72D8234B"/>
    <w:rsid w:val="72DB2765"/>
    <w:rsid w:val="72E65B73"/>
    <w:rsid w:val="72E96C4A"/>
    <w:rsid w:val="72EF1537"/>
    <w:rsid w:val="73091335"/>
    <w:rsid w:val="7309621B"/>
    <w:rsid w:val="73122968"/>
    <w:rsid w:val="731F5D5E"/>
    <w:rsid w:val="73424EA5"/>
    <w:rsid w:val="73485590"/>
    <w:rsid w:val="734F107E"/>
    <w:rsid w:val="73772111"/>
    <w:rsid w:val="737A0380"/>
    <w:rsid w:val="73971A78"/>
    <w:rsid w:val="739F04A6"/>
    <w:rsid w:val="73AB1F81"/>
    <w:rsid w:val="73B14833"/>
    <w:rsid w:val="73C51AD5"/>
    <w:rsid w:val="73DC61D4"/>
    <w:rsid w:val="73F04DA3"/>
    <w:rsid w:val="740022CC"/>
    <w:rsid w:val="740220BC"/>
    <w:rsid w:val="7407126B"/>
    <w:rsid w:val="74090B57"/>
    <w:rsid w:val="740F42BD"/>
    <w:rsid w:val="741B0EB4"/>
    <w:rsid w:val="741E793C"/>
    <w:rsid w:val="74307634"/>
    <w:rsid w:val="744D7E5F"/>
    <w:rsid w:val="74505D88"/>
    <w:rsid w:val="745D5385"/>
    <w:rsid w:val="745E3944"/>
    <w:rsid w:val="745F5EA0"/>
    <w:rsid w:val="746679C9"/>
    <w:rsid w:val="74795BDB"/>
    <w:rsid w:val="748E752E"/>
    <w:rsid w:val="749714F0"/>
    <w:rsid w:val="74AE1D28"/>
    <w:rsid w:val="74CA4688"/>
    <w:rsid w:val="74D955B7"/>
    <w:rsid w:val="74F91492"/>
    <w:rsid w:val="7516167C"/>
    <w:rsid w:val="75176AF9"/>
    <w:rsid w:val="75403EDA"/>
    <w:rsid w:val="757A4BD8"/>
    <w:rsid w:val="758802DD"/>
    <w:rsid w:val="7589472C"/>
    <w:rsid w:val="75915DB9"/>
    <w:rsid w:val="75C373FC"/>
    <w:rsid w:val="75CB4548"/>
    <w:rsid w:val="75D20653"/>
    <w:rsid w:val="75D601B6"/>
    <w:rsid w:val="75DA1DEE"/>
    <w:rsid w:val="760C71CA"/>
    <w:rsid w:val="760D67EE"/>
    <w:rsid w:val="76127E90"/>
    <w:rsid w:val="76337CE7"/>
    <w:rsid w:val="7635099D"/>
    <w:rsid w:val="764808E8"/>
    <w:rsid w:val="76593F16"/>
    <w:rsid w:val="765F1837"/>
    <w:rsid w:val="768574C6"/>
    <w:rsid w:val="76930D85"/>
    <w:rsid w:val="76B44535"/>
    <w:rsid w:val="76C00FA1"/>
    <w:rsid w:val="76C15C93"/>
    <w:rsid w:val="76C8483B"/>
    <w:rsid w:val="76D8672C"/>
    <w:rsid w:val="76DA552E"/>
    <w:rsid w:val="76E24128"/>
    <w:rsid w:val="76E46ABF"/>
    <w:rsid w:val="76F845D3"/>
    <w:rsid w:val="76FF3472"/>
    <w:rsid w:val="770F0F42"/>
    <w:rsid w:val="77226E7B"/>
    <w:rsid w:val="77276657"/>
    <w:rsid w:val="77321500"/>
    <w:rsid w:val="7733572B"/>
    <w:rsid w:val="77447596"/>
    <w:rsid w:val="775D4036"/>
    <w:rsid w:val="77762421"/>
    <w:rsid w:val="778B4AF2"/>
    <w:rsid w:val="778C2404"/>
    <w:rsid w:val="77A05FDA"/>
    <w:rsid w:val="77A76819"/>
    <w:rsid w:val="77B56B1F"/>
    <w:rsid w:val="77C123D0"/>
    <w:rsid w:val="77D67D58"/>
    <w:rsid w:val="77E5211F"/>
    <w:rsid w:val="77EC1623"/>
    <w:rsid w:val="77EF03DB"/>
    <w:rsid w:val="780F09F4"/>
    <w:rsid w:val="7814275C"/>
    <w:rsid w:val="78271FA6"/>
    <w:rsid w:val="78293F8E"/>
    <w:rsid w:val="782B6554"/>
    <w:rsid w:val="78300CA6"/>
    <w:rsid w:val="78311BE3"/>
    <w:rsid w:val="784C3D32"/>
    <w:rsid w:val="786F2AAF"/>
    <w:rsid w:val="78727193"/>
    <w:rsid w:val="787768D5"/>
    <w:rsid w:val="788A35A7"/>
    <w:rsid w:val="789430B0"/>
    <w:rsid w:val="78A219A5"/>
    <w:rsid w:val="78A90480"/>
    <w:rsid w:val="78AC47D1"/>
    <w:rsid w:val="78B35B5F"/>
    <w:rsid w:val="78BD5B69"/>
    <w:rsid w:val="78C9774D"/>
    <w:rsid w:val="78CF0A74"/>
    <w:rsid w:val="78D9521F"/>
    <w:rsid w:val="78DD498A"/>
    <w:rsid w:val="78E73A5B"/>
    <w:rsid w:val="78EA354B"/>
    <w:rsid w:val="78ED15B7"/>
    <w:rsid w:val="7919784F"/>
    <w:rsid w:val="791B2262"/>
    <w:rsid w:val="791E4546"/>
    <w:rsid w:val="79222A2D"/>
    <w:rsid w:val="792D4671"/>
    <w:rsid w:val="79312461"/>
    <w:rsid w:val="793C18CF"/>
    <w:rsid w:val="79426D15"/>
    <w:rsid w:val="796628F3"/>
    <w:rsid w:val="79815C5D"/>
    <w:rsid w:val="79AC696E"/>
    <w:rsid w:val="79AE2C3F"/>
    <w:rsid w:val="79AF7BD0"/>
    <w:rsid w:val="7A080CC3"/>
    <w:rsid w:val="7A0F6DF1"/>
    <w:rsid w:val="7A111897"/>
    <w:rsid w:val="7A125FE9"/>
    <w:rsid w:val="7A343278"/>
    <w:rsid w:val="7A364017"/>
    <w:rsid w:val="7A4137EB"/>
    <w:rsid w:val="7A5E4921"/>
    <w:rsid w:val="7A5F4672"/>
    <w:rsid w:val="7A6414D5"/>
    <w:rsid w:val="7A656DD1"/>
    <w:rsid w:val="7A6D21C7"/>
    <w:rsid w:val="7A700BC9"/>
    <w:rsid w:val="7A76035F"/>
    <w:rsid w:val="7A8265E1"/>
    <w:rsid w:val="7A93138F"/>
    <w:rsid w:val="7A9A760A"/>
    <w:rsid w:val="7A9B4E5D"/>
    <w:rsid w:val="7AA4059F"/>
    <w:rsid w:val="7AA8244C"/>
    <w:rsid w:val="7AAC7568"/>
    <w:rsid w:val="7AD161EE"/>
    <w:rsid w:val="7ADD4595"/>
    <w:rsid w:val="7B054374"/>
    <w:rsid w:val="7B264D7B"/>
    <w:rsid w:val="7B3147D6"/>
    <w:rsid w:val="7B3521E1"/>
    <w:rsid w:val="7B396375"/>
    <w:rsid w:val="7B3A1035"/>
    <w:rsid w:val="7B3F3EBE"/>
    <w:rsid w:val="7B425FFD"/>
    <w:rsid w:val="7B436254"/>
    <w:rsid w:val="7B536D4C"/>
    <w:rsid w:val="7B5D5641"/>
    <w:rsid w:val="7B686D42"/>
    <w:rsid w:val="7B841746"/>
    <w:rsid w:val="7B934EA5"/>
    <w:rsid w:val="7B991F06"/>
    <w:rsid w:val="7BC7637C"/>
    <w:rsid w:val="7BCC6F38"/>
    <w:rsid w:val="7BD066ED"/>
    <w:rsid w:val="7BE34926"/>
    <w:rsid w:val="7BE57368"/>
    <w:rsid w:val="7C0138C2"/>
    <w:rsid w:val="7C1808DF"/>
    <w:rsid w:val="7C1A7129"/>
    <w:rsid w:val="7C2E7C82"/>
    <w:rsid w:val="7C336888"/>
    <w:rsid w:val="7C3F5957"/>
    <w:rsid w:val="7C6C5AC7"/>
    <w:rsid w:val="7C763ED9"/>
    <w:rsid w:val="7C8C01AA"/>
    <w:rsid w:val="7C9673DF"/>
    <w:rsid w:val="7C9C5B48"/>
    <w:rsid w:val="7CB1573D"/>
    <w:rsid w:val="7CB40FDE"/>
    <w:rsid w:val="7CB974BC"/>
    <w:rsid w:val="7CC15265"/>
    <w:rsid w:val="7CC6544B"/>
    <w:rsid w:val="7CCC4011"/>
    <w:rsid w:val="7CCF4C5D"/>
    <w:rsid w:val="7CFC0D7C"/>
    <w:rsid w:val="7D0239FF"/>
    <w:rsid w:val="7D09027C"/>
    <w:rsid w:val="7D1D799D"/>
    <w:rsid w:val="7D272BC3"/>
    <w:rsid w:val="7D371EF5"/>
    <w:rsid w:val="7D4D0A01"/>
    <w:rsid w:val="7D5D76F9"/>
    <w:rsid w:val="7D5E40CD"/>
    <w:rsid w:val="7D692966"/>
    <w:rsid w:val="7D6D233D"/>
    <w:rsid w:val="7D7375FE"/>
    <w:rsid w:val="7D9565A4"/>
    <w:rsid w:val="7D9F540D"/>
    <w:rsid w:val="7DAA21A7"/>
    <w:rsid w:val="7DC441D2"/>
    <w:rsid w:val="7DC9574F"/>
    <w:rsid w:val="7DCD56F2"/>
    <w:rsid w:val="7DD268F4"/>
    <w:rsid w:val="7DF82B74"/>
    <w:rsid w:val="7DFB0D9E"/>
    <w:rsid w:val="7E132E66"/>
    <w:rsid w:val="7E4958B7"/>
    <w:rsid w:val="7E4E18A7"/>
    <w:rsid w:val="7E5E1B1E"/>
    <w:rsid w:val="7E603764"/>
    <w:rsid w:val="7E80693B"/>
    <w:rsid w:val="7E8961C3"/>
    <w:rsid w:val="7E9B05F9"/>
    <w:rsid w:val="7EB66EDA"/>
    <w:rsid w:val="7ED56574"/>
    <w:rsid w:val="7EE02441"/>
    <w:rsid w:val="7EE54599"/>
    <w:rsid w:val="7F001CE7"/>
    <w:rsid w:val="7F192437"/>
    <w:rsid w:val="7F1B26ED"/>
    <w:rsid w:val="7F1D627E"/>
    <w:rsid w:val="7F2307F3"/>
    <w:rsid w:val="7F2C3DBC"/>
    <w:rsid w:val="7F392FF9"/>
    <w:rsid w:val="7F503262"/>
    <w:rsid w:val="7F516931"/>
    <w:rsid w:val="7F584383"/>
    <w:rsid w:val="7F607BB9"/>
    <w:rsid w:val="7F6E35B7"/>
    <w:rsid w:val="7F9F33BF"/>
    <w:rsid w:val="7FB65F35"/>
    <w:rsid w:val="7FBF303C"/>
    <w:rsid w:val="7FD25437"/>
    <w:rsid w:val="7FE06906"/>
    <w:rsid w:val="7FE47E50"/>
    <w:rsid w:val="7FF47487"/>
    <w:rsid w:val="BFD6A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99"/>
    <w:pPr>
      <w:keepNext/>
      <w:keepLines/>
      <w:spacing w:before="260" w:after="260"/>
      <w:outlineLvl w:val="1"/>
    </w:pPr>
    <w:rPr>
      <w:szCs w:val="32"/>
    </w:rPr>
  </w:style>
  <w:style w:type="paragraph" w:styleId="4">
    <w:name w:val="heading 3"/>
    <w:basedOn w:val="1"/>
    <w:next w:val="1"/>
    <w:qFormat/>
    <w:locked/>
    <w:uiPriority w:val="9"/>
    <w:pPr>
      <w:spacing w:line="416" w:lineRule="auto"/>
      <w:outlineLvl w:val="2"/>
    </w:pPr>
  </w:style>
  <w:style w:type="paragraph" w:styleId="5">
    <w:name w:val="heading 4"/>
    <w:basedOn w:val="1"/>
    <w:next w:val="1"/>
    <w:qFormat/>
    <w:locked/>
    <w:uiPriority w:val="0"/>
    <w:pPr>
      <w:tabs>
        <w:tab w:val="left" w:pos="0"/>
      </w:tabs>
      <w:outlineLvl w:val="3"/>
    </w:p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List 3"/>
    <w:basedOn w:val="1"/>
    <w:next w:val="1"/>
    <w:qFormat/>
    <w:locked/>
    <w:uiPriority w:val="0"/>
    <w:pPr>
      <w:autoSpaceDE w:val="0"/>
      <w:autoSpaceDN w:val="0"/>
      <w:adjustRightInd w:val="0"/>
      <w:spacing w:line="288" w:lineRule="auto"/>
      <w:ind w:left="1260" w:hanging="420"/>
      <w:jc w:val="left"/>
      <w:textAlignment w:val="baseline"/>
    </w:pPr>
    <w:rPr>
      <w:kern w:val="0"/>
      <w:szCs w:val="20"/>
    </w:rPr>
  </w:style>
  <w:style w:type="paragraph" w:styleId="7">
    <w:name w:val="Normal Indent"/>
    <w:basedOn w:val="1"/>
    <w:next w:val="1"/>
    <w:qFormat/>
    <w:locked/>
    <w:uiPriority w:val="0"/>
    <w:pPr>
      <w:ind w:firstLine="420"/>
    </w:pPr>
    <w:rPr>
      <w:sz w:val="28"/>
      <w:szCs w:val="20"/>
    </w:rPr>
  </w:style>
  <w:style w:type="paragraph" w:styleId="8">
    <w:name w:val="toa heading"/>
    <w:basedOn w:val="1"/>
    <w:next w:val="1"/>
    <w:semiHidden/>
    <w:qFormat/>
    <w:locked/>
    <w:uiPriority w:val="0"/>
    <w:pPr>
      <w:spacing w:before="120"/>
    </w:pPr>
    <w:rPr>
      <w:rFonts w:ascii="Arial" w:hAnsi="Arial"/>
      <w:b/>
      <w:bCs/>
    </w:rPr>
  </w:style>
  <w:style w:type="paragraph" w:styleId="9">
    <w:name w:val="annotation text"/>
    <w:basedOn w:val="1"/>
    <w:link w:val="45"/>
    <w:semiHidden/>
    <w:qFormat/>
    <w:uiPriority w:val="0"/>
    <w:pPr>
      <w:jc w:val="left"/>
    </w:pPr>
    <w:rPr>
      <w:kern w:val="0"/>
      <w:szCs w:val="20"/>
    </w:rPr>
  </w:style>
  <w:style w:type="paragraph" w:styleId="10">
    <w:name w:val="Body Text"/>
    <w:basedOn w:val="1"/>
    <w:next w:val="1"/>
    <w:link w:val="46"/>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47"/>
    <w:qFormat/>
    <w:uiPriority w:val="0"/>
    <w:pPr>
      <w:spacing w:after="120"/>
      <w:ind w:left="420" w:leftChars="200"/>
    </w:pPr>
    <w:rPr>
      <w:kern w:val="0"/>
      <w:szCs w:val="20"/>
    </w:rPr>
  </w:style>
  <w:style w:type="paragraph" w:customStyle="1" w:styleId="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Plain Text"/>
    <w:basedOn w:val="1"/>
    <w:qFormat/>
    <w:locked/>
    <w:uiPriority w:val="0"/>
    <w:rPr>
      <w:rFonts w:ascii="宋体" w:hAnsi="Courier New" w:cs="Courier New"/>
      <w:szCs w:val="21"/>
    </w:rPr>
  </w:style>
  <w:style w:type="paragraph" w:styleId="14">
    <w:name w:val="Date"/>
    <w:basedOn w:val="1"/>
    <w:next w:val="1"/>
    <w:link w:val="48"/>
    <w:qFormat/>
    <w:uiPriority w:val="0"/>
    <w:pPr>
      <w:ind w:left="100" w:leftChars="2500"/>
    </w:pPr>
    <w:rPr>
      <w:kern w:val="0"/>
      <w:szCs w:val="20"/>
    </w:rPr>
  </w:style>
  <w:style w:type="paragraph" w:styleId="15">
    <w:name w:val="Body Text Indent 2"/>
    <w:basedOn w:val="1"/>
    <w:qFormat/>
    <w:locked/>
    <w:uiPriority w:val="0"/>
    <w:pPr>
      <w:spacing w:line="380" w:lineRule="exact"/>
      <w:ind w:firstLine="560" w:firstLineChars="200"/>
    </w:pPr>
    <w:rPr>
      <w:sz w:val="28"/>
    </w:rPr>
  </w:style>
  <w:style w:type="paragraph" w:styleId="16">
    <w:name w:val="Balloon Text"/>
    <w:basedOn w:val="1"/>
    <w:link w:val="49"/>
    <w:semiHidden/>
    <w:qFormat/>
    <w:uiPriority w:val="0"/>
    <w:rPr>
      <w:kern w:val="0"/>
      <w:sz w:val="18"/>
      <w:szCs w:val="20"/>
    </w:rPr>
  </w:style>
  <w:style w:type="paragraph" w:styleId="17">
    <w:name w:val="footer"/>
    <w:basedOn w:val="1"/>
    <w:link w:val="50"/>
    <w:qFormat/>
    <w:uiPriority w:val="99"/>
    <w:pPr>
      <w:tabs>
        <w:tab w:val="center" w:pos="4153"/>
        <w:tab w:val="right" w:pos="8306"/>
      </w:tabs>
      <w:snapToGrid w:val="0"/>
      <w:jc w:val="left"/>
    </w:pPr>
    <w:rPr>
      <w:kern w:val="0"/>
      <w:sz w:val="18"/>
      <w:szCs w:val="20"/>
    </w:rPr>
  </w:style>
  <w:style w:type="paragraph" w:styleId="18">
    <w:name w:val="header"/>
    <w:basedOn w:val="1"/>
    <w:next w:val="1"/>
    <w:link w:val="51"/>
    <w:qFormat/>
    <w:uiPriority w:val="99"/>
    <w:pPr>
      <w:pBdr>
        <w:bottom w:val="single" w:color="auto" w:sz="6" w:space="1"/>
      </w:pBdr>
      <w:tabs>
        <w:tab w:val="center" w:pos="4153"/>
        <w:tab w:val="right" w:pos="8306"/>
      </w:tabs>
      <w:snapToGrid w:val="0"/>
      <w:jc w:val="center"/>
    </w:pPr>
    <w:rPr>
      <w:kern w:val="0"/>
      <w:sz w:val="18"/>
      <w:szCs w:val="20"/>
    </w:rPr>
  </w:style>
  <w:style w:type="paragraph" w:styleId="19">
    <w:name w:val="toc 2"/>
    <w:basedOn w:val="1"/>
    <w:next w:val="1"/>
    <w:qFormat/>
    <w:locked/>
    <w:uiPriority w:val="0"/>
    <w:pPr>
      <w:ind w:left="420" w:leftChars="200"/>
    </w:pPr>
  </w:style>
  <w:style w:type="paragraph" w:styleId="20">
    <w:name w:val="Normal (Web)"/>
    <w:basedOn w:val="1"/>
    <w:link w:val="52"/>
    <w:qFormat/>
    <w:uiPriority w:val="0"/>
    <w:pPr>
      <w:widowControl/>
      <w:spacing w:before="100" w:beforeAutospacing="1" w:after="100" w:afterAutospacing="1"/>
      <w:jc w:val="left"/>
    </w:pPr>
    <w:rPr>
      <w:rFonts w:ascii="宋体" w:hAnsi="宋体"/>
      <w:kern w:val="0"/>
      <w:szCs w:val="20"/>
    </w:rPr>
  </w:style>
  <w:style w:type="paragraph" w:styleId="21">
    <w:name w:val="Title"/>
    <w:basedOn w:val="1"/>
    <w:qFormat/>
    <w:locked/>
    <w:uiPriority w:val="0"/>
    <w:rPr>
      <w:lang w:val="zh-CN"/>
    </w:rPr>
  </w:style>
  <w:style w:type="paragraph" w:styleId="22">
    <w:name w:val="annotation subject"/>
    <w:basedOn w:val="9"/>
    <w:next w:val="9"/>
    <w:link w:val="53"/>
    <w:semiHidden/>
    <w:qFormat/>
    <w:uiPriority w:val="0"/>
    <w:rPr>
      <w:b/>
      <w:kern w:val="2"/>
    </w:rPr>
  </w:style>
  <w:style w:type="paragraph" w:styleId="23">
    <w:name w:val="Body Text First Indent"/>
    <w:basedOn w:val="10"/>
    <w:next w:val="1"/>
    <w:qFormat/>
    <w:locked/>
    <w:uiPriority w:val="0"/>
    <w:pPr>
      <w:ind w:firstLine="420" w:firstLineChars="100"/>
    </w:pPr>
    <w:rPr>
      <w:sz w:val="21"/>
    </w:rPr>
  </w:style>
  <w:style w:type="paragraph" w:styleId="24">
    <w:name w:val="Body Text First Indent 2"/>
    <w:basedOn w:val="11"/>
    <w:next w:val="1"/>
    <w:qFormat/>
    <w:locked/>
    <w:uiPriority w:val="0"/>
    <w:pPr>
      <w:spacing w:line="300" w:lineRule="auto"/>
      <w:ind w:firstLine="420"/>
    </w:pPr>
    <w:rPr>
      <w:rFonts w:ascii="Arial Narrow" w:hAnsi="Arial Narrow" w:eastAsia="仿宋_GB2312"/>
      <w:kern w:val="2"/>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0"/>
    <w:rPr>
      <w:b/>
    </w:rPr>
  </w:style>
  <w:style w:type="character" w:styleId="29">
    <w:name w:val="page number"/>
    <w:qFormat/>
    <w:locked/>
    <w:uiPriority w:val="0"/>
  </w:style>
  <w:style w:type="character" w:styleId="30">
    <w:name w:val="Emphasis"/>
    <w:basedOn w:val="27"/>
    <w:qFormat/>
    <w:locked/>
    <w:uiPriority w:val="0"/>
    <w:rPr>
      <w:i/>
    </w:rPr>
  </w:style>
  <w:style w:type="character" w:styleId="31">
    <w:name w:val="Hyperlink"/>
    <w:qFormat/>
    <w:locked/>
    <w:uiPriority w:val="0"/>
    <w:rPr>
      <w:color w:val="0000FF"/>
      <w:u w:val="single"/>
    </w:rPr>
  </w:style>
  <w:style w:type="character" w:styleId="32">
    <w:name w:val="annotation reference"/>
    <w:semiHidden/>
    <w:qFormat/>
    <w:uiPriority w:val="0"/>
    <w:rPr>
      <w:sz w:val="21"/>
    </w:rPr>
  </w:style>
  <w:style w:type="paragraph" w:customStyle="1" w:styleId="33">
    <w:name w:val="样式 样式 样式 四号 左侧:  1.53 厘米 + 首行缩进:  2 字符 + 居中 左侧:  2 字符 首行缩进:  2..."/>
    <w:basedOn w:val="34"/>
    <w:qFormat/>
    <w:uiPriority w:val="0"/>
    <w:pPr>
      <w:jc w:val="center"/>
    </w:pPr>
  </w:style>
  <w:style w:type="paragraph" w:customStyle="1" w:styleId="34">
    <w:name w:val="样式 样式 四号 左侧:  1.53 厘米 + 首行缩进:  2 字符"/>
    <w:basedOn w:val="35"/>
    <w:qFormat/>
    <w:uiPriority w:val="0"/>
    <w:pPr>
      <w:ind w:left="200" w:leftChars="200"/>
    </w:pPr>
    <w:rPr>
      <w:szCs w:val="20"/>
    </w:rPr>
  </w:style>
  <w:style w:type="paragraph" w:customStyle="1" w:styleId="35">
    <w:name w:val="样式 四号 左侧:  1.53 厘米"/>
    <w:basedOn w:val="1"/>
    <w:qFormat/>
    <w:uiPriority w:val="0"/>
    <w:pPr>
      <w:adjustRightInd w:val="0"/>
    </w:pPr>
    <w:rPr>
      <w:w w:val="90"/>
      <w:sz w:val="28"/>
      <w:szCs w:val="28"/>
    </w:rPr>
  </w:style>
  <w:style w:type="paragraph" w:customStyle="1" w:styleId="36">
    <w:name w:val="Default"/>
    <w:basedOn w:val="37"/>
    <w:next w:val="6"/>
    <w:qFormat/>
    <w:uiPriority w:val="0"/>
    <w:pPr>
      <w:widowControl w:val="0"/>
      <w:tabs>
        <w:tab w:val="right" w:pos="0"/>
      </w:tabs>
      <w:autoSpaceDE w:val="0"/>
      <w:autoSpaceDN w:val="0"/>
    </w:pPr>
    <w:rPr>
      <w:rFonts w:ascii="宋体" w:hAnsi="Calibri" w:eastAsia="Calibri" w:cs="宋体"/>
      <w:color w:val="000000"/>
      <w:sz w:val="24"/>
      <w:szCs w:val="24"/>
      <w:lang w:val="en-US" w:eastAsia="zh-CN" w:bidi="ar-SA"/>
    </w:rPr>
  </w:style>
  <w:style w:type="paragraph" w:customStyle="1" w:styleId="37">
    <w:name w:val="纯文本1"/>
    <w:basedOn w:val="1"/>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38">
    <w:name w:val="表格文字"/>
    <w:basedOn w:val="13"/>
    <w:next w:val="1"/>
    <w:qFormat/>
    <w:uiPriority w:val="0"/>
    <w:pPr>
      <w:textAlignment w:val="baseline"/>
    </w:pPr>
    <w:rPr>
      <w:szCs w:val="20"/>
    </w:rPr>
  </w:style>
  <w:style w:type="paragraph" w:customStyle="1" w:styleId="39">
    <w:name w:val="表头"/>
    <w:basedOn w:val="10"/>
    <w:next w:val="40"/>
    <w:qFormat/>
    <w:uiPriority w:val="9"/>
    <w:pPr>
      <w:adjustRightInd w:val="0"/>
      <w:spacing w:line="400" w:lineRule="exact"/>
      <w:jc w:val="center"/>
    </w:pPr>
    <w:rPr>
      <w:b/>
      <w:sz w:val="24"/>
      <w:szCs w:val="24"/>
    </w:rPr>
  </w:style>
  <w:style w:type="paragraph" w:customStyle="1" w:styleId="40">
    <w:name w:val="111111111"/>
    <w:basedOn w:val="1"/>
    <w:qFormat/>
    <w:uiPriority w:val="0"/>
    <w:pPr>
      <w:ind w:firstLine="560" w:firstLineChars="200"/>
    </w:pPr>
  </w:style>
  <w:style w:type="paragraph" w:customStyle="1" w:styleId="41">
    <w:name w:val="小表中格式"/>
    <w:basedOn w:val="35"/>
    <w:qFormat/>
    <w:uiPriority w:val="0"/>
    <w:pPr>
      <w:kinsoku w:val="0"/>
      <w:overflowPunct w:val="0"/>
      <w:autoSpaceDE w:val="0"/>
      <w:autoSpaceDN w:val="0"/>
      <w:spacing w:line="360" w:lineRule="exact"/>
      <w:jc w:val="left"/>
    </w:pPr>
    <w:rPr>
      <w:w w:val="100"/>
      <w:sz w:val="21"/>
      <w:szCs w:val="20"/>
    </w:rPr>
  </w:style>
  <w:style w:type="paragraph" w:customStyle="1" w:styleId="42">
    <w:name w:val="表格"/>
    <w:basedOn w:val="1"/>
    <w:next w:val="1"/>
    <w:link w:val="43"/>
    <w:qFormat/>
    <w:uiPriority w:val="0"/>
    <w:pPr>
      <w:adjustRightInd w:val="0"/>
      <w:snapToGrid w:val="0"/>
      <w:spacing w:beforeLines="10" w:afterLines="10" w:line="259" w:lineRule="auto"/>
      <w:jc w:val="center"/>
    </w:pPr>
    <w:rPr>
      <w:rFonts w:ascii="宋体"/>
      <w:kern w:val="0"/>
      <w:szCs w:val="20"/>
    </w:rPr>
  </w:style>
  <w:style w:type="character" w:customStyle="1" w:styleId="43">
    <w:name w:val="表格 Char"/>
    <w:link w:val="42"/>
    <w:qFormat/>
    <w:locked/>
    <w:uiPriority w:val="0"/>
    <w:rPr>
      <w:rFonts w:ascii="宋体"/>
      <w:sz w:val="21"/>
    </w:rPr>
  </w:style>
  <w:style w:type="paragraph" w:customStyle="1" w:styleId="44">
    <w:name w:val="表头图头"/>
    <w:basedOn w:val="1"/>
    <w:qFormat/>
    <w:uiPriority w:val="0"/>
    <w:pPr>
      <w:kinsoku w:val="0"/>
      <w:overflowPunct w:val="0"/>
      <w:autoSpaceDE w:val="0"/>
      <w:autoSpaceDN w:val="0"/>
      <w:spacing w:line="240" w:lineRule="auto"/>
      <w:ind w:firstLine="0" w:firstLineChars="0"/>
      <w:jc w:val="center"/>
    </w:pPr>
  </w:style>
  <w:style w:type="character" w:customStyle="1" w:styleId="45">
    <w:name w:val="批注文字 字符"/>
    <w:link w:val="9"/>
    <w:qFormat/>
    <w:locked/>
    <w:uiPriority w:val="0"/>
    <w:rPr>
      <w:rFonts w:ascii="Times New Roman" w:hAnsi="Times New Roman" w:eastAsia="宋体"/>
      <w:sz w:val="24"/>
    </w:rPr>
  </w:style>
  <w:style w:type="character" w:customStyle="1" w:styleId="46">
    <w:name w:val="正文文本 字符"/>
    <w:link w:val="10"/>
    <w:qFormat/>
    <w:locked/>
    <w:uiPriority w:val="0"/>
    <w:rPr>
      <w:sz w:val="18"/>
    </w:rPr>
  </w:style>
  <w:style w:type="character" w:customStyle="1" w:styleId="47">
    <w:name w:val="正文文本缩进 字符"/>
    <w:link w:val="11"/>
    <w:semiHidden/>
    <w:qFormat/>
    <w:locked/>
    <w:uiPriority w:val="0"/>
    <w:rPr>
      <w:rFonts w:ascii="Times New Roman" w:hAnsi="Times New Roman" w:eastAsia="宋体"/>
      <w:sz w:val="24"/>
    </w:rPr>
  </w:style>
  <w:style w:type="character" w:customStyle="1" w:styleId="48">
    <w:name w:val="日期 字符1"/>
    <w:link w:val="14"/>
    <w:qFormat/>
    <w:locked/>
    <w:uiPriority w:val="0"/>
    <w:rPr>
      <w:rFonts w:ascii="Times New Roman" w:hAnsi="Times New Roman" w:eastAsia="宋体"/>
      <w:sz w:val="24"/>
    </w:rPr>
  </w:style>
  <w:style w:type="character" w:customStyle="1" w:styleId="49">
    <w:name w:val="批注框文本 字符"/>
    <w:link w:val="16"/>
    <w:semiHidden/>
    <w:qFormat/>
    <w:locked/>
    <w:uiPriority w:val="0"/>
    <w:rPr>
      <w:rFonts w:ascii="Times New Roman" w:hAnsi="Times New Roman" w:eastAsia="宋体"/>
      <w:sz w:val="18"/>
    </w:rPr>
  </w:style>
  <w:style w:type="character" w:customStyle="1" w:styleId="50">
    <w:name w:val="页脚 字符1"/>
    <w:link w:val="17"/>
    <w:qFormat/>
    <w:locked/>
    <w:uiPriority w:val="99"/>
    <w:rPr>
      <w:sz w:val="18"/>
    </w:rPr>
  </w:style>
  <w:style w:type="character" w:customStyle="1" w:styleId="51">
    <w:name w:val="页眉 字符"/>
    <w:link w:val="18"/>
    <w:qFormat/>
    <w:locked/>
    <w:uiPriority w:val="99"/>
    <w:rPr>
      <w:sz w:val="18"/>
    </w:rPr>
  </w:style>
  <w:style w:type="character" w:customStyle="1" w:styleId="52">
    <w:name w:val="普通(网站) 字符"/>
    <w:link w:val="20"/>
    <w:qFormat/>
    <w:locked/>
    <w:uiPriority w:val="0"/>
    <w:rPr>
      <w:rFonts w:ascii="宋体" w:hAnsi="宋体" w:eastAsia="宋体"/>
      <w:sz w:val="24"/>
    </w:rPr>
  </w:style>
  <w:style w:type="character" w:customStyle="1" w:styleId="53">
    <w:name w:val="批注主题 字符"/>
    <w:link w:val="22"/>
    <w:semiHidden/>
    <w:qFormat/>
    <w:locked/>
    <w:uiPriority w:val="0"/>
    <w:rPr>
      <w:rFonts w:ascii="Times New Roman" w:hAnsi="Times New Roman" w:eastAsia="宋体"/>
      <w:b/>
      <w:kern w:val="2"/>
      <w:sz w:val="24"/>
    </w:rPr>
  </w:style>
  <w:style w:type="paragraph" w:customStyle="1" w:styleId="54">
    <w:name w:val="Normal Indent1"/>
    <w:basedOn w:val="1"/>
    <w:unhideWhenUsed/>
    <w:qFormat/>
    <w:locked/>
    <w:uiPriority w:val="99"/>
    <w:pPr>
      <w:ind w:firstLine="420"/>
    </w:pPr>
    <w:rPr>
      <w:rFonts w:hint="eastAsia"/>
      <w:sz w:val="21"/>
    </w:rPr>
  </w:style>
  <w:style w:type="character" w:customStyle="1" w:styleId="55">
    <w:name w:val="正文文本 字符1"/>
    <w:semiHidden/>
    <w:qFormat/>
    <w:uiPriority w:val="0"/>
    <w:rPr>
      <w:rFonts w:ascii="Times New Roman" w:hAnsi="Times New Roman" w:eastAsia="宋体"/>
      <w:sz w:val="24"/>
    </w:rPr>
  </w:style>
  <w:style w:type="character" w:customStyle="1" w:styleId="56">
    <w:name w:val="font01"/>
    <w:qFormat/>
    <w:uiPriority w:val="0"/>
    <w:rPr>
      <w:rFonts w:hint="eastAsia" w:ascii="宋体" w:hAnsi="宋体" w:eastAsia="宋体" w:cs="宋体"/>
      <w:color w:val="000000"/>
      <w:sz w:val="20"/>
      <w:szCs w:val="20"/>
      <w:u w:val="none"/>
    </w:rPr>
  </w:style>
  <w:style w:type="character" w:customStyle="1" w:styleId="57">
    <w:name w:val="批注文字 字符1"/>
    <w:semiHidden/>
    <w:qFormat/>
    <w:uiPriority w:val="0"/>
    <w:rPr>
      <w:rFonts w:ascii="Times New Roman" w:hAnsi="Times New Roman" w:eastAsia="宋体"/>
      <w:sz w:val="24"/>
    </w:rPr>
  </w:style>
  <w:style w:type="character" w:customStyle="1" w:styleId="58">
    <w:name w:val="font11"/>
    <w:qFormat/>
    <w:uiPriority w:val="0"/>
    <w:rPr>
      <w:rFonts w:hint="eastAsia" w:ascii="宋体" w:hAnsi="宋体" w:eastAsia="宋体" w:cs="宋体"/>
      <w:color w:val="000000"/>
      <w:sz w:val="20"/>
      <w:szCs w:val="20"/>
      <w:u w:val="none"/>
    </w:rPr>
  </w:style>
  <w:style w:type="character" w:customStyle="1" w:styleId="59">
    <w:name w:val="日期 字符"/>
    <w:semiHidden/>
    <w:qFormat/>
    <w:uiPriority w:val="0"/>
    <w:rPr>
      <w:rFonts w:ascii="Times New Roman" w:hAnsi="Times New Roman" w:eastAsia="宋体"/>
      <w:sz w:val="24"/>
    </w:rPr>
  </w:style>
  <w:style w:type="character" w:customStyle="1" w:styleId="60">
    <w:name w:val="页脚 字符"/>
    <w:qFormat/>
    <w:uiPriority w:val="99"/>
  </w:style>
  <w:style w:type="character" w:customStyle="1" w:styleId="61">
    <w:name w:val="font31"/>
    <w:qFormat/>
    <w:uiPriority w:val="0"/>
    <w:rPr>
      <w:rFonts w:hint="eastAsia" w:ascii="宋体" w:hAnsi="宋体" w:eastAsia="宋体" w:cs="宋体"/>
      <w:color w:val="000000"/>
      <w:sz w:val="21"/>
      <w:szCs w:val="21"/>
      <w:u w:val="none"/>
      <w:vertAlign w:val="subscript"/>
    </w:rPr>
  </w:style>
  <w:style w:type="paragraph" w:customStyle="1" w:styleId="62">
    <w:name w:val="小四  缩进2 行距1.5"/>
    <w:basedOn w:val="1"/>
    <w:qFormat/>
    <w:uiPriority w:val="0"/>
    <w:pPr>
      <w:spacing w:before="30" w:beforeLines="30"/>
      <w:ind w:left="105" w:leftChars="50" w:right="105" w:rightChars="50" w:firstLine="480"/>
    </w:pPr>
  </w:style>
  <w:style w:type="paragraph" w:customStyle="1" w:styleId="63">
    <w:name w:val="Table Paragraph"/>
    <w:basedOn w:val="1"/>
    <w:next w:val="36"/>
    <w:qFormat/>
    <w:uiPriority w:val="0"/>
    <w:rPr>
      <w:rFonts w:ascii="Calibri" w:hAnsi="Calibri"/>
      <w:kern w:val="0"/>
      <w:sz w:val="22"/>
      <w:szCs w:val="22"/>
      <w:lang w:eastAsia="en-US"/>
    </w:rPr>
  </w:style>
  <w:style w:type="paragraph" w:customStyle="1" w:styleId="64">
    <w:name w:val="正文11"/>
    <w:basedOn w:val="1"/>
    <w:qFormat/>
    <w:uiPriority w:val="0"/>
    <w:pPr>
      <w:adjustRightInd w:val="0"/>
      <w:spacing w:before="120" w:after="120"/>
      <w:ind w:firstLine="539"/>
    </w:pPr>
    <w:rPr>
      <w:rFonts w:hint="eastAsia" w:ascii="宋体" w:hAnsi="宋体"/>
      <w:kern w:val="0"/>
      <w:sz w:val="28"/>
    </w:rPr>
  </w:style>
  <w:style w:type="paragraph" w:styleId="65">
    <w:name w:val="No Spacing"/>
    <w:qFormat/>
    <w:uiPriority w:val="1"/>
    <w:rPr>
      <w:rFonts w:ascii="Calibri" w:hAnsi="Calibri" w:eastAsia="宋体" w:cs="Times New Roman"/>
      <w:sz w:val="22"/>
      <w:szCs w:val="22"/>
      <w:lang w:val="en-US" w:eastAsia="zh-CN" w:bidi="ar-SA"/>
    </w:rPr>
  </w:style>
  <w:style w:type="paragraph" w:customStyle="1" w:styleId="66">
    <w:name w:val="正文四号"/>
    <w:basedOn w:val="1"/>
    <w:qFormat/>
    <w:uiPriority w:val="0"/>
    <w:pPr>
      <w:ind w:firstLine="200" w:firstLineChars="200"/>
    </w:pPr>
    <w:rPr>
      <w:rFonts w:cs="宋体"/>
      <w:sz w:val="28"/>
      <w:szCs w:val="20"/>
    </w:rPr>
  </w:style>
  <w:style w:type="paragraph" w:customStyle="1" w:styleId="67">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正文111111111"/>
    <w:basedOn w:val="1"/>
    <w:qFormat/>
    <w:uiPriority w:val="0"/>
    <w:pPr>
      <w:ind w:firstLine="480" w:firstLineChars="200"/>
    </w:pPr>
    <w:rPr>
      <w:szCs w:val="20"/>
    </w:rPr>
  </w:style>
  <w:style w:type="paragraph" w:customStyle="1" w:styleId="70">
    <w:name w:val="8"/>
    <w:basedOn w:val="1"/>
    <w:next w:val="11"/>
    <w:qFormat/>
    <w:uiPriority w:val="0"/>
    <w:pPr>
      <w:ind w:firstLine="540"/>
    </w:pPr>
    <w:rPr>
      <w:rFonts w:ascii="宋体"/>
      <w:sz w:val="28"/>
      <w:szCs w:val="20"/>
    </w:rPr>
  </w:style>
  <w:style w:type="paragraph" w:customStyle="1" w:styleId="71">
    <w:name w:val="正文11111"/>
    <w:basedOn w:val="1"/>
    <w:qFormat/>
    <w:uiPriority w:val="0"/>
    <w:pPr>
      <w:ind w:firstLine="200" w:firstLineChars="200"/>
    </w:pPr>
    <w:rPr>
      <w:kern w:val="0"/>
    </w:rPr>
  </w:style>
  <w:style w:type="paragraph" w:customStyle="1" w:styleId="72">
    <w:name w:val="表字"/>
    <w:basedOn w:val="1"/>
    <w:qFormat/>
    <w:uiPriority w:val="0"/>
    <w:pPr>
      <w:jc w:val="center"/>
    </w:pPr>
    <w:rPr>
      <w:rFonts w:cs="宋体"/>
      <w:szCs w:val="21"/>
    </w:rPr>
  </w:style>
  <w:style w:type="paragraph" w:customStyle="1" w:styleId="73">
    <w:name w:val="表体"/>
    <w:qFormat/>
    <w:uiPriority w:val="0"/>
    <w:pPr>
      <w:spacing w:line="240" w:lineRule="atLeast"/>
      <w:jc w:val="center"/>
    </w:pPr>
    <w:rPr>
      <w:rFonts w:ascii="Times New Roman" w:hAnsi="Times New Roman" w:eastAsia="宋体" w:cs="Times New Roman"/>
      <w:color w:val="000080"/>
      <w:kern w:val="2"/>
      <w:sz w:val="21"/>
      <w:szCs w:val="24"/>
      <w:lang w:val="en-US" w:eastAsia="zh-CN" w:bidi="ar-SA"/>
    </w:rPr>
  </w:style>
  <w:style w:type="paragraph" w:customStyle="1" w:styleId="74">
    <w:name w:val="p0"/>
    <w:basedOn w:val="1"/>
    <w:qFormat/>
    <w:uiPriority w:val="0"/>
    <w:pPr>
      <w:widowControl/>
    </w:pPr>
    <w:rPr>
      <w:rFonts w:ascii="Calibri" w:hAnsi="Calibri" w:cs="宋体"/>
      <w:kern w:val="0"/>
      <w:szCs w:val="21"/>
    </w:rPr>
  </w:style>
  <w:style w:type="paragraph" w:customStyle="1" w:styleId="75">
    <w:name w:val="表内字体111"/>
    <w:basedOn w:val="1"/>
    <w:qFormat/>
    <w:uiPriority w:val="0"/>
    <w:pPr>
      <w:adjustRightInd w:val="0"/>
      <w:snapToGrid w:val="0"/>
      <w:spacing w:line="240" w:lineRule="auto"/>
      <w:jc w:val="center"/>
    </w:pPr>
    <w:rPr>
      <w:snapToGrid w:val="0"/>
      <w:kern w:val="0"/>
      <w:sz w:val="21"/>
    </w:rPr>
  </w:style>
  <w:style w:type="table" w:customStyle="1" w:styleId="76">
    <w:name w:val="网格型刘2"/>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
    <w:name w:val="无间隔1"/>
    <w:basedOn w:val="1"/>
    <w:next w:val="1"/>
    <w:qFormat/>
    <w:uiPriority w:val="1"/>
    <w:pPr>
      <w:spacing w:line="320" w:lineRule="atLeast"/>
      <w:jc w:val="center"/>
    </w:pPr>
    <w:rPr>
      <w:kern w:val="0"/>
      <w:sz w:val="21"/>
      <w:szCs w:val="20"/>
    </w:rPr>
  </w:style>
  <w:style w:type="paragraph" w:customStyle="1" w:styleId="78">
    <w:name w:val="样式 表头 + 段前: 0.5 行"/>
    <w:basedOn w:val="39"/>
    <w:qFormat/>
    <w:uiPriority w:val="0"/>
    <w:pPr>
      <w:spacing w:before="93" w:beforeLines="30" w:line="360" w:lineRule="exact"/>
    </w:pPr>
    <w:rPr>
      <w:rFonts w:cs="宋体"/>
      <w:color w:val="000000"/>
      <w:szCs w:val="20"/>
    </w:rPr>
  </w:style>
  <w:style w:type="paragraph" w:customStyle="1" w:styleId="79">
    <w:name w:val="表"/>
    <w:basedOn w:val="10"/>
    <w:qFormat/>
    <w:uiPriority w:val="0"/>
    <w:pPr>
      <w:adjustRightInd w:val="0"/>
      <w:jc w:val="center"/>
    </w:pPr>
    <w:rPr>
      <w:bCs/>
      <w:sz w:val="22"/>
      <w:szCs w:val="22"/>
    </w:rPr>
  </w:style>
  <w:style w:type="character" w:customStyle="1" w:styleId="80">
    <w:name w:val="font21"/>
    <w:qFormat/>
    <w:uiPriority w:val="0"/>
    <w:rPr>
      <w:rFonts w:hint="default" w:ascii="Times New Roman" w:hAnsi="Times New Roman" w:cs="Times New Roman"/>
      <w:color w:val="000000"/>
      <w:sz w:val="21"/>
      <w:szCs w:val="21"/>
      <w:u w:val="none"/>
    </w:rPr>
  </w:style>
  <w:style w:type="paragraph" w:customStyle="1" w:styleId="81">
    <w:name w:val="样式 正文缩进正文缩进2正文缩进 Char Char正文缩进 Char Char Char Char正文缩进 Char ..."/>
    <w:basedOn w:val="7"/>
    <w:qFormat/>
    <w:uiPriority w:val="0"/>
    <w:pPr>
      <w:ind w:firstLine="200"/>
    </w:pPr>
    <w:rPr>
      <w:rFonts w:cs="宋体"/>
      <w:sz w:val="24"/>
    </w:rPr>
  </w:style>
  <w:style w:type="paragraph" w:customStyle="1" w:styleId="82">
    <w:name w:val="正文 首行缩进:  2 字符"/>
    <w:basedOn w:val="1"/>
    <w:qFormat/>
    <w:uiPriority w:val="0"/>
    <w:pPr>
      <w:jc w:val="center"/>
    </w:pPr>
    <w:rPr>
      <w:bCs/>
    </w:rPr>
  </w:style>
  <w:style w:type="character" w:customStyle="1" w:styleId="83">
    <w:name w:val="font41"/>
    <w:qFormat/>
    <w:uiPriority w:val="0"/>
    <w:rPr>
      <w:rFonts w:hint="eastAsia" w:ascii="宋体" w:hAnsi="宋体" w:eastAsia="宋体" w:cs="宋体"/>
      <w:color w:val="000000"/>
      <w:sz w:val="21"/>
      <w:szCs w:val="21"/>
      <w:u w:val="none"/>
    </w:rPr>
  </w:style>
  <w:style w:type="paragraph" w:styleId="84">
    <w:name w:val="List Paragraph"/>
    <w:basedOn w:val="1"/>
    <w:qFormat/>
    <w:uiPriority w:val="34"/>
    <w:pPr>
      <w:ind w:firstLine="420" w:firstLineChars="200"/>
    </w:pPr>
    <w:rPr>
      <w:szCs w:val="22"/>
    </w:rPr>
  </w:style>
  <w:style w:type="paragraph" w:customStyle="1" w:styleId="85">
    <w:name w:val="陶瓷正文"/>
    <w:basedOn w:val="1"/>
    <w:qFormat/>
    <w:uiPriority w:val="0"/>
    <w:pPr>
      <w:ind w:firstLine="200" w:firstLineChars="200"/>
    </w:pPr>
  </w:style>
  <w:style w:type="paragraph" w:customStyle="1" w:styleId="86">
    <w:name w:val="正文文本缩进 22"/>
    <w:basedOn w:val="1"/>
    <w:qFormat/>
    <w:uiPriority w:val="0"/>
    <w:pPr>
      <w:spacing w:after="120" w:line="480" w:lineRule="auto"/>
      <w:ind w:left="200" w:leftChars="200"/>
    </w:pPr>
  </w:style>
  <w:style w:type="character" w:customStyle="1" w:styleId="87">
    <w:name w:val="font51"/>
    <w:qFormat/>
    <w:uiPriority w:val="0"/>
    <w:rPr>
      <w:rFonts w:hint="eastAsia" w:ascii="宋体" w:hAnsi="宋体" w:eastAsia="宋体" w:cs="宋体"/>
      <w:color w:val="000000"/>
      <w:sz w:val="21"/>
      <w:szCs w:val="21"/>
      <w:u w:val="none"/>
    </w:rPr>
  </w:style>
  <w:style w:type="character" w:customStyle="1" w:styleId="88">
    <w:name w:val="font61"/>
    <w:qFormat/>
    <w:uiPriority w:val="0"/>
    <w:rPr>
      <w:rFonts w:hint="default" w:ascii="Times New Roman" w:hAnsi="Times New Roman" w:cs="Times New Roman"/>
      <w:color w:val="000000"/>
      <w:sz w:val="21"/>
      <w:szCs w:val="21"/>
      <w:u w:val="none"/>
      <w:vertAlign w:val="superscript"/>
    </w:rPr>
  </w:style>
  <w:style w:type="character" w:customStyle="1" w:styleId="89">
    <w:name w:val="font71"/>
    <w:qFormat/>
    <w:uiPriority w:val="0"/>
    <w:rPr>
      <w:rFonts w:hint="default" w:ascii="Times New Roman" w:hAnsi="Times New Roman" w:cs="Times New Roman"/>
      <w:color w:val="000000"/>
      <w:sz w:val="21"/>
      <w:szCs w:val="21"/>
      <w:u w:val="none"/>
      <w:vertAlign w:val="superscript"/>
    </w:rPr>
  </w:style>
  <w:style w:type="paragraph" w:customStyle="1" w:styleId="90">
    <w:name w:val="样式 首行缩进:  2 字符"/>
    <w:basedOn w:val="1"/>
    <w:qFormat/>
    <w:uiPriority w:val="0"/>
    <w:pPr>
      <w:ind w:firstLine="200" w:firstLineChars="200"/>
    </w:pPr>
    <w:rPr>
      <w:rFonts w:cs="宋体"/>
      <w:b/>
      <w:bCs/>
    </w:rPr>
  </w:style>
  <w:style w:type="paragraph" w:customStyle="1" w:styleId="91">
    <w:name w:val="1-正文"/>
    <w:basedOn w:val="1"/>
    <w:qFormat/>
    <w:uiPriority w:val="0"/>
    <w:pPr>
      <w:spacing w:after="60"/>
    </w:pPr>
    <w:rPr>
      <w:szCs w:val="20"/>
      <w:lang w:val="zh-CN"/>
    </w:rPr>
  </w:style>
  <w:style w:type="paragraph" w:customStyle="1" w:styleId="92">
    <w:name w:val="表中文字"/>
    <w:basedOn w:val="1"/>
    <w:qFormat/>
    <w:uiPriority w:val="0"/>
    <w:pPr>
      <w:spacing w:line="240" w:lineRule="auto"/>
      <w:jc w:val="center"/>
    </w:pPr>
    <w:rPr>
      <w:sz w:val="21"/>
      <w:szCs w:val="21"/>
    </w:rPr>
  </w:style>
  <w:style w:type="table" w:customStyle="1" w:styleId="93">
    <w:name w:val="Table Normal"/>
    <w:unhideWhenUsed/>
    <w:qFormat/>
    <w:uiPriority w:val="0"/>
    <w:tblPr>
      <w:tblCellMar>
        <w:top w:w="0" w:type="dxa"/>
        <w:left w:w="0" w:type="dxa"/>
        <w:bottom w:w="0" w:type="dxa"/>
        <w:right w:w="0" w:type="dxa"/>
      </w:tblCellMar>
    </w:tblPr>
  </w:style>
  <w:style w:type="paragraph" w:customStyle="1" w:styleId="94">
    <w:name w:val="标准正文"/>
    <w:basedOn w:val="1"/>
    <w:qFormat/>
    <w:uiPriority w:val="0"/>
    <w:pPr>
      <w:spacing w:line="440" w:lineRule="exact"/>
      <w:ind w:firstLine="200" w:firstLineChars="200"/>
    </w:pPr>
  </w:style>
  <w:style w:type="paragraph" w:customStyle="1" w:styleId="95">
    <w:name w:val="图表标题"/>
    <w:basedOn w:val="1"/>
    <w:next w:val="1"/>
    <w:qFormat/>
    <w:uiPriority w:val="0"/>
    <w:pPr>
      <w:spacing w:line="276" w:lineRule="auto"/>
      <w:jc w:val="center"/>
    </w:pPr>
    <w:rPr>
      <w:b/>
    </w:rPr>
  </w:style>
  <w:style w:type="paragraph" w:customStyle="1" w:styleId="96">
    <w:name w:val="tit"/>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97">
    <w:name w:val="大表中文字"/>
    <w:basedOn w:val="1"/>
    <w:qFormat/>
    <w:uiPriority w:val="0"/>
    <w:pPr>
      <w:adjustRightInd w:val="0"/>
      <w:snapToGrid w:val="0"/>
      <w:spacing w:line="400" w:lineRule="exact"/>
      <w:ind w:firstLine="0" w:firstLineChars="0"/>
      <w:jc w:val="center"/>
    </w:pPr>
    <w:rPr>
      <w:szCs w:val="24"/>
    </w:rPr>
  </w:style>
  <w:style w:type="paragraph" w:customStyle="1" w:styleId="98">
    <w:name w:val="内表表文"/>
    <w:basedOn w:val="1"/>
    <w:qFormat/>
    <w:uiPriority w:val="0"/>
    <w:pPr>
      <w:spacing w:line="280" w:lineRule="exact"/>
      <w:jc w:val="center"/>
    </w:pPr>
    <w:rPr>
      <w:kern w:val="2"/>
      <w:sz w:val="21"/>
      <w:szCs w:val="21"/>
    </w:rPr>
  </w:style>
  <w:style w:type="paragraph" w:customStyle="1" w:styleId="99">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0">
    <w:name w:val="表内文字"/>
    <w:basedOn w:val="1"/>
    <w:qFormat/>
    <w:uiPriority w:val="0"/>
    <w:pPr>
      <w:snapToGrid w:val="0"/>
      <w:jc w:val="center"/>
    </w:pPr>
    <w:rPr>
      <w:rFonts w:cs="宋体"/>
      <w:lang w:val="zh-CN"/>
    </w:rPr>
  </w:style>
  <w:style w:type="paragraph" w:customStyle="1" w:styleId="101">
    <w:name w:val="表格1"/>
    <w:basedOn w:val="1"/>
    <w:qFormat/>
    <w:uiPriority w:val="0"/>
    <w:pPr>
      <w:jc w:val="center"/>
    </w:pPr>
    <w:rPr>
      <w:kern w:val="0"/>
      <w:sz w:val="22"/>
      <w:szCs w:val="22"/>
    </w:rPr>
  </w:style>
  <w:style w:type="paragraph" w:customStyle="1" w:styleId="102">
    <w:name w:val="【正文】"/>
    <w:basedOn w:val="1"/>
    <w:qFormat/>
    <w:uiPriority w:val="0"/>
    <w:pPr>
      <w:spacing w:line="480" w:lineRule="exact"/>
      <w:ind w:firstLine="200" w:firstLineChars="200"/>
    </w:pPr>
    <w:rPr>
      <w:kern w:val="0"/>
      <w:sz w:val="24"/>
      <w:szCs w:val="20"/>
      <w:lang w:eastAsia="en-US"/>
    </w:rPr>
  </w:style>
  <w:style w:type="paragraph" w:customStyle="1" w:styleId="103">
    <w:name w:val="表格文本-"/>
    <w:basedOn w:val="1"/>
    <w:qFormat/>
    <w:uiPriority w:val="0"/>
    <w:pPr>
      <w:jc w:val="center"/>
    </w:pPr>
    <w:rPr>
      <w:szCs w:val="21"/>
    </w:rPr>
  </w:style>
  <w:style w:type="paragraph" w:customStyle="1" w:styleId="104">
    <w:name w:val="宋体 1.5行距"/>
    <w:basedOn w:val="1"/>
    <w:qFormat/>
    <w:uiPriority w:val="0"/>
    <w:pPr>
      <w:ind w:firstLine="720" w:firstLineChars="200"/>
    </w:pPr>
    <w:rPr>
      <w:color w:val="000000"/>
      <w:kern w:val="0"/>
      <w:szCs w:val="36"/>
    </w:rPr>
  </w:style>
  <w:style w:type="paragraph" w:customStyle="1" w:styleId="105">
    <w:name w:val="图表文字"/>
    <w:qFormat/>
    <w:uiPriority w:val="0"/>
    <w:pPr>
      <w:adjustRightInd w:val="0"/>
      <w:snapToGrid w:val="0"/>
      <w:spacing w:line="380" w:lineRule="exact"/>
      <w:jc w:val="center"/>
    </w:pPr>
    <w:rPr>
      <w:rFonts w:ascii="Times New Roman" w:hAnsi="Times New Roman" w:eastAsia="宋体" w:cs="Times New Roman"/>
      <w:sz w:val="21"/>
      <w:szCs w:val="22"/>
      <w:lang w:val="en-US" w:eastAsia="zh-CN" w:bidi="ar-SA"/>
    </w:rPr>
  </w:style>
  <w:style w:type="paragraph" w:customStyle="1" w:styleId="106">
    <w:name w:val="环评正文"/>
    <w:basedOn w:val="1"/>
    <w:qFormat/>
    <w:uiPriority w:val="0"/>
    <w:pPr>
      <w:spacing w:line="360" w:lineRule="auto"/>
      <w:ind w:firstLine="200" w:firstLineChars="200"/>
    </w:pPr>
  </w:style>
  <w:style w:type="paragraph" w:customStyle="1" w:styleId="107">
    <w:name w:val="标准公文"/>
    <w:qFormat/>
    <w:uiPriority w:val="0"/>
    <w:pPr>
      <w:widowControl w:val="0"/>
      <w:spacing w:line="460" w:lineRule="exact"/>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wmf"/><Relationship Id="rId24" Type="http://schemas.openxmlformats.org/officeDocument/2006/relationships/oleObject" Target="embeddings/oleObject2.bin"/><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extobjs>
    <extobj name="ECB019B1-382A-4266-B25C-5B523AA43C14-1">
      <extobjdata type="ECB019B1-382A-4266-B25C-5B523AA43C14" data="ewoJIkZpbGVJZCIgOiAiMjI5MjAyMzU5MTM3IiwKCSJHcm91cElkIiA6ICI0MDQ3MTA1NjMiLAoJIkltYWdlIiA6ICJpVkJPUncwS0dnb0FBQUFOU1VoRVVnQUFBdWNBQUFJQUNBWUFBQUFoUnNMeUFBQUFDWEJJV1hNQUFBc1RBQUFMRXdFQW1wd1lBQUFnQUVsRVFWUjRuT3pkZTN4Y2RaMy84ZmVaU1djeW1lYlNJYlZwcGsxQ1Urak5wcGtwaGNLNmdDRDZvK2hXWWRWRkt4ZXhYY0JWQkZ4V1FLQ29nSWlBeUxVaVVIZFIxZ3JzS25mazBvSXUxODRrYlZOTW01YVNlNU5KMnR4bWtreG16dStQWm1LdVRWcVN6Q1I1UFIrUFBqcm5lNzdubk0vSjQzdE9Qdm5POTN5UE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UHVmL0FYRUxpL015Z3QrNEFBQUFBRWxGVGtTdVFtQ0MiLAoJIlRoZW1lIiA6ICIiLAoJIlR5cGUiIDogImZsb3ciLAoJIlZlcnNpb24iIDogIiIKfQo="/>
    </extobj>
    <extobj name="ECB019B1-382A-4266-B25C-5B523AA43C14-2">
      <extobjdata type="ECB019B1-382A-4266-B25C-5B523AA43C14" data="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"/>
    </extobj>
    <extobj name="ECB019B1-382A-4266-B25C-5B523AA43C14-3">
      <extobjdata type="ECB019B1-382A-4266-B25C-5B523AA43C14" data="ewoJIkZpbGVJZCIgOiAiMjI3NDUxMzY0NTM3IiwKCSJHcm91cElkIiA6ICI0MDQ3MTA1NjMiLAoJIkltYWdlIiA6ICJpVkJPUncwS0dnb0FBQUFOU1VoRVVnQUFBaTBBQUFKNUNBWUFBQUJpOWdDVEFBQUFDWEJJV1hNQUFBc1RBQUFMRXdFQW1wd1lBQUFnQUVsRVFWUjRuT3pkZTN4alpaMC84TTlKMHBON2t6YnBMVzNUKzczcEpZZ3VLSGhoQkhVUlhNQjFWNVRMZ25oakJZWEZLNG8vVVZDUlhWbjVjZDlsL2NHQ0lDcWdnTWh5VWRuUkVYcVowdWxNcC9kMjJqUnQwN1ROcFVtVG5OOGZUZXFaVE5KMk91M010UE41djE2OHlIbk9jODU1Y3VCNStzM3puUE04Q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"/>
    </extobj>
    <extobj name="ECB019B1-382A-4266-B25C-5B523AA43C14-4">
      <extobjdata type="ECB019B1-382A-4266-B25C-5B523AA43C14" data="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"/>
    </extobj>
    <extobj name="ECB019B1-382A-4266-B25C-5B523AA43C14-5">
      <extobjdata type="ECB019B1-382A-4266-B25C-5B523AA43C14" data="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91</Pages>
  <Words>49066</Words>
  <Characters>58026</Characters>
  <Lines>307</Lines>
  <Paragraphs>86</Paragraphs>
  <TotalTime>40</TotalTime>
  <ScaleCrop>false</ScaleCrop>
  <LinksUpToDate>false</LinksUpToDate>
  <CharactersWithSpaces>58396</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尚云环境</dc:creator>
  <cp:lastModifiedBy>twll</cp:lastModifiedBy>
  <cp:lastPrinted>2023-05-26T10:57:00Z</cp:lastPrinted>
  <dcterms:modified xsi:type="dcterms:W3CDTF">2023-11-21T17:20:30Z</dcterms:modified>
  <dc:title>建设项目环境影响报告表（污染影响类）</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EF54B83F0C854E2F88E64722298528A0_13</vt:lpwstr>
  </property>
  <property fmtid="{D5CDD505-2E9C-101B-9397-08002B2CF9AE}" pid="4" name="commondata">
    <vt:lpwstr>eyJoZGlkIjoiOWU3ZTMzZTk4MWU1YWE3ODYxZmEwNTNjMjhlZjUwOGQifQ==</vt:lpwstr>
  </property>
</Properties>
</file>