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重庆市铜梁区生态环境局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关于确定并公布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环境信息强制性披露企业名单的通知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企业环境信息依法披露办法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》要求，根据《重庆市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局关于深入推进环境信息依法披露制度改革工作的通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》，现将符合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家企业纳入20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年铜梁区环境信息强制性披露企业名单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年铜梁区环境信息强制性披露企业名单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w w:val="98"/>
          <w:sz w:val="32"/>
          <w:szCs w:val="32"/>
          <w:lang w:val="en-US" w:eastAsia="zh-CN"/>
        </w:rPr>
        <w:t>联系人：贺小娜，</w:t>
      </w:r>
      <w:r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  <w:t>023-45</w:t>
      </w:r>
      <w:r>
        <w:rPr>
          <w:rFonts w:hint="eastAsia" w:ascii="Times New Roman" w:hAnsi="Times New Roman" w:cs="Times New Roman"/>
          <w:w w:val="98"/>
          <w:sz w:val="32"/>
          <w:szCs w:val="32"/>
          <w:lang w:val="en-US" w:eastAsia="zh-CN"/>
        </w:rPr>
        <w:t>695902</w:t>
      </w:r>
      <w:r>
        <w:rPr>
          <w:rFonts w:hint="default" w:ascii="Times New Roman" w:hAnsi="Times New Roman" w:eastAsia="方正仿宋_GBK" w:cs="Times New Roman"/>
          <w:w w:val="98"/>
          <w:sz w:val="32"/>
          <w:szCs w:val="32"/>
          <w:lang w:val="en-US" w:eastAsia="zh-CN"/>
        </w:rPr>
        <w:t>）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2023年环境信息依法披露企业名单</w:t>
      </w:r>
      <w:bookmarkStart w:id="0" w:name="_GoBack"/>
      <w:bookmarkEnd w:id="0"/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85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690"/>
        <w:gridCol w:w="40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纳入企业名单的原因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重庆安美科技有限公司铜梁分公司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2023年度强制性清洁生产审核企业、重点监管单位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重庆新美特科技有限公司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2023年度强制性清洁生产审核企业、重点监管单位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重庆策勋科技有限公司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2023年度强制性清洁生产审核企业、重点监管单位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重庆盾深电子有限公司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2023年度强制性清洁生产审核企业、重点监管单位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重庆吉锦表面技术有限公司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2023年度强制性清洁生产审核企业、重点监管单位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重庆百钰顺科技有限公司铜梁阳极氧化表面处理分公司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未完成强制性清洁生产审核验收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重庆仁临科技有限公司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重庆叶子花开市政园林工程有限公司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重庆和平制药有限公司（A区）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重庆和平制药有限公司（B区）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重庆市好迪涂料有限公司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重庆市铜梁区华亿来铝材加工厂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重庆恒创精密电子有限公司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重庆益航汽车配件有限公司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重庆石博士新材料有限公司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重庆赛维药业有限公司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重庆赛能铝合金有限公司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重庆远辉金属表面处理有限责任公司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铜梁区兴隆羽毛加工厂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（重庆市铜梁区峰澜环保科技有限公司）太平垃圾填埋场渗滤液项目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重庆中烁新材料科技有限公司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重庆凌达汽车织物股份有限公司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重庆创祥电源有限公司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重庆华琦精细化工有限公司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重庆君卓机械有限公司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重庆天路电力设备有限公司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重庆奥博铝材制造有限公司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重庆威尔德浩瑞医药化工有限公司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重庆宇领祥环保科技有限公司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重庆市和京碳素材料有限公司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重庆市川平建材有限公司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重庆市益星食品（集团）有限公司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重庆市茂莱建材有限公司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重庆市足龙建材有限公司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重庆市铜梁区中医院（老院区）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重庆市铜梁区人民医院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重庆市铜梁区共和矸砖厂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重庆市铜梁区双福建材有限公司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重庆市铜梁区天楹环保能源有限公司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重庆市铜梁区庆林建材厂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重庆市铜梁区恒祥建材有限公司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重庆市铜梁区新东城污水处理有限公司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重庆市铜梁区永红矸砖厂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重庆市铜梁区海华建材有限公司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重庆市铜梁区福果镇机制矸砖厂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重庆市铜梁区红顺建材有限公司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重庆市铜梁区西河水库矸砖厂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重庆市铜梁区西泉镇峡风联办矸砖厂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重庆市铜梁区铜鑫纸业有限责任公司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重庆市铜梁排水有限责任公司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重庆市铜梁排水有限责任公司第二污水处理厂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重庆市龙润节能建筑材料有限公司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重庆庆兰实业有限公司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重庆庆龙精细锶盐化工有限公司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重庆新玉峡精细化工有限公司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重庆新申世纪新材料科技有限公司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重庆旭锐环境治理有限公司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重庆百钰顺科技有限公司铜梁阳极氧化表面处理分公司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重庆盛贸纸业有限公司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重庆科庆建材有限公司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重庆绅鹏实业开发有限公司（蒲吕污水处理厂）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重庆美景环境科技有限公司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重庆蓝泠洋环保科技有限公司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重庆金彧新型环保建材有限公司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重庆铜梁西南水泥有限公司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重庆锦象陶瓷琉璃瓦厂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重庆骁天建材加工有限公司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重庆龙璋纸业有限公司渣场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铜梁区旧县文海砖厂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铜梁区盈余煤矸砖厂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重庆安创材料科技有限公司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2022年强制性清洁生产企业审核验收后三年内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重庆威铭表面处理有限公司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2022年强制性清洁生产企业审核验收后三年内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94184"/>
    <w:rsid w:val="1BEB5482"/>
    <w:rsid w:val="359C1665"/>
    <w:rsid w:val="40994184"/>
    <w:rsid w:val="56E0158C"/>
    <w:rsid w:val="5C422F15"/>
    <w:rsid w:val="6EA121A4"/>
    <w:rsid w:val="7F9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0" w:lineRule="exact"/>
      <w:ind w:firstLine="420" w:firstLineChars="200"/>
      <w:jc w:val="both"/>
    </w:pPr>
    <w:rPr>
      <w:rFonts w:ascii="方正仿宋_GBK" w:hAnsi="方正仿宋_GBK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2023-04-23T08:37:00Z</dcterms:created>
  <dc:creator>asus</dc:creator>
  <cp:lastModifiedBy>asus</cp:lastModifiedBy>
  <dcterms:modified xsi:type="dcterms:W3CDTF">2023-04-23T08:52:04Z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