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 w:cs="华文中宋"/>
          <w:b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采购公告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根据重庆市铜梁区招商投资促进局委托要求，重庆恒治达建筑咨询有限公司采取“询价采购”方式，为“铜梁区招商数据管理平台搭建项目（第二次）”选择合适的成交人，欢迎合格的投标人参与投标。现将有关采购事宜公告如下：</w:t>
      </w:r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一、项目内容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844"/>
        <w:gridCol w:w="757"/>
        <w:gridCol w:w="138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855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765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最高限价（元）</w:t>
            </w:r>
          </w:p>
        </w:tc>
        <w:tc>
          <w:tcPr>
            <w:tcW w:w="135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铜梁区招商数据管理平台搭建项目（第二次）</w:t>
            </w:r>
          </w:p>
        </w:tc>
        <w:tc>
          <w:tcPr>
            <w:tcW w:w="855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765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val="en-US" w:eastAsia="zh-CN"/>
              </w:rPr>
              <w:t>276000.00</w:t>
            </w:r>
          </w:p>
        </w:tc>
        <w:tc>
          <w:tcPr>
            <w:tcW w:w="1351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  <w:vertAlign w:val="baseline"/>
                <w:lang w:val="en-US" w:eastAsia="zh-CN"/>
              </w:rPr>
              <w:t>5000.00</w:t>
            </w:r>
          </w:p>
        </w:tc>
      </w:tr>
    </w:tbl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二、资金来源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业主自筹。</w:t>
      </w:r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三、投标人资格要求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合格投标人应符合政府采购法第二十二条规定的基本条件。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（一）基本资格条件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1.具有独立承担民事责任的能力；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2.具有良好的商业信誉和健全的财务会计制度；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3.具有履行合同所必需的设备和专业技术能力；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4.有依法缴纳税收和社会保障资金的良好记录；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5.参加政府采购活动前三年内，在经营活动中没有重大违法记录；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6.法律、行政法规规定的其他条件。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（二）特定资格条件</w:t>
      </w:r>
    </w:p>
    <w:p>
      <w:pPr>
        <w:numPr>
          <w:ilvl w:val="0"/>
          <w:numId w:val="0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近三年内（指2019年1月1日至今），投标人具有至少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例与政府或国企合作且已验收合格的类似项目业绩。（提供合同及对应的付款发票复印件）。</w:t>
      </w:r>
    </w:p>
    <w:p>
      <w:pPr>
        <w:numPr>
          <w:ilvl w:val="0"/>
          <w:numId w:val="1"/>
        </w:numPr>
        <w:spacing w:line="500" w:lineRule="exact"/>
        <w:ind w:firstLine="780" w:firstLineChars="30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本项目不接受联合体投标。</w:t>
      </w:r>
    </w:p>
    <w:p>
      <w:pPr>
        <w:numPr>
          <w:ilvl w:val="0"/>
          <w:numId w:val="0"/>
        </w:numPr>
        <w:spacing w:line="500" w:lineRule="exact"/>
        <w:ind w:firstLine="783" w:firstLineChars="30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四、询价采购文件的获取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凡有意参加投标的投标人，请于公告发布之日（2022年4月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日）起至采购文件获取截止时间(2022年4月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日17时00分)止，在重庆恒治达建筑咨询有限公司（铜梁区巴川街道龙门堤街1号）获取采购文件等其它相关技术资料，获取资料时请持法定代表人身份证明书或法定代表人授权委托书（原件）。</w:t>
      </w:r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五、递交投标文件及开标时间、地点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（一）递交投标文件时间：2022年4月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日9：30至10：00，逾期不予受理。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（二）递交投标文件地点：重庆市铜梁区招商投资促进局218会议室。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（三）开标时间：2022年4月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日10:00时。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（四）开标地点：重庆市铜梁区招商投资促进局218会议室。</w:t>
      </w:r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六、投标保证金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（一）投标保证金金额：本项目投标保证金详见采购公告一项目概况，开标之前现金收取。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（二）投标保证金的确认：各潜在投标人在递交本项目投标文件时，必须同时递交投标保证金</w:t>
      </w: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（用信封密封，注明投标人名称并加盖单位公章）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（三）投标保证金的退还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1.未成交的所有投标人交纳的投标保证金，由采购机构于本项目招标结束后现场全额退还（不计息）；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2.本项目成交人交纳的投标保证金，在其设备安装验收合格后，由采购人在5个工作日内全额退还（不计息）。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（四）下列情况之一，投标保证金将不予退还：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1.在交纳了投标保证金并递交了投标文件后主动放弃参与投标； 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2.成交人无法按照采购文件的规定、投标文件的承诺与采购人签订合同的；成交人自动放弃成交资格的；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3.有证据表明投标人参与串标等违法违规行为；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4.经核实采用虚假手段或资质材料参与投标或谋取成交的；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5.法律法规规定的其他情况。</w:t>
      </w:r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七、采购项目需落实的政府采购政策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（一）按照&lt;财政部 国家发展改革委关于印发《节能产品政府采购实施意见》的通知&gt;（财库〔2004〕185号）、&lt;财政部 国家环保总局联合印发《关于环境标志产品政府采购实施的意见》&gt;（财库【2006】90号）的规定，落实国家节能环保政策。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二）按照&lt;财政部工业和信息化部关于印发《政府采购促进中小企业发展管理办法》的通知&gt;（财库〔2020〕46号）的规定，落实促进中小企业发展政策，本项目采购标的对应的中小企业划分标准所属行业为工业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（三）按照&lt;财政部、司法部关于政府采购支持监狱企业发展有关问题的通知&gt;（财库〔2014〕68号）的规定，落实支持监狱企业发展政策。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（四）按照《三部门联合发布关于促进残疾人就业政府采购政策的通知》（财库〔2017〕141号）的规定，落实支持残疾人福利性单位发展政策。</w:t>
      </w:r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八、投标有关规定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（一）单位负责人为同一人或者存在直接控股、管理关系的不同投标人，不得参加同一合同项（分包）下的政府采购活动。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（二）为采购项目提供整体设计、规范编制或者项目管理、监理、检测等服务的投标人，不得再参加该采购项目的其他采购活动。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（三）超过投标截止时间递交的投标文件，恕不接收。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（四）投标费用：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无论投标结果如何，投标人参与本项目投标的所有费用均应由投标人自行承担。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本项目采购代理服务费 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4000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.00元，由成交人在领取成交通知书时一次性支付给采购代理机构。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（五）本项目不接受联合体参与投标。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六）按照《财政部关于在政府采购活动中查询及使用信用记录有关问题的通知》财库〔2016〕125号，投标人列入失信被执行人、重大税收违法案件当事人名单、政府采购严重违法失信行为记录名单及其他不符合《中华人民共和国政府采购法》第二十二条规定条件的投标人，将拒绝其参与政府采购活动。</w:t>
      </w:r>
      <w:bookmarkStart w:id="0" w:name="_GoBack"/>
      <w:bookmarkEnd w:id="0"/>
    </w:p>
    <w:p>
      <w:pPr>
        <w:spacing w:line="500" w:lineRule="exact"/>
        <w:ind w:firstLine="653" w:firstLineChars="250"/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pacing w:val="-10"/>
          <w:sz w:val="28"/>
          <w:szCs w:val="28"/>
          <w:lang w:eastAsia="zh-CN"/>
        </w:rPr>
        <w:t>九、项目联系人及电话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（一）采购人：重庆市铜梁区招商投资促进局  </w:t>
      </w:r>
    </w:p>
    <w:p>
      <w:pPr>
        <w:spacing w:line="500" w:lineRule="exact"/>
        <w:ind w:firstLine="1430" w:firstLineChars="5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联系人：何老师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      电  话：18983908166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 地  址：重庆市铜梁区金川大道388号 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>（二）采购代理机构：重庆恒治达建筑咨询有限公司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      联系人：周老师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      电  话：19923875772</w:t>
      </w:r>
    </w:p>
    <w:p>
      <w:pPr>
        <w:spacing w:line="500" w:lineRule="exact"/>
        <w:ind w:firstLine="650" w:firstLineChars="250"/>
        <w:rPr>
          <w:rFonts w:hint="eastAsia" w:ascii="仿宋" w:hAnsi="仿宋" w:eastAsia="仿宋"/>
          <w:b w:val="0"/>
          <w:bCs w:val="0"/>
          <w:spacing w:val="-1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10"/>
          <w:sz w:val="28"/>
          <w:szCs w:val="28"/>
          <w:lang w:eastAsia="zh-CN"/>
        </w:rPr>
        <w:t xml:space="preserve">      地  址：重庆市南岸区双峰山路8号15幢19-5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B1191"/>
    <w:multiLevelType w:val="singleLevel"/>
    <w:tmpl w:val="3C4B119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D6B7D"/>
    <w:rsid w:val="08940658"/>
    <w:rsid w:val="0FE874A1"/>
    <w:rsid w:val="2869228E"/>
    <w:rsid w:val="30EC663F"/>
    <w:rsid w:val="3C996757"/>
    <w:rsid w:val="3F34026F"/>
    <w:rsid w:val="3F56419D"/>
    <w:rsid w:val="45D66C3B"/>
    <w:rsid w:val="6198686A"/>
    <w:rsid w:val="644373AA"/>
    <w:rsid w:val="64ED2421"/>
    <w:rsid w:val="67F649F8"/>
    <w:rsid w:val="68D07E17"/>
    <w:rsid w:val="6E171158"/>
    <w:rsid w:val="6EB31D40"/>
    <w:rsid w:val="74580215"/>
    <w:rsid w:val="79B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1870</Words>
  <Characters>1988</Characters>
  <Lines>0</Lines>
  <Paragraphs>0</Paragraphs>
  <TotalTime>76</TotalTime>
  <ScaleCrop>false</ScaleCrop>
  <LinksUpToDate>false</LinksUpToDate>
  <CharactersWithSpaces>2033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2020-08-20T08:10:00Z</dcterms:created>
  <dc:creator>汪钊</dc:creator>
  <cp:lastModifiedBy>人走茶凉</cp:lastModifiedBy>
  <cp:lastPrinted>2021-11-22T02:00:00Z</cp:lastPrinted>
  <dcterms:modified xsi:type="dcterms:W3CDTF">2022-04-14T02:31:38Z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F2DA25916E3348CAA35F987A912CD694</vt:lpwstr>
  </property>
</Properties>
</file>