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520" w:lineRule="exact"/>
        <w:ind w:right="0"/>
        <w:jc w:val="center"/>
        <w:textAlignment w:val="auto"/>
        <w:rPr>
          <w:rFonts w:hint="eastAsia" w:ascii="方正小标宋_GBK" w:hAnsi="方正小标宋_GBK" w:eastAsia="方正小标宋_GBK" w:cs="方正小标宋_GBK"/>
          <w:i w:val="0"/>
          <w:caps w:val="0"/>
          <w:color w:val="auto"/>
          <w:spacing w:val="0"/>
          <w:sz w:val="44"/>
          <w:szCs w:val="44"/>
          <w:shd w:val="clear" w:fill="FFFFFF"/>
        </w:rPr>
      </w:pPr>
      <w:bookmarkStart w:id="0" w:name="_GoBack"/>
      <w:r>
        <w:rPr>
          <w:rFonts w:hint="eastAsia" w:ascii="方正小标宋_GBK" w:hAnsi="方正小标宋_GBK" w:eastAsia="方正小标宋_GBK" w:cs="方正小标宋_GBK"/>
          <w:i w:val="0"/>
          <w:caps w:val="0"/>
          <w:color w:val="auto"/>
          <w:spacing w:val="0"/>
          <w:sz w:val="44"/>
          <w:szCs w:val="44"/>
          <w:shd w:val="clear" w:fill="FFFFFF"/>
        </w:rPr>
        <w:t>全市房屋征收损失补偿和奖励补助科目及</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520" w:lineRule="exact"/>
        <w:ind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caps w:val="0"/>
          <w:color w:val="auto"/>
          <w:spacing w:val="0"/>
          <w:sz w:val="44"/>
          <w:szCs w:val="44"/>
          <w:shd w:val="clear" w:fill="FFFFFF"/>
        </w:rPr>
        <w:t>单项最高限额标准</w:t>
      </w:r>
    </w:p>
    <w:tbl>
      <w:tblPr>
        <w:tblStyle w:val="3"/>
        <w:tblW w:w="960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0"/>
        <w:gridCol w:w="787"/>
        <w:gridCol w:w="1585"/>
        <w:gridCol w:w="564"/>
        <w:gridCol w:w="815"/>
        <w:gridCol w:w="2483"/>
        <w:gridCol w:w="241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jc w:val="center"/>
        </w:trPr>
        <w:tc>
          <w:tcPr>
            <w:tcW w:w="4711" w:type="dxa"/>
            <w:gridSpan w:val="5"/>
            <w:tcBorders>
              <w:top w:val="single" w:color="auto" w:sz="6" w:space="0"/>
              <w:left w:val="single" w:color="auto" w:sz="6" w:space="0"/>
              <w:bottom w:val="nil"/>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补偿科目</w:t>
            </w:r>
          </w:p>
        </w:tc>
        <w:tc>
          <w:tcPr>
            <w:tcW w:w="2483" w:type="dxa"/>
            <w:vMerge w:val="restart"/>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单项最高限额标准</w:t>
            </w:r>
          </w:p>
        </w:tc>
        <w:tc>
          <w:tcPr>
            <w:tcW w:w="2414"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说明及要求</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0" w:hRule="atLeast"/>
          <w:jc w:val="center"/>
        </w:trPr>
        <w:tc>
          <w:tcPr>
            <w:tcW w:w="96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8"/>
                <w:szCs w:val="28"/>
              </w:rPr>
            </w:pPr>
          </w:p>
        </w:tc>
        <w:tc>
          <w:tcPr>
            <w:tcW w:w="3751" w:type="dxa"/>
            <w:gridSpan w:val="4"/>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单项明细</w:t>
            </w:r>
          </w:p>
        </w:tc>
        <w:tc>
          <w:tcPr>
            <w:tcW w:w="2483" w:type="dxa"/>
            <w:vMerge w:val="continue"/>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2414"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jc w:val="center"/>
        </w:trPr>
        <w:tc>
          <w:tcPr>
            <w:tcW w:w="960"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补偿</w:t>
            </w:r>
          </w:p>
        </w:tc>
        <w:tc>
          <w:tcPr>
            <w:tcW w:w="787"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2964" w:type="dxa"/>
            <w:gridSpan w:val="3"/>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非住宅的停产停业</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p>
        </w:tc>
        <w:tc>
          <w:tcPr>
            <w:tcW w:w="241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各区县按照《实施细则》第四十六条规定执行。</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35"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1585"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室内装饰装修</w:t>
            </w: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住宅</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500元/平方米</w:t>
            </w:r>
          </w:p>
        </w:tc>
        <w:tc>
          <w:tcPr>
            <w:tcW w:w="241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可根据装饰装修情况划分不同补偿标准，但最高标准不超过500元/平方米；补偿金额按被征收房屋面积及相应的标准进行计算。2.被征收人对本区县该项补偿标准有异议的，房屋征收当事人可以协商确定补偿金额；协商不成的，可以委托按《实施细则》规定确定的房地产价格评估机构通过评估确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585"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非住宅</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p>
        </w:tc>
        <w:tc>
          <w:tcPr>
            <w:tcW w:w="241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由房屋征收当事人协商确定；协商不成的，可以委托按《实施细则》规定确定的房地产价格评估机构通过评估确定。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1585"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附属设施</w:t>
            </w:r>
          </w:p>
        </w:tc>
        <w:tc>
          <w:tcPr>
            <w:tcW w:w="564"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300" w:lineRule="exact"/>
              <w:ind w:left="0" w:right="0" w:firstLine="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民用</w:t>
            </w:r>
          </w:p>
        </w:tc>
        <w:tc>
          <w:tcPr>
            <w:tcW w:w="81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300" w:lineRule="exact"/>
              <w:ind w:left="0" w:right="0" w:firstLine="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水表</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600元/户</w:t>
            </w:r>
          </w:p>
        </w:tc>
        <w:tc>
          <w:tcPr>
            <w:tcW w:w="2414"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1.如有行业现行收费标准的，从其标准规定，否则执行本通知规定</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2.选择货币补偿的，按本通知规定给予补偿；选择房屋产权调换的，不给予补偿。3.本条此处所指的“户”以缴费户为单位。4.其他附属设施损失补偿由各区县结合实际制定补偿标准。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585"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564"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81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300" w:lineRule="exact"/>
              <w:ind w:left="0" w:right="0" w:firstLine="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电表</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600元/户</w:t>
            </w:r>
          </w:p>
        </w:tc>
        <w:tc>
          <w:tcPr>
            <w:tcW w:w="2414"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585"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564"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81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300" w:lineRule="exact"/>
              <w:ind w:left="0" w:right="0" w:firstLine="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天然气</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3500元/户</w:t>
            </w:r>
          </w:p>
        </w:tc>
        <w:tc>
          <w:tcPr>
            <w:tcW w:w="2414"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585"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564"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81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300" w:lineRule="exact"/>
              <w:ind w:left="0" w:right="0" w:firstLine="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闭路</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450元/户</w:t>
            </w:r>
          </w:p>
        </w:tc>
        <w:tc>
          <w:tcPr>
            <w:tcW w:w="2414"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30"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585"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564"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81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300" w:lineRule="exact"/>
              <w:ind w:left="0" w:right="0" w:firstLine="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宽带</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300元/户</w:t>
            </w:r>
          </w:p>
        </w:tc>
        <w:tc>
          <w:tcPr>
            <w:tcW w:w="2414"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585"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非民用</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p>
        </w:tc>
        <w:tc>
          <w:tcPr>
            <w:tcW w:w="241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各区县根据实际情况，制定具体的非民用附属设施补偿标准。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96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8"/>
                <w:szCs w:val="28"/>
              </w:rPr>
            </w:pPr>
          </w:p>
        </w:tc>
        <w:tc>
          <w:tcPr>
            <w:tcW w:w="787"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p>
        </w:tc>
        <w:tc>
          <w:tcPr>
            <w:tcW w:w="2964" w:type="dxa"/>
            <w:gridSpan w:val="3"/>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非住宅的设施设备</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p>
        </w:tc>
        <w:tc>
          <w:tcPr>
            <w:tcW w:w="241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各区县参照《实施细则》第四十七条规定执行。</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20" w:hRule="atLeast"/>
          <w:jc w:val="center"/>
        </w:trPr>
        <w:tc>
          <w:tcPr>
            <w:tcW w:w="960"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补助</w:t>
            </w:r>
          </w:p>
        </w:tc>
        <w:tc>
          <w:tcPr>
            <w:tcW w:w="787"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p>
        </w:tc>
        <w:tc>
          <w:tcPr>
            <w:tcW w:w="1585"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补偿方式选择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的引导奖励</w:t>
            </w: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住宅</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每户最高不超过被征收房屋评估价值的12%，另可再给予最高不超过5平方米的被征收房屋评估价值奖励</w:t>
            </w:r>
          </w:p>
        </w:tc>
        <w:tc>
          <w:tcPr>
            <w:tcW w:w="2414"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1.各区县根据实际情况，按照本通知要求，以及统筹兼顾原则，制定补偿方式选择的引导奖励政策</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2.同一产权房屋中既有住宅又有非住宅的，分别根据评估价值计算奖励。</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5"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585"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非住宅</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每户最高不超过被征收房屋评估价值的5%</w:t>
            </w:r>
          </w:p>
        </w:tc>
        <w:tc>
          <w:tcPr>
            <w:tcW w:w="2414"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p>
        </w:tc>
        <w:tc>
          <w:tcPr>
            <w:tcW w:w="1585"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单户提前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签约奖励</w:t>
            </w: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住宅</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500元/户∙日</w:t>
            </w:r>
          </w:p>
        </w:tc>
        <w:tc>
          <w:tcPr>
            <w:tcW w:w="2414"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1.提前天数自签约之日起计算，截止签约期限届满之日。2.同一产权房屋中既有住宅又有非住宅的，由各区县结合实际情况，制定奖励计算办法。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5"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585"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非住宅</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20元/平方米∙日</w:t>
            </w:r>
          </w:p>
        </w:tc>
        <w:tc>
          <w:tcPr>
            <w:tcW w:w="2414"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5"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w:t>
            </w:r>
          </w:p>
        </w:tc>
        <w:tc>
          <w:tcPr>
            <w:tcW w:w="2964" w:type="dxa"/>
            <w:gridSpan w:val="3"/>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单户按期搬迁奖励</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30000元/户</w:t>
            </w:r>
          </w:p>
        </w:tc>
        <w:tc>
          <w:tcPr>
            <w:tcW w:w="241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各区县可以根据实际情况，制定针对被征收住宅和被征收非住宅的单户按期搬迁奖励的单项标准，但两类单项标准均不得超过30000元/户。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5"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w:t>
            </w:r>
          </w:p>
        </w:tc>
        <w:tc>
          <w:tcPr>
            <w:tcW w:w="1585" w:type="dxa"/>
            <w:vMerge w:val="restart"/>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搬迁补助</w:t>
            </w: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住宅</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2000元/户∙次</w:t>
            </w:r>
          </w:p>
        </w:tc>
        <w:tc>
          <w:tcPr>
            <w:tcW w:w="2414"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被征收人选择货币补偿方式的，仅享受1次搬迁补助；选择产权调换补偿方式，且须按期搬离被征收房屋的，可以享受2次搬迁补助。2.同一产权房屋中既有住宅又有非住宅的，由各区县结合实际情况，制定搬迁补助计算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60"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585"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非住宅</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1.商业、办公、业务用房：每户30元/平方米∙次；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2.生产用房：每户40元/平方米∙次。</w:t>
            </w:r>
          </w:p>
        </w:tc>
        <w:tc>
          <w:tcPr>
            <w:tcW w:w="2414"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45" w:hRule="atLeast"/>
          <w:jc w:val="center"/>
        </w:trPr>
        <w:tc>
          <w:tcPr>
            <w:tcW w:w="960" w:type="dxa"/>
            <w:vMerge w:val="continue"/>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8"/>
                <w:szCs w:val="28"/>
              </w:rPr>
            </w:pPr>
          </w:p>
        </w:tc>
        <w:tc>
          <w:tcPr>
            <w:tcW w:w="787"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9</w:t>
            </w:r>
          </w:p>
        </w:tc>
        <w:tc>
          <w:tcPr>
            <w:tcW w:w="158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临时安置补助</w:t>
            </w:r>
          </w:p>
        </w:tc>
        <w:tc>
          <w:tcPr>
            <w:tcW w:w="1379" w:type="dxa"/>
            <w:gridSpan w:val="2"/>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住宅</w:t>
            </w:r>
          </w:p>
        </w:tc>
        <w:tc>
          <w:tcPr>
            <w:tcW w:w="2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每户30元/平方米·月</w:t>
            </w:r>
          </w:p>
        </w:tc>
        <w:tc>
          <w:tcPr>
            <w:tcW w:w="241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00" w:lineRule="exact"/>
              <w:ind w:left="0" w:right="0"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选择产权调换补偿方式，且征收人未提供临时周转房屋的，被征收人按照被征收房屋面积，享受每户每月最高不超过30元/平方米的临时安置补助；2.各区县可以根据实际情况，制定单户单月的临时安置补助总金额的上限标准。</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firstLine="42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备注：1.除有特别说明外，本表格中的户系指被征收房屋的产权户；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firstLine="42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2.本表格中的被征收房屋面积系由房屋产权证载建筑面积和按规定享受最低住房保障政策补足部分面积组成；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firstLine="42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3.本表格中的被征收房屋评估价值系指被征收房屋产权证载建筑面积和按规定享受最低住房保障政策补足部分面积所对应的评估价值；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firstLine="42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4.区县人民政府不得在本表格规定之外增设补偿科目及其单项，但可以根据实际情况，调减本表格的补偿科目及其单项。</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32"/>
          <w:szCs w:val="32"/>
        </w:rPr>
      </w:pP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ZjQ2NDY3NjgzMjM0ZDliNmE2M2M0ZDRhMzRjMTcifQ=="/>
  </w:docVars>
  <w:rsids>
    <w:rsidRoot w:val="5F041299"/>
    <w:rsid w:val="48D63910"/>
    <w:rsid w:val="5F04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7</Pages>
  <Words>2796</Words>
  <Characters>2865</Characters>
  <Lines>0</Lines>
  <Paragraphs>0</Paragraphs>
  <TotalTime>12</TotalTime>
  <ScaleCrop>false</ScaleCrop>
  <LinksUpToDate>false</LinksUpToDate>
  <CharactersWithSpaces>2865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2023-01-12T09:44:00Z</dcterms:created>
  <dc:creator>A丽 </dc:creator>
  <cp:lastModifiedBy>Administrator</cp:lastModifiedBy>
  <dcterms:modified xsi:type="dcterms:W3CDTF">2023-01-12T10:05:22Z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A23CD4B487FE482791501EC1AA143EE2</vt:lpwstr>
  </property>
</Properties>
</file>