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Autospacing="0"/>
        <w:textAlignment w:val="auto"/>
        <w:rPr>
          <w:rFonts w:hint="eastAsia" w:asci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0" w:beforeLines="26" w:beforeAutospacing="0"/>
        <w:textAlignment w:val="auto"/>
        <w:rPr>
          <w:rFonts w:hint="eastAsia" w:asci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Autospacing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Lines="0" w:afterLines="0" w:line="579" w:lineRule="exact"/>
        <w:ind w:left="79" w:leftChars="25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铜减办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Lines="0" w:afterLines="0" w:line="579" w:lineRule="exact"/>
        <w:ind w:left="79" w:leftChars="25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Lines="0" w:afterLines="0" w:line="579" w:lineRule="exact"/>
        <w:ind w:left="79" w:leftChars="25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4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5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5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45"/>
          <w:sz w:val="44"/>
          <w:szCs w:val="44"/>
        </w:rPr>
        <w:t>减灾委员会办公室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Lines="0" w:afterLines="0" w:line="579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eastAsia="zh-CN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印发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10月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自然灾害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趋势及安全生产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形势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分析的通知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各镇人民政府、街道办事处，区减灾委、区安委会各成员单位，有关单位：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减灾办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安委办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会同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有关部门，对我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自然灾害趋势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及安全生产形势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进行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分析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研判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，形成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了相关成果。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现印发你们，请结合</w:t>
      </w:r>
      <w:r>
        <w:rPr>
          <w:rFonts w:hint="default" w:ascii="Times New Roman" w:hAnsi="Times New Roman" w:cs="Times New Roman"/>
          <w:color w:val="auto"/>
          <w:szCs w:val="32"/>
          <w:lang w:eastAsia="zh-CN"/>
        </w:rPr>
        <w:t>本地本</w:t>
      </w:r>
      <w:r>
        <w:rPr>
          <w:rFonts w:hint="default" w:ascii="Times New Roman" w:hAnsi="Times New Roman" w:cs="Times New Roman"/>
          <w:szCs w:val="32"/>
          <w:lang w:eastAsia="zh-CN"/>
        </w:rPr>
        <w:t>行业</w:t>
      </w:r>
      <w:r>
        <w:rPr>
          <w:rFonts w:hint="default" w:ascii="Times New Roman" w:hAnsi="Times New Roman" w:eastAsia="方正仿宋_GBK" w:cs="Times New Roman"/>
          <w:szCs w:val="32"/>
        </w:rPr>
        <w:t>实际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szCs w:val="32"/>
        </w:rPr>
        <w:t>谋划部署，做好防范应对工作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line="579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34"/>
          <w:sz w:val="32"/>
          <w:szCs w:val="32"/>
        </w:rPr>
      </w:pPr>
    </w:p>
    <w:p>
      <w:pPr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270" w:firstLineChars="100"/>
        <w:jc w:val="both"/>
        <w:textAlignment w:val="auto"/>
        <w:outlineLvl w:val="9"/>
        <w:rPr>
          <w:rFonts w:hint="default" w:ascii="Times New Roman" w:hAnsi="Times New Roman" w:cs="Times New Roman"/>
          <w:spacing w:val="-2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重庆市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减灾委员会办公室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铜梁区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695" w:rightChars="220" w:firstLine="5372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10月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自然灾害趋势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及安全生产形势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、气象预测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eastAsia" w:ascii="方正仿宋_GBK" w:eastAsia="方正仿宋_GBK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预计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10月，</w:t>
      </w:r>
      <w:r>
        <w:rPr>
          <w:rFonts w:hint="eastAsia" w:ascii="方正仿宋_GBK" w:eastAsia="方正仿宋_GBK"/>
          <w:sz w:val="32"/>
          <w:szCs w:val="32"/>
        </w:rPr>
        <w:t>我区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整体气温偏低，降水偏多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，阶段性降水偏少。</w:t>
      </w:r>
      <w:r>
        <w:rPr>
          <w:rFonts w:hint="eastAsia" w:ascii="方正仿宋_GBK" w:eastAsia="方正仿宋_GBK"/>
          <w:sz w:val="32"/>
          <w:szCs w:val="32"/>
        </w:rPr>
        <w:t>平均气温</w:t>
      </w:r>
      <w:r>
        <w:rPr>
          <w:rFonts w:ascii="方正仿宋_GBK" w:eastAsia="方正仿宋_GBK"/>
          <w:sz w:val="32"/>
          <w:szCs w:val="32"/>
        </w:rPr>
        <w:t>18.2</w:t>
      </w:r>
      <w:r>
        <w:rPr>
          <w:rFonts w:hint="eastAsia"/>
          <w:sz w:val="32"/>
          <w:szCs w:val="32"/>
        </w:rPr>
        <w:t>℃</w:t>
      </w:r>
      <w:r>
        <w:rPr>
          <w:rFonts w:hint="eastAsia" w:ascii="方正仿宋_GBK" w:eastAsia="方正仿宋_GBK"/>
          <w:sz w:val="32"/>
          <w:szCs w:val="32"/>
        </w:rPr>
        <w:t>，较常年同期（</w:t>
      </w:r>
      <w:r>
        <w:rPr>
          <w:rFonts w:ascii="方正仿宋_GBK" w:eastAsia="方正仿宋_GBK"/>
          <w:sz w:val="32"/>
          <w:szCs w:val="32"/>
        </w:rPr>
        <w:t>18.5</w:t>
      </w:r>
      <w:r>
        <w:rPr>
          <w:rFonts w:hint="eastAsia"/>
          <w:sz w:val="32"/>
          <w:szCs w:val="32"/>
        </w:rPr>
        <w:t>℃</w:t>
      </w:r>
      <w:r>
        <w:rPr>
          <w:rFonts w:hint="eastAsia" w:ascii="方正仿宋_GBK" w:eastAsia="方正仿宋_GBK"/>
          <w:sz w:val="32"/>
          <w:szCs w:val="32"/>
        </w:rPr>
        <w:t>）偏低0.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/>
          <w:sz w:val="32"/>
          <w:szCs w:val="32"/>
        </w:rPr>
        <w:t>℃</w:t>
      </w:r>
      <w:r>
        <w:rPr>
          <w:rFonts w:hint="eastAsia" w:ascii="方正仿宋_GBK" w:eastAsia="方正仿宋_GBK"/>
          <w:sz w:val="32"/>
          <w:szCs w:val="32"/>
        </w:rPr>
        <w:t>；</w:t>
      </w:r>
      <w:r>
        <w:rPr>
          <w:rFonts w:hint="eastAsia" w:ascii="方正仿宋_GBK" w:hAnsi="Calibri" w:eastAsia="方正仿宋_GBK"/>
          <w:sz w:val="32"/>
          <w:szCs w:val="32"/>
        </w:rPr>
        <w:t>较去年同期（</w:t>
      </w:r>
      <w:r>
        <w:rPr>
          <w:rFonts w:ascii="方正仿宋_GBK" w:hAnsi="宋体" w:eastAsia="方正仿宋_GBK"/>
          <w:sz w:val="32"/>
          <w:szCs w:val="32"/>
        </w:rPr>
        <w:t>18.2</w:t>
      </w:r>
      <w:r>
        <w:rPr>
          <w:rFonts w:hint="eastAsia" w:ascii="方正仿宋_GBK" w:hAnsi="宋体" w:eastAsia="方正仿宋_GBK"/>
          <w:sz w:val="32"/>
          <w:szCs w:val="32"/>
        </w:rPr>
        <w:t>℃</w:t>
      </w:r>
      <w:r>
        <w:rPr>
          <w:rFonts w:hint="eastAsia" w:ascii="方正仿宋_GBK" w:hAnsi="Calibri" w:eastAsia="方正仿宋_GBK"/>
          <w:sz w:val="32"/>
          <w:szCs w:val="32"/>
        </w:rPr>
        <w:t>）基本持平</w:t>
      </w:r>
      <w:r>
        <w:rPr>
          <w:rFonts w:hint="eastAsia" w:ascii="方正仿宋_GBK" w:hAnsi="Calibri"/>
          <w:sz w:val="32"/>
          <w:szCs w:val="32"/>
          <w:lang w:eastAsia="zh-CN"/>
        </w:rPr>
        <w:t>；</w:t>
      </w:r>
      <w:r>
        <w:rPr>
          <w:rFonts w:hint="eastAsia" w:ascii="方正仿宋_GBK" w:eastAsia="方正仿宋_GBK"/>
          <w:sz w:val="32"/>
          <w:szCs w:val="32"/>
        </w:rPr>
        <w:t>平均降水量</w:t>
      </w:r>
      <w:r>
        <w:rPr>
          <w:rFonts w:ascii="方正仿宋_GBK" w:eastAsia="方正仿宋_GBK"/>
          <w:sz w:val="32"/>
          <w:szCs w:val="32"/>
        </w:rPr>
        <w:t>100</w:t>
      </w:r>
      <w:r>
        <w:rPr>
          <w:rFonts w:hint="eastAsia" w:ascii="方正仿宋_GBK" w:eastAsia="方正仿宋_GBK"/>
          <w:sz w:val="32"/>
          <w:szCs w:val="32"/>
        </w:rPr>
        <w:t>毫米，较常年同期（</w:t>
      </w:r>
      <w:r>
        <w:rPr>
          <w:rFonts w:ascii="方正仿宋_GBK" w:eastAsia="方正仿宋_GBK"/>
          <w:sz w:val="32"/>
          <w:szCs w:val="32"/>
        </w:rPr>
        <w:t>88.7</w:t>
      </w:r>
      <w:r>
        <w:rPr>
          <w:rFonts w:hint="eastAsia" w:ascii="方正仿宋_GBK" w:eastAsia="方正仿宋_GBK"/>
          <w:sz w:val="32"/>
          <w:szCs w:val="32"/>
        </w:rPr>
        <w:t>毫米）偏多约1成</w:t>
      </w:r>
      <w:r>
        <w:rPr>
          <w:rFonts w:hint="eastAsia" w:ascii="方正仿宋_GBK" w:hAnsi="宋体" w:eastAsia="方正仿宋_GBK"/>
          <w:sz w:val="32"/>
          <w:szCs w:val="32"/>
        </w:rPr>
        <w:t>，较去年同期（</w:t>
      </w:r>
      <w:r>
        <w:rPr>
          <w:rFonts w:ascii="方正仿宋_GBK" w:hAnsi="宋体" w:eastAsia="方正仿宋_GBK"/>
          <w:sz w:val="32"/>
          <w:szCs w:val="32"/>
        </w:rPr>
        <w:t>89.4</w:t>
      </w:r>
      <w:r>
        <w:rPr>
          <w:rFonts w:hint="eastAsia" w:ascii="方正仿宋_GBK" w:hAnsi="宋体" w:eastAsia="方正仿宋_GBK"/>
          <w:sz w:val="32"/>
          <w:szCs w:val="32"/>
        </w:rPr>
        <w:t>毫米）多约1成</w:t>
      </w:r>
      <w:r>
        <w:rPr>
          <w:rFonts w:hint="eastAsia" w:ascii="方正仿宋_GBK" w:hAnsi="Calibri"/>
          <w:sz w:val="32"/>
          <w:szCs w:val="32"/>
          <w:lang w:eastAsia="zh-CN"/>
        </w:rPr>
        <w:t>。</w:t>
      </w:r>
      <w:r>
        <w:rPr>
          <w:rFonts w:hint="eastAsia" w:ascii="方正仿宋_GBK" w:hAnsi="宋体" w:eastAsia="方正仿宋_GBK"/>
          <w:sz w:val="32"/>
          <w:szCs w:val="32"/>
        </w:rPr>
        <w:t>主要降雨天气过程预测：</w:t>
      </w:r>
      <w:r>
        <w:rPr>
          <w:rFonts w:ascii="方正仿宋_GBK" w:hAnsi="Calibri" w:eastAsia="方正仿宋_GBK"/>
          <w:sz w:val="32"/>
          <w:szCs w:val="32"/>
        </w:rPr>
        <w:t>5</w:t>
      </w:r>
      <w:r>
        <w:rPr>
          <w:rFonts w:hint="eastAsia" w:ascii="方正仿宋_GBK" w:hAnsi="Calibri" w:eastAsia="方正仿宋_GBK"/>
          <w:sz w:val="32"/>
          <w:szCs w:val="32"/>
        </w:rPr>
        <w:t>-8日，小到</w:t>
      </w:r>
      <w:r>
        <w:rPr>
          <w:rFonts w:ascii="方正仿宋_GBK" w:hAnsi="Calibri" w:eastAsia="方正仿宋_GBK"/>
          <w:sz w:val="32"/>
          <w:szCs w:val="32"/>
        </w:rPr>
        <w:t>中</w:t>
      </w:r>
      <w:r>
        <w:rPr>
          <w:rFonts w:hint="eastAsia" w:ascii="方正仿宋_GBK" w:hAnsi="Calibri" w:eastAsia="方正仿宋_GBK"/>
          <w:sz w:val="32"/>
          <w:szCs w:val="32"/>
        </w:rPr>
        <w:t>雨；</w:t>
      </w:r>
      <w:r>
        <w:rPr>
          <w:rFonts w:ascii="方正仿宋_GBK" w:hAnsi="Calibri" w:eastAsia="方正仿宋_GBK"/>
          <w:sz w:val="32"/>
          <w:szCs w:val="32"/>
        </w:rPr>
        <w:t>16</w:t>
      </w:r>
      <w:r>
        <w:rPr>
          <w:rFonts w:hint="eastAsia" w:ascii="方正仿宋_GBK" w:hAnsi="Calibri" w:eastAsia="方正仿宋_GBK"/>
          <w:sz w:val="32"/>
          <w:szCs w:val="32"/>
        </w:rPr>
        <w:t>-1</w:t>
      </w:r>
      <w:r>
        <w:rPr>
          <w:rFonts w:ascii="方正仿宋_GBK" w:hAnsi="Calibri" w:eastAsia="方正仿宋_GBK"/>
          <w:sz w:val="32"/>
          <w:szCs w:val="32"/>
        </w:rPr>
        <w:t>7</w:t>
      </w:r>
      <w:r>
        <w:rPr>
          <w:rFonts w:hint="eastAsia" w:ascii="方正仿宋_GBK" w:hAnsi="Calibri" w:eastAsia="方正仿宋_GBK"/>
          <w:sz w:val="32"/>
          <w:szCs w:val="32"/>
        </w:rPr>
        <w:t>日，小到中雨，局地大雨；2</w:t>
      </w:r>
      <w:r>
        <w:rPr>
          <w:rFonts w:ascii="方正仿宋_GBK" w:hAnsi="Calibri" w:eastAsia="方正仿宋_GBK"/>
          <w:sz w:val="32"/>
          <w:szCs w:val="32"/>
        </w:rPr>
        <w:t>1</w:t>
      </w:r>
      <w:r>
        <w:rPr>
          <w:rFonts w:hint="eastAsia" w:ascii="方正仿宋_GBK" w:hAnsi="Calibri" w:eastAsia="方正仿宋_GBK"/>
          <w:sz w:val="32"/>
          <w:szCs w:val="32"/>
        </w:rPr>
        <w:t>-2</w:t>
      </w:r>
      <w:r>
        <w:rPr>
          <w:rFonts w:ascii="方正仿宋_GBK" w:hAnsi="Calibri" w:eastAsia="方正仿宋_GBK"/>
          <w:sz w:val="32"/>
          <w:szCs w:val="32"/>
        </w:rPr>
        <w:t>2</w:t>
      </w:r>
      <w:r>
        <w:rPr>
          <w:rFonts w:hint="eastAsia" w:ascii="方正仿宋_GBK" w:hAnsi="Calibri" w:eastAsia="方正仿宋_GBK"/>
          <w:sz w:val="32"/>
          <w:szCs w:val="32"/>
        </w:rPr>
        <w:t>日，小雨，局地中雨；</w:t>
      </w:r>
      <w:r>
        <w:rPr>
          <w:rFonts w:ascii="方正仿宋_GBK" w:hAnsi="Calibri" w:eastAsia="方正仿宋_GBK"/>
          <w:sz w:val="32"/>
          <w:szCs w:val="32"/>
        </w:rPr>
        <w:t>30</w:t>
      </w:r>
      <w:r>
        <w:rPr>
          <w:rFonts w:hint="eastAsia" w:ascii="方正仿宋_GBK" w:hAnsi="Calibri" w:eastAsia="方正仿宋_GBK"/>
          <w:sz w:val="32"/>
          <w:szCs w:val="32"/>
        </w:rPr>
        <w:t>-</w:t>
      </w:r>
      <w:r>
        <w:rPr>
          <w:rFonts w:ascii="方正仿宋_GBK" w:hAnsi="Calibri" w:eastAsia="方正仿宋_GBK"/>
          <w:sz w:val="32"/>
          <w:szCs w:val="32"/>
        </w:rPr>
        <w:t>31</w:t>
      </w:r>
      <w:r>
        <w:rPr>
          <w:rFonts w:hint="eastAsia" w:ascii="方正仿宋_GBK" w:hAnsi="Calibri" w:eastAsia="方正仿宋_GBK"/>
          <w:sz w:val="32"/>
          <w:szCs w:val="32"/>
        </w:rPr>
        <w:t>日，小到中雨。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val="en-US" w:eastAsia="zh-CN"/>
        </w:rPr>
        <w:t>自然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灾害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</w:rPr>
        <w:t>趋势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分析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（一）主要灾害分析。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地质灾害。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地质灾害发生频率总体较常年及去年偏高。需防范连续降雨导致岩土体强度降低发生变形而引起地质灾害。主要公路沿线危岩等高风险区域和其他地质灾害高易发区域等。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森林火灾。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林区枯枝、落叶等林下细小可燃物增多，遇到明火易燃烧，10月是进山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  <w:t>赏景游玩高峰期，尤其是国庆假期入林旅游人数激增，加之月中后期森林火险气象等级相对较高，火灾风险加大。农村正值秋耕秋播期，林区松材线虫病疫木除治化等生产活动频繁，林区、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林缘农事、生产和生活用火显著增加，管控难度大，易引发森林火灾。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 查治隐患严防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地灾。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各镇街、各相关部门要针对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4轮降雨过程，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提前针对重点领域、重点设施、重点区域，逐一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开展隐患排查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。要重点针对假期人员较密集的山林风景区地灾隐患点排查整治。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密切关注短临预警和实况降雨信息，做好预警和应急响应联动。特别要注意预警发布和应急行动的时效性，要确保及时“叫应”责任人。重点区域要提前做好群众转移准备，一旦收到预警，坚决果断处置，尽快组织转移避险，避免人员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 持续防范森林火灾。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认真贯彻落实市第2号总林长令，加强巡山守卡，严格执行扫码入林登记制度，做好进山入林人员管理，持续开展宣传教育、排查治理隐患和打击野外违规用火。重点关注国庆期间旅游景区、林区以及农林交错区野炊、烧烤等非生产性用火，松材线虫病疫木除治等生产用火，以及秋耕秋播烧灰积肥等农事用火管理。严格执行24小时专人值班和领导带班制度，落实重要情况随时报告要求，确保信息畅通。发生火情后，第一时间报送火情信息，迅速组织扑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 严防秋汛秋涝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区水利局要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做好水情的监测预报预警工作，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在确保防洪安全前提下，指导督促镇街科学蓄水保水，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加强水库堤坝维护巡查，强化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洪涝灾害防御工事。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严防秋汛。在严密关注各轮降雨过程的同时，区水利局和有关镇街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要高度关注上游过境洪水，及时开展联防联控，抓好秋汛防范，必要时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组织群众避险。高度关注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16-17日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强降雨天气，提前做好排涝各项应急准备。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 因时制宜秋收秋播。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各地应密切关注短期天气预报，抓住晴好天气，加快秋粮收晒；避开阴雨时段适时早播，同时加强在土作物水肥管理，田间湿度过大的地方，做好清沟理墒，减轻阴雨等不利天气影响。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Cs w:val="32"/>
          <w:lang w:eastAsia="zh-CN"/>
        </w:rPr>
        <w:t>安全生产风险分析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（一）道路交通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天气逐渐凉爽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，自驾游、乡村游、亲子游叠加，客流车流集中，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三超一疲劳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、酒驾醉驾、非法营运、违规运输等违法易发，事故风险高。临近年关，部分企业赶进度、抢效益，货车多拉快跑、超速超载、疲劳驾驶等增加，事故风险上升。阴雨天气增多，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容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易出现大雾，影响通行安全。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加强车流流量流向、事故规律特点等分析研判，提前做好应对准备，全面加强勤务部署、警力投放、交通疏导，严查各类违法行为，全力净化路面通行秩序，引导群众错峰出行。加强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两客一危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、城市公交、水上交通等专项治理，强化货车单位源头治理。全面整治道路隐患或采取临时性管控措施，坚决堵住安全漏洞，提升道路安全保障水平。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（二）建设施工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当前，重大项目抢时间、补损失，加快建设，公共设施工程、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矿产资源开采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、土地整治工程、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轨道交通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等全速推进，容易忽视安全。强降水天气易引发局地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阵性大风、短时强降水等强对流天气，容易诱发滑坡、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危岩（崩塌）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等地质灾害，影响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深基坑、高边坡、管沟（槽）等作业安全。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压实企业主体责任，加强监督检查和严格执法，健全风险辨识评估制度，强化从业人员安全教育，坚决防止因盲目赶工期、抢进度导致事故发生。做好极端天气安全管理，落实防范应对措施，强化对重点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>区域、重点部位、重点环节的隐患排查和巡查检查，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最大限度保护作业人员安全。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（三）文化旅游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秋季出行游玩人数多，景区人流量大，游乐设施设备故障、拥挤踩踏等安全风险较高。阵性大风、雷暴、短时强降水等强对流天气，易引发景区山洪、泥石流等地质灾害，可能增加文化旅游经营场所、文物保护单位等区域安全风险。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lang w:val="en-US" w:eastAsia="zh-CN"/>
        </w:rPr>
        <w:t>落实限量、预约、错峰等措施，配合相关部门加强玻璃栈道、游乐设施、特种设备等安全检查，杜绝带病运行。高度关注极端天气引发的灾害风险，加强研判预警和检查巡查，做好防范应对。加强安全宣传，引导群众合理规划出行，主动远离未开发景区、河沟等危险区域，提高避险逃生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（四）消防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为刺激消费，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>商业促销、节日旅游、庆典、展览等活动大量举办，大型商业综合体、旅游景区、餐饮娱乐、剧场影院、酒店民宿等人员密集，致灾因素增多，火灾风险较高。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>紧盯人员密集场所和仓储物流点，加大对锁闭安全出口、停用消防设施、违规用火用电等违法行为的检查执法力度，持续推进高层建筑、医疗养老机构、古镇古寨等消防专项整治。保持高等级勤务模式和战备状态，做好灭火应急救援准备，对不托底、不放心的区域和场所，前置力量、严防严守，全力确保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（五）危险化学品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风险分析：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>危化品易燃易爆、有毒有害，安全风险极高。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如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危化品仓库进水，引发遇湿易燃危化品燃烧爆炸，还可能造成防火堤、应急池等积水过多，降低事故应对能力。雷电对危化生产、储存设施和控制系统造成危害，可能引发控制失灵或造成事故。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应对措施：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  <w:lang w:val="en-US" w:eastAsia="zh-CN" w:bidi="ar"/>
        </w:rPr>
        <w:t>组织专家，对重点工艺、重大危险源和高后果区全覆盖开展隐患排查整治，严格落实油气罐区、剧毒储罐等重大危险源包保责任制，对动火、检维修等高危作业提级管理，防止发生爆炸等事故。加强危化品库房检查，做好防雨除湿准备。全面排查防雷防静电设施和电涌保护设施，确保接地可靠，运行良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16"/>
        <w:spacing w:before="294" w:beforeLines="50" w:beforeAutospacing="0"/>
        <w:rPr>
          <w:rFonts w:hint="eastAsia"/>
          <w:lang w:val="en-US" w:eastAsia="zh-CN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4" w:right="1446" w:bottom="1644" w:left="1446" w:header="851" w:footer="1531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F530C"/>
    <w:rsid w:val="00770B04"/>
    <w:rsid w:val="009F7A6B"/>
    <w:rsid w:val="00CA6517"/>
    <w:rsid w:val="020A1B34"/>
    <w:rsid w:val="022E79AF"/>
    <w:rsid w:val="02F87685"/>
    <w:rsid w:val="04516393"/>
    <w:rsid w:val="04932A12"/>
    <w:rsid w:val="04B26F15"/>
    <w:rsid w:val="04B56162"/>
    <w:rsid w:val="05674E88"/>
    <w:rsid w:val="05DC30F6"/>
    <w:rsid w:val="06FE2FB5"/>
    <w:rsid w:val="07873B84"/>
    <w:rsid w:val="07954E69"/>
    <w:rsid w:val="07D27728"/>
    <w:rsid w:val="086F4FE4"/>
    <w:rsid w:val="09C53C15"/>
    <w:rsid w:val="0A0A04AD"/>
    <w:rsid w:val="0A532128"/>
    <w:rsid w:val="0A9C4D6A"/>
    <w:rsid w:val="0B532611"/>
    <w:rsid w:val="0C2B0ECB"/>
    <w:rsid w:val="0C3356E5"/>
    <w:rsid w:val="0CF264C8"/>
    <w:rsid w:val="0D11026F"/>
    <w:rsid w:val="0D6B665E"/>
    <w:rsid w:val="0FA423BB"/>
    <w:rsid w:val="117F9720"/>
    <w:rsid w:val="11AA51D2"/>
    <w:rsid w:val="12080AD5"/>
    <w:rsid w:val="12637F37"/>
    <w:rsid w:val="13321221"/>
    <w:rsid w:val="137712D9"/>
    <w:rsid w:val="15332628"/>
    <w:rsid w:val="159140A8"/>
    <w:rsid w:val="15CB1F41"/>
    <w:rsid w:val="1679595D"/>
    <w:rsid w:val="16E10E48"/>
    <w:rsid w:val="16EB5DF2"/>
    <w:rsid w:val="16EF0F02"/>
    <w:rsid w:val="179E48C0"/>
    <w:rsid w:val="17B50DE3"/>
    <w:rsid w:val="17C00ED9"/>
    <w:rsid w:val="18707FB7"/>
    <w:rsid w:val="19295C86"/>
    <w:rsid w:val="19541CD4"/>
    <w:rsid w:val="19796614"/>
    <w:rsid w:val="1A1446B8"/>
    <w:rsid w:val="1A29253B"/>
    <w:rsid w:val="1AA90B48"/>
    <w:rsid w:val="1B3354D8"/>
    <w:rsid w:val="1C4477FE"/>
    <w:rsid w:val="1D035AAC"/>
    <w:rsid w:val="1D5423A3"/>
    <w:rsid w:val="1E205301"/>
    <w:rsid w:val="1EFF5ED9"/>
    <w:rsid w:val="1EFFAE50"/>
    <w:rsid w:val="1F85094E"/>
    <w:rsid w:val="1F862449"/>
    <w:rsid w:val="208214C7"/>
    <w:rsid w:val="20B729B4"/>
    <w:rsid w:val="226C35C6"/>
    <w:rsid w:val="241C6C69"/>
    <w:rsid w:val="244D4C2F"/>
    <w:rsid w:val="24906AC7"/>
    <w:rsid w:val="24BE2895"/>
    <w:rsid w:val="24D42E9C"/>
    <w:rsid w:val="26113208"/>
    <w:rsid w:val="26403C43"/>
    <w:rsid w:val="264B5F6F"/>
    <w:rsid w:val="27314E8F"/>
    <w:rsid w:val="27A81F2A"/>
    <w:rsid w:val="2809668C"/>
    <w:rsid w:val="28927A66"/>
    <w:rsid w:val="28A7625D"/>
    <w:rsid w:val="293959B2"/>
    <w:rsid w:val="299B7266"/>
    <w:rsid w:val="2A7C11EA"/>
    <w:rsid w:val="2A8E6BAF"/>
    <w:rsid w:val="2B176B69"/>
    <w:rsid w:val="2B9D2C95"/>
    <w:rsid w:val="2C1A69B7"/>
    <w:rsid w:val="2C2F1592"/>
    <w:rsid w:val="2C78378A"/>
    <w:rsid w:val="2C7E7ACE"/>
    <w:rsid w:val="2CE67DBD"/>
    <w:rsid w:val="2E4E35EE"/>
    <w:rsid w:val="2EF451CA"/>
    <w:rsid w:val="2F5D7348"/>
    <w:rsid w:val="2F9D2DA4"/>
    <w:rsid w:val="2FEC4A98"/>
    <w:rsid w:val="302E5E29"/>
    <w:rsid w:val="30C1374C"/>
    <w:rsid w:val="32172429"/>
    <w:rsid w:val="32873633"/>
    <w:rsid w:val="333B4E83"/>
    <w:rsid w:val="336477EC"/>
    <w:rsid w:val="33C55876"/>
    <w:rsid w:val="342A2FDE"/>
    <w:rsid w:val="34CE33D9"/>
    <w:rsid w:val="34DA30B0"/>
    <w:rsid w:val="35592EC1"/>
    <w:rsid w:val="35653B30"/>
    <w:rsid w:val="359E75AF"/>
    <w:rsid w:val="35CB162F"/>
    <w:rsid w:val="36B10744"/>
    <w:rsid w:val="36DF25A2"/>
    <w:rsid w:val="36ED5020"/>
    <w:rsid w:val="370241CD"/>
    <w:rsid w:val="37E156C2"/>
    <w:rsid w:val="3805325A"/>
    <w:rsid w:val="380B3D94"/>
    <w:rsid w:val="391B78F7"/>
    <w:rsid w:val="3A0F247A"/>
    <w:rsid w:val="3A266352"/>
    <w:rsid w:val="3A414C2F"/>
    <w:rsid w:val="3A5A17A9"/>
    <w:rsid w:val="3ABD6A94"/>
    <w:rsid w:val="3AF87C1F"/>
    <w:rsid w:val="3B362DBF"/>
    <w:rsid w:val="3B602CC9"/>
    <w:rsid w:val="3BFB1946"/>
    <w:rsid w:val="3BFC20B0"/>
    <w:rsid w:val="3C540F07"/>
    <w:rsid w:val="3C6F089D"/>
    <w:rsid w:val="3E5255F2"/>
    <w:rsid w:val="3F8F660D"/>
    <w:rsid w:val="3FFDB6E0"/>
    <w:rsid w:val="401E507D"/>
    <w:rsid w:val="40B71FFC"/>
    <w:rsid w:val="41BA52EF"/>
    <w:rsid w:val="424D1C4B"/>
    <w:rsid w:val="431D47D6"/>
    <w:rsid w:val="44563372"/>
    <w:rsid w:val="446959C3"/>
    <w:rsid w:val="461964F4"/>
    <w:rsid w:val="46870DFF"/>
    <w:rsid w:val="46D17AA5"/>
    <w:rsid w:val="479C5555"/>
    <w:rsid w:val="47BB66B0"/>
    <w:rsid w:val="48535754"/>
    <w:rsid w:val="49BFE568"/>
    <w:rsid w:val="4A1C7EE2"/>
    <w:rsid w:val="4A1F161C"/>
    <w:rsid w:val="4A2C7A6E"/>
    <w:rsid w:val="4A4D29E4"/>
    <w:rsid w:val="4A6E0CE4"/>
    <w:rsid w:val="4AFF0D1E"/>
    <w:rsid w:val="4B05332E"/>
    <w:rsid w:val="4B1473D8"/>
    <w:rsid w:val="4B697D1E"/>
    <w:rsid w:val="4B8C03D0"/>
    <w:rsid w:val="4B8E0F38"/>
    <w:rsid w:val="4C14559F"/>
    <w:rsid w:val="4C6C1797"/>
    <w:rsid w:val="4C7476E7"/>
    <w:rsid w:val="4E763A70"/>
    <w:rsid w:val="4F6BFC43"/>
    <w:rsid w:val="4F7EC9DE"/>
    <w:rsid w:val="4FCE5BDD"/>
    <w:rsid w:val="52416D13"/>
    <w:rsid w:val="52EE46DC"/>
    <w:rsid w:val="54731D53"/>
    <w:rsid w:val="55076C18"/>
    <w:rsid w:val="5564595C"/>
    <w:rsid w:val="55B44473"/>
    <w:rsid w:val="55F768B1"/>
    <w:rsid w:val="566037C9"/>
    <w:rsid w:val="57742F82"/>
    <w:rsid w:val="57E34A00"/>
    <w:rsid w:val="58160E36"/>
    <w:rsid w:val="58AE2A7A"/>
    <w:rsid w:val="59623489"/>
    <w:rsid w:val="599D237C"/>
    <w:rsid w:val="59D672F3"/>
    <w:rsid w:val="59DB7637"/>
    <w:rsid w:val="5A810B1C"/>
    <w:rsid w:val="5A8C3DDC"/>
    <w:rsid w:val="5AA27FE8"/>
    <w:rsid w:val="5B1270F2"/>
    <w:rsid w:val="5B31582C"/>
    <w:rsid w:val="5BFF6B5B"/>
    <w:rsid w:val="5C220DB4"/>
    <w:rsid w:val="5C932B07"/>
    <w:rsid w:val="5DA71338"/>
    <w:rsid w:val="5EDE0946"/>
    <w:rsid w:val="5F6F242A"/>
    <w:rsid w:val="5F7B3FA5"/>
    <w:rsid w:val="5FB23211"/>
    <w:rsid w:val="5FB658AC"/>
    <w:rsid w:val="5FFB1FEB"/>
    <w:rsid w:val="6020273E"/>
    <w:rsid w:val="6026765D"/>
    <w:rsid w:val="60822CD4"/>
    <w:rsid w:val="60C523AA"/>
    <w:rsid w:val="616F530C"/>
    <w:rsid w:val="629E52C8"/>
    <w:rsid w:val="640C5D1E"/>
    <w:rsid w:val="6415783F"/>
    <w:rsid w:val="66FF10DF"/>
    <w:rsid w:val="67012DC0"/>
    <w:rsid w:val="67250A4D"/>
    <w:rsid w:val="679F02D2"/>
    <w:rsid w:val="67B4712D"/>
    <w:rsid w:val="67CB0A94"/>
    <w:rsid w:val="684C2626"/>
    <w:rsid w:val="68D957C1"/>
    <w:rsid w:val="6A6B6753"/>
    <w:rsid w:val="6B102E07"/>
    <w:rsid w:val="6C250C8F"/>
    <w:rsid w:val="6C7F3AB0"/>
    <w:rsid w:val="6CE55202"/>
    <w:rsid w:val="6CFF6FF2"/>
    <w:rsid w:val="6D193830"/>
    <w:rsid w:val="6EE36A47"/>
    <w:rsid w:val="6F504EDE"/>
    <w:rsid w:val="6F6E7754"/>
    <w:rsid w:val="6F7839AD"/>
    <w:rsid w:val="6F862D98"/>
    <w:rsid w:val="6FAEF967"/>
    <w:rsid w:val="6FD960A9"/>
    <w:rsid w:val="6FFFD390"/>
    <w:rsid w:val="700E110D"/>
    <w:rsid w:val="70815F25"/>
    <w:rsid w:val="70831694"/>
    <w:rsid w:val="70C12048"/>
    <w:rsid w:val="71241035"/>
    <w:rsid w:val="71386069"/>
    <w:rsid w:val="718D3617"/>
    <w:rsid w:val="71A20F59"/>
    <w:rsid w:val="71D7B345"/>
    <w:rsid w:val="7209593D"/>
    <w:rsid w:val="72A761E5"/>
    <w:rsid w:val="72B41A85"/>
    <w:rsid w:val="73204481"/>
    <w:rsid w:val="73E55D77"/>
    <w:rsid w:val="7413136A"/>
    <w:rsid w:val="74195CA2"/>
    <w:rsid w:val="7642518F"/>
    <w:rsid w:val="765844F1"/>
    <w:rsid w:val="76614F3B"/>
    <w:rsid w:val="766E1572"/>
    <w:rsid w:val="771570BF"/>
    <w:rsid w:val="77841DBD"/>
    <w:rsid w:val="779394E3"/>
    <w:rsid w:val="77980767"/>
    <w:rsid w:val="784C10A4"/>
    <w:rsid w:val="78BF191B"/>
    <w:rsid w:val="793B775F"/>
    <w:rsid w:val="79813C69"/>
    <w:rsid w:val="798A17F7"/>
    <w:rsid w:val="79B16810"/>
    <w:rsid w:val="79FD63A6"/>
    <w:rsid w:val="7ACF5878"/>
    <w:rsid w:val="7AFECF49"/>
    <w:rsid w:val="7B0B691F"/>
    <w:rsid w:val="7BBF3D81"/>
    <w:rsid w:val="7BC26C98"/>
    <w:rsid w:val="7BDFE175"/>
    <w:rsid w:val="7BED2A5A"/>
    <w:rsid w:val="7BFB5005"/>
    <w:rsid w:val="7C5B4C28"/>
    <w:rsid w:val="7DB9DF21"/>
    <w:rsid w:val="7DF1AA41"/>
    <w:rsid w:val="7EEA4311"/>
    <w:rsid w:val="7F034FD4"/>
    <w:rsid w:val="7FA63CCD"/>
    <w:rsid w:val="7FDC735C"/>
    <w:rsid w:val="8FB8D8E0"/>
    <w:rsid w:val="9DEF7B80"/>
    <w:rsid w:val="AAC92594"/>
    <w:rsid w:val="ADE1934E"/>
    <w:rsid w:val="B4ED00CB"/>
    <w:rsid w:val="BAF5728F"/>
    <w:rsid w:val="BF3BFD75"/>
    <w:rsid w:val="BF7A2FEC"/>
    <w:rsid w:val="BF7B8981"/>
    <w:rsid w:val="C06FDCAA"/>
    <w:rsid w:val="C7739091"/>
    <w:rsid w:val="D975BB88"/>
    <w:rsid w:val="D9FD4447"/>
    <w:rsid w:val="EACC917C"/>
    <w:rsid w:val="EE8D7610"/>
    <w:rsid w:val="EEA7FC2B"/>
    <w:rsid w:val="EFD8103E"/>
    <w:rsid w:val="EFFEEFA5"/>
    <w:rsid w:val="F27F0604"/>
    <w:rsid w:val="F59F42C6"/>
    <w:rsid w:val="F6FD7E48"/>
    <w:rsid w:val="F79BB2F1"/>
    <w:rsid w:val="FAFC62CD"/>
    <w:rsid w:val="FAFC67BC"/>
    <w:rsid w:val="FB6F5398"/>
    <w:rsid w:val="FB7F402B"/>
    <w:rsid w:val="FC1B2E41"/>
    <w:rsid w:val="FEDF9C54"/>
    <w:rsid w:val="FF37AB90"/>
    <w:rsid w:val="FFD3F201"/>
    <w:rsid w:val="FFD68CBF"/>
    <w:rsid w:val="FFE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1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caption"/>
    <w:basedOn w:val="1"/>
    <w:next w:val="1"/>
    <w:unhideWhenUsed/>
    <w:qFormat/>
    <w:uiPriority w:val="1"/>
    <w:rPr>
      <w:rFonts w:ascii="等线 Light" w:hAnsi="等线 Light" w:eastAsia="黑体"/>
      <w:sz w:val="2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Calibri" w:hAnsi="Calibri" w:eastAsia="宋体" w:cs="Times New Roman"/>
    </w:rPr>
  </w:style>
  <w:style w:type="paragraph" w:customStyle="1" w:styleId="1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7">
    <w:name w:val="fontstyle01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styleId="18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2&#24180;&#20943;&#28798;&#31185;\&#38108;&#20943;&#21150;&#12308;2022&#12309;8&#21495;&#20851;&#20110;&#21360;&#21457;6&#26376;&#33258;&#28982;&#28798;&#23475;&#36235;&#21183;&#20998;&#26512;&#30340;&#36890;&#3069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铜减办〔2022〕8号关于印发6月自然灾害趋势分析的通知.docx</Template>
  <Pages>8</Pages>
  <Words>2672</Words>
  <Characters>2731</Characters>
  <Lines>0</Lines>
  <Paragraphs>0</Paragraphs>
  <TotalTime>0</TotalTime>
  <ScaleCrop>false</ScaleCrop>
  <LinksUpToDate>false</LinksUpToDate>
  <CharactersWithSpaces>2789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2022-07-04T07:28:00Z</dcterms:created>
  <dc:creator>Administrator</dc:creator>
  <cp:lastModifiedBy>ASUS</cp:lastModifiedBy>
  <cp:lastPrinted>2022-10-08T08:58:00Z</cp:lastPrinted>
  <dcterms:modified xsi:type="dcterms:W3CDTF">2023-12-28T02:45:46Z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0F21F0D1E3E447BD80F1A987EAB614BA</vt:lpwstr>
  </property>
  <property fmtid="{D5CDD505-2E9C-101B-9397-08002B2CF9AE}" pid="4" name="KSOSaveFontToCloudKey">
    <vt:lpwstr>769107398_btnclosed</vt:lpwstr>
  </property>
</Properties>
</file>