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Toc22205"/>
      <w:bookmarkStart w:id="1" w:name="_Toc2100"/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734" w:afterLines="126"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line="579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铜安办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〕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号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重庆市铜梁区安全生产委员会办公室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ascii="方正小标宋_GBK" w:eastAsia="方正小标宋_GBK"/>
          <w:color w:val="auto"/>
          <w:spacing w:val="34"/>
          <w:sz w:val="44"/>
          <w:szCs w:val="44"/>
        </w:rPr>
      </w:pPr>
      <w:r>
        <w:rPr>
          <w:rFonts w:hint="eastAsia" w:ascii="方正小标宋_GBK" w:eastAsia="方正小标宋_GBK"/>
          <w:color w:val="auto"/>
          <w:spacing w:val="34"/>
          <w:sz w:val="44"/>
          <w:szCs w:val="44"/>
        </w:rPr>
        <w:t>重庆市铜梁区减灾委员会办公室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百日行动保百年大庆工作十条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措施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</w:rPr>
        <w:t>各镇人民政府、街道办事处，各管委会，</w:t>
      </w:r>
      <w:r>
        <w:rPr>
          <w:rFonts w:hint="eastAsia" w:ascii="方正仿宋_GBK" w:hAnsi="方正仿宋_GBK" w:eastAsia="方正仿宋_GBK" w:cs="方正仿宋_GBK"/>
          <w:color w:val="auto"/>
          <w:kern w:val="32"/>
          <w:szCs w:val="32"/>
        </w:rPr>
        <w:t>区安委会、区减灾委成员单位，各有关单位：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decimal"/>
          <w:cols w:space="0" w:num="1"/>
          <w:docGrid w:type="linesAndChars" w:linePitch="579" w:charSpace="-842"/>
        </w:sect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近期，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安委会、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减灾委印发了《关于聚焦“两重大一突出”深入开展大排查大整治大执法百日行动为建党100周年营造安全稳定环境的通知》（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  <w:lang w:eastAsia="zh-CN"/>
        </w:rPr>
        <w:t>铜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安委〔2021〕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号），在全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启动大排查大整治大执法百日行动，消隐患、防事故，全力以赴</w:t>
      </w:r>
      <w:r>
        <w:rPr>
          <w:rFonts w:hint="eastAsia" w:ascii="方正仿宋_GBK" w:hAnsi="方正仿宋_GBK" w:eastAsia="方正仿宋_GBK" w:cs="方正仿宋_GBK"/>
          <w:color w:val="auto"/>
          <w:kern w:val="32"/>
          <w:szCs w:val="32"/>
        </w:rPr>
        <w:t>为建党100周年营造良好的安全稳定环境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32"/>
        </w:rPr>
        <w:t>。为确保百日行动干起来、落下去、见实效，按照4月29日全市安全生产与自然灾害防治工作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会议部署和区领导指示要求，现提出十条措施办法，作为落实百日行动的基本要求和行动规范，请认真严格抓好贯彻执行。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一、安排部署——“一文一会”抓广泛发动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各镇街、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各部门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、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各单位（包括10人以上企业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，相关行业部门和属地镇街要督促指导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），要专题安排部署百日行动，制定百日行动保百年大庆工作方案，召开动员部署会议。要讲清楚“百日行动保百年大庆”的为什么、干什么、怎么干，让干部群众明白重要性和操作办法措施。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二、宣传造势——用好三个工具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广泛发动干部群众积极参与，营造百日行动保百年大庆“人人关心、人人知晓、人人参与”的良好声势。一是标语宣传，企业车间、物业小区、村居社区，每个基层单位都要张贴三条以上标语。二是举行新闻发布会，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安委会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将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与宣传部门联合举行新闻发布会。三是用好宣传平台，争取做到电视台、报纸、官网每日一条新闻或工作动态。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三、责任到人——责任人头、尽职标准、公示上榜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做到明确责任人头、明晰尽职标准、明文公示上榜。重大危险源、重大危险工艺、重大隐患、重要水利设施和防洪薄弱点、重点林区和重大地灾点，都要明确行政区负责人、行业监管部门负责人、企业单位责任人“三个责任人”，上榜公示、公开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四、尽职尽责——抓好三个层面“日周月”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一是企业要落实“日周月”隐患排查，严格开展班组日排查、车间部门周排查、厂长经理月排查。二是部门要做到“日周月”监管执法，科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室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每日检查执法、分管负责人每周带队检查执法、主要负责人每月检查执法。三是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镇街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领导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要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履行“一岗双责”要做到“日周月”调度，每日了解掌握、每周协调调度、每月检查督查。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8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w w:val="98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w w:val="98"/>
          <w:kern w:val="0"/>
          <w:szCs w:val="32"/>
        </w:rPr>
        <w:t>五、督查警示——明查暗访、警示曝光、月度排名、末位发言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一是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区安委办、区减灾办和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行业部门建立综合督查组，每月开展百日行动督查，集中力量、走出机关、深入基层、协调检查、严格执法。二是重点督查企业、部门、政府三个层面负责人开展“日周月”工作和深入基层、协同检查、严格执法情况。三是采取“四不两直”明查暗访方式，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对履职不到位，责任不落实的单位进行通报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六、严格执法——执法清零、执法强度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级负有安全生产监督管理职责的部门，要在执法“清零”的基础上，提升执法强度和执法质量。对生产安全事故和重大危险源、重大安全隐患、突出违法行为，要实行“一案双查”“三责同追”“行刑结合”，依法从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七、群众举报——公示电话、明确内容、广泛发动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分行业公示举报电话、明确举报内容、标明举报奖金、广泛宣传告示，把群众发动起来，把群众变成安监员。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八、诚信管理——联合惩戒、“黑名单”约束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对事故责任企业和突出违法行为，纳入政府诚信管理平台，实行多部门联合惩戒。尤其是对发生较大及以上事故或一年内发生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二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次一般事故或瞒报事故的企业单位，一律上“黑名单”，严格实行企业招标、政府许可、金融服务等约束惩戒和企业负责人约束管理。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九、节点“五在”——坚守岗位、尽职尽责、严防死守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强化政治担当和作风要求，“七一”集中庆祝活动期间，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各镇街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各部门监管干部、企业负责人要坚守岗位、尽职尽责，</w:t>
      </w:r>
      <w:r>
        <w:rPr>
          <w:rFonts w:hint="eastAsia" w:ascii="方正仿宋_GBK" w:hAnsi="ˎ̥" w:cs="宋体"/>
          <w:color w:val="auto"/>
          <w:kern w:val="0"/>
          <w:szCs w:val="32"/>
          <w:lang w:eastAsia="zh-CN"/>
        </w:rPr>
        <w:t>时刻保持在岗位在现场在状态</w:t>
      </w:r>
      <w:r>
        <w:rPr>
          <w:rFonts w:hint="eastAsia" w:ascii="方正仿宋_GBK" w:hAnsi="宋体" w:cs="宋体"/>
          <w:color w:val="auto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黑体_GBK" w:hAnsi="方正黑体_GBK" w:eastAsia="方正黑体_GBK" w:cs="方正黑体_GBK"/>
          <w:color w:val="auto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Cs w:val="32"/>
        </w:rPr>
        <w:t>十、专家服务——“十百千”安全服务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方正仿宋_GBK" w:cs="方正仿宋_GBK"/>
          <w:color w:val="auto"/>
          <w:kern w:val="0"/>
          <w:szCs w:val="32"/>
        </w:rPr>
      </w:pPr>
      <w:r>
        <w:rPr>
          <w:rFonts w:hint="eastAsia" w:ascii="方正仿宋_GBK" w:hAnsi="方正仿宋_GBK" w:cs="方正仿宋_GBK"/>
          <w:color w:val="auto"/>
          <w:kern w:val="0"/>
          <w:szCs w:val="32"/>
        </w:rPr>
        <w:t>针对10个重点行业领域，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区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安委会、减灾委将组织专家深入</w:t>
      </w:r>
      <w:r>
        <w:rPr>
          <w:rFonts w:hint="eastAsia" w:ascii="方正仿宋_GBK" w:hAnsi="方正仿宋_GBK" w:cs="方正仿宋_GBK"/>
          <w:color w:val="auto"/>
          <w:kern w:val="0"/>
          <w:szCs w:val="32"/>
          <w:lang w:eastAsia="zh-CN"/>
        </w:rPr>
        <w:t>企业</w:t>
      </w:r>
      <w:r>
        <w:rPr>
          <w:rFonts w:hint="eastAsia" w:ascii="方正仿宋_GBK" w:hAnsi="方正仿宋_GBK" w:cs="方正仿宋_GBK"/>
          <w:color w:val="auto"/>
          <w:kern w:val="0"/>
          <w:szCs w:val="32"/>
        </w:rPr>
        <w:t>帮助培训和诊断检查，指导制定整改措施和提升方案。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ascii="方正仿宋_GBK" w:hAnsi="宋体" w:cs="宋体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ascii="方正仿宋_GBK" w:hAnsi="宋体" w:cs="宋体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ascii="方正仿宋_GBK" w:hAnsi="宋体" w:cs="宋体"/>
          <w:color w:val="auto"/>
          <w:w w:val="90"/>
          <w:kern w:val="0"/>
          <w:szCs w:val="32"/>
        </w:rPr>
      </w:pPr>
      <w:r>
        <w:rPr>
          <w:rFonts w:hint="eastAsia" w:ascii="方正仿宋_GBK" w:hAnsi="宋体" w:cs="宋体"/>
          <w:color w:val="auto"/>
          <w:w w:val="90"/>
          <w:kern w:val="0"/>
          <w:szCs w:val="32"/>
        </w:rPr>
        <w:t>重庆市铜梁区安全生产委员会办公室  重庆市铜梁区减灾委员会办公室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1264" w:rightChars="400"/>
        <w:jc w:val="both"/>
        <w:textAlignment w:val="auto"/>
        <w:rPr>
          <w:rFonts w:ascii="方正仿宋_GBK" w:hAnsi="宋体" w:cs="宋体"/>
          <w:color w:val="auto"/>
          <w:kern w:val="0"/>
          <w:szCs w:val="32"/>
        </w:rPr>
      </w:pPr>
      <w:r>
        <w:rPr>
          <w:rFonts w:hint="eastAsia" w:ascii="方正仿宋_GBK" w:hAnsi="宋体" w:cs="宋体"/>
          <w:color w:val="auto"/>
          <w:kern w:val="0"/>
          <w:szCs w:val="32"/>
        </w:rPr>
        <w:t xml:space="preserve">                              </w:t>
      </w:r>
      <w:r>
        <w:rPr>
          <w:rFonts w:hint="eastAsia" w:ascii="方正仿宋_GBK" w:hAnsi="宋体" w:cs="宋体"/>
          <w:color w:val="auto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宋体" w:cs="宋体"/>
          <w:color w:val="auto"/>
          <w:kern w:val="0"/>
          <w:szCs w:val="32"/>
        </w:rPr>
        <w:t xml:space="preserve"> 2021年</w:t>
      </w:r>
      <w:r>
        <w:rPr>
          <w:rFonts w:hint="eastAsia" w:ascii="方正仿宋_GBK" w:hAnsi="宋体" w:cs="宋体"/>
          <w:color w:val="auto"/>
          <w:kern w:val="0"/>
          <w:szCs w:val="32"/>
          <w:lang w:val="en-US" w:eastAsia="zh-CN"/>
        </w:rPr>
        <w:t>5</w:t>
      </w:r>
      <w:r>
        <w:rPr>
          <w:rFonts w:hint="eastAsia" w:ascii="方正仿宋_GBK" w:hAnsi="宋体" w:cs="宋体"/>
          <w:color w:val="auto"/>
          <w:kern w:val="0"/>
          <w:szCs w:val="32"/>
        </w:rPr>
        <w:t>月</w:t>
      </w:r>
      <w:r>
        <w:rPr>
          <w:rFonts w:hint="eastAsia" w:ascii="方正仿宋_GBK" w:hAnsi="宋体" w:cs="宋体"/>
          <w:color w:val="auto"/>
          <w:kern w:val="0"/>
          <w:szCs w:val="32"/>
          <w:lang w:val="en-US" w:eastAsia="zh-CN"/>
        </w:rPr>
        <w:t>6</w:t>
      </w:r>
      <w:r>
        <w:rPr>
          <w:rFonts w:hint="eastAsia" w:ascii="方正仿宋_GBK" w:hAnsi="宋体" w:cs="宋体"/>
          <w:color w:val="auto"/>
          <w:kern w:val="0"/>
          <w:szCs w:val="32"/>
        </w:rPr>
        <w:t>日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eastAsia="方正仿宋_GBK"/>
          <w:color w:val="auto"/>
          <w:lang w:eastAsia="zh-CN"/>
        </w:rPr>
      </w:pPr>
      <w:bookmarkStart w:id="2" w:name="_GoBack"/>
      <w:bookmarkEnd w:id="2"/>
      <w:r>
        <w:rPr>
          <w:rFonts w:hint="eastAsia"/>
          <w:color w:val="auto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/>
          <w:color w:val="auto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/>
          <w:color w:val="auto"/>
        </w:rPr>
      </w:pPr>
    </w:p>
    <w:sectPr>
      <w:footerReference r:id="rId5" w:type="default"/>
      <w:footerReference r:id="rId6" w:type="even"/>
      <w:pgSz w:w="11906" w:h="16838"/>
      <w:pgMar w:top="1984" w:right="1446" w:bottom="1644" w:left="1446" w:header="851" w:footer="1531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80" w:firstLineChars="1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EA"/>
    <w:rsid w:val="000229DD"/>
    <w:rsid w:val="001652B9"/>
    <w:rsid w:val="00254A60"/>
    <w:rsid w:val="002B65EA"/>
    <w:rsid w:val="002D044B"/>
    <w:rsid w:val="002F609E"/>
    <w:rsid w:val="003122BD"/>
    <w:rsid w:val="003634DC"/>
    <w:rsid w:val="003B5F34"/>
    <w:rsid w:val="00407D5A"/>
    <w:rsid w:val="00417F84"/>
    <w:rsid w:val="00433E1F"/>
    <w:rsid w:val="004A5B2F"/>
    <w:rsid w:val="00615E44"/>
    <w:rsid w:val="006A507E"/>
    <w:rsid w:val="0071243D"/>
    <w:rsid w:val="00773FD4"/>
    <w:rsid w:val="00790B2E"/>
    <w:rsid w:val="007C7D4B"/>
    <w:rsid w:val="007E0F32"/>
    <w:rsid w:val="007F2547"/>
    <w:rsid w:val="00837331"/>
    <w:rsid w:val="008B2D02"/>
    <w:rsid w:val="008B5675"/>
    <w:rsid w:val="008D4F26"/>
    <w:rsid w:val="009A3678"/>
    <w:rsid w:val="009B5796"/>
    <w:rsid w:val="009C5E51"/>
    <w:rsid w:val="009C76C1"/>
    <w:rsid w:val="00A034B1"/>
    <w:rsid w:val="00A0398D"/>
    <w:rsid w:val="00A07B69"/>
    <w:rsid w:val="00AA255F"/>
    <w:rsid w:val="00AC316F"/>
    <w:rsid w:val="00B845F5"/>
    <w:rsid w:val="00BF5A35"/>
    <w:rsid w:val="00C61151"/>
    <w:rsid w:val="00C80485"/>
    <w:rsid w:val="00CB2402"/>
    <w:rsid w:val="00CF7959"/>
    <w:rsid w:val="00DB378B"/>
    <w:rsid w:val="00EA6B32"/>
    <w:rsid w:val="04871A30"/>
    <w:rsid w:val="08800FD2"/>
    <w:rsid w:val="08D77A6E"/>
    <w:rsid w:val="0936105F"/>
    <w:rsid w:val="0AF76C24"/>
    <w:rsid w:val="0B910D29"/>
    <w:rsid w:val="0C1241FB"/>
    <w:rsid w:val="0D4B45F8"/>
    <w:rsid w:val="0DAB4C18"/>
    <w:rsid w:val="0DDE390B"/>
    <w:rsid w:val="13A706AF"/>
    <w:rsid w:val="15B32D40"/>
    <w:rsid w:val="162262B5"/>
    <w:rsid w:val="173E1BDC"/>
    <w:rsid w:val="19BD3B5F"/>
    <w:rsid w:val="1A7C4A95"/>
    <w:rsid w:val="1B565F4D"/>
    <w:rsid w:val="1E3A0084"/>
    <w:rsid w:val="206A1A48"/>
    <w:rsid w:val="20DB566A"/>
    <w:rsid w:val="222E4797"/>
    <w:rsid w:val="236B026A"/>
    <w:rsid w:val="23A02DB8"/>
    <w:rsid w:val="25003B26"/>
    <w:rsid w:val="28126C60"/>
    <w:rsid w:val="2C8D0CA2"/>
    <w:rsid w:val="2CB83AA9"/>
    <w:rsid w:val="2DA14822"/>
    <w:rsid w:val="2EB8168E"/>
    <w:rsid w:val="3467339F"/>
    <w:rsid w:val="35397F73"/>
    <w:rsid w:val="37E854FE"/>
    <w:rsid w:val="39F10F88"/>
    <w:rsid w:val="3A040AAA"/>
    <w:rsid w:val="3B8D2DF6"/>
    <w:rsid w:val="3BC36A9B"/>
    <w:rsid w:val="3D5810AB"/>
    <w:rsid w:val="40382886"/>
    <w:rsid w:val="44603F9A"/>
    <w:rsid w:val="447A08A0"/>
    <w:rsid w:val="45096534"/>
    <w:rsid w:val="45575F3A"/>
    <w:rsid w:val="46E80FFB"/>
    <w:rsid w:val="47436309"/>
    <w:rsid w:val="47AA1491"/>
    <w:rsid w:val="483F157A"/>
    <w:rsid w:val="49FB2B87"/>
    <w:rsid w:val="4CC670B3"/>
    <w:rsid w:val="4E325579"/>
    <w:rsid w:val="4F111AD0"/>
    <w:rsid w:val="4FEE7331"/>
    <w:rsid w:val="50A43843"/>
    <w:rsid w:val="532061C3"/>
    <w:rsid w:val="55D60CC1"/>
    <w:rsid w:val="56325FA0"/>
    <w:rsid w:val="56BD1240"/>
    <w:rsid w:val="595551AD"/>
    <w:rsid w:val="5B297842"/>
    <w:rsid w:val="5BE10964"/>
    <w:rsid w:val="5DBF3E3C"/>
    <w:rsid w:val="5E322B6E"/>
    <w:rsid w:val="5FAE1551"/>
    <w:rsid w:val="60BE454E"/>
    <w:rsid w:val="61750F09"/>
    <w:rsid w:val="6421519E"/>
    <w:rsid w:val="64843493"/>
    <w:rsid w:val="650D0C06"/>
    <w:rsid w:val="674B6589"/>
    <w:rsid w:val="68917A66"/>
    <w:rsid w:val="69D919CF"/>
    <w:rsid w:val="6A0B1E0E"/>
    <w:rsid w:val="6CFB5536"/>
    <w:rsid w:val="6E843B19"/>
    <w:rsid w:val="740B27F3"/>
    <w:rsid w:val="7550121A"/>
    <w:rsid w:val="75901E1C"/>
    <w:rsid w:val="76F30E4D"/>
    <w:rsid w:val="77CB0B30"/>
    <w:rsid w:val="79B36B8D"/>
    <w:rsid w:val="79C134A9"/>
    <w:rsid w:val="7A414B1F"/>
    <w:rsid w:val="7A4644BB"/>
    <w:rsid w:val="7CF33478"/>
    <w:rsid w:val="7D58764C"/>
    <w:rsid w:val="7E512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4"/>
    <w:qFormat/>
    <w:uiPriority w:val="0"/>
    <w:rPr>
      <w:rFonts w:ascii="Calibri" w:hAnsi="Calibri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  <w:rPr>
      <w:rFonts w:eastAsia="方正仿宋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260</Words>
  <Characters>1487</Characters>
  <Lines>12</Lines>
  <Paragraphs>3</Paragraphs>
  <TotalTime>0</TotalTime>
  <ScaleCrop>false</ScaleCrop>
  <LinksUpToDate>false</LinksUpToDate>
  <CharactersWithSpaces>1744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2020-07-07T02:48:00Z</dcterms:created>
  <dc:creator>卢峰</dc:creator>
  <cp:lastModifiedBy>ASUS</cp:lastModifiedBy>
  <cp:lastPrinted>2021-05-06T03:31:00Z</cp:lastPrinted>
  <dcterms:modified xsi:type="dcterms:W3CDTF">2023-12-27T09:38:25Z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2637085DB1D54A4CB8DCB08B10FE09EC</vt:lpwstr>
  </property>
</Properties>
</file>