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val="0"/>
          <w:bCs/>
          <w:sz w:val="32"/>
          <w:szCs w:val="32"/>
          <w:u w:val="none"/>
        </w:rPr>
      </w:pPr>
      <w:r>
        <w:rPr>
          <w:rFonts w:hint="eastAsia" w:ascii="方正小标宋_GBK" w:hAnsi="方正小标宋_GBK" w:eastAsia="方正小标宋_GBK" w:cs="方正小标宋_GBK"/>
          <w:b w:val="0"/>
          <w:bCs/>
          <w:sz w:val="32"/>
          <w:szCs w:val="32"/>
          <w:u w:val="none"/>
        </w:rPr>
        <w:t>安全生产行政执法文书</w:t>
      </w:r>
    </w:p>
    <w:p>
      <w:pPr>
        <w:spacing w:line="600" w:lineRule="exact"/>
        <w:jc w:val="center"/>
        <w:rPr>
          <w:rFonts w:hint="eastAsia" w:ascii="方正小标宋_GBK" w:hAnsi="方正小标宋_GBK" w:eastAsia="方正小标宋_GBK" w:cs="方正小标宋_GBK"/>
          <w:b w:val="0"/>
          <w:bCs/>
          <w:sz w:val="32"/>
          <w:szCs w:val="32"/>
          <w:u w:val="none"/>
        </w:rPr>
      </w:pPr>
      <w:r>
        <w:rPr>
          <w:rFonts w:hint="eastAsia" w:ascii="方正小标宋_GBK" w:hAnsi="方正小标宋_GBK" w:eastAsia="方正小标宋_GBK" w:cs="方正小标宋_GBK"/>
          <w:b w:val="0"/>
          <w:bCs/>
          <w:sz w:val="32"/>
          <w:szCs w:val="32"/>
          <w:u w:val="none"/>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E3sd/NAAAAAgEAAA8AAAAAAAAAAQAgAAAAIgAA&#10;AGRycy9kb3ducmV2LnhtbFBLAQIUABQAAAAIAIdO4kDk5ek92gEAAIIDAAAOAAAAAAAAAAEAIAAA&#10;ABwBAABkcnMvZTJvRG9jLnhtbFBLBQYAAAAABgAGAFkBAABo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val="0"/>
          <w:bCs/>
          <w:sz w:val="32"/>
          <w:szCs w:val="32"/>
          <w:u w:val="none"/>
        </w:rPr>
        <w:t>行政处罚决定书</w:t>
      </w:r>
    </w:p>
    <w:p>
      <w:pPr>
        <w:pStyle w:val="5"/>
        <w:ind w:firstLine="1600" w:firstLineChars="500"/>
        <w:jc w:val="both"/>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eastAsia="zh-CN"/>
        </w:rPr>
        <w:t>铜</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eastAsia="zh-CN"/>
        </w:rPr>
        <w:t>应急</w:t>
      </w:r>
      <w:r>
        <w:rPr>
          <w:rFonts w:hint="eastAsia" w:ascii="方正仿宋_GBK" w:hAnsi="方正仿宋_GBK" w:eastAsia="方正仿宋_GBK" w:cs="方正仿宋_GBK"/>
          <w:sz w:val="32"/>
          <w:szCs w:val="32"/>
          <w:u w:val="none"/>
        </w:rPr>
        <w:t>罚〔</w:t>
      </w:r>
      <w:r>
        <w:rPr>
          <w:rFonts w:hint="eastAsia" w:ascii="方正仿宋_GBK" w:hAnsi="方正仿宋_GBK" w:eastAsia="方正仿宋_GBK" w:cs="方正仿宋_GBK"/>
          <w:sz w:val="32"/>
          <w:szCs w:val="32"/>
          <w:u w:val="none"/>
          <w:lang w:val="en-US" w:eastAsia="zh-CN"/>
        </w:rPr>
        <w:t>2024</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val="en-US" w:eastAsia="zh-CN"/>
        </w:rPr>
        <w:t>执3-1</w:t>
      </w:r>
      <w:r>
        <w:rPr>
          <w:rFonts w:hint="eastAsia" w:ascii="方正仿宋_GBK" w:hAnsi="方正仿宋_GBK" w:eastAsia="方正仿宋_GBK" w:cs="方正仿宋_GBK"/>
          <w:sz w:val="32"/>
          <w:szCs w:val="32"/>
          <w:u w:val="none"/>
        </w:rPr>
        <w:t>号</w:t>
      </w:r>
    </w:p>
    <w:p>
      <w:pPr>
        <w:spacing w:line="400" w:lineRule="exact"/>
        <w:jc w:val="left"/>
        <w:rPr>
          <w:rFonts w:hint="eastAsia" w:ascii="方正仿宋_GBK" w:hAnsi="方正仿宋_GBK" w:eastAsia="方正仿宋_GBK" w:cs="方正仿宋_GBK"/>
          <w:sz w:val="32"/>
          <w:szCs w:val="32"/>
          <w:u w:val="none"/>
        </w:rPr>
      </w:pPr>
    </w:p>
    <w:p>
      <w:pPr>
        <w:spacing w:line="400" w:lineRule="exact"/>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rPr>
        <w:t>被处罚单位：</w:t>
      </w:r>
      <w:r>
        <w:rPr>
          <w:rFonts w:hint="eastAsia" w:ascii="方正仿宋_GBK" w:hAnsi="方正仿宋_GBK" w:eastAsia="方正仿宋_GBK" w:cs="方正仿宋_GBK"/>
          <w:b w:val="0"/>
          <w:bCs w:val="0"/>
          <w:sz w:val="32"/>
          <w:szCs w:val="32"/>
          <w:u w:val="none"/>
          <w:lang w:val="en-US" w:eastAsia="zh-CN"/>
        </w:rPr>
        <w:t>重庆金朋金属表面处理有限公司</w:t>
      </w:r>
    </w:p>
    <w:p>
      <w:pPr>
        <w:spacing w:line="440" w:lineRule="exac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color w:val="000000"/>
          <w:sz w:val="32"/>
          <w:szCs w:val="32"/>
          <w:u w:val="none"/>
          <w:lang w:val="en-US" w:eastAsia="zh-CN"/>
        </w:rPr>
        <w:t xml:space="preserve">统一社会信用代码：91500224MA60NRN11G </w:t>
      </w:r>
      <w:r>
        <w:rPr>
          <w:rFonts w:hint="eastAsia" w:ascii="方正仿宋_GBK" w:hAnsi="方正仿宋_GBK" w:eastAsia="方正仿宋_GBK" w:cs="方正仿宋_GBK"/>
          <w:sz w:val="32"/>
          <w:szCs w:val="32"/>
          <w:u w:val="none"/>
          <w:lang w:val="en-US" w:eastAsia="zh-CN"/>
        </w:rPr>
        <w:t xml:space="preserve"> </w:t>
      </w:r>
    </w:p>
    <w:p>
      <w:pPr>
        <w:spacing w:line="440" w:lineRule="exac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rPr>
        <w:t>地  址：</w:t>
      </w:r>
      <w:r>
        <w:rPr>
          <w:rFonts w:hint="eastAsia" w:ascii="方正仿宋_GBK" w:hAnsi="方正仿宋_GBK" w:eastAsia="方正仿宋_GBK" w:cs="方正仿宋_GBK"/>
          <w:sz w:val="32"/>
          <w:szCs w:val="32"/>
          <w:u w:val="none"/>
          <w:lang w:val="en-US" w:eastAsia="zh-CN"/>
        </w:rPr>
        <w:t>重庆市铜梁区东城街道铜合大道***号*幢</w:t>
      </w:r>
    </w:p>
    <w:p>
      <w:pPr>
        <w:spacing w:line="440" w:lineRule="exact"/>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法定代表人（负责人）</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lang w:val="en-US" w:eastAsia="zh-CN"/>
        </w:rPr>
        <w:t xml:space="preserve">杜*  联系电话：186******189 </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违法事实：2024年9月2日19时44分许，铜梁区东城街道铜合大道重庆金朋金属表面处理有限公司三楼生产车间发生一起机械伤害事故，造成操作工人刘**受伤经送医抢救无效死亡，直接经济损失120余万元。</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经事故调查组调查认定：重庆金朋金属表面有限公司</w:t>
      </w:r>
      <w:r>
        <w:rPr>
          <w:rFonts w:hint="eastAsia" w:ascii="方正仿宋_GBK" w:hAnsi="方正仿宋_GBK" w:eastAsia="方正仿宋_GBK" w:cs="方正仿宋_GBK"/>
          <w:b w:val="0"/>
          <w:bCs w:val="0"/>
          <w:color w:val="000000"/>
          <w:sz w:val="32"/>
          <w:szCs w:val="32"/>
          <w:u w:val="none"/>
          <w:shd w:val="clear" w:color="auto" w:fill="FFFFFF"/>
          <w:lang w:val="en-US" w:eastAsia="zh-CN"/>
        </w:rPr>
        <w:t>安全生产规章制度不健全，未建立生产安全事故隐患排查治理制度；生产车间存在安全隐患，未在生产车间楼梯入口处设置安全警示标志，未及时发现和消除事故隐患；安全教育培训不到位，未向从业人员如实告知作业场所和工作岗位存在的风险因素，防范措施以及事故应急措施，对本次事故的发生负有责任。</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以上事实主要证据如下：证据一：现场勘查笔录、《司法鉴定意见书》。证据二：6份事故现场照片，证明重庆金朋金属表面有限公司“9.2”一般机械伤害事故发生地点及事故现场的基本情况。证据三：询问笔录7份，证明重庆金朋金属表面有限公司</w:t>
      </w:r>
      <w:r>
        <w:rPr>
          <w:rFonts w:hint="eastAsia" w:ascii="方正仿宋_GBK" w:hAnsi="方正仿宋_GBK" w:eastAsia="方正仿宋_GBK" w:cs="方正仿宋_GBK"/>
          <w:b w:val="0"/>
          <w:bCs w:val="0"/>
          <w:color w:val="000000"/>
          <w:sz w:val="32"/>
          <w:szCs w:val="32"/>
          <w:u w:val="none"/>
          <w:shd w:val="clear" w:color="auto" w:fill="FFFFFF"/>
          <w:lang w:val="en-US" w:eastAsia="zh-CN"/>
        </w:rPr>
        <w:t>安全生产规章制度不健全，未建立生产安全事故隐患排查治理制度；生产车间存在安全隐患，未在生产车间楼梯入口处设置安全警示标志，未及时发现和消除事故隐患；安全教育培训不到位，未向从业人员如实告知作业场所和工作岗位存在的风险因素，防范措施以及事故应急措施，</w:t>
      </w:r>
      <w:r>
        <w:rPr>
          <w:rFonts w:hint="eastAsia" w:ascii="方正仿宋_GBK" w:hAnsi="方正仿宋_GBK" w:eastAsia="方正仿宋_GBK" w:cs="方正仿宋_GBK"/>
          <w:sz w:val="32"/>
          <w:szCs w:val="32"/>
          <w:u w:val="none"/>
          <w:lang w:val="en-US" w:eastAsia="zh-CN"/>
        </w:rPr>
        <w:t>导致本次事故发生。证据四：《重庆市铜梁区人民政府关于重庆金朋金属表面有限公司“9.2”一般机械伤害事故调查报告的批复》（铜府〔2024〕136号），证明区政府同意事故调查报告对事故的原因分析、责任认定及处理意见。</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以上行为涉嫌</w:t>
      </w:r>
      <w:r>
        <w:rPr>
          <w:rFonts w:hint="eastAsia" w:ascii="方正仿宋_GBK" w:hAnsi="方正仿宋_GBK" w:eastAsia="方正仿宋_GBK" w:cs="方正仿宋_GBK"/>
          <w:sz w:val="32"/>
          <w:szCs w:val="32"/>
          <w:u w:val="none"/>
          <w:lang w:eastAsia="zh-CN"/>
        </w:rPr>
        <w:t>违反了</w:t>
      </w:r>
      <w:r>
        <w:rPr>
          <w:rFonts w:hint="eastAsia" w:ascii="方正仿宋_GBK" w:hAnsi="方正仿宋_GBK" w:eastAsia="方正仿宋_GBK" w:cs="方正仿宋_GBK"/>
          <w:sz w:val="32"/>
          <w:szCs w:val="32"/>
          <w:u w:val="none"/>
          <w:lang w:val="en-US" w:eastAsia="zh-CN"/>
        </w:rPr>
        <w:t>《中华人民共和国安全生产法》第四十一条第二款</w:t>
      </w:r>
      <w:r>
        <w:rPr>
          <w:rFonts w:hint="eastAsia" w:ascii="方正仿宋_GBK" w:hAnsi="方正仿宋_GBK" w:eastAsia="方正仿宋_GBK" w:cs="方正仿宋_GBK"/>
          <w:b w:val="0"/>
          <w:bCs w:val="0"/>
          <w:sz w:val="32"/>
          <w:szCs w:val="32"/>
          <w:u w:val="none"/>
          <w:lang w:val="en-US" w:eastAsia="zh-CN"/>
        </w:rPr>
        <w:t>“</w:t>
      </w:r>
      <w:r>
        <w:rPr>
          <w:rFonts w:hint="eastAsia" w:ascii="方正仿宋_GBK" w:hAnsi="方正仿宋_GBK" w:eastAsia="方正仿宋_GBK" w:cs="方正仿宋_GBK"/>
          <w:b/>
          <w:bCs/>
          <w:sz w:val="32"/>
          <w:szCs w:val="32"/>
          <w:u w:val="none"/>
          <w:lang w:val="en-US" w:eastAsia="zh-CN"/>
        </w:rPr>
        <w:t>生产经营单位应当建立健全并落实生产安全事故隐患排查治理制度，采取技术、管理措施，及时发现并消除事故隐患</w:t>
      </w:r>
      <w:r>
        <w:rPr>
          <w:rFonts w:hint="eastAsia" w:ascii="方正仿宋_GBK" w:hAnsi="方正仿宋_GBK" w:eastAsia="方正仿宋_GBK" w:cs="方正仿宋_GBK"/>
          <w:b w:val="0"/>
          <w:bCs w:val="0"/>
          <w:sz w:val="32"/>
          <w:szCs w:val="32"/>
          <w:u w:val="none"/>
          <w:lang w:val="en-US" w:eastAsia="zh-CN"/>
        </w:rPr>
        <w:t>”</w:t>
      </w:r>
      <w:r>
        <w:rPr>
          <w:rFonts w:hint="eastAsia" w:ascii="方正仿宋_GBK" w:hAnsi="方正仿宋_GBK" w:eastAsia="方正仿宋_GBK" w:cs="方正仿宋_GBK"/>
          <w:b w:val="0"/>
          <w:bCs w:val="0"/>
          <w:color w:val="000000"/>
          <w:sz w:val="32"/>
          <w:szCs w:val="32"/>
          <w:u w:val="none"/>
          <w:shd w:val="clear" w:color="auto" w:fill="FFFFFF"/>
          <w:vertAlign w:val="baseline"/>
          <w:lang w:val="en-US" w:eastAsia="zh-CN"/>
        </w:rPr>
        <w:t>之</w:t>
      </w:r>
      <w:r>
        <w:rPr>
          <w:rFonts w:hint="eastAsia" w:ascii="方正仿宋_GBK" w:hAnsi="方正仿宋_GBK" w:eastAsia="方正仿宋_GBK" w:cs="方正仿宋_GBK"/>
          <w:sz w:val="32"/>
          <w:szCs w:val="32"/>
          <w:u w:val="none"/>
          <w:lang w:val="en-US" w:eastAsia="zh-CN"/>
        </w:rPr>
        <w:t>规定和《中华人民共和国安全生产法》第四十四条第一款“</w:t>
      </w:r>
      <w:r>
        <w:rPr>
          <w:rFonts w:hint="eastAsia" w:ascii="方正仿宋_GBK" w:hAnsi="方正仿宋_GBK" w:eastAsia="方正仿宋_GBK" w:cs="方正仿宋_GBK"/>
          <w:b/>
          <w:bCs/>
          <w:color w:val="000000"/>
          <w:sz w:val="32"/>
          <w:szCs w:val="32"/>
          <w:u w:val="none"/>
          <w:shd w:val="clear" w:color="auto" w:fill="FFFFFF"/>
          <w:lang w:val="en-US" w:eastAsia="zh-CN"/>
        </w:rPr>
        <w:t>生产经营单位应当教育和督促从业人员严格执行本单位的安全生产规章制度和安全操作规程；并向从业人员如实告知作业场所和工作岗位存在的危险因素、防范措施以及事故应急措施</w:t>
      </w:r>
      <w:r>
        <w:rPr>
          <w:rFonts w:hint="eastAsia" w:ascii="方正仿宋_GBK" w:hAnsi="方正仿宋_GBK" w:eastAsia="方正仿宋_GBK" w:cs="方正仿宋_GBK"/>
          <w:b w:val="0"/>
          <w:bCs w:val="0"/>
          <w:color w:val="000000"/>
          <w:sz w:val="32"/>
          <w:szCs w:val="32"/>
          <w:u w:val="none"/>
          <w:shd w:val="clear" w:color="auto" w:fill="FFFFFF"/>
          <w:lang w:val="en-US" w:eastAsia="zh-CN"/>
        </w:rPr>
        <w:t>”</w:t>
      </w:r>
      <w:r>
        <w:rPr>
          <w:rFonts w:hint="eastAsia" w:ascii="方正仿宋_GBK" w:hAnsi="方正仿宋_GBK" w:eastAsia="方正仿宋_GBK" w:cs="方正仿宋_GBK"/>
          <w:sz w:val="32"/>
          <w:szCs w:val="32"/>
          <w:u w:val="none"/>
          <w:lang w:val="en-US" w:eastAsia="zh-CN"/>
        </w:rPr>
        <w:t>之规定，对本次事故的发生负有责任。根据《生产安全事故报告和调查处理条例》（国务院令第493号）第三条“</w:t>
      </w:r>
      <w:r>
        <w:rPr>
          <w:rFonts w:hint="eastAsia" w:ascii="方正仿宋_GBK" w:hAnsi="方正仿宋_GBK" w:eastAsia="方正仿宋_GBK" w:cs="方正仿宋_GBK"/>
          <w:b/>
          <w:bCs/>
          <w:i w:val="0"/>
          <w:caps w:val="0"/>
          <w:color w:val="333333"/>
          <w:spacing w:val="0"/>
          <w:sz w:val="32"/>
          <w:szCs w:val="32"/>
          <w:u w:val="none"/>
          <w:shd w:val="clear" w:fill="FFFFFF"/>
        </w:rPr>
        <w:t>(四)一般事故，是指造成3人以下死亡，或者10人以下重伤，或者1000万元以下直接经济损失的事故</w:t>
      </w:r>
      <w:r>
        <w:rPr>
          <w:rFonts w:hint="eastAsia" w:ascii="方正仿宋_GBK" w:hAnsi="方正仿宋_GBK" w:eastAsia="方正仿宋_GBK" w:cs="方正仿宋_GBK"/>
          <w:b/>
          <w:bCs/>
          <w:i w:val="0"/>
          <w:caps w:val="0"/>
          <w:color w:val="333333"/>
          <w:spacing w:val="0"/>
          <w:sz w:val="32"/>
          <w:szCs w:val="32"/>
          <w:u w:val="none"/>
          <w:shd w:val="clear" w:fill="FFFFFF"/>
          <w:lang w:eastAsia="zh-CN"/>
        </w:rPr>
        <w:t>”</w:t>
      </w:r>
      <w:r>
        <w:rPr>
          <w:rFonts w:hint="eastAsia" w:ascii="方正仿宋_GBK" w:hAnsi="方正仿宋_GBK" w:eastAsia="方正仿宋_GBK" w:cs="方正仿宋_GBK"/>
          <w:sz w:val="32"/>
          <w:szCs w:val="32"/>
          <w:u w:val="none"/>
          <w:lang w:val="en-US" w:eastAsia="zh-CN"/>
        </w:rPr>
        <w:t>规定，该起事故是一起一般生产安全事故。</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依据《中华人民共和国安全生产法》第一百一十四条第一款“发生生产安全事故，对负有责任的生产经营单位除要求其依法承担相应的赔偿等责任外，由应急管理部门依照下列规定处以罚款：”第（一）项“发生一般事故的，处三十万元以上一百万元以下的罚款”的规定，事故发生后，你公司立即组织救援，善后赔偿到位，主动投案，向安全监察部门</w:t>
      </w:r>
      <w:bookmarkStart w:id="0" w:name="_GoBack"/>
      <w:bookmarkEnd w:id="0"/>
      <w:r>
        <w:rPr>
          <w:rFonts w:hint="eastAsia" w:ascii="方正仿宋_GBK" w:hAnsi="方正仿宋_GBK" w:eastAsia="方正仿宋_GBK" w:cs="方正仿宋_GBK"/>
          <w:sz w:val="32"/>
          <w:szCs w:val="32"/>
          <w:u w:val="none"/>
          <w:lang w:val="en-US" w:eastAsia="zh-CN"/>
        </w:rPr>
        <w:t>如实交代自己的违法行为，配合事故调查，主动减轻违法行为危害后果，认真整改安全管理问题，根据《生产安全事故罚款处罚规定》（应急管理部令第14号）、《安全生产违法行为行政处罚办法》（原国家安全监管总局令第15号）第五十六条第一款第（五）项、《重庆市规范行政处罚裁量权办法》（重庆市人民政府令第355号）第十四条和《重庆市安全生产行政处罚裁量基准（试行）》第九节生产安全事故板块（修订稿）从轻或者减轻行政处罚情形中的相应条款规定，拟对你单位从轻处罚，做出罚款人民币50万元（大写：伍拾万元）的行政处罚。</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你单位收到《行政处罚告知书）(铜)应急告〔2024〕执3-3号后，于2024年11月27日向我局提交了听证申请，2024年12月12日，我局组织召开了重庆金朋金属表面处理有限公司“9.2”一般机械伤害事故案听证会。听证评议认为：拟处罚意见违法事实清楚，适用法律正确，证据确凿，程序合法，处罚适当，建议维持拟处罚意见。2024年12月25日经局党委（行政）会议研究，决定对你单位从轻处罚罚款人民币50万元（大写：伍拾万元）。</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罚款自收到本决定书之日起15日内缴至重庆农村商业银行铜梁支行重庆市铜梁区财政局专户，到期不缴，根据《行政处罚法》第七十二条第一款：“当事人逾期不履行行政处罚决定的，作出行政处罚决定的行政机关</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可以采取下列措施</w:t>
      </w:r>
      <w:r>
        <w:rPr>
          <w:rFonts w:hint="eastAsia" w:ascii="方正仿宋_GBK" w:hAnsi="方正仿宋_GBK" w:eastAsia="方正仿宋_GBK" w:cs="方正仿宋_GBK"/>
          <w:sz w:val="32"/>
          <w:szCs w:val="32"/>
          <w:u w:val="none"/>
          <w:lang w:val="en-US" w:eastAsia="zh-CN"/>
        </w:rPr>
        <w:t>”第（一）项：</w:t>
      </w:r>
      <w:r>
        <w:rPr>
          <w:rFonts w:hint="eastAsia" w:ascii="方正仿宋_GBK" w:hAnsi="方正仿宋_GBK" w:eastAsia="方正仿宋_GBK" w:cs="方正仿宋_GBK"/>
          <w:b/>
          <w:bCs/>
          <w:sz w:val="32"/>
          <w:szCs w:val="32"/>
          <w:u w:val="none"/>
          <w:lang w:val="en-US" w:eastAsia="zh-CN"/>
        </w:rPr>
        <w:t>“到期不缴纳罚款的，每日按罚款数额的百分之三加处罚款”</w:t>
      </w:r>
      <w:r>
        <w:rPr>
          <w:rFonts w:hint="eastAsia" w:ascii="方正仿宋_GBK" w:hAnsi="方正仿宋_GBK" w:eastAsia="方正仿宋_GBK" w:cs="方正仿宋_GBK"/>
          <w:sz w:val="32"/>
          <w:szCs w:val="32"/>
          <w:u w:val="none"/>
          <w:lang w:val="en-US" w:eastAsia="zh-CN"/>
        </w:rPr>
        <w:t>之规定，本机关</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有权</w:t>
      </w:r>
      <w:r>
        <w:rPr>
          <w:rFonts w:hint="eastAsia" w:ascii="方正仿宋_GBK" w:hAnsi="方正仿宋_GBK" w:eastAsia="方正仿宋_GBK" w:cs="方正仿宋_GBK"/>
          <w:sz w:val="32"/>
          <w:szCs w:val="32"/>
          <w:u w:val="none"/>
          <w:lang w:val="en-US" w:eastAsia="zh-CN"/>
        </w:rPr>
        <w:t>每日按罚款数额的3%加处罚款。</w:t>
      </w:r>
    </w:p>
    <w:p>
      <w:pPr>
        <w:spacing w:line="40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如果不服本处罚决定，可以依法在60日内向重庆市铜梁区人民政府申请行政复议，或者在6个月内依法向铜梁区人民法院提起行政诉讼，但本决定不停止执行，法律另有规定的除外。逾期不申请行政复议、不提起行政诉讼又不履行的，本机关将依法申请重庆市铜梁区人民法院强制执行或者依照有关规定强制执行。</w:t>
      </w:r>
    </w:p>
    <w:p>
      <w:pPr>
        <w:spacing w:line="440" w:lineRule="exact"/>
        <w:rPr>
          <w:rFonts w:hint="eastAsia" w:ascii="方正仿宋_GBK" w:hAnsi="方正仿宋_GBK" w:eastAsia="方正仿宋_GBK" w:cs="方正仿宋_GBK"/>
          <w:sz w:val="32"/>
          <w:szCs w:val="32"/>
          <w:u w:val="none"/>
          <w:lang w:eastAsia="zh-CN"/>
        </w:rPr>
      </w:pPr>
    </w:p>
    <w:p>
      <w:pPr>
        <w:spacing w:line="440" w:lineRule="exact"/>
        <w:ind w:firstLine="4480" w:firstLineChars="1400"/>
        <w:rPr>
          <w:rFonts w:hint="eastAsia" w:ascii="方正仿宋_GBK" w:hAnsi="方正仿宋_GBK" w:eastAsia="方正仿宋_GBK" w:cs="方正仿宋_GBK"/>
          <w:sz w:val="32"/>
          <w:szCs w:val="32"/>
          <w:u w:val="none"/>
          <w:lang w:eastAsia="zh-CN"/>
        </w:rPr>
      </w:pPr>
    </w:p>
    <w:p>
      <w:pPr>
        <w:spacing w:line="440" w:lineRule="exact"/>
        <w:ind w:firstLine="4480" w:firstLineChars="1400"/>
        <w:rPr>
          <w:rFonts w:hint="eastAsia" w:ascii="方正仿宋_GBK" w:hAnsi="方正仿宋_GBK" w:eastAsia="方正仿宋_GBK" w:cs="方正仿宋_GBK"/>
          <w:sz w:val="32"/>
          <w:szCs w:val="32"/>
          <w:u w:val="none"/>
          <w:lang w:eastAsia="zh-CN"/>
        </w:rPr>
      </w:pPr>
      <w:r>
        <w:rPr>
          <w:rFonts w:hint="eastAsia" w:ascii="方正仿宋_GBK" w:hAnsi="方正仿宋_GBK" w:eastAsia="方正仿宋_GBK" w:cs="方正仿宋_GBK"/>
          <w:sz w:val="32"/>
          <w:szCs w:val="32"/>
          <w:u w:val="none"/>
          <w:lang w:eastAsia="zh-CN"/>
        </w:rPr>
        <w:t>重庆市铜梁区应急</w:t>
      </w:r>
      <w:r>
        <w:rPr>
          <w:rFonts w:hint="eastAsia" w:ascii="方正仿宋_GBK" w:hAnsi="方正仿宋_GBK" w:eastAsia="方正仿宋_GBK" w:cs="方正仿宋_GBK"/>
          <w:sz w:val="32"/>
          <w:szCs w:val="32"/>
          <w:u w:val="none"/>
        </w:rPr>
        <w:t>管理</w:t>
      </w:r>
      <w:r>
        <w:rPr>
          <w:rFonts w:hint="eastAsia" w:ascii="方正仿宋_GBK" w:hAnsi="方正仿宋_GBK" w:eastAsia="方正仿宋_GBK" w:cs="方正仿宋_GBK"/>
          <w:sz w:val="32"/>
          <w:szCs w:val="32"/>
          <w:u w:val="none"/>
          <w:lang w:eastAsia="zh-CN"/>
        </w:rPr>
        <w:t>局</w:t>
      </w:r>
    </w:p>
    <w:p>
      <w:pPr>
        <w:spacing w:line="440" w:lineRule="exact"/>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 xml:space="preserve">                              </w:t>
      </w:r>
      <w:r>
        <w:rPr>
          <w:rFonts w:hint="eastAsia" w:ascii="方正仿宋_GBK" w:hAnsi="方正仿宋_GBK" w:eastAsia="方正仿宋_GBK" w:cs="方正仿宋_GBK"/>
          <w:sz w:val="32"/>
          <w:szCs w:val="32"/>
          <w:u w:val="none"/>
          <w:lang w:val="en-US" w:eastAsia="zh-CN"/>
        </w:rPr>
        <w:t xml:space="preserve"> </w:t>
      </w:r>
      <w:r>
        <w:rPr>
          <w:rFonts w:hint="eastAsia" w:ascii="方正仿宋_GBK" w:hAnsi="方正仿宋_GBK" w:eastAsia="方正仿宋_GBK" w:cs="方正仿宋_GBK"/>
          <w:sz w:val="32"/>
          <w:szCs w:val="32"/>
          <w:u w:val="none"/>
        </w:rPr>
        <w:t xml:space="preserve"> </w:t>
      </w:r>
      <w:r>
        <w:rPr>
          <w:rFonts w:hint="eastAsia" w:ascii="方正仿宋_GBK" w:hAnsi="方正仿宋_GBK" w:eastAsia="方正仿宋_GBK" w:cs="方正仿宋_GBK"/>
          <w:sz w:val="32"/>
          <w:szCs w:val="32"/>
          <w:u w:val="none"/>
          <w:lang w:val="en-US" w:eastAsia="zh-CN"/>
        </w:rPr>
        <w:t>2024</w:t>
      </w:r>
      <w:r>
        <w:rPr>
          <w:rFonts w:hint="eastAsia" w:ascii="方正仿宋_GBK" w:hAnsi="方正仿宋_GBK" w:eastAsia="方正仿宋_GBK" w:cs="方正仿宋_GBK"/>
          <w:sz w:val="32"/>
          <w:szCs w:val="32"/>
          <w:u w:val="none"/>
        </w:rPr>
        <w:t>年</w:t>
      </w:r>
      <w:r>
        <w:rPr>
          <w:rFonts w:hint="eastAsia" w:ascii="方正仿宋_GBK" w:hAnsi="方正仿宋_GBK" w:eastAsia="方正仿宋_GBK" w:cs="方正仿宋_GBK"/>
          <w:sz w:val="32"/>
          <w:szCs w:val="32"/>
          <w:u w:val="none"/>
          <w:lang w:val="en-US" w:eastAsia="zh-CN"/>
        </w:rPr>
        <w:t>12</w:t>
      </w:r>
      <w:r>
        <w:rPr>
          <w:rFonts w:hint="eastAsia" w:ascii="方正仿宋_GBK" w:hAnsi="方正仿宋_GBK" w:eastAsia="方正仿宋_GBK" w:cs="方正仿宋_GBK"/>
          <w:sz w:val="32"/>
          <w:szCs w:val="32"/>
          <w:u w:val="none"/>
        </w:rPr>
        <w:t>月</w:t>
      </w:r>
      <w:r>
        <w:rPr>
          <w:rFonts w:hint="eastAsia" w:ascii="方正仿宋_GBK" w:hAnsi="方正仿宋_GBK" w:eastAsia="方正仿宋_GBK" w:cs="方正仿宋_GBK"/>
          <w:sz w:val="32"/>
          <w:szCs w:val="32"/>
          <w:u w:val="none"/>
          <w:lang w:val="en-US" w:eastAsia="zh-CN"/>
        </w:rPr>
        <w:t>25</w:t>
      </w:r>
      <w:r>
        <w:rPr>
          <w:rFonts w:hint="eastAsia" w:ascii="方正仿宋_GBK" w:hAnsi="方正仿宋_GBK" w:eastAsia="方正仿宋_GBK" w:cs="方正仿宋_GBK"/>
          <w:sz w:val="32"/>
          <w:szCs w:val="32"/>
          <w:u w:val="none"/>
        </w:rPr>
        <w:t>日</w:t>
      </w:r>
    </w:p>
    <w:p>
      <w:pPr>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 xml:space="preserve">  </w:t>
      </w:r>
    </w:p>
    <w:p>
      <w:pPr>
        <w:rPr>
          <w:rFonts w:hint="eastAsia" w:ascii="方正仿宋_GBK" w:hAnsi="方正仿宋_GBK" w:eastAsia="方正仿宋_GBK" w:cs="方正仿宋_GBK"/>
          <w:sz w:val="32"/>
          <w:szCs w:val="32"/>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15480"/>
    <w:rsid w:val="065832D8"/>
    <w:rsid w:val="08404408"/>
    <w:rsid w:val="0CD56D9C"/>
    <w:rsid w:val="13D86E1C"/>
    <w:rsid w:val="13E15480"/>
    <w:rsid w:val="186A2B9B"/>
    <w:rsid w:val="1A6629E1"/>
    <w:rsid w:val="1B1A48F6"/>
    <w:rsid w:val="1CBE0FC6"/>
    <w:rsid w:val="225C3A83"/>
    <w:rsid w:val="276F2C9C"/>
    <w:rsid w:val="2C3A179D"/>
    <w:rsid w:val="30BB3500"/>
    <w:rsid w:val="35617184"/>
    <w:rsid w:val="3EAD2D12"/>
    <w:rsid w:val="41B06152"/>
    <w:rsid w:val="44AD5AB7"/>
    <w:rsid w:val="48D92391"/>
    <w:rsid w:val="4E3F346D"/>
    <w:rsid w:val="57D91A30"/>
    <w:rsid w:val="5CB07109"/>
    <w:rsid w:val="62782999"/>
    <w:rsid w:val="637C47C5"/>
    <w:rsid w:val="67C4094C"/>
    <w:rsid w:val="698A0CE2"/>
    <w:rsid w:val="6E837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5">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267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2024-07-29T03:08:00Z</dcterms:created>
  <dc:creator>ASUS</dc:creator>
  <cp:lastModifiedBy>AAA</cp:lastModifiedBy>
  <cp:lastPrinted>2024-12-25T08:19:00Z</cp:lastPrinted>
  <dcterms:modified xsi:type="dcterms:W3CDTF">2025-01-16T08:50:30Z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7A6EEE0E97A54B019A2B21543994E74A_13</vt:lpwstr>
  </property>
</Properties>
</file>