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重庆市铜梁区双拥工作领导小组办公室</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 xml:space="preserve">关于做好 </w:t>
      </w:r>
      <w:r>
        <w:rPr>
          <w:rFonts w:hint="default" w:ascii="方正小标宋_GBK" w:hAnsi="方正小标宋_GBK" w:eastAsia="方正小标宋_GBK" w:cs="方正小标宋_GBK"/>
          <w:sz w:val="44"/>
          <w:szCs w:val="44"/>
          <w:lang w:val="en-US" w:eastAsia="zh-CN"/>
        </w:rPr>
        <w:t xml:space="preserve">2022 </w:t>
      </w:r>
      <w:r>
        <w:rPr>
          <w:rFonts w:hint="eastAsia" w:ascii="方正小标宋_GBK" w:hAnsi="方正小标宋_GBK" w:eastAsia="方正小标宋_GBK" w:cs="方正小标宋_GBK"/>
          <w:sz w:val="44"/>
          <w:szCs w:val="44"/>
          <w:lang w:val="en-US" w:eastAsia="zh-CN"/>
        </w:rPr>
        <w:t>年春节期间拥军优属</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拥政爱民工作的通知</w:t>
      </w:r>
    </w:p>
    <w:p>
      <w:pPr>
        <w:pStyle w:val="2"/>
        <w:keepNext w:val="0"/>
        <w:keepLines w:val="0"/>
        <w:pageBreakBefore w:val="0"/>
        <w:kinsoku/>
        <w:wordWrap/>
        <w:overflowPunct/>
        <w:topLinePunct w:val="0"/>
        <w:autoSpaceDE/>
        <w:autoSpaceDN/>
        <w:bidi w:val="0"/>
        <w:adjustRightInd/>
        <w:snapToGrid/>
        <w:spacing w:line="594" w:lineRule="exact"/>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各镇（街）、双拥工作领导小组成员单位、驻铜部队：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2022年新年春节即将来临。全区各镇（街）、双拥工作领导小组成员单位和驻铜部队要以习近平新时代中国特色社会主义思想为指导，全面贯彻党的十九大和十九届二中、三中、四中、五中、六中全会精神，积极适应党、国家和军队建设全面进入新发展阶段的新形势，紧紧围绕更好服务党和国家工作大局、国防和军队建设全局，聚力支持部队备战打仗、深化国防和军队改革，扎实做好拥军优属、拥政爱民工作，不断巩固和发展军政军民团结，以优异成绩迎接党的二十大召开。现就做好节日期间双拥工作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72" w:firstLineChars="200"/>
        <w:textAlignment w:val="auto"/>
        <w:rPr>
          <w:rFonts w:hint="eastAsia" w:ascii="方正黑体_GBK" w:hAnsi="方正黑体_GBK" w:eastAsia="方正黑体_GBK" w:cs="方正黑体_GBK"/>
          <w:spacing w:val="8"/>
          <w:sz w:val="32"/>
          <w:szCs w:val="32"/>
          <w:lang w:val="en-US" w:eastAsia="zh-CN"/>
        </w:rPr>
      </w:pPr>
      <w:r>
        <w:rPr>
          <w:rFonts w:hint="eastAsia" w:ascii="方正黑体_GBK" w:hAnsi="方正黑体_GBK" w:eastAsia="方正黑体_GBK" w:cs="方正黑体_GBK"/>
          <w:spacing w:val="8"/>
          <w:sz w:val="32"/>
          <w:szCs w:val="32"/>
          <w:lang w:val="en-US" w:eastAsia="zh-CN"/>
        </w:rPr>
        <w:t>一、深入开展双拥宣传教育</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全区军地各级要把学习贯彻党的十九届六中全会精神，作为节日期间双拥宣传教育的首要任务，引导广大军民深刻认识“两个确立”的决定性意义，进一步增强“四个意识”、坚定“四个自信”、做到“两个维护”。充分运用广播、电视、报刊等传统媒体和“两微一端”等新兴媒体，大力宣传党的百年奋斗重大成就和历史经验，宣传中国特色社会主义进入新时代的历史性成就和历史性变革，宣传军政军民团结的优良传统和特有政治优势，激发军民支持双拥、参与双拥的政治热情。认真做好致驻铜部队官兵、优抚对象慰问信的发布、宣传工作，增强双拥模范和军人军属的荣誉感自豪感。通过组织军地联欢联谊、军民文艺演出及双拥知识竞赛、影视展播等群众性文化活动，丰富基层官兵和人民群众的节日生活，在全社会营造爱国拥军、爱民奉献的浓厚氛围，激励军民携手奋进新征程、建功新时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72" w:firstLineChars="200"/>
        <w:textAlignment w:val="auto"/>
        <w:rPr>
          <w:rFonts w:hint="eastAsia" w:ascii="方正黑体_GBK" w:hAnsi="方正黑体_GBK" w:eastAsia="方正黑体_GBK" w:cs="方正黑体_GBK"/>
          <w:spacing w:val="8"/>
          <w:sz w:val="32"/>
          <w:szCs w:val="32"/>
          <w:lang w:val="en-US" w:eastAsia="zh-CN"/>
        </w:rPr>
      </w:pPr>
      <w:r>
        <w:rPr>
          <w:rFonts w:hint="eastAsia" w:ascii="方正黑体_GBK" w:hAnsi="方正黑体_GBK" w:eastAsia="方正黑体_GBK" w:cs="方正黑体_GBK"/>
          <w:spacing w:val="8"/>
          <w:sz w:val="32"/>
          <w:szCs w:val="32"/>
          <w:lang w:val="en-US" w:eastAsia="zh-CN"/>
        </w:rPr>
        <w:t>二、聚焦服务部队备战打仗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简体" w:hAnsi="方正仿宋简体" w:eastAsia="方正仿宋简体" w:cs="方正仿宋简体"/>
          <w:spacing w:val="8"/>
          <w:sz w:val="32"/>
          <w:szCs w:val="32"/>
          <w:lang w:eastAsia="zh-CN"/>
        </w:rPr>
      </w:pPr>
      <w:r>
        <w:rPr>
          <w:rFonts w:hint="eastAsia" w:ascii="方正仿宋_GBK" w:hAnsi="方正仿宋_GBK" w:eastAsia="方正仿宋_GBK" w:cs="方正仿宋_GBK"/>
          <w:sz w:val="32"/>
          <w:szCs w:val="32"/>
          <w:lang w:val="en-US" w:eastAsia="zh-CN"/>
        </w:rPr>
        <w:t>全区地方各级要全面贯彻落实</w:t>
      </w:r>
      <w:r>
        <w:rPr>
          <w:rFonts w:hint="eastAsia" w:ascii="Times New Roman" w:hAnsi="Times New Roman" w:eastAsia="方正仿宋_GBK" w:cs="Times New Roman"/>
          <w:sz w:val="32"/>
          <w:szCs w:val="32"/>
          <w:lang w:val="en-US" w:eastAsia="zh-CN"/>
        </w:rPr>
        <w:t>2021</w:t>
      </w:r>
      <w:r>
        <w:rPr>
          <w:rFonts w:hint="eastAsia" w:ascii="方正仿宋_GBK" w:hAnsi="方正仿宋_GBK" w:eastAsia="方正仿宋_GBK" w:cs="方正仿宋_GBK"/>
          <w:sz w:val="32"/>
          <w:szCs w:val="32"/>
          <w:lang w:val="en-US" w:eastAsia="zh-CN"/>
        </w:rPr>
        <w:t>年区委议军会议精神，紧紧围绕服务部队备战打仗现实需要，积极搞好新时代强军兴军服务工作。结合召开军政座谈会、双拥联席会、双拥工作领导小组会，主动了解驻铜部队战备训练和建设改革中遇到的实际问题，想方设法帮助部队办实事解难题，特别是要认真抓好驻铜部队</w:t>
      </w:r>
      <w:r>
        <w:rPr>
          <w:rFonts w:hint="eastAsia" w:ascii="Times New Roman" w:hAnsi="Times New Roman" w:eastAsia="方正仿宋_GBK" w:cs="Times New Roman"/>
          <w:sz w:val="32"/>
          <w:szCs w:val="32"/>
          <w:lang w:val="en-US" w:eastAsia="zh-CN"/>
        </w:rPr>
        <w:t>2021</w:t>
      </w:r>
      <w:r>
        <w:rPr>
          <w:rFonts w:hint="eastAsia" w:ascii="方正仿宋_GBK" w:hAnsi="方正仿宋_GBK" w:eastAsia="方正仿宋_GBK" w:cs="方正仿宋_GBK"/>
          <w:sz w:val="32"/>
          <w:szCs w:val="32"/>
          <w:lang w:val="en-US" w:eastAsia="zh-CN"/>
        </w:rPr>
        <w:t>年反映问题的办理落实。发扬拥军支前优良传统，积极协助部队遂行战备值班、维稳处突等任务，搞好通信、交通、水电、食宿等各项保障，形成部队练备战、地方练支前的生动局面。广泛开展社会化拥军，丰富拓展科技拥军、教育拥军、文化拥军、法律拥军等形式载体，助力部队战斗力提升。认真组织开展拥军慰问活动，领导干部带头深入基层一线看望慰问官兵，激励他们牢记使命、矢志强军和参与第二故乡建设的光荣感、自豪感、使命感。持续开展“情系边海防官兵”拥军优属活动，全覆盖走访慰问驻守高原海岛、边防一线的官兵家庭，帮助协调解决边海防官兵家属就业、军属看病就医等实际困难，激励前方军心士气。</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72" w:firstLineChars="200"/>
        <w:textAlignment w:val="auto"/>
        <w:rPr>
          <w:rFonts w:hint="eastAsia" w:ascii="方正黑体_GBK" w:hAnsi="方正黑体_GBK" w:eastAsia="方正黑体_GBK" w:cs="方正黑体_GBK"/>
          <w:spacing w:val="8"/>
          <w:sz w:val="32"/>
          <w:szCs w:val="32"/>
          <w:lang w:val="en-US" w:eastAsia="zh-CN"/>
        </w:rPr>
      </w:pPr>
      <w:r>
        <w:rPr>
          <w:rFonts w:hint="eastAsia" w:ascii="方正黑体_GBK" w:hAnsi="方正黑体_GBK" w:eastAsia="方正黑体_GBK" w:cs="方正黑体_GBK"/>
          <w:spacing w:val="8"/>
          <w:sz w:val="32"/>
          <w:szCs w:val="32"/>
          <w:lang w:val="en-US" w:eastAsia="zh-CN"/>
        </w:rPr>
        <w:t>三、广泛开展爱民助民活动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驻铜各部队要自觉践行为民服务宗旨，积极落实部队为地方办实事“清单”内容，认真抓好</w:t>
      </w:r>
      <w:r>
        <w:rPr>
          <w:rFonts w:hint="eastAsia" w:ascii="Times New Roman" w:hAnsi="Times New Roman" w:eastAsia="方正仿宋_GBK" w:cs="Times New Roman"/>
          <w:sz w:val="32"/>
          <w:szCs w:val="32"/>
          <w:lang w:val="en-US" w:eastAsia="zh-CN"/>
        </w:rPr>
        <w:t>2021</w:t>
      </w:r>
      <w:r>
        <w:rPr>
          <w:rFonts w:hint="eastAsia" w:ascii="方正仿宋_GBK" w:hAnsi="方正仿宋_GBK" w:eastAsia="方正仿宋_GBK" w:cs="方正仿宋_GBK"/>
          <w:sz w:val="32"/>
          <w:szCs w:val="32"/>
          <w:lang w:val="en-US" w:eastAsia="zh-CN"/>
        </w:rPr>
        <w:t>年地方反映需要驻铜部队支持事项的办理落实，坚持地方所需与部队所能相结合，以实际行动参与地方经济建设。要积极为驻地群众“送温暖、献爱心”，帮助搞好环境卫生整治、公共设施维护、节日氛围营造等，看望城乡低保对象、残疾人家庭、空巢老人、留守儿童等困难群体。组织开展助学兴教、移风易俗等活动，巩固脱贫攻坚成果，衔接支持乡村振兴。积极参加平安创建、文明创建和民族团结进步创建等活动，协助地方维护车站、等春运秩序，做好疫情防控、抢险救灾和应急救援各项准备。各部队要深入开展群众纪律教育检查，树立和维护子弟兵良好形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72" w:firstLineChars="200"/>
        <w:textAlignment w:val="auto"/>
        <w:rPr>
          <w:rFonts w:hint="eastAsia" w:ascii="方正黑体_GBK" w:hAnsi="方正黑体_GBK" w:eastAsia="方正黑体_GBK" w:cs="方正黑体_GBK"/>
          <w:spacing w:val="8"/>
          <w:sz w:val="32"/>
          <w:szCs w:val="32"/>
          <w:lang w:val="en-US" w:eastAsia="zh-CN"/>
        </w:rPr>
      </w:pPr>
      <w:r>
        <w:rPr>
          <w:rFonts w:hint="eastAsia" w:ascii="方正黑体_GBK" w:hAnsi="方正黑体_GBK" w:eastAsia="方正黑体_GBK" w:cs="方正黑体_GBK"/>
          <w:spacing w:val="8"/>
          <w:sz w:val="32"/>
          <w:szCs w:val="32"/>
          <w:lang w:val="en-US" w:eastAsia="zh-CN"/>
        </w:rPr>
        <w:t>四、关心关爱优抚安置对象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全区地方各级要深入学习宣传贯彻《军人地位和权益保障法》《退役军人保障法》等法律法规，维护军人军属合法权益，集中解决随军家属就业安置、军人子女教育优待和军人家庭困难救济、权益维护等实际问题。认真推进退役军人、其他优抚对象优待证发放工作，深入开展“关爱功臣”、“双拥在基层”活动，常态开展送立功喜报和慰问信、挂光荣牌、贴新春楹联年画等活动，按照“普遍走访、重点慰问、精神物质并重”的原则，采取发慰问信、登门看望、座谈交流、电话问候等多种方式，看望慰问军烈属、在乡老复员军人、退役军人和其他优抚对象，送上党和政府的关怀温暖。公共服务窗口单位要落实好军人依法优先举措，为退役军人和其他优抚对象节日出行、参观游览等提供优先优质服务，真正让军人真切感受到全社会的尊崇。积极帮助下岗失业和身患重病等优抚对象排忧解难，依托社会保障和救助体系，借助志愿服务组织和志愿者队伍力量，为他们提供就业扶持、物质资助、精神慰藉、法律援助等服务，把党和政府的关怀温暖送到他们心坎上，不断增强他们的获得感、幸福感和自豪感。全区军地各级要严格落实改进作风和疫情防控有关要求，筹划做好节日期间的双拥工作，确保各项活动喜庆热烈、简朴节约、稳妥有序。</w:t>
      </w:r>
    </w:p>
    <w:p>
      <w:pPr>
        <w:keepNext w:val="0"/>
        <w:keepLines w:val="0"/>
        <w:pageBreakBefore w:val="0"/>
        <w:widowControl/>
        <w:kinsoku/>
        <w:wordWrap/>
        <w:overflowPunct/>
        <w:topLinePunct w:val="0"/>
        <w:autoSpaceDE/>
        <w:autoSpaceDN/>
        <w:bidi w:val="0"/>
        <w:adjustRightInd/>
        <w:spacing w:line="594" w:lineRule="exact"/>
        <w:ind w:firstLine="640" w:firstLineChars="200"/>
        <w:jc w:val="both"/>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各镇（街）、双拥工作领导小组成员单位将春节期间双拥工</w:t>
      </w:r>
      <w:bookmarkStart w:id="0" w:name="_GoBack"/>
      <w:bookmarkEnd w:id="0"/>
      <w:r>
        <w:rPr>
          <w:rFonts w:hint="eastAsia" w:ascii="方正仿宋_GBK" w:hAnsi="方正仿宋_GBK" w:eastAsia="方正仿宋_GBK" w:cs="方正仿宋_GBK"/>
          <w:sz w:val="32"/>
          <w:szCs w:val="32"/>
          <w:lang w:val="en-US" w:eastAsia="zh-CN"/>
        </w:rPr>
        <w:t>作总结于</w:t>
      </w:r>
      <w:r>
        <w:rPr>
          <w:rFonts w:hint="eastAsia" w:ascii="Times New Roman" w:hAnsi="Times New Roman" w:eastAsia="方正仿宋_GBK" w:cs="Times New Roman"/>
          <w:sz w:val="32"/>
          <w:szCs w:val="32"/>
          <w:lang w:val="en-US" w:eastAsia="zh-CN"/>
        </w:rPr>
        <w:t>2022</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日（星期四）前报送区双拥办（退役军人事务局</w:t>
      </w:r>
      <w:r>
        <w:rPr>
          <w:rFonts w:hint="default" w:ascii="Times New Roman" w:hAnsi="Times New Roman" w:eastAsia="方正仿宋_GBK" w:cs="Times New Roman"/>
          <w:sz w:val="32"/>
          <w:szCs w:val="32"/>
          <w:lang w:val="en-US" w:eastAsia="zh-CN"/>
        </w:rPr>
        <w:t>404</w:t>
      </w:r>
      <w:r>
        <w:rPr>
          <w:rFonts w:hint="eastAsia" w:ascii="方正仿宋_GBK" w:hAnsi="方正仿宋_GBK" w:eastAsia="方正仿宋_GBK" w:cs="方正仿宋_GBK"/>
          <w:sz w:val="32"/>
          <w:szCs w:val="32"/>
          <w:lang w:val="en-US" w:eastAsia="zh-CN"/>
        </w:rPr>
        <w:t>办公室）。</w:t>
      </w:r>
    </w:p>
    <w:p>
      <w:pPr>
        <w:keepNext w:val="0"/>
        <w:keepLines w:val="0"/>
        <w:pageBreakBefore w:val="0"/>
        <w:widowControl/>
        <w:kinsoku/>
        <w:wordWrap/>
        <w:overflowPunct/>
        <w:topLinePunct w:val="0"/>
        <w:autoSpaceDE/>
        <w:autoSpaceDN/>
        <w:bidi w:val="0"/>
        <w:adjustRightInd/>
        <w:spacing w:line="594" w:lineRule="exact"/>
        <w:jc w:val="both"/>
        <w:textAlignment w:val="baseline"/>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pacing w:line="594" w:lineRule="exact"/>
        <w:ind w:firstLine="640" w:firstLineChars="200"/>
        <w:jc w:val="both"/>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w:t>
      </w:r>
      <w:r>
        <w:rPr>
          <w:rFonts w:hint="eastAsia" w:ascii="Times New Roman" w:hAnsi="Times New Roman" w:eastAsia="方正仿宋_GBK" w:cs="Times New Roman"/>
          <w:sz w:val="32"/>
          <w:szCs w:val="32"/>
          <w:lang w:val="en-US" w:eastAsia="zh-CN"/>
        </w:rPr>
        <w:t>2022</w:t>
      </w:r>
      <w:r>
        <w:rPr>
          <w:rFonts w:hint="eastAsia" w:ascii="方正仿宋_GBK" w:hAnsi="方正仿宋_GBK" w:eastAsia="方正仿宋_GBK" w:cs="方正仿宋_GBK"/>
          <w:sz w:val="32"/>
          <w:szCs w:val="32"/>
          <w:lang w:val="en-US" w:eastAsia="zh-CN"/>
        </w:rPr>
        <w:t>年新年春节期间双拥活动情况统计表</w:t>
      </w:r>
    </w:p>
    <w:p>
      <w:pPr>
        <w:keepNext w:val="0"/>
        <w:keepLines w:val="0"/>
        <w:pageBreakBefore w:val="0"/>
        <w:widowControl/>
        <w:kinsoku/>
        <w:wordWrap/>
        <w:overflowPunct/>
        <w:topLinePunct w:val="0"/>
        <w:autoSpaceDE/>
        <w:autoSpaceDN/>
        <w:bidi w:val="0"/>
        <w:adjustRightInd/>
        <w:spacing w:line="594" w:lineRule="exact"/>
        <w:jc w:val="both"/>
        <w:textAlignment w:val="baseline"/>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pacing w:line="594" w:lineRule="exact"/>
        <w:jc w:val="both"/>
        <w:textAlignment w:val="baseline"/>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pacing w:line="594" w:lineRule="exact"/>
        <w:ind w:firstLine="2880" w:firstLineChars="900"/>
        <w:jc w:val="both"/>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重庆市铜梁区双拥工作领导小组办公室</w:t>
      </w:r>
    </w:p>
    <w:p>
      <w:pPr>
        <w:keepNext w:val="0"/>
        <w:keepLines w:val="0"/>
        <w:pageBreakBefore w:val="0"/>
        <w:widowControl/>
        <w:kinsoku/>
        <w:wordWrap/>
        <w:overflowPunct/>
        <w:topLinePunct w:val="0"/>
        <w:autoSpaceDE/>
        <w:autoSpaceDN/>
        <w:bidi w:val="0"/>
        <w:adjustRightInd/>
        <w:spacing w:line="594" w:lineRule="exact"/>
        <w:ind w:firstLine="4480" w:firstLineChars="1400"/>
        <w:jc w:val="both"/>
        <w:textAlignment w:val="baseline"/>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2021</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27</w:t>
      </w:r>
      <w:r>
        <w:rPr>
          <w:rFonts w:hint="eastAsia" w:ascii="方正仿宋_GBK" w:hAnsi="方正仿宋_GBK" w:eastAsia="方正仿宋_GBK" w:cs="方正仿宋_GBK"/>
          <w:sz w:val="32"/>
          <w:szCs w:val="32"/>
          <w:lang w:val="en-US" w:eastAsia="zh-CN"/>
        </w:rPr>
        <w:t>日</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pacing w:line="594" w:lineRule="exact"/>
        <w:jc w:val="both"/>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pacing w:line="594" w:lineRule="exact"/>
        <w:jc w:val="both"/>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pacing w:line="594" w:lineRule="exact"/>
        <w:jc w:val="both"/>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pacing w:line="594" w:lineRule="exact"/>
        <w:jc w:val="both"/>
        <w:textAlignment w:val="baseline"/>
        <w:rPr>
          <w:rFonts w:hint="default" w:ascii="Times New Roman" w:hAnsi="Times New Roman" w:cs="Times New Roman"/>
        </w:rPr>
        <w:sectPr>
          <w:footerReference r:id="rId3" w:type="default"/>
          <w:pgSz w:w="11906" w:h="16838"/>
          <w:pgMar w:top="1984" w:right="1446" w:bottom="1644" w:left="1446" w:header="851" w:footer="992" w:gutter="0"/>
          <w:pgNumType w:fmt="decimal"/>
          <w:cols w:space="720" w:num="1"/>
          <w:docGrid w:type="lines" w:linePitch="318" w:charSpace="0"/>
        </w:sectPr>
      </w:pPr>
    </w:p>
    <w:p>
      <w:pPr>
        <w:keepNext w:val="0"/>
        <w:keepLines w:val="0"/>
        <w:pageBreakBefore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pPr>
        <w:keepNext w:val="0"/>
        <w:keepLines w:val="0"/>
        <w:widowControl/>
        <w:suppressLineNumbers w:val="0"/>
        <w:jc w:val="center"/>
        <w:rPr>
          <w:rFonts w:ascii="方正小标宋_GBK" w:hAnsi="方正小标宋_GBK" w:eastAsia="方正小标宋_GBK" w:cs="方正小标宋_GBK"/>
          <w:color w:val="000000"/>
          <w:kern w:val="0"/>
          <w:sz w:val="43"/>
          <w:szCs w:val="43"/>
          <w:lang w:val="en-US" w:eastAsia="zh-CN" w:bidi="ar"/>
        </w:rPr>
      </w:pPr>
      <w:r>
        <w:rPr>
          <w:rFonts w:hint="default" w:ascii="Times New Roman" w:hAnsi="Times New Roman" w:eastAsia="宋体" w:cs="Times New Roman"/>
          <w:color w:val="000000"/>
          <w:kern w:val="0"/>
          <w:sz w:val="43"/>
          <w:szCs w:val="43"/>
          <w:lang w:val="en-US" w:eastAsia="zh-CN" w:bidi="ar"/>
        </w:rPr>
        <w:t xml:space="preserve">2022 </w:t>
      </w:r>
      <w:r>
        <w:rPr>
          <w:rFonts w:ascii="方正小标宋_GBK" w:hAnsi="方正小标宋_GBK" w:eastAsia="方正小标宋_GBK" w:cs="方正小标宋_GBK"/>
          <w:color w:val="000000"/>
          <w:kern w:val="0"/>
          <w:sz w:val="43"/>
          <w:szCs w:val="43"/>
          <w:lang w:val="en-US" w:eastAsia="zh-CN" w:bidi="ar"/>
        </w:rPr>
        <w:t>年新年春节期间双拥活动情况统计表</w:t>
      </w:r>
    </w:p>
    <w:p>
      <w:pPr>
        <w:keepNext w:val="0"/>
        <w:keepLines w:val="0"/>
        <w:widowControl/>
        <w:suppressLineNumbers w:val="0"/>
        <w:jc w:val="left"/>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填报单位（盖章）：                                                                                日期：</w:t>
      </w:r>
    </w:p>
    <w:tbl>
      <w:tblPr>
        <w:tblStyle w:val="8"/>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200"/>
        <w:gridCol w:w="1815"/>
        <w:gridCol w:w="1230"/>
        <w:gridCol w:w="1245"/>
        <w:gridCol w:w="1440"/>
        <w:gridCol w:w="1455"/>
        <w:gridCol w:w="1215"/>
        <w:gridCol w:w="1170"/>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1696" w:type="dxa"/>
            <w:vMerge w:val="restart"/>
            <w:tcFitTex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pacing w:val="0"/>
                <w:sz w:val="24"/>
                <w:szCs w:val="24"/>
                <w:vertAlign w:val="baseline"/>
                <w:lang w:eastAsia="zh-CN"/>
              </w:rPr>
            </w:pPr>
            <w:r>
              <w:rPr>
                <w:rFonts w:hint="eastAsia" w:ascii="方正黑体_GBK" w:hAnsi="方正黑体_GBK" w:eastAsia="方正黑体_GBK" w:cs="方正黑体_GBK"/>
                <w:color w:val="000000"/>
                <w:spacing w:val="60"/>
                <w:kern w:val="0"/>
                <w:sz w:val="24"/>
                <w:szCs w:val="24"/>
                <w:fitText w:val="600" w:id="0"/>
                <w:lang w:val="en-US" w:eastAsia="zh-CN" w:bidi="ar"/>
              </w:rPr>
              <w:t>项</w:t>
            </w:r>
            <w:r>
              <w:rPr>
                <w:rFonts w:hint="eastAsia" w:ascii="方正黑体_GBK" w:hAnsi="方正黑体_GBK" w:eastAsia="方正黑体_GBK" w:cs="方正黑体_GBK"/>
                <w:color w:val="000000"/>
                <w:spacing w:val="0"/>
                <w:kern w:val="0"/>
                <w:sz w:val="24"/>
                <w:szCs w:val="24"/>
                <w:fitText w:val="600" w:id="0"/>
                <w:lang w:val="en-US" w:eastAsia="zh-CN" w:bidi="ar"/>
              </w:rPr>
              <w:t>目</w:t>
            </w:r>
          </w:p>
        </w:tc>
        <w:tc>
          <w:tcPr>
            <w:tcW w:w="1200" w:type="dxa"/>
            <w:vMerge w:val="restart"/>
            <w:tcFitTex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方正黑体_GBK" w:hAnsi="方正黑体_GBK" w:eastAsia="方正黑体_GBK" w:cs="方正黑体_GBK"/>
                <w:color w:val="000000"/>
                <w:spacing w:val="0"/>
                <w:kern w:val="0"/>
                <w:sz w:val="24"/>
                <w:szCs w:val="24"/>
                <w:lang w:val="en-US" w:eastAsia="zh-CN" w:bidi="ar"/>
              </w:rPr>
            </w:pPr>
            <w:r>
              <w:rPr>
                <w:rFonts w:hint="eastAsia" w:ascii="方正黑体_GBK" w:hAnsi="方正黑体_GBK" w:eastAsia="方正黑体_GBK" w:cs="方正黑体_GBK"/>
                <w:color w:val="000000"/>
                <w:spacing w:val="2"/>
                <w:kern w:val="0"/>
                <w:sz w:val="24"/>
                <w:szCs w:val="24"/>
                <w:lang w:val="en-US" w:eastAsia="zh-CN" w:bidi="ar"/>
              </w:rPr>
              <w:t>带队领</w:t>
            </w:r>
            <w:r>
              <w:rPr>
                <w:rFonts w:hint="eastAsia" w:ascii="方正黑体_GBK" w:hAnsi="方正黑体_GBK" w:eastAsia="方正黑体_GBK" w:cs="方正黑体_GBK"/>
                <w:color w:val="000000"/>
                <w:spacing w:val="0"/>
                <w:kern w:val="0"/>
                <w:sz w:val="24"/>
                <w:szCs w:val="24"/>
                <w:lang w:val="en-US" w:eastAsia="zh-CN" w:bidi="ar"/>
              </w:rPr>
              <w:t>导</w:t>
            </w:r>
          </w:p>
        </w:tc>
        <w:tc>
          <w:tcPr>
            <w:tcW w:w="1815" w:type="dxa"/>
            <w:vMerge w:val="restart"/>
            <w:tcFitTex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spacing w:val="9"/>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pacing w:val="0"/>
                <w:sz w:val="24"/>
                <w:szCs w:val="24"/>
              </w:rPr>
            </w:pPr>
            <w:r>
              <w:rPr>
                <w:rFonts w:hint="eastAsia" w:ascii="方正黑体_GBK" w:hAnsi="方正黑体_GBK" w:eastAsia="方正黑体_GBK" w:cs="方正黑体_GBK"/>
                <w:color w:val="000000"/>
                <w:spacing w:val="9"/>
                <w:kern w:val="0"/>
                <w:sz w:val="24"/>
                <w:szCs w:val="24"/>
                <w:lang w:val="en-US" w:eastAsia="zh-CN" w:bidi="ar"/>
              </w:rPr>
              <w:t>走访慰问人</w:t>
            </w:r>
            <w:r>
              <w:rPr>
                <w:rFonts w:hint="eastAsia" w:ascii="方正黑体_GBK" w:hAnsi="方正黑体_GBK" w:eastAsia="方正黑体_GBK" w:cs="方正黑体_GBK"/>
                <w:color w:val="000000"/>
                <w:spacing w:val="0"/>
                <w:kern w:val="0"/>
                <w:sz w:val="24"/>
                <w:szCs w:val="24"/>
                <w:lang w:val="en-US" w:eastAsia="zh-CN" w:bidi="ar"/>
              </w:rPr>
              <w:t>数</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pacing w:val="0"/>
                <w:sz w:val="24"/>
                <w:szCs w:val="24"/>
                <w:vertAlign w:val="baseline"/>
                <w:lang w:eastAsia="zh-CN"/>
              </w:rPr>
            </w:pPr>
            <w:r>
              <w:rPr>
                <w:rFonts w:hint="eastAsia" w:ascii="方正黑体_GBK" w:hAnsi="方正黑体_GBK" w:eastAsia="方正黑体_GBK" w:cs="方正黑体_GBK"/>
                <w:color w:val="000000"/>
                <w:spacing w:val="0"/>
                <w:kern w:val="0"/>
                <w:sz w:val="24"/>
                <w:szCs w:val="24"/>
                <w:lang w:val="en-US" w:eastAsia="zh-CN" w:bidi="ar"/>
              </w:rPr>
              <w:t>（人）</w:t>
            </w:r>
          </w:p>
        </w:tc>
        <w:tc>
          <w:tcPr>
            <w:tcW w:w="2475" w:type="dxa"/>
            <w:gridSpan w:val="2"/>
            <w:tcFitTex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pacing w:val="0"/>
                <w:sz w:val="24"/>
                <w:szCs w:val="24"/>
                <w:vertAlign w:val="baseline"/>
                <w:lang w:eastAsia="zh-CN"/>
              </w:rPr>
            </w:pPr>
            <w:r>
              <w:rPr>
                <w:rFonts w:hint="eastAsia" w:ascii="方正黑体_GBK" w:hAnsi="方正黑体_GBK" w:eastAsia="方正黑体_GBK" w:cs="方正黑体_GBK"/>
                <w:color w:val="000000"/>
                <w:spacing w:val="0"/>
                <w:kern w:val="0"/>
                <w:sz w:val="24"/>
                <w:szCs w:val="24"/>
                <w:fitText w:val="1680" w:id="1"/>
                <w:lang w:val="en-US" w:eastAsia="zh-CN" w:bidi="ar"/>
              </w:rPr>
              <w:t>发放慰问金情况</w:t>
            </w:r>
          </w:p>
        </w:tc>
        <w:tc>
          <w:tcPr>
            <w:tcW w:w="4110" w:type="dxa"/>
            <w:gridSpan w:val="3"/>
            <w:tcFitTex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pacing w:val="0"/>
                <w:sz w:val="24"/>
                <w:szCs w:val="24"/>
                <w:vertAlign w:val="baseline"/>
                <w:lang w:eastAsia="zh-CN"/>
              </w:rPr>
            </w:pPr>
            <w:r>
              <w:rPr>
                <w:rFonts w:hint="eastAsia" w:ascii="方正黑体_GBK" w:hAnsi="方正黑体_GBK" w:eastAsia="方正黑体_GBK" w:cs="方正黑体_GBK"/>
                <w:color w:val="000000"/>
                <w:spacing w:val="0"/>
                <w:kern w:val="0"/>
                <w:sz w:val="24"/>
                <w:szCs w:val="24"/>
                <w:fitText w:val="1680" w:id="2"/>
                <w:lang w:val="en-US" w:eastAsia="zh-CN" w:bidi="ar"/>
              </w:rPr>
              <w:t>发放慰问品情况</w:t>
            </w:r>
          </w:p>
        </w:tc>
        <w:tc>
          <w:tcPr>
            <w:tcW w:w="1170" w:type="dxa"/>
            <w:vMerge w:val="restart"/>
            <w:tcFitTex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pacing w:val="0"/>
                <w:sz w:val="24"/>
                <w:szCs w:val="24"/>
              </w:rPr>
            </w:pPr>
            <w:r>
              <w:rPr>
                <w:rFonts w:hint="eastAsia" w:ascii="方正黑体_GBK" w:hAnsi="方正黑体_GBK" w:eastAsia="方正黑体_GBK" w:cs="方正黑体_GBK"/>
                <w:color w:val="000000"/>
                <w:spacing w:val="60"/>
                <w:kern w:val="0"/>
                <w:sz w:val="24"/>
                <w:szCs w:val="24"/>
                <w:fitText w:val="600" w:id="3"/>
                <w:lang w:val="en-US" w:eastAsia="zh-CN" w:bidi="ar"/>
              </w:rPr>
              <w:t>合</w:t>
            </w:r>
            <w:r>
              <w:rPr>
                <w:rFonts w:hint="eastAsia" w:ascii="方正黑体_GBK" w:hAnsi="方正黑体_GBK" w:eastAsia="方正黑体_GBK" w:cs="方正黑体_GBK"/>
                <w:color w:val="000000"/>
                <w:spacing w:val="0"/>
                <w:kern w:val="0"/>
                <w:sz w:val="24"/>
                <w:szCs w:val="24"/>
                <w:fitText w:val="600" w:id="3"/>
                <w:lang w:val="en-US" w:eastAsia="zh-CN" w:bidi="ar"/>
              </w:rPr>
              <w:t>计</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pacing w:val="0"/>
                <w:sz w:val="32"/>
                <w:szCs w:val="32"/>
                <w:vertAlign w:val="baseline"/>
                <w:lang w:eastAsia="zh-CN"/>
              </w:rPr>
            </w:pPr>
            <w:r>
              <w:rPr>
                <w:rFonts w:hint="eastAsia" w:ascii="方正黑体_GBK" w:hAnsi="方正黑体_GBK" w:eastAsia="方正黑体_GBK" w:cs="方正黑体_GBK"/>
                <w:color w:val="000000"/>
                <w:spacing w:val="0"/>
                <w:kern w:val="0"/>
                <w:sz w:val="24"/>
                <w:szCs w:val="24"/>
                <w:lang w:val="en-US" w:eastAsia="zh-CN" w:bidi="ar"/>
              </w:rPr>
              <w:t>（万元）</w:t>
            </w:r>
          </w:p>
        </w:tc>
        <w:tc>
          <w:tcPr>
            <w:tcW w:w="1697" w:type="dxa"/>
            <w:vMerge w:val="restart"/>
            <w:tcFitTex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pacing w:val="0"/>
              </w:rPr>
            </w:pPr>
            <w:r>
              <w:rPr>
                <w:rFonts w:hint="eastAsia" w:ascii="方正黑体_GBK" w:hAnsi="方正黑体_GBK" w:eastAsia="方正黑体_GBK" w:cs="方正黑体_GBK"/>
                <w:color w:val="000000"/>
                <w:spacing w:val="27"/>
                <w:w w:val="100"/>
                <w:kern w:val="0"/>
                <w:sz w:val="20"/>
                <w:szCs w:val="20"/>
                <w:fitText w:val="1463" w:id="4"/>
                <w:lang w:val="en-US" w:eastAsia="zh-CN" w:bidi="ar"/>
              </w:rPr>
              <w:t>解决实际困</w:t>
            </w:r>
            <w:r>
              <w:rPr>
                <w:rFonts w:hint="eastAsia" w:ascii="方正黑体_GBK" w:hAnsi="方正黑体_GBK" w:eastAsia="方正黑体_GBK" w:cs="方正黑体_GBK"/>
                <w:color w:val="000000"/>
                <w:spacing w:val="2"/>
                <w:w w:val="95"/>
                <w:kern w:val="0"/>
                <w:sz w:val="20"/>
                <w:szCs w:val="20"/>
                <w:fitText w:val="1463" w:id="4"/>
                <w:lang w:val="en-US" w:eastAsia="zh-CN" w:bidi="ar"/>
              </w:rPr>
              <w:t>难</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pacing w:val="0"/>
              </w:rPr>
            </w:pPr>
            <w:r>
              <w:rPr>
                <w:rFonts w:hint="eastAsia" w:ascii="方正黑体_GBK" w:hAnsi="方正黑体_GBK" w:eastAsia="方正黑体_GBK" w:cs="方正黑体_GBK"/>
                <w:color w:val="000000"/>
                <w:spacing w:val="0"/>
                <w:kern w:val="0"/>
                <w:sz w:val="20"/>
                <w:szCs w:val="20"/>
                <w:lang w:val="en-US" w:eastAsia="zh-CN" w:bidi="ar"/>
              </w:rPr>
              <w:t>情况（子女入学、家属</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pacing w:val="0"/>
              </w:rPr>
            </w:pPr>
            <w:r>
              <w:rPr>
                <w:rFonts w:hint="eastAsia" w:ascii="方正黑体_GBK" w:hAnsi="方正黑体_GBK" w:eastAsia="方正黑体_GBK" w:cs="方正黑体_GBK"/>
                <w:color w:val="000000"/>
                <w:spacing w:val="0"/>
                <w:kern w:val="0"/>
                <w:sz w:val="20"/>
                <w:szCs w:val="20"/>
                <w:lang w:val="en-US" w:eastAsia="zh-CN" w:bidi="ar"/>
              </w:rPr>
              <w:t>就业、住房改造、看病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pacing w:val="0"/>
                <w:sz w:val="32"/>
                <w:szCs w:val="32"/>
                <w:vertAlign w:val="baseline"/>
                <w:lang w:eastAsia="zh-CN"/>
              </w:rPr>
            </w:pPr>
            <w:r>
              <w:rPr>
                <w:rFonts w:hint="eastAsia" w:ascii="方正黑体_GBK" w:hAnsi="方正黑体_GBK" w:eastAsia="方正黑体_GBK" w:cs="方正黑体_GBK"/>
                <w:color w:val="000000"/>
                <w:spacing w:val="0"/>
                <w:kern w:val="0"/>
                <w:sz w:val="20"/>
                <w:szCs w:val="20"/>
                <w:lang w:val="en-US" w:eastAsia="zh-CN" w:bidi="ar"/>
              </w:rPr>
              <w:t>就医、法律援助等）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trPr>
        <w:tc>
          <w:tcPr>
            <w:tcW w:w="1696" w:type="dxa"/>
            <w:vMerge w:val="continue"/>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24"/>
                <w:szCs w:val="24"/>
                <w:vertAlign w:val="baseline"/>
                <w:lang w:eastAsia="zh-CN"/>
              </w:rPr>
            </w:pPr>
          </w:p>
        </w:tc>
        <w:tc>
          <w:tcPr>
            <w:tcW w:w="1200" w:type="dxa"/>
            <w:vMerge w:val="continue"/>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24"/>
                <w:szCs w:val="24"/>
                <w:vertAlign w:val="baseline"/>
                <w:lang w:eastAsia="zh-CN"/>
              </w:rPr>
            </w:pPr>
          </w:p>
        </w:tc>
        <w:tc>
          <w:tcPr>
            <w:tcW w:w="1815" w:type="dxa"/>
            <w:vMerge w:val="continue"/>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24"/>
                <w:szCs w:val="24"/>
                <w:vertAlign w:val="baseline"/>
                <w:lang w:eastAsia="zh-CN"/>
              </w:rPr>
            </w:pPr>
          </w:p>
        </w:tc>
        <w:tc>
          <w:tcPr>
            <w:tcW w:w="1230" w:type="dxa"/>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方正黑体_GBK" w:hAnsi="方正黑体_GBK" w:eastAsia="方正黑体_GBK" w:cs="方正黑体_GBK"/>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sz w:val="24"/>
                <w:szCs w:val="24"/>
              </w:rPr>
            </w:pPr>
            <w:r>
              <w:rPr>
                <w:rFonts w:ascii="方正黑体_GBK" w:hAnsi="方正黑体_GBK" w:eastAsia="方正黑体_GBK" w:cs="方正黑体_GBK"/>
                <w:color w:val="000000"/>
                <w:kern w:val="0"/>
                <w:sz w:val="24"/>
                <w:szCs w:val="24"/>
                <w:lang w:val="en-US" w:eastAsia="zh-CN" w:bidi="ar"/>
              </w:rPr>
              <w:t>发放金额</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eastAsia="zh-CN"/>
              </w:rPr>
            </w:pPr>
            <w:r>
              <w:rPr>
                <w:rFonts w:hint="eastAsia" w:ascii="方正黑体_GBK" w:hAnsi="方正黑体_GBK" w:eastAsia="方正黑体_GBK" w:cs="方正黑体_GBK"/>
                <w:color w:val="000000"/>
                <w:kern w:val="0"/>
                <w:sz w:val="24"/>
                <w:szCs w:val="24"/>
                <w:lang w:val="en-US" w:eastAsia="zh-CN" w:bidi="ar"/>
              </w:rPr>
              <w:t>（万元）</w:t>
            </w:r>
          </w:p>
        </w:tc>
        <w:tc>
          <w:tcPr>
            <w:tcW w:w="1245" w:type="dxa"/>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方正黑体_GBK" w:hAnsi="方正黑体_GBK" w:eastAsia="方正黑体_GBK" w:cs="方正黑体_GBK"/>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sz w:val="24"/>
                <w:szCs w:val="24"/>
              </w:rPr>
            </w:pPr>
            <w:r>
              <w:rPr>
                <w:rFonts w:ascii="方正黑体_GBK" w:hAnsi="方正黑体_GBK" w:eastAsia="方正黑体_GBK" w:cs="方正黑体_GBK"/>
                <w:color w:val="000000"/>
                <w:kern w:val="0"/>
                <w:sz w:val="24"/>
                <w:szCs w:val="24"/>
                <w:lang w:val="en-US" w:eastAsia="zh-CN" w:bidi="ar"/>
              </w:rPr>
              <w:t>发放人数</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eastAsia="zh-CN"/>
              </w:rPr>
            </w:pPr>
            <w:r>
              <w:rPr>
                <w:rFonts w:hint="eastAsia" w:ascii="方正黑体_GBK" w:hAnsi="方正黑体_GBK" w:eastAsia="方正黑体_GBK" w:cs="方正黑体_GBK"/>
                <w:color w:val="000000"/>
                <w:kern w:val="0"/>
                <w:sz w:val="24"/>
                <w:szCs w:val="24"/>
                <w:lang w:val="en-US" w:eastAsia="zh-CN" w:bidi="ar"/>
              </w:rPr>
              <w:t>（人）</w:t>
            </w:r>
          </w:p>
        </w:tc>
        <w:tc>
          <w:tcPr>
            <w:tcW w:w="1440" w:type="dxa"/>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sz w:val="24"/>
                <w:szCs w:val="24"/>
              </w:rPr>
            </w:pPr>
            <w:r>
              <w:rPr>
                <w:rFonts w:ascii="方正黑体_GBK" w:hAnsi="方正黑体_GBK" w:eastAsia="方正黑体_GBK" w:cs="方正黑体_GBK"/>
                <w:color w:val="000000"/>
                <w:kern w:val="0"/>
                <w:sz w:val="24"/>
                <w:szCs w:val="24"/>
                <w:lang w:val="en-US" w:eastAsia="zh-CN" w:bidi="ar"/>
              </w:rPr>
              <w:t>购买慰问品</w:t>
            </w:r>
            <w:r>
              <w:rPr>
                <w:rFonts w:hint="eastAsia" w:ascii="方正黑体_GBK" w:hAnsi="方正黑体_GBK" w:eastAsia="方正黑体_GBK" w:cs="方正黑体_GBK"/>
                <w:color w:val="000000"/>
                <w:kern w:val="0"/>
                <w:sz w:val="24"/>
                <w:szCs w:val="24"/>
                <w:lang w:val="en-US" w:eastAsia="zh-CN" w:bidi="ar"/>
              </w:rPr>
              <w:t>支出金额</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eastAsia="zh-CN"/>
              </w:rPr>
            </w:pPr>
            <w:r>
              <w:rPr>
                <w:rFonts w:hint="eastAsia" w:ascii="方正黑体_GBK" w:hAnsi="方正黑体_GBK" w:eastAsia="方正黑体_GBK" w:cs="方正黑体_GBK"/>
                <w:color w:val="000000"/>
                <w:kern w:val="0"/>
                <w:sz w:val="24"/>
                <w:szCs w:val="24"/>
                <w:lang w:val="en-US" w:eastAsia="zh-CN" w:bidi="ar"/>
              </w:rPr>
              <w:t>（万元）</w:t>
            </w:r>
          </w:p>
        </w:tc>
        <w:tc>
          <w:tcPr>
            <w:tcW w:w="1455" w:type="dxa"/>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sz w:val="24"/>
                <w:szCs w:val="24"/>
              </w:rPr>
            </w:pPr>
            <w:r>
              <w:rPr>
                <w:rFonts w:ascii="方正黑体_GBK" w:hAnsi="方正黑体_GBK" w:eastAsia="方正黑体_GBK" w:cs="方正黑体_GBK"/>
                <w:color w:val="000000"/>
                <w:kern w:val="0"/>
                <w:sz w:val="24"/>
                <w:szCs w:val="24"/>
                <w:lang w:val="en-US" w:eastAsia="zh-CN" w:bidi="ar"/>
              </w:rPr>
              <w:t>发放慰问品</w:t>
            </w:r>
            <w:r>
              <w:rPr>
                <w:rFonts w:hint="eastAsia" w:ascii="方正黑体_GBK" w:hAnsi="方正黑体_GBK" w:eastAsia="方正黑体_GBK" w:cs="方正黑体_GBK"/>
                <w:color w:val="000000"/>
                <w:kern w:val="0"/>
                <w:sz w:val="24"/>
                <w:szCs w:val="24"/>
                <w:lang w:val="en-US" w:eastAsia="zh-CN" w:bidi="ar"/>
              </w:rPr>
              <w:t>数量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eastAsia="zh-CN"/>
              </w:rPr>
            </w:pPr>
            <w:r>
              <w:rPr>
                <w:rFonts w:hint="eastAsia" w:ascii="方正黑体_GBK" w:hAnsi="方正黑体_GBK" w:eastAsia="方正黑体_GBK" w:cs="方正黑体_GBK"/>
                <w:color w:val="000000"/>
                <w:kern w:val="0"/>
                <w:sz w:val="24"/>
                <w:szCs w:val="24"/>
                <w:lang w:val="en-US" w:eastAsia="zh-CN" w:bidi="ar"/>
              </w:rPr>
              <w:t>（件）</w:t>
            </w:r>
          </w:p>
        </w:tc>
        <w:tc>
          <w:tcPr>
            <w:tcW w:w="1215" w:type="dxa"/>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方正黑体_GBK" w:hAnsi="方正黑体_GBK" w:eastAsia="方正黑体_GBK" w:cs="方正黑体_GBK"/>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sz w:val="24"/>
                <w:szCs w:val="24"/>
              </w:rPr>
            </w:pPr>
            <w:r>
              <w:rPr>
                <w:rFonts w:ascii="方正黑体_GBK" w:hAnsi="方正黑体_GBK" w:eastAsia="方正黑体_GBK" w:cs="方正黑体_GBK"/>
                <w:color w:val="000000"/>
                <w:kern w:val="0"/>
                <w:sz w:val="24"/>
                <w:szCs w:val="24"/>
                <w:lang w:val="en-US" w:eastAsia="zh-CN" w:bidi="ar"/>
              </w:rPr>
              <w:t>发放人数</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vertAlign w:val="baseline"/>
                <w:lang w:eastAsia="zh-CN"/>
              </w:rPr>
            </w:pPr>
            <w:r>
              <w:rPr>
                <w:rFonts w:hint="eastAsia" w:ascii="方正黑体_GBK" w:hAnsi="方正黑体_GBK" w:eastAsia="方正黑体_GBK" w:cs="方正黑体_GBK"/>
                <w:color w:val="000000"/>
                <w:kern w:val="0"/>
                <w:sz w:val="24"/>
                <w:szCs w:val="24"/>
                <w:lang w:val="en-US" w:eastAsia="zh-CN" w:bidi="ar"/>
              </w:rPr>
              <w:t>（人）</w:t>
            </w:r>
          </w:p>
        </w:tc>
        <w:tc>
          <w:tcPr>
            <w:tcW w:w="1170" w:type="dxa"/>
            <w:vMerge w:val="continue"/>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697" w:type="dxa"/>
            <w:vMerge w:val="continue"/>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169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eastAsia="zh-CN"/>
              </w:rPr>
            </w:pPr>
            <w:r>
              <w:rPr>
                <w:rFonts w:ascii="方正仿宋_GBK" w:hAnsi="方正仿宋_GBK" w:eastAsia="方正仿宋_GBK" w:cs="方正仿宋_GBK"/>
                <w:color w:val="000000"/>
                <w:kern w:val="0"/>
                <w:sz w:val="24"/>
                <w:szCs w:val="24"/>
                <w:lang w:val="en-US" w:eastAsia="zh-CN" w:bidi="ar"/>
              </w:rPr>
              <w:t>重点优抚对象</w:t>
            </w:r>
          </w:p>
        </w:tc>
        <w:tc>
          <w:tcPr>
            <w:tcW w:w="120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81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23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24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44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45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21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17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697"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69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eastAsia="zh-CN"/>
              </w:rPr>
            </w:pPr>
            <w:r>
              <w:rPr>
                <w:rFonts w:ascii="方正仿宋_GBK" w:hAnsi="方正仿宋_GBK" w:eastAsia="方正仿宋_GBK" w:cs="方正仿宋_GBK"/>
                <w:color w:val="000000"/>
                <w:kern w:val="0"/>
                <w:sz w:val="24"/>
                <w:szCs w:val="24"/>
                <w:lang w:val="en-US" w:eastAsia="zh-CN" w:bidi="ar"/>
              </w:rPr>
              <w:t>困难退役军</w:t>
            </w:r>
            <w:r>
              <w:rPr>
                <w:rFonts w:hint="eastAsia" w:ascii="方正仿宋_GBK" w:hAnsi="方正仿宋_GBK" w:eastAsia="方正仿宋_GBK" w:cs="方正仿宋_GBK"/>
                <w:color w:val="000000"/>
                <w:kern w:val="0"/>
                <w:sz w:val="24"/>
                <w:szCs w:val="24"/>
                <w:lang w:val="en-US" w:eastAsia="zh-CN" w:bidi="ar"/>
              </w:rPr>
              <w:t>人等优抚对象</w:t>
            </w:r>
          </w:p>
        </w:tc>
        <w:tc>
          <w:tcPr>
            <w:tcW w:w="120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81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23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24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44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45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21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17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697"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69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000000"/>
                <w:kern w:val="0"/>
                <w:sz w:val="24"/>
                <w:szCs w:val="24"/>
                <w:lang w:val="en-US" w:eastAsia="zh-CN" w:bidi="ar"/>
              </w:rPr>
            </w:pPr>
            <w:r>
              <w:rPr>
                <w:rFonts w:ascii="方正仿宋_GBK" w:hAnsi="方正仿宋_GBK" w:eastAsia="方正仿宋_GBK" w:cs="方正仿宋_GBK"/>
                <w:color w:val="000000"/>
                <w:kern w:val="0"/>
                <w:sz w:val="24"/>
                <w:szCs w:val="24"/>
                <w:lang w:val="en-US" w:eastAsia="zh-CN" w:bidi="ar"/>
              </w:rPr>
              <w:t>驻地部队</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eastAsia="zh-CN"/>
              </w:rPr>
            </w:pPr>
            <w:r>
              <w:rPr>
                <w:rFonts w:hint="eastAsia" w:ascii="方正仿宋_GBK" w:hAnsi="方正仿宋_GBK" w:eastAsia="方正仿宋_GBK" w:cs="方正仿宋_GBK"/>
                <w:color w:val="000000"/>
                <w:kern w:val="0"/>
                <w:sz w:val="24"/>
                <w:szCs w:val="24"/>
                <w:lang w:val="en-US" w:eastAsia="zh-CN" w:bidi="ar"/>
              </w:rPr>
              <w:t>基层官兵</w:t>
            </w:r>
          </w:p>
        </w:tc>
        <w:tc>
          <w:tcPr>
            <w:tcW w:w="120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81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23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24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44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45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21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17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697"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69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sz w:val="24"/>
                <w:szCs w:val="24"/>
              </w:rPr>
            </w:pPr>
            <w:r>
              <w:rPr>
                <w:rFonts w:ascii="方正仿宋_GBK" w:hAnsi="方正仿宋_GBK" w:eastAsia="方正仿宋_GBK" w:cs="方正仿宋_GBK"/>
                <w:color w:val="000000"/>
                <w:kern w:val="0"/>
                <w:sz w:val="24"/>
                <w:szCs w:val="24"/>
                <w:lang w:val="en-US" w:eastAsia="zh-CN" w:bidi="ar"/>
              </w:rPr>
              <w:t>边海防官兵</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eastAsia="zh-CN"/>
              </w:rPr>
            </w:pPr>
          </w:p>
        </w:tc>
        <w:tc>
          <w:tcPr>
            <w:tcW w:w="120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81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23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24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44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45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21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17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697"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69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vertAlign w:val="baseline"/>
                <w:lang w:eastAsia="zh-CN"/>
              </w:rPr>
            </w:pPr>
            <w:r>
              <w:rPr>
                <w:rFonts w:ascii="方正仿宋_GBK" w:hAnsi="方正仿宋_GBK" w:eastAsia="方正仿宋_GBK" w:cs="方正仿宋_GBK"/>
                <w:color w:val="000000"/>
                <w:kern w:val="0"/>
                <w:sz w:val="24"/>
                <w:szCs w:val="24"/>
                <w:lang w:val="en-US" w:eastAsia="zh-CN" w:bidi="ar"/>
              </w:rPr>
              <w:t>总 计</w:t>
            </w:r>
          </w:p>
        </w:tc>
        <w:tc>
          <w:tcPr>
            <w:tcW w:w="120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81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23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24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44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45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215"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170"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c>
          <w:tcPr>
            <w:tcW w:w="1697" w:type="dxa"/>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z w:val="32"/>
                <w:szCs w:val="32"/>
                <w:vertAlign w:val="baseline"/>
                <w:lang w:eastAsia="zh-CN"/>
              </w:rPr>
            </w:pPr>
          </w:p>
        </w:tc>
      </w:tr>
    </w:tbl>
    <w:p>
      <w:pPr>
        <w:pStyle w:val="2"/>
        <w:rPr>
          <w:rFonts w:hint="default"/>
        </w:rPr>
      </w:pPr>
    </w:p>
    <w:p>
      <w:pPr>
        <w:keepNext w:val="0"/>
        <w:keepLines w:val="0"/>
        <w:pageBreakBefore w:val="0"/>
        <w:widowControl/>
        <w:kinsoku/>
        <w:wordWrap/>
        <w:overflowPunct/>
        <w:topLinePunct w:val="0"/>
        <w:autoSpaceDE/>
        <w:autoSpaceDN/>
        <w:bidi w:val="0"/>
        <w:adjustRightInd/>
        <w:spacing w:line="594" w:lineRule="exact"/>
        <w:jc w:val="both"/>
        <w:textAlignment w:val="baseline"/>
        <w:rPr>
          <w:rFonts w:hint="default" w:ascii="Times New Roman" w:hAnsi="Times New Roman" w:cs="Times New Roman"/>
        </w:rPr>
        <w:sectPr>
          <w:pgSz w:w="16838" w:h="11906" w:orient="landscape"/>
          <w:pgMar w:top="1446" w:right="1984" w:bottom="1446" w:left="1644" w:header="851" w:footer="992" w:gutter="0"/>
          <w:pgNumType w:fmt="decimal"/>
          <w:cols w:space="720" w:num="1"/>
          <w:docGrid w:type="lines" w:linePitch="318" w:charSpace="0"/>
        </w:sect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keepNext w:val="0"/>
        <w:keepLines w:val="0"/>
        <w:pageBreakBefore w:val="0"/>
        <w:widowControl/>
        <w:kinsoku/>
        <w:wordWrap/>
        <w:overflowPunct/>
        <w:topLinePunct w:val="0"/>
        <w:autoSpaceDE/>
        <w:autoSpaceDN/>
        <w:bidi w:val="0"/>
        <w:adjustRightInd/>
        <w:spacing w:line="594" w:lineRule="exact"/>
        <w:jc w:val="both"/>
        <w:textAlignment w:val="baseline"/>
        <w:rPr>
          <w:rFonts w:hint="default" w:ascii="Times New Roman" w:hAnsi="Times New Roman" w:cs="Times New Roman"/>
        </w:rPr>
      </w:pPr>
    </w:p>
    <w:p>
      <w:pPr>
        <w:pStyle w:val="2"/>
        <w:rPr>
          <w:rFonts w:hint="default"/>
        </w:rPr>
      </w:pPr>
    </w:p>
    <w:p>
      <w:pPr>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28"/>
          <w:szCs w:val="28"/>
          <w:lang w:eastAsia="zh-CN"/>
        </w:rPr>
      </w:pPr>
    </w:p>
    <w:sectPr>
      <w:pgSz w:w="11906" w:h="16838"/>
      <w:pgMar w:top="1984" w:right="1446" w:bottom="1644" w:left="1446"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7A"/>
    <w:family w:val="auto"/>
    <w:pitch w:val="default"/>
    <w:sig w:usb0="00000001" w:usb1="080E0000" w:usb2="00000000" w:usb3="00000000" w:csb0="00040000" w:csb1="00000000"/>
  </w:font>
  <w:font w:name="方正仿宋_GBK">
    <w:panose1 w:val="03000509000000000000"/>
    <w:charset w:val="7A"/>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9"/>
      </w:rPr>
    </w:pPr>
    <w:r>
      <w:rPr>
        <w:sz w:val="18"/>
      </w:rPr>
      <mc:AlternateContent>
        <mc:Choice Requires="wps">
          <w:drawing>
            <wp:anchor distT="0" distB="0" distL="114300" distR="114300" simplePos="0" relativeHeight="2048" behindDoc="0" locked="0" layoutInCell="1" allowOverlap="1">
              <wp:simplePos x="0" y="0"/>
              <wp:positionH relativeFrom="margin">
                <wp:align>outside</wp:align>
              </wp:positionH>
              <wp:positionV relativeFrom="paragraph">
                <wp:posOffset>-113665</wp:posOffset>
              </wp:positionV>
              <wp:extent cx="800100" cy="5562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0100" cy="556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95pt;height:43.8pt;width:63pt;mso-position-horizontal:outside;mso-position-horizontal-relative:margin;z-index:2048;mso-width-relative:page;mso-height-relative:page;" filled="f" stroked="f" coordsize="21600,21600" o:gfxdata="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3pEADWAAAABwEAAA8AAAAA&#10;AAAAAQAgAAAAIgAAAGRycy9kb3ducmV2LnhtbFBLAQIUABQAAAAIAIdO4kCmxFlxFgIAABMEAAAO&#10;AAAAAAAAAAEAIAAAACUBAABkcnMvZTJvRG9jLnhtbFBLBQYAAAAABgAGAFkBAACtBQAAAAA=&#10;">
              <v:fill on="f" focussize="0,0"/>
              <v:stroke on="f" weight="0.5pt"/>
              <v:imagedata o:title=""/>
              <o:lock v:ext="edit" aspectratio="f"/>
              <v:textbox inset="0mm,0mm,0mm,0mm">
                <w:txbxContent>
                  <w:p>
                    <w:pPr>
                      <w:pStyle w:val="4"/>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r>
      <w:rPr>
        <w:rStyle w:val="9"/>
      </w:rP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bodyPr upright="1"/>
                  </wps:wsp>
                </a:graphicData>
              </a:graphic>
            </wp:anchor>
          </w:drawing>
        </mc:Choice>
        <mc:Fallback>
          <w:pict>
            <v:shape id="4098" o:spid="_x0000_s1026" o:spt="202" type="#_x0000_t202" style="position:absolute;left:0pt;margin-top:0pt;height:144pt;width:144pt;mso-position-horizontal:outside;mso-position-horizontal-relative:margin;z-index:1024;mso-width-relative:page;mso-height-relative:page;" filled="f" stroked="f" coordsize="21600,21600" o:gfxdata="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">
              <v:fill on="f" focussize="0,0"/>
              <v:stroke on="f"/>
              <v:imagedata o:title=""/>
              <o:lock v:ext="edit" aspectratio="f"/>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801"/>
    <w:rsid w:val="000C2801"/>
    <w:rsid w:val="00C43A2E"/>
    <w:rsid w:val="00CF5B0F"/>
    <w:rsid w:val="071A06C7"/>
    <w:rsid w:val="0A0868D8"/>
    <w:rsid w:val="0A902825"/>
    <w:rsid w:val="0AB9393D"/>
    <w:rsid w:val="0AEA3147"/>
    <w:rsid w:val="0BE23952"/>
    <w:rsid w:val="10326AC1"/>
    <w:rsid w:val="11F2097D"/>
    <w:rsid w:val="13522E6B"/>
    <w:rsid w:val="142D2379"/>
    <w:rsid w:val="15EE5802"/>
    <w:rsid w:val="162F47F8"/>
    <w:rsid w:val="171A01F6"/>
    <w:rsid w:val="18C97EE8"/>
    <w:rsid w:val="1B743528"/>
    <w:rsid w:val="1B7D75B7"/>
    <w:rsid w:val="1C72796A"/>
    <w:rsid w:val="1D4C52C7"/>
    <w:rsid w:val="1EDA646D"/>
    <w:rsid w:val="1F7A3CB3"/>
    <w:rsid w:val="205877D7"/>
    <w:rsid w:val="23A8501A"/>
    <w:rsid w:val="24E01694"/>
    <w:rsid w:val="256C011A"/>
    <w:rsid w:val="25840BB5"/>
    <w:rsid w:val="2758579E"/>
    <w:rsid w:val="27B1426A"/>
    <w:rsid w:val="2E27528B"/>
    <w:rsid w:val="2E556062"/>
    <w:rsid w:val="2EA36439"/>
    <w:rsid w:val="2EC07283"/>
    <w:rsid w:val="2FDF2898"/>
    <w:rsid w:val="30855D70"/>
    <w:rsid w:val="30DB5252"/>
    <w:rsid w:val="34066D15"/>
    <w:rsid w:val="35D04353"/>
    <w:rsid w:val="366F0353"/>
    <w:rsid w:val="37444095"/>
    <w:rsid w:val="38BC48C4"/>
    <w:rsid w:val="3CE70108"/>
    <w:rsid w:val="3E0E2BB9"/>
    <w:rsid w:val="3EC24819"/>
    <w:rsid w:val="3FBF59A2"/>
    <w:rsid w:val="4100676C"/>
    <w:rsid w:val="41024DDE"/>
    <w:rsid w:val="44120674"/>
    <w:rsid w:val="44CD0B5F"/>
    <w:rsid w:val="455B73DB"/>
    <w:rsid w:val="4AD90DE7"/>
    <w:rsid w:val="4E886533"/>
    <w:rsid w:val="4FB50A50"/>
    <w:rsid w:val="515508DA"/>
    <w:rsid w:val="5213630B"/>
    <w:rsid w:val="524B1A53"/>
    <w:rsid w:val="549B090D"/>
    <w:rsid w:val="549D3404"/>
    <w:rsid w:val="55851FC1"/>
    <w:rsid w:val="59B90F9B"/>
    <w:rsid w:val="5C3F6FE4"/>
    <w:rsid w:val="5D047702"/>
    <w:rsid w:val="61F778C7"/>
    <w:rsid w:val="64256A92"/>
    <w:rsid w:val="65B82536"/>
    <w:rsid w:val="66087122"/>
    <w:rsid w:val="686D6101"/>
    <w:rsid w:val="6AFA70D5"/>
    <w:rsid w:val="6C0E4CAE"/>
    <w:rsid w:val="70D24796"/>
    <w:rsid w:val="755E67DE"/>
    <w:rsid w:val="776018EB"/>
    <w:rsid w:val="79765086"/>
    <w:rsid w:val="7A73799D"/>
    <w:rsid w:val="7C49625F"/>
    <w:rsid w:val="7DAE471C"/>
    <w:rsid w:val="7DD63A77"/>
    <w:rsid w:val="7DF57CFE"/>
    <w:rsid w:val="7F760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eastAsia="楷体_GB2312"/>
      <w:sz w:val="32"/>
    </w:rPr>
  </w:style>
  <w:style w:type="paragraph" w:styleId="3">
    <w:name w:val="Date"/>
    <w:basedOn w:val="1"/>
    <w:next w:val="1"/>
    <w:link w:val="12"/>
    <w:qFormat/>
    <w:uiPriority w:val="0"/>
    <w:pPr>
      <w:ind w:left="100" w:leftChars="2500"/>
    </w:pPr>
    <w:rPr>
      <w:rFonts w:ascii="Times New Roman" w:hAnsi="Times New Roman"/>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NormalCharacter"/>
    <w:qFormat/>
    <w:uiPriority w:val="0"/>
    <w:rPr>
      <w:rFonts w:ascii="Times New Roman" w:hAnsi="Times New Roman" w:eastAsia="宋体"/>
    </w:rPr>
  </w:style>
  <w:style w:type="table" w:customStyle="1" w:styleId="10">
    <w:name w:val="TableNormal"/>
    <w:qFormat/>
    <w:uiPriority w:val="0"/>
    <w:tblPr>
      <w:tblLayout w:type="fixed"/>
      <w:tblCellMar>
        <w:top w:w="0" w:type="dxa"/>
        <w:left w:w="0" w:type="dxa"/>
        <w:bottom w:w="0" w:type="dxa"/>
        <w:right w:w="0" w:type="dxa"/>
      </w:tblCellMar>
    </w:tblPr>
  </w:style>
  <w:style w:type="paragraph" w:customStyle="1" w:styleId="11">
    <w:name w:val="Footer"/>
    <w:basedOn w:val="1"/>
    <w:qFormat/>
    <w:uiPriority w:val="0"/>
    <w:pPr>
      <w:tabs>
        <w:tab w:val="center" w:pos="4153"/>
        <w:tab w:val="right" w:pos="8306"/>
      </w:tabs>
      <w:snapToGrid w:val="0"/>
      <w:jc w:val="left"/>
    </w:pPr>
    <w:rPr>
      <w:rFonts w:ascii="Times New Roman" w:hAnsi="Times New Roman"/>
      <w:sz w:val="18"/>
    </w:rPr>
  </w:style>
  <w:style w:type="character" w:customStyle="1" w:styleId="12">
    <w:name w:val="日期 Char"/>
    <w:link w:val="3"/>
    <w:qFormat/>
    <w:uiPriority w:val="0"/>
    <w:rPr>
      <w:rFonts w:ascii="Calibri" w:hAnsi="Calibri" w:eastAsia="宋体"/>
      <w:kern w:val="2"/>
      <w:sz w:val="21"/>
      <w:szCs w:val="24"/>
    </w:rPr>
  </w:style>
  <w:style w:type="paragraph" w:customStyle="1" w:styleId="13">
    <w:name w:val="HtmlNormal"/>
    <w:basedOn w:val="1"/>
    <w:qFormat/>
    <w:uiPriority w:val="0"/>
    <w:rPr>
      <w:rFonts w:ascii="Times New Roman" w:hAnsi="Times New Roman"/>
      <w:sz w:val="24"/>
    </w:rPr>
  </w:style>
  <w:style w:type="paragraph" w:customStyle="1" w:styleId="14">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rFonts w:ascii="Times New Roman" w:hAnsi="Times New Roman"/>
      <w:sz w:val="18"/>
    </w:rPr>
  </w:style>
  <w:style w:type="character" w:customStyle="1" w:styleId="15">
    <w:name w:val="页眉 Char"/>
    <w:basedOn w:val="6"/>
    <w:link w:val="5"/>
    <w:qFormat/>
    <w:uiPriority w:val="0"/>
    <w:rPr>
      <w:rFonts w:ascii="Calibri" w:hAnsi="Calibri" w:cs="Times New Roman"/>
      <w:kern w:val="2"/>
      <w:sz w:val="18"/>
      <w:szCs w:val="18"/>
    </w:rPr>
  </w:style>
  <w:style w:type="character" w:customStyle="1" w:styleId="16">
    <w:name w:val="页脚 Char"/>
    <w:basedOn w:val="6"/>
    <w:link w:val="4"/>
    <w:qFormat/>
    <w:uiPriority w:val="0"/>
    <w:rPr>
      <w:rFonts w:ascii="Calibri" w:hAnsi="Calibri" w:cs="Times New Roman"/>
      <w:kern w:val="2"/>
      <w:sz w:val="18"/>
      <w:szCs w:val="18"/>
    </w:rPr>
  </w:style>
  <w:style w:type="paragraph" w:customStyle="1" w:styleId="17">
    <w:name w:val="公文_标题"/>
    <w:basedOn w:val="1"/>
    <w:qFormat/>
    <w:uiPriority w:val="0"/>
    <w:pPr>
      <w:tabs>
        <w:tab w:val="left" w:pos="1600"/>
      </w:tabs>
      <w:spacing w:line="480" w:lineRule="exact"/>
      <w:ind w:firstLine="0" w:firstLineChars="0"/>
      <w:jc w:val="center"/>
    </w:pPr>
    <w:rPr>
      <w:rFonts w:ascii="方正小标宋简体" w:eastAsia="方正小标宋简体"/>
      <w:sz w:val="44"/>
      <w:szCs w:val="44"/>
    </w:rPr>
  </w:style>
  <w:style w:type="paragraph" w:customStyle="1" w:styleId="18">
    <w:name w:val="公文_主送机关"/>
    <w:basedOn w:val="19"/>
    <w:qFormat/>
    <w:uiPriority w:val="0"/>
    <w:pPr>
      <w:ind w:firstLine="0" w:firstLineChars="0"/>
    </w:pPr>
  </w:style>
  <w:style w:type="paragraph" w:customStyle="1" w:styleId="19">
    <w:name w:val="公文_段"/>
    <w:qFormat/>
    <w:uiPriority w:val="0"/>
    <w:pPr>
      <w:spacing w:line="240" w:lineRule="atLeast"/>
      <w:ind w:firstLine="200" w:firstLineChars="200"/>
    </w:pPr>
    <w:rPr>
      <w:rFonts w:ascii="仿宋" w:hAnsi="Calibri" w:eastAsia="仿宋"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232</Words>
  <Characters>1326</Characters>
  <Lines>11</Lines>
  <Paragraphs>3</Paragraphs>
  <TotalTime>49</TotalTime>
  <ScaleCrop>false</ScaleCrop>
  <LinksUpToDate>false</LinksUpToDate>
  <CharactersWithSpaces>1555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2020-02-07T11:02:00Z</dcterms:created>
  <dc:creator>WPS Office</dc:creator>
  <cp:lastModifiedBy>Administrator</cp:lastModifiedBy>
  <cp:lastPrinted>2022-01-18T01:29:00Z</cp:lastPrinted>
  <dcterms:modified xsi:type="dcterms:W3CDTF">2022-01-18T10:13:54Z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