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重庆市铜梁区双拥工作领导小组办公室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关于做好 </w:t>
      </w:r>
      <w:r>
        <w:rPr>
          <w:rFonts w:hint="default" w:ascii="方正小标宋_GBK" w:hAnsi="方正小标宋_GBK" w:eastAsia="方正小标宋_GBK" w:cs="方正小标宋_GBK"/>
          <w:sz w:val="44"/>
          <w:szCs w:val="44"/>
          <w:lang w:val="en-US" w:eastAsia="zh-CN"/>
        </w:rPr>
        <w:t xml:space="preserve">2022 </w:t>
      </w:r>
      <w:r>
        <w:rPr>
          <w:rFonts w:hint="eastAsia" w:ascii="方正小标宋_GBK" w:hAnsi="方正小标宋_GBK" w:eastAsia="方正小标宋_GBK" w:cs="方正小标宋_GBK"/>
          <w:sz w:val="44"/>
          <w:szCs w:val="44"/>
          <w:lang w:val="en-US" w:eastAsia="zh-CN"/>
        </w:rPr>
        <w:t>年春节期间拥军优属</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拥政爱民工作的通知</w:t>
      </w:r>
    </w:p>
    <w:p>
      <w:pPr>
        <w:pStyle w:val="2"/>
        <w:keepNext w:val="0"/>
        <w:keepLines w:val="0"/>
        <w:pageBreakBefore w:val="0"/>
        <w:kinsoku/>
        <w:wordWrap/>
        <w:overflowPunct/>
        <w:topLinePunct w:val="0"/>
        <w:autoSpaceDE/>
        <w:autoSpaceDN/>
        <w:bidi w:val="0"/>
        <w:adjustRightInd/>
        <w:snapToGrid/>
        <w:spacing w:line="594"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各镇（街）、双拥工作领导小组成员单位、驻铜部队：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2022年新年春节即将来临。全区各镇（街）、双拥工作领导小组成员单位和驻铜部队要以习近平新时代中国特色社会主义思想为指导，全面贯彻党的十九大和十九届二中、三中、四中、五中、六中全会精神，积极适应党、国家和军队建设全面进入新发展阶段的新形势，紧紧围绕更好服务党和国家工作大局、国防和军队建设全局，聚力支持部队备战打仗、深化国防和军队改革，扎实做好拥军优属、拥政爱民工作，不断巩固和发展军政军民团结，以优异成绩迎接党的二十大召开。现就做好节日期间双拥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2" w:firstLineChars="200"/>
        <w:textAlignment w:val="auto"/>
        <w:rPr>
          <w:rFonts w:hint="eastAsia" w:ascii="方正黑体_GBK" w:hAnsi="方正黑体_GBK" w:eastAsia="方正黑体_GBK" w:cs="方正黑体_GBK"/>
          <w:spacing w:val="8"/>
          <w:sz w:val="32"/>
          <w:szCs w:val="32"/>
          <w:lang w:val="en-US" w:eastAsia="zh-CN"/>
        </w:rPr>
      </w:pPr>
      <w:r>
        <w:rPr>
          <w:rFonts w:hint="eastAsia" w:ascii="方正黑体_GBK" w:hAnsi="方正黑体_GBK" w:eastAsia="方正黑体_GBK" w:cs="方正黑体_GBK"/>
          <w:spacing w:val="8"/>
          <w:sz w:val="32"/>
          <w:szCs w:val="32"/>
          <w:lang w:val="en-US" w:eastAsia="zh-CN"/>
        </w:rPr>
        <w:t>一、深入开展双拥宣传教育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全区军地各级要把学习贯彻党的十九届六中全会精神，作为节日期间双拥宣传教育的首要任务，引导广大军民深刻认识“两个确立”的决定性意义，进一步增强“四个意识”、坚定“四个自信”、做到“两个维护”。充分运用广播、电视、报刊等传统媒体和“两微一端”等新兴媒体，大力宣传党的百年奋斗重大成就和历史经验，宣传中国特色社会主义进入新时代的历史性成就和历史性变革，宣传军政军民团结的优良传统和特有政治优势，激发军民支持双拥、参与双拥的政治热情。认真做好致驻铜部队官兵、优抚对象慰问信的发布、宣传工作，增强双拥模范和军人军属的荣誉感自豪感。通过组织军地联欢联谊、军民文艺演出及双拥知识竞赛、影视展播等群众性文化活动，丰富基层官兵和人民群众的节日生活，在全社会营造爱国拥军、爱民奉献的浓厚氛围，激励军民携手奋进新征程、建功新时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2" w:firstLineChars="200"/>
        <w:textAlignment w:val="auto"/>
        <w:rPr>
          <w:rFonts w:hint="eastAsia" w:ascii="方正黑体_GBK" w:hAnsi="方正黑体_GBK" w:eastAsia="方正黑体_GBK" w:cs="方正黑体_GBK"/>
          <w:spacing w:val="8"/>
          <w:sz w:val="32"/>
          <w:szCs w:val="32"/>
          <w:lang w:val="en-US" w:eastAsia="zh-CN"/>
        </w:rPr>
      </w:pPr>
      <w:r>
        <w:rPr>
          <w:rFonts w:hint="eastAsia" w:ascii="方正黑体_GBK" w:hAnsi="方正黑体_GBK" w:eastAsia="方正黑体_GBK" w:cs="方正黑体_GBK"/>
          <w:spacing w:val="8"/>
          <w:sz w:val="32"/>
          <w:szCs w:val="32"/>
          <w:lang w:val="en-US" w:eastAsia="zh-CN"/>
        </w:rPr>
        <w:t>二、聚焦服务部队备战打仗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简体" w:hAnsi="方正仿宋简体" w:eastAsia="方正仿宋简体" w:cs="方正仿宋简体"/>
          <w:spacing w:val="8"/>
          <w:sz w:val="32"/>
          <w:szCs w:val="32"/>
          <w:lang w:eastAsia="zh-CN"/>
        </w:rPr>
      </w:pPr>
      <w:r>
        <w:rPr>
          <w:rFonts w:hint="eastAsia" w:ascii="方正仿宋_GBK" w:hAnsi="方正仿宋_GBK" w:eastAsia="方正仿宋_GBK" w:cs="方正仿宋_GBK"/>
          <w:sz w:val="32"/>
          <w:szCs w:val="32"/>
          <w:lang w:val="en-US" w:eastAsia="zh-CN"/>
        </w:rPr>
        <w:t>全区地方各级要全面贯彻落实</w:t>
      </w:r>
      <w:r>
        <w:rPr>
          <w:rFonts w:hint="eastAsia"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年区委议军会议精神，紧紧围绕服务部队备战打仗现实需要，积极搞好新时代强军兴军服务工作。结合召开军政座谈会、双拥联席会、双拥工作领导小组会，主动了解驻铜部队战备训练和建设改革中遇到的实际问题，想方设法帮助部队办实事解难题，特别是要认真抓好驻铜部队</w:t>
      </w:r>
      <w:r>
        <w:rPr>
          <w:rFonts w:hint="eastAsia"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年反映问题的办理落实。发扬拥军支前优良传统，积极协助部队遂行战备值班、维稳处突等任务，搞好通信、交通、水电、食宿等各项保障，形成部队练备战、地方练支前的生动局面。广泛开展社会化拥军，丰富拓展科技拥军、教育拥军、文化拥军、法律拥军等形式载体，助力部队战斗力提升。认真组织开展拥军慰问活动，领导干部带头深入基层一线看望慰问官兵，激励他们牢记使命、矢志强军和参与第二故乡建设的光荣感、自豪感、使命感。持续开展“情系边海防官兵”拥军优属活动，全覆盖走访慰问驻守高原海岛、边防一线的官兵家庭，帮助协调解决边海防官兵家属就业、军属看病就医等实际困难，激励前方军心士气。</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2" w:firstLineChars="200"/>
        <w:textAlignment w:val="auto"/>
        <w:rPr>
          <w:rFonts w:hint="eastAsia" w:ascii="方正黑体_GBK" w:hAnsi="方正黑体_GBK" w:eastAsia="方正黑体_GBK" w:cs="方正黑体_GBK"/>
          <w:spacing w:val="8"/>
          <w:sz w:val="32"/>
          <w:szCs w:val="32"/>
          <w:lang w:val="en-US" w:eastAsia="zh-CN"/>
        </w:rPr>
      </w:pPr>
      <w:r>
        <w:rPr>
          <w:rFonts w:hint="eastAsia" w:ascii="方正黑体_GBK" w:hAnsi="方正黑体_GBK" w:eastAsia="方正黑体_GBK" w:cs="方正黑体_GBK"/>
          <w:spacing w:val="8"/>
          <w:sz w:val="32"/>
          <w:szCs w:val="32"/>
          <w:lang w:val="en-US" w:eastAsia="zh-CN"/>
        </w:rPr>
        <w:t>三、广泛开展爱民助民活动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驻铜各部队要自觉践行为民服务宗旨，积极落实部队为地方办实事“清单”内容，认真抓好</w:t>
      </w:r>
      <w:r>
        <w:rPr>
          <w:rFonts w:hint="eastAsia"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年地方反映需要驻铜部队支持事项的办理落实，坚持地方所需与部队所能相结合，以实际行动参与地方经济建设。要积极为驻地群众“送温暖、献爱心”，帮助搞好环境卫生整治、公共设施维护、节日氛围营造等，看望城乡低保对象、残疾人家庭、空巢老人、留守儿童等困难群体。组织开展助学兴教、移风易俗等活动，巩固脱贫攻坚成果，衔接支持乡村振兴。积极参加平安创建、文明创建和民族团结进步创建等活动，协助地方维护车站、等春运秩序，做好疫情防控、抢险救灾和应急救援各项准备。各部队要深入开展群众纪律教育检查，树立和维护子弟兵良好形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72" w:firstLineChars="200"/>
        <w:textAlignment w:val="auto"/>
        <w:rPr>
          <w:rFonts w:hint="eastAsia" w:ascii="方正黑体_GBK" w:hAnsi="方正黑体_GBK" w:eastAsia="方正黑体_GBK" w:cs="方正黑体_GBK"/>
          <w:spacing w:val="8"/>
          <w:sz w:val="32"/>
          <w:szCs w:val="32"/>
          <w:lang w:val="en-US" w:eastAsia="zh-CN"/>
        </w:rPr>
      </w:pPr>
      <w:r>
        <w:rPr>
          <w:rFonts w:hint="eastAsia" w:ascii="方正黑体_GBK" w:hAnsi="方正黑体_GBK" w:eastAsia="方正黑体_GBK" w:cs="方正黑体_GBK"/>
          <w:spacing w:val="8"/>
          <w:sz w:val="32"/>
          <w:szCs w:val="32"/>
          <w:lang w:val="en-US" w:eastAsia="zh-CN"/>
        </w:rPr>
        <w:t>四、关心关爱优抚安置对象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全区地方各级要深入学习宣传贯彻《军人地位和权益保障法》《退役军人保障法》等法律法规，维护军人军属合法权益，集中解决随军家属就业安置、军人子女教育优待和军人家庭困难救济、权益维护等实际问题。认真推进退役军人、其他优抚对象优待证发放工作，深入开展“关爱功臣”、“双拥在基层”活动，常态开展送立功喜报和慰问信、挂光荣牌、贴新春楹联年画等活动，按照“普遍走访、重点慰问、精神物质并重”的原则，采取发慰问信、登门看望、座谈交流、电话问候等多种方式，看望慰问军烈属、在乡老复员军人、退役军人和其他优抚对象，送上党和政府的关怀温暖。公共服务窗口单位要落实好军人依法优先举措，为退役军人和其他优抚对象节日出行、参观游览等提供优先优质服务，真正让军人真切感受到全社会的尊崇。积极帮助下岗失业和身患重病等优抚对象排忧解难，依托社会保障和救助体系，借助志愿服务组织和志愿者队伍力量，为他们提供就业扶持、物质资助、精神慰藉、法律援助等服务，把党和政府的关怀温暖送到他们心坎上，不断增强他们的获得感、幸福感和自豪感。全区军地各级要严格落实改进作风和疫情防控有关要求，筹划做好节日期间的双拥工作，确保各项活动喜庆热烈、简朴节约、稳妥有序。</w:t>
      </w:r>
    </w:p>
    <w:p>
      <w:pPr>
        <w:keepNext w:val="0"/>
        <w:keepLines w:val="0"/>
        <w:pageBreakBefore w:val="0"/>
        <w:widowControl/>
        <w:kinsoku/>
        <w:wordWrap/>
        <w:overflowPunct/>
        <w:topLinePunct w:val="0"/>
        <w:autoSpaceDE/>
        <w:autoSpaceDN/>
        <w:bidi w:val="0"/>
        <w:adjustRightInd/>
        <w:spacing w:line="594" w:lineRule="exact"/>
        <w:ind w:firstLine="640" w:firstLineChars="200"/>
        <w:jc w:val="both"/>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各镇（街）、双拥工作领导小组成员单位将春节期间双拥工</w:t>
      </w:r>
      <w:bookmarkStart w:id="0" w:name="_GoBack"/>
      <w:bookmarkEnd w:id="0"/>
      <w:r>
        <w:rPr>
          <w:rFonts w:hint="eastAsia" w:ascii="方正仿宋_GBK" w:hAnsi="方正仿宋_GBK" w:eastAsia="方正仿宋_GBK" w:cs="方正仿宋_GBK"/>
          <w:sz w:val="32"/>
          <w:szCs w:val="32"/>
          <w:lang w:val="en-US" w:eastAsia="zh-CN"/>
        </w:rPr>
        <w:t>作总结于</w:t>
      </w:r>
      <w:r>
        <w:rPr>
          <w:rFonts w:hint="eastAsia"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lang w:val="en-US" w:eastAsia="zh-CN"/>
        </w:rPr>
        <w:t>日（星期四）前报送区双拥办（退役军人事务局</w:t>
      </w:r>
      <w:r>
        <w:rPr>
          <w:rFonts w:hint="default" w:ascii="Times New Roman" w:hAnsi="Times New Roman" w:eastAsia="方正仿宋_GBK" w:cs="Times New Roman"/>
          <w:sz w:val="32"/>
          <w:szCs w:val="32"/>
          <w:lang w:val="en-US" w:eastAsia="zh-CN"/>
        </w:rPr>
        <w:t>404</w:t>
      </w:r>
      <w:r>
        <w:rPr>
          <w:rFonts w:hint="eastAsia" w:ascii="方正仿宋_GBK" w:hAnsi="方正仿宋_GBK" w:eastAsia="方正仿宋_GBK" w:cs="方正仿宋_GBK"/>
          <w:sz w:val="32"/>
          <w:szCs w:val="32"/>
          <w:lang w:val="en-US" w:eastAsia="zh-CN"/>
        </w:rPr>
        <w:t>办公室）。</w:t>
      </w: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pacing w:line="594" w:lineRule="exact"/>
        <w:ind w:firstLine="640" w:firstLineChars="200"/>
        <w:jc w:val="both"/>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年新年春节期间双拥活动情况统计表</w:t>
      </w: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pacing w:line="594" w:lineRule="exact"/>
        <w:ind w:firstLine="2880" w:firstLineChars="900"/>
        <w:jc w:val="both"/>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重庆市铜梁区双拥工作领导小组办公室</w:t>
      </w:r>
    </w:p>
    <w:p>
      <w:pPr>
        <w:keepNext w:val="0"/>
        <w:keepLines w:val="0"/>
        <w:pageBreakBefore w:val="0"/>
        <w:widowControl/>
        <w:kinsoku/>
        <w:wordWrap/>
        <w:overflowPunct/>
        <w:topLinePunct w:val="0"/>
        <w:autoSpaceDE/>
        <w:autoSpaceDN/>
        <w:bidi w:val="0"/>
        <w:adjustRightInd/>
        <w:spacing w:line="594" w:lineRule="exact"/>
        <w:ind w:firstLine="4480" w:firstLineChars="1400"/>
        <w:jc w:val="both"/>
        <w:textAlignment w:val="baseline"/>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12</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27</w:t>
      </w:r>
      <w:r>
        <w:rPr>
          <w:rFonts w:hint="eastAsia" w:ascii="方正仿宋_GBK" w:hAnsi="方正仿宋_GBK" w:eastAsia="方正仿宋_GBK" w:cs="方正仿宋_GBK"/>
          <w:sz w:val="32"/>
          <w:szCs w:val="32"/>
          <w:lang w:val="en-US" w:eastAsia="zh-CN"/>
        </w:rPr>
        <w:t>日</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default" w:ascii="Times New Roman" w:hAnsi="Times New Roman" w:cs="Times New Roman"/>
        </w:rPr>
        <w:sectPr>
          <w:footerReference r:id="rId3" w:type="default"/>
          <w:pgSz w:w="11906" w:h="16838"/>
          <w:pgMar w:top="1984" w:right="1446" w:bottom="1644" w:left="1446" w:header="851" w:footer="992" w:gutter="0"/>
          <w:pgNumType w:fmt="decimal"/>
          <w:cols w:space="720" w:num="1"/>
          <w:docGrid w:type="lines" w:linePitch="318" w:charSpace="0"/>
        </w:sectPr>
      </w:pPr>
    </w:p>
    <w:p>
      <w:pPr>
        <w:keepNext w:val="0"/>
        <w:keepLines w:val="0"/>
        <w:pageBreakBefore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widowControl/>
        <w:suppressLineNumbers w:val="0"/>
        <w:jc w:val="center"/>
        <w:rPr>
          <w:rFonts w:ascii="方正小标宋_GBK" w:hAnsi="方正小标宋_GBK" w:eastAsia="方正小标宋_GBK" w:cs="方正小标宋_GBK"/>
          <w:color w:val="000000"/>
          <w:kern w:val="0"/>
          <w:sz w:val="43"/>
          <w:szCs w:val="43"/>
          <w:lang w:val="en-US" w:eastAsia="zh-CN" w:bidi="ar"/>
        </w:rPr>
      </w:pPr>
      <w:r>
        <w:rPr>
          <w:rFonts w:hint="default" w:ascii="Times New Roman" w:hAnsi="Times New Roman" w:eastAsia="宋体" w:cs="Times New Roman"/>
          <w:color w:val="000000"/>
          <w:kern w:val="0"/>
          <w:sz w:val="43"/>
          <w:szCs w:val="43"/>
          <w:lang w:val="en-US" w:eastAsia="zh-CN" w:bidi="ar"/>
        </w:rPr>
        <w:t xml:space="preserve">2022 </w:t>
      </w:r>
      <w:r>
        <w:rPr>
          <w:rFonts w:ascii="方正小标宋_GBK" w:hAnsi="方正小标宋_GBK" w:eastAsia="方正小标宋_GBK" w:cs="方正小标宋_GBK"/>
          <w:color w:val="000000"/>
          <w:kern w:val="0"/>
          <w:sz w:val="43"/>
          <w:szCs w:val="43"/>
          <w:lang w:val="en-US" w:eastAsia="zh-CN" w:bidi="ar"/>
        </w:rPr>
        <w:t>年新年春节期间双拥活动情况统计表</w:t>
      </w:r>
    </w:p>
    <w:p>
      <w:pPr>
        <w:keepNext w:val="0"/>
        <w:keepLines w:val="0"/>
        <w:widowControl/>
        <w:suppressLineNumbers w:val="0"/>
        <w:jc w:val="left"/>
        <w:rPr>
          <w:rFonts w:hint="default" w:ascii="方正仿宋_GBK" w:hAnsi="方正仿宋_GBK" w:eastAsia="方正仿宋_GBK" w:cs="方正仿宋_GBK"/>
          <w:color w:val="000000"/>
          <w:kern w:val="0"/>
          <w:sz w:val="21"/>
          <w:szCs w:val="21"/>
          <w:lang w:val="en-US" w:eastAsia="zh-CN" w:bidi="ar"/>
        </w:rPr>
      </w:pPr>
      <w:r>
        <w:rPr>
          <w:rFonts w:hint="eastAsia" w:ascii="方正仿宋_GBK" w:hAnsi="方正仿宋_GBK" w:eastAsia="方正仿宋_GBK" w:cs="方正仿宋_GBK"/>
          <w:color w:val="000000"/>
          <w:kern w:val="0"/>
          <w:sz w:val="21"/>
          <w:szCs w:val="21"/>
          <w:lang w:val="en-US" w:eastAsia="zh-CN" w:bidi="ar"/>
        </w:rPr>
        <w:t>填报单位（盖章）：                                                                                日期：</w:t>
      </w:r>
    </w:p>
    <w:tbl>
      <w:tblPr>
        <w:tblStyle w:val="8"/>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00"/>
        <w:gridCol w:w="1815"/>
        <w:gridCol w:w="1230"/>
        <w:gridCol w:w="1245"/>
        <w:gridCol w:w="1440"/>
        <w:gridCol w:w="1455"/>
        <w:gridCol w:w="1215"/>
        <w:gridCol w:w="117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696" w:type="dxa"/>
            <w:vMerge w:val="restart"/>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sz w:val="24"/>
                <w:szCs w:val="24"/>
                <w:vertAlign w:val="baseline"/>
                <w:lang w:eastAsia="zh-CN"/>
              </w:rPr>
            </w:pPr>
            <w:r>
              <w:rPr>
                <w:rFonts w:hint="eastAsia" w:ascii="方正黑体_GBK" w:hAnsi="方正黑体_GBK" w:eastAsia="方正黑体_GBK" w:cs="方正黑体_GBK"/>
                <w:color w:val="000000"/>
                <w:spacing w:val="60"/>
                <w:kern w:val="0"/>
                <w:sz w:val="24"/>
                <w:szCs w:val="24"/>
                <w:fitText w:val="600" w:id="0"/>
                <w:lang w:val="en-US" w:eastAsia="zh-CN" w:bidi="ar"/>
              </w:rPr>
              <w:t>项</w:t>
            </w:r>
            <w:r>
              <w:rPr>
                <w:rFonts w:hint="eastAsia" w:ascii="方正黑体_GBK" w:hAnsi="方正黑体_GBK" w:eastAsia="方正黑体_GBK" w:cs="方正黑体_GBK"/>
                <w:color w:val="000000"/>
                <w:spacing w:val="0"/>
                <w:kern w:val="0"/>
                <w:sz w:val="24"/>
                <w:szCs w:val="24"/>
                <w:fitText w:val="600" w:id="0"/>
                <w:lang w:val="en-US" w:eastAsia="zh-CN" w:bidi="ar"/>
              </w:rPr>
              <w:t>目</w:t>
            </w:r>
          </w:p>
        </w:tc>
        <w:tc>
          <w:tcPr>
            <w:tcW w:w="1200" w:type="dxa"/>
            <w:vMerge w:val="restart"/>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color w:val="000000"/>
                <w:spacing w:val="0"/>
                <w:kern w:val="0"/>
                <w:sz w:val="24"/>
                <w:szCs w:val="24"/>
                <w:lang w:val="en-US" w:eastAsia="zh-CN" w:bidi="ar"/>
              </w:rPr>
            </w:pPr>
            <w:r>
              <w:rPr>
                <w:rFonts w:hint="eastAsia" w:ascii="方正黑体_GBK" w:hAnsi="方正黑体_GBK" w:eastAsia="方正黑体_GBK" w:cs="方正黑体_GBK"/>
                <w:color w:val="000000"/>
                <w:spacing w:val="2"/>
                <w:kern w:val="0"/>
                <w:sz w:val="24"/>
                <w:szCs w:val="24"/>
                <w:lang w:val="en-US" w:eastAsia="zh-CN" w:bidi="ar"/>
              </w:rPr>
              <w:t>带队领</w:t>
            </w:r>
            <w:r>
              <w:rPr>
                <w:rFonts w:hint="eastAsia" w:ascii="方正黑体_GBK" w:hAnsi="方正黑体_GBK" w:eastAsia="方正黑体_GBK" w:cs="方正黑体_GBK"/>
                <w:color w:val="000000"/>
                <w:spacing w:val="0"/>
                <w:kern w:val="0"/>
                <w:sz w:val="24"/>
                <w:szCs w:val="24"/>
                <w:lang w:val="en-US" w:eastAsia="zh-CN" w:bidi="ar"/>
              </w:rPr>
              <w:t>导</w:t>
            </w:r>
          </w:p>
        </w:tc>
        <w:tc>
          <w:tcPr>
            <w:tcW w:w="1815" w:type="dxa"/>
            <w:vMerge w:val="restart"/>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color w:val="000000"/>
                <w:spacing w:val="9"/>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sz w:val="24"/>
                <w:szCs w:val="24"/>
              </w:rPr>
            </w:pPr>
            <w:r>
              <w:rPr>
                <w:rFonts w:hint="eastAsia" w:ascii="方正黑体_GBK" w:hAnsi="方正黑体_GBK" w:eastAsia="方正黑体_GBK" w:cs="方正黑体_GBK"/>
                <w:color w:val="000000"/>
                <w:spacing w:val="9"/>
                <w:kern w:val="0"/>
                <w:sz w:val="24"/>
                <w:szCs w:val="24"/>
                <w:lang w:val="en-US" w:eastAsia="zh-CN" w:bidi="ar"/>
              </w:rPr>
              <w:t>走访慰问人</w:t>
            </w:r>
            <w:r>
              <w:rPr>
                <w:rFonts w:hint="eastAsia" w:ascii="方正黑体_GBK" w:hAnsi="方正黑体_GBK" w:eastAsia="方正黑体_GBK" w:cs="方正黑体_GBK"/>
                <w:color w:val="000000"/>
                <w:spacing w:val="0"/>
                <w:kern w:val="0"/>
                <w:sz w:val="24"/>
                <w:szCs w:val="24"/>
                <w:lang w:val="en-US" w:eastAsia="zh-CN" w:bidi="ar"/>
              </w:rPr>
              <w:t>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sz w:val="24"/>
                <w:szCs w:val="24"/>
                <w:vertAlign w:val="baseline"/>
                <w:lang w:eastAsia="zh-CN"/>
              </w:rPr>
            </w:pPr>
            <w:r>
              <w:rPr>
                <w:rFonts w:hint="eastAsia" w:ascii="方正黑体_GBK" w:hAnsi="方正黑体_GBK" w:eastAsia="方正黑体_GBK" w:cs="方正黑体_GBK"/>
                <w:color w:val="000000"/>
                <w:spacing w:val="0"/>
                <w:kern w:val="0"/>
                <w:sz w:val="24"/>
                <w:szCs w:val="24"/>
                <w:lang w:val="en-US" w:eastAsia="zh-CN" w:bidi="ar"/>
              </w:rPr>
              <w:t>（人）</w:t>
            </w:r>
          </w:p>
        </w:tc>
        <w:tc>
          <w:tcPr>
            <w:tcW w:w="2475" w:type="dxa"/>
            <w:gridSpan w:val="2"/>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sz w:val="24"/>
                <w:szCs w:val="24"/>
                <w:vertAlign w:val="baseline"/>
                <w:lang w:eastAsia="zh-CN"/>
              </w:rPr>
            </w:pPr>
            <w:r>
              <w:rPr>
                <w:rFonts w:hint="eastAsia" w:ascii="方正黑体_GBK" w:hAnsi="方正黑体_GBK" w:eastAsia="方正黑体_GBK" w:cs="方正黑体_GBK"/>
                <w:color w:val="000000"/>
                <w:spacing w:val="0"/>
                <w:kern w:val="0"/>
                <w:sz w:val="24"/>
                <w:szCs w:val="24"/>
                <w:fitText w:val="1680" w:id="1"/>
                <w:lang w:val="en-US" w:eastAsia="zh-CN" w:bidi="ar"/>
              </w:rPr>
              <w:t>发放慰问金情况</w:t>
            </w:r>
          </w:p>
        </w:tc>
        <w:tc>
          <w:tcPr>
            <w:tcW w:w="4110" w:type="dxa"/>
            <w:gridSpan w:val="3"/>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sz w:val="24"/>
                <w:szCs w:val="24"/>
                <w:vertAlign w:val="baseline"/>
                <w:lang w:eastAsia="zh-CN"/>
              </w:rPr>
            </w:pPr>
            <w:r>
              <w:rPr>
                <w:rFonts w:hint="eastAsia" w:ascii="方正黑体_GBK" w:hAnsi="方正黑体_GBK" w:eastAsia="方正黑体_GBK" w:cs="方正黑体_GBK"/>
                <w:color w:val="000000"/>
                <w:spacing w:val="0"/>
                <w:kern w:val="0"/>
                <w:sz w:val="24"/>
                <w:szCs w:val="24"/>
                <w:fitText w:val="1680" w:id="2"/>
                <w:lang w:val="en-US" w:eastAsia="zh-CN" w:bidi="ar"/>
              </w:rPr>
              <w:t>发放慰问品情况</w:t>
            </w:r>
          </w:p>
        </w:tc>
        <w:tc>
          <w:tcPr>
            <w:tcW w:w="1170" w:type="dxa"/>
            <w:vMerge w:val="restart"/>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sz w:val="24"/>
                <w:szCs w:val="24"/>
              </w:rPr>
            </w:pPr>
            <w:r>
              <w:rPr>
                <w:rFonts w:hint="eastAsia" w:ascii="方正黑体_GBK" w:hAnsi="方正黑体_GBK" w:eastAsia="方正黑体_GBK" w:cs="方正黑体_GBK"/>
                <w:color w:val="000000"/>
                <w:spacing w:val="60"/>
                <w:kern w:val="0"/>
                <w:sz w:val="24"/>
                <w:szCs w:val="24"/>
                <w:fitText w:val="600" w:id="3"/>
                <w:lang w:val="en-US" w:eastAsia="zh-CN" w:bidi="ar"/>
              </w:rPr>
              <w:t>合</w:t>
            </w:r>
            <w:r>
              <w:rPr>
                <w:rFonts w:hint="eastAsia" w:ascii="方正黑体_GBK" w:hAnsi="方正黑体_GBK" w:eastAsia="方正黑体_GBK" w:cs="方正黑体_GBK"/>
                <w:color w:val="000000"/>
                <w:spacing w:val="0"/>
                <w:kern w:val="0"/>
                <w:sz w:val="24"/>
                <w:szCs w:val="24"/>
                <w:fitText w:val="600" w:id="3"/>
                <w:lang w:val="en-US" w:eastAsia="zh-CN" w:bidi="ar"/>
              </w:rPr>
              <w:t>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sz w:val="32"/>
                <w:szCs w:val="32"/>
                <w:vertAlign w:val="baseline"/>
                <w:lang w:eastAsia="zh-CN"/>
              </w:rPr>
            </w:pPr>
            <w:r>
              <w:rPr>
                <w:rFonts w:hint="eastAsia" w:ascii="方正黑体_GBK" w:hAnsi="方正黑体_GBK" w:eastAsia="方正黑体_GBK" w:cs="方正黑体_GBK"/>
                <w:color w:val="000000"/>
                <w:spacing w:val="0"/>
                <w:kern w:val="0"/>
                <w:sz w:val="24"/>
                <w:szCs w:val="24"/>
                <w:lang w:val="en-US" w:eastAsia="zh-CN" w:bidi="ar"/>
              </w:rPr>
              <w:t>（万元）</w:t>
            </w:r>
          </w:p>
        </w:tc>
        <w:tc>
          <w:tcPr>
            <w:tcW w:w="1697" w:type="dxa"/>
            <w:vMerge w:val="restart"/>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rPr>
            </w:pPr>
            <w:r>
              <w:rPr>
                <w:rFonts w:hint="eastAsia" w:ascii="方正黑体_GBK" w:hAnsi="方正黑体_GBK" w:eastAsia="方正黑体_GBK" w:cs="方正黑体_GBK"/>
                <w:color w:val="000000"/>
                <w:spacing w:val="27"/>
                <w:w w:val="100"/>
                <w:kern w:val="0"/>
                <w:sz w:val="20"/>
                <w:szCs w:val="20"/>
                <w:fitText w:val="1463" w:id="4"/>
                <w:lang w:val="en-US" w:eastAsia="zh-CN" w:bidi="ar"/>
              </w:rPr>
              <w:t>解决实际困</w:t>
            </w:r>
            <w:r>
              <w:rPr>
                <w:rFonts w:hint="eastAsia" w:ascii="方正黑体_GBK" w:hAnsi="方正黑体_GBK" w:eastAsia="方正黑体_GBK" w:cs="方正黑体_GBK"/>
                <w:color w:val="000000"/>
                <w:spacing w:val="2"/>
                <w:w w:val="95"/>
                <w:kern w:val="0"/>
                <w:sz w:val="20"/>
                <w:szCs w:val="20"/>
                <w:fitText w:val="1463" w:id="4"/>
                <w:lang w:val="en-US" w:eastAsia="zh-CN" w:bidi="ar"/>
              </w:rPr>
              <w:t>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rPr>
            </w:pPr>
            <w:r>
              <w:rPr>
                <w:rFonts w:hint="eastAsia" w:ascii="方正黑体_GBK" w:hAnsi="方正黑体_GBK" w:eastAsia="方正黑体_GBK" w:cs="方正黑体_GBK"/>
                <w:color w:val="000000"/>
                <w:spacing w:val="0"/>
                <w:kern w:val="0"/>
                <w:sz w:val="20"/>
                <w:szCs w:val="20"/>
                <w:lang w:val="en-US" w:eastAsia="zh-CN" w:bidi="ar"/>
              </w:rPr>
              <w:t>情况（子女入学、家属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rPr>
            </w:pPr>
            <w:r>
              <w:rPr>
                <w:rFonts w:hint="eastAsia" w:ascii="方正黑体_GBK" w:hAnsi="方正黑体_GBK" w:eastAsia="方正黑体_GBK" w:cs="方正黑体_GBK"/>
                <w:color w:val="000000"/>
                <w:spacing w:val="0"/>
                <w:kern w:val="0"/>
                <w:sz w:val="20"/>
                <w:szCs w:val="20"/>
                <w:lang w:val="en-US" w:eastAsia="zh-CN" w:bidi="ar"/>
              </w:rPr>
              <w:t>就业、住房改造、看病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pacing w:val="0"/>
                <w:sz w:val="32"/>
                <w:szCs w:val="32"/>
                <w:vertAlign w:val="baseline"/>
                <w:lang w:eastAsia="zh-CN"/>
              </w:rPr>
            </w:pPr>
            <w:r>
              <w:rPr>
                <w:rFonts w:hint="eastAsia" w:ascii="方正黑体_GBK" w:hAnsi="方正黑体_GBK" w:eastAsia="方正黑体_GBK" w:cs="方正黑体_GBK"/>
                <w:color w:val="000000"/>
                <w:spacing w:val="0"/>
                <w:kern w:val="0"/>
                <w:sz w:val="20"/>
                <w:szCs w:val="20"/>
                <w:lang w:val="en-US" w:eastAsia="zh-CN" w:bidi="ar"/>
              </w:rPr>
              <w:t>就医、法律援助等）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1696" w:type="dxa"/>
            <w:vMerge w:val="continue"/>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24"/>
                <w:szCs w:val="24"/>
                <w:vertAlign w:val="baseline"/>
                <w:lang w:eastAsia="zh-CN"/>
              </w:rPr>
            </w:pPr>
          </w:p>
        </w:tc>
        <w:tc>
          <w:tcPr>
            <w:tcW w:w="1200" w:type="dxa"/>
            <w:vMerge w:val="continue"/>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24"/>
                <w:szCs w:val="24"/>
                <w:vertAlign w:val="baseline"/>
                <w:lang w:eastAsia="zh-CN"/>
              </w:rPr>
            </w:pPr>
          </w:p>
        </w:tc>
        <w:tc>
          <w:tcPr>
            <w:tcW w:w="1815" w:type="dxa"/>
            <w:vMerge w:val="continue"/>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24"/>
                <w:szCs w:val="24"/>
                <w:vertAlign w:val="baseline"/>
                <w:lang w:eastAsia="zh-CN"/>
              </w:rPr>
            </w:pPr>
          </w:p>
        </w:tc>
        <w:tc>
          <w:tcPr>
            <w:tcW w:w="1230" w:type="dxa"/>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黑体_GBK" w:hAnsi="方正黑体_GBK" w:eastAsia="方正黑体_GBK" w:cs="方正黑体_GBK"/>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4"/>
                <w:szCs w:val="24"/>
              </w:rPr>
            </w:pPr>
            <w:r>
              <w:rPr>
                <w:rFonts w:ascii="方正黑体_GBK" w:hAnsi="方正黑体_GBK" w:eastAsia="方正黑体_GBK" w:cs="方正黑体_GBK"/>
                <w:color w:val="000000"/>
                <w:kern w:val="0"/>
                <w:sz w:val="24"/>
                <w:szCs w:val="24"/>
                <w:lang w:val="en-US" w:eastAsia="zh-CN" w:bidi="ar"/>
              </w:rPr>
              <w:t>发放金额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color w:val="000000"/>
                <w:kern w:val="0"/>
                <w:sz w:val="24"/>
                <w:szCs w:val="24"/>
                <w:lang w:val="en-US" w:eastAsia="zh-CN" w:bidi="ar"/>
              </w:rPr>
              <w:t>（万元）</w:t>
            </w:r>
          </w:p>
        </w:tc>
        <w:tc>
          <w:tcPr>
            <w:tcW w:w="1245" w:type="dxa"/>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黑体_GBK" w:hAnsi="方正黑体_GBK" w:eastAsia="方正黑体_GBK" w:cs="方正黑体_GBK"/>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4"/>
                <w:szCs w:val="24"/>
              </w:rPr>
            </w:pPr>
            <w:r>
              <w:rPr>
                <w:rFonts w:ascii="方正黑体_GBK" w:hAnsi="方正黑体_GBK" w:eastAsia="方正黑体_GBK" w:cs="方正黑体_GBK"/>
                <w:color w:val="000000"/>
                <w:kern w:val="0"/>
                <w:sz w:val="24"/>
                <w:szCs w:val="24"/>
                <w:lang w:val="en-US" w:eastAsia="zh-CN" w:bidi="ar"/>
              </w:rPr>
              <w:t>发放人数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color w:val="000000"/>
                <w:kern w:val="0"/>
                <w:sz w:val="24"/>
                <w:szCs w:val="24"/>
                <w:lang w:val="en-US" w:eastAsia="zh-CN" w:bidi="ar"/>
              </w:rPr>
              <w:t>（人）</w:t>
            </w:r>
          </w:p>
        </w:tc>
        <w:tc>
          <w:tcPr>
            <w:tcW w:w="1440" w:type="dxa"/>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4"/>
                <w:szCs w:val="24"/>
              </w:rPr>
            </w:pPr>
            <w:r>
              <w:rPr>
                <w:rFonts w:ascii="方正黑体_GBK" w:hAnsi="方正黑体_GBK" w:eastAsia="方正黑体_GBK" w:cs="方正黑体_GBK"/>
                <w:color w:val="000000"/>
                <w:kern w:val="0"/>
                <w:sz w:val="24"/>
                <w:szCs w:val="24"/>
                <w:lang w:val="en-US" w:eastAsia="zh-CN" w:bidi="ar"/>
              </w:rPr>
              <w:t>购买慰问品</w:t>
            </w:r>
            <w:r>
              <w:rPr>
                <w:rFonts w:hint="eastAsia" w:ascii="方正黑体_GBK" w:hAnsi="方正黑体_GBK" w:eastAsia="方正黑体_GBK" w:cs="方正黑体_GBK"/>
                <w:color w:val="000000"/>
                <w:kern w:val="0"/>
                <w:sz w:val="24"/>
                <w:szCs w:val="24"/>
                <w:lang w:val="en-US" w:eastAsia="zh-CN" w:bidi="ar"/>
              </w:rPr>
              <w:t>支出金额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color w:val="000000"/>
                <w:kern w:val="0"/>
                <w:sz w:val="24"/>
                <w:szCs w:val="24"/>
                <w:lang w:val="en-US" w:eastAsia="zh-CN" w:bidi="ar"/>
              </w:rPr>
              <w:t>（万元）</w:t>
            </w:r>
          </w:p>
        </w:tc>
        <w:tc>
          <w:tcPr>
            <w:tcW w:w="1455" w:type="dxa"/>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4"/>
                <w:szCs w:val="24"/>
              </w:rPr>
            </w:pPr>
            <w:r>
              <w:rPr>
                <w:rFonts w:ascii="方正黑体_GBK" w:hAnsi="方正黑体_GBK" w:eastAsia="方正黑体_GBK" w:cs="方正黑体_GBK"/>
                <w:color w:val="000000"/>
                <w:kern w:val="0"/>
                <w:sz w:val="24"/>
                <w:szCs w:val="24"/>
                <w:lang w:val="en-US" w:eastAsia="zh-CN" w:bidi="ar"/>
              </w:rPr>
              <w:t>发放慰问品</w:t>
            </w:r>
            <w:r>
              <w:rPr>
                <w:rFonts w:hint="eastAsia" w:ascii="方正黑体_GBK" w:hAnsi="方正黑体_GBK" w:eastAsia="方正黑体_GBK" w:cs="方正黑体_GBK"/>
                <w:color w:val="000000"/>
                <w:kern w:val="0"/>
                <w:sz w:val="24"/>
                <w:szCs w:val="24"/>
                <w:lang w:val="en-US" w:eastAsia="zh-CN" w:bidi="ar"/>
              </w:rPr>
              <w:t>数量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color w:val="000000"/>
                <w:kern w:val="0"/>
                <w:sz w:val="24"/>
                <w:szCs w:val="24"/>
                <w:lang w:val="en-US" w:eastAsia="zh-CN" w:bidi="ar"/>
              </w:rPr>
              <w:t>（件）</w:t>
            </w:r>
          </w:p>
        </w:tc>
        <w:tc>
          <w:tcPr>
            <w:tcW w:w="1215" w:type="dxa"/>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ascii="方正黑体_GBK" w:hAnsi="方正黑体_GBK" w:eastAsia="方正黑体_GBK" w:cs="方正黑体_GBK"/>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sz w:val="24"/>
                <w:szCs w:val="24"/>
              </w:rPr>
            </w:pPr>
            <w:r>
              <w:rPr>
                <w:rFonts w:ascii="方正黑体_GBK" w:hAnsi="方正黑体_GBK" w:eastAsia="方正黑体_GBK" w:cs="方正黑体_GBK"/>
                <w:color w:val="000000"/>
                <w:kern w:val="0"/>
                <w:sz w:val="24"/>
                <w:szCs w:val="24"/>
                <w:lang w:val="en-US" w:eastAsia="zh-CN" w:bidi="ar"/>
              </w:rPr>
              <w:t>发放人数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color w:val="000000"/>
                <w:kern w:val="0"/>
                <w:sz w:val="24"/>
                <w:szCs w:val="24"/>
                <w:lang w:val="en-US" w:eastAsia="zh-CN" w:bidi="ar"/>
              </w:rPr>
              <w:t>（人）</w:t>
            </w:r>
          </w:p>
        </w:tc>
        <w:tc>
          <w:tcPr>
            <w:tcW w:w="1170" w:type="dxa"/>
            <w:vMerge w:val="continue"/>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697" w:type="dxa"/>
            <w:vMerge w:val="continue"/>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6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4"/>
                <w:szCs w:val="24"/>
                <w:vertAlign w:val="baseline"/>
                <w:lang w:eastAsia="zh-CN"/>
              </w:rPr>
            </w:pPr>
            <w:r>
              <w:rPr>
                <w:rFonts w:ascii="方正仿宋_GBK" w:hAnsi="方正仿宋_GBK" w:eastAsia="方正仿宋_GBK" w:cs="方正仿宋_GBK"/>
                <w:color w:val="000000"/>
                <w:kern w:val="0"/>
                <w:sz w:val="24"/>
                <w:szCs w:val="24"/>
                <w:lang w:val="en-US" w:eastAsia="zh-CN" w:bidi="ar"/>
              </w:rPr>
              <w:t>重点优抚对象</w:t>
            </w:r>
          </w:p>
        </w:tc>
        <w:tc>
          <w:tcPr>
            <w:tcW w:w="120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4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4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17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697"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6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4"/>
                <w:szCs w:val="24"/>
                <w:vertAlign w:val="baseline"/>
                <w:lang w:eastAsia="zh-CN"/>
              </w:rPr>
            </w:pPr>
            <w:r>
              <w:rPr>
                <w:rFonts w:ascii="方正仿宋_GBK" w:hAnsi="方正仿宋_GBK" w:eastAsia="方正仿宋_GBK" w:cs="方正仿宋_GBK"/>
                <w:color w:val="000000"/>
                <w:kern w:val="0"/>
                <w:sz w:val="24"/>
                <w:szCs w:val="24"/>
                <w:lang w:val="en-US" w:eastAsia="zh-CN" w:bidi="ar"/>
              </w:rPr>
              <w:t>困难退役军</w:t>
            </w:r>
            <w:r>
              <w:rPr>
                <w:rFonts w:hint="eastAsia" w:ascii="方正仿宋_GBK" w:hAnsi="方正仿宋_GBK" w:eastAsia="方正仿宋_GBK" w:cs="方正仿宋_GBK"/>
                <w:color w:val="000000"/>
                <w:kern w:val="0"/>
                <w:sz w:val="24"/>
                <w:szCs w:val="24"/>
                <w:lang w:val="en-US" w:eastAsia="zh-CN" w:bidi="ar"/>
              </w:rPr>
              <w:t>人等优抚对象</w:t>
            </w:r>
          </w:p>
        </w:tc>
        <w:tc>
          <w:tcPr>
            <w:tcW w:w="120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4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4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17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697"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6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ascii="方正仿宋_GBK" w:hAnsi="方正仿宋_GBK" w:eastAsia="方正仿宋_GBK" w:cs="方正仿宋_GBK"/>
                <w:color w:val="000000"/>
                <w:kern w:val="0"/>
                <w:sz w:val="24"/>
                <w:szCs w:val="24"/>
                <w:lang w:val="en-US" w:eastAsia="zh-CN" w:bidi="ar"/>
              </w:rPr>
            </w:pPr>
            <w:r>
              <w:rPr>
                <w:rFonts w:ascii="方正仿宋_GBK" w:hAnsi="方正仿宋_GBK" w:eastAsia="方正仿宋_GBK" w:cs="方正仿宋_GBK"/>
                <w:color w:val="000000"/>
                <w:kern w:val="0"/>
                <w:sz w:val="24"/>
                <w:szCs w:val="24"/>
                <w:lang w:val="en-US" w:eastAsia="zh-CN" w:bidi="ar"/>
              </w:rPr>
              <w:t>驻地部队</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4"/>
                <w:szCs w:val="24"/>
                <w:vertAlign w:val="baseline"/>
                <w:lang w:eastAsia="zh-CN"/>
              </w:rPr>
            </w:pPr>
            <w:r>
              <w:rPr>
                <w:rFonts w:hint="eastAsia" w:ascii="方正仿宋_GBK" w:hAnsi="方正仿宋_GBK" w:eastAsia="方正仿宋_GBK" w:cs="方正仿宋_GBK"/>
                <w:color w:val="000000"/>
                <w:kern w:val="0"/>
                <w:sz w:val="24"/>
                <w:szCs w:val="24"/>
                <w:lang w:val="en-US" w:eastAsia="zh-CN" w:bidi="ar"/>
              </w:rPr>
              <w:t>基层官兵</w:t>
            </w:r>
          </w:p>
        </w:tc>
        <w:tc>
          <w:tcPr>
            <w:tcW w:w="120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4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4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17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697"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6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ascii="方正仿宋_GBK" w:hAnsi="方正仿宋_GBK" w:eastAsia="方正仿宋_GBK" w:cs="方正仿宋_GBK"/>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sz w:val="24"/>
                <w:szCs w:val="24"/>
              </w:rPr>
            </w:pPr>
            <w:r>
              <w:rPr>
                <w:rFonts w:ascii="方正仿宋_GBK" w:hAnsi="方正仿宋_GBK" w:eastAsia="方正仿宋_GBK" w:cs="方正仿宋_GBK"/>
                <w:color w:val="000000"/>
                <w:kern w:val="0"/>
                <w:sz w:val="24"/>
                <w:szCs w:val="24"/>
                <w:lang w:val="en-US" w:eastAsia="zh-CN" w:bidi="ar"/>
              </w:rPr>
              <w:t>边海防官兵</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4"/>
                <w:szCs w:val="24"/>
                <w:vertAlign w:val="baseline"/>
                <w:lang w:eastAsia="zh-CN"/>
              </w:rPr>
            </w:pPr>
          </w:p>
        </w:tc>
        <w:tc>
          <w:tcPr>
            <w:tcW w:w="120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4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4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17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697"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6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sz w:val="24"/>
                <w:szCs w:val="24"/>
                <w:vertAlign w:val="baseline"/>
                <w:lang w:eastAsia="zh-CN"/>
              </w:rPr>
            </w:pPr>
            <w:r>
              <w:rPr>
                <w:rFonts w:ascii="方正仿宋_GBK" w:hAnsi="方正仿宋_GBK" w:eastAsia="方正仿宋_GBK" w:cs="方正仿宋_GBK"/>
                <w:color w:val="000000"/>
                <w:kern w:val="0"/>
                <w:sz w:val="24"/>
                <w:szCs w:val="24"/>
                <w:lang w:val="en-US" w:eastAsia="zh-CN" w:bidi="ar"/>
              </w:rPr>
              <w:t>总 计</w:t>
            </w:r>
          </w:p>
        </w:tc>
        <w:tc>
          <w:tcPr>
            <w:tcW w:w="120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8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3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4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4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45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170"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c>
          <w:tcPr>
            <w:tcW w:w="1697" w:type="dxa"/>
          </w:tcPr>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黑体_GBK" w:hAnsi="方正黑体_GBK" w:eastAsia="方正黑体_GBK" w:cs="方正黑体_GBK"/>
                <w:sz w:val="32"/>
                <w:szCs w:val="32"/>
                <w:vertAlign w:val="baseline"/>
                <w:lang w:eastAsia="zh-CN"/>
              </w:rPr>
            </w:pPr>
          </w:p>
        </w:tc>
      </w:tr>
    </w:tbl>
    <w:p>
      <w:pPr>
        <w:pStyle w:val="2"/>
        <w:rPr>
          <w:rFonts w:hint="default"/>
        </w:rPr>
      </w:pP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default" w:ascii="Times New Roman" w:hAnsi="Times New Roman" w:cs="Times New Roman"/>
        </w:rPr>
        <w:sectPr>
          <w:pgSz w:w="16838" w:h="11906" w:orient="landscape"/>
          <w:pgMar w:top="1446" w:right="1984" w:bottom="1446" w:left="1644" w:header="851" w:footer="992" w:gutter="0"/>
          <w:pgNumType w:fmt="decimal"/>
          <w:cols w:space="720" w:num="1"/>
          <w:docGrid w:type="lines" w:linePitch="318" w:charSpace="0"/>
        </w:sect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keepNext w:val="0"/>
        <w:keepLines w:val="0"/>
        <w:pageBreakBefore w:val="0"/>
        <w:widowControl/>
        <w:kinsoku/>
        <w:wordWrap/>
        <w:overflowPunct/>
        <w:topLinePunct w:val="0"/>
        <w:autoSpaceDE/>
        <w:autoSpaceDN/>
        <w:bidi w:val="0"/>
        <w:adjustRightInd/>
        <w:spacing w:line="594" w:lineRule="exact"/>
        <w:jc w:val="both"/>
        <w:textAlignment w:val="baseline"/>
        <w:rPr>
          <w:rFonts w:hint="default" w:ascii="Times New Roman" w:hAnsi="Times New Roman" w:cs="Times New Roman"/>
        </w:rPr>
      </w:pPr>
    </w:p>
    <w:p>
      <w:pPr>
        <w:pStyle w:val="2"/>
        <w:rPr>
          <w:rFonts w:hint="default"/>
        </w:rPr>
      </w:pPr>
    </w:p>
    <w:p>
      <w:pPr>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28"/>
          <w:szCs w:val="28"/>
          <w:lang w:eastAsia="zh-CN"/>
        </w:rPr>
      </w:pPr>
    </w:p>
    <w:sectPr>
      <w:pgSz w:w="11906" w:h="16838"/>
      <w:pgMar w:top="1984" w:right="1446" w:bottom="1644" w:left="1446" w:header="851" w:footer="992"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7A"/>
    <w:family w:val="auto"/>
    <w:pitch w:val="default"/>
    <w:sig w:usb0="00000001" w:usb1="080E0000" w:usb2="00000000" w:usb3="00000000" w:csb0="00040000" w:csb1="00000000"/>
  </w:font>
  <w:font w:name="方正仿宋_GBK">
    <w:panose1 w:val="03000509000000000000"/>
    <w:charset w:val="7A"/>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9"/>
      </w:rPr>
    </w:pPr>
    <w:r>
      <w:rPr>
        <w:sz w:val="18"/>
      </w:rPr>
      <mc:AlternateContent>
        <mc:Choice Requires="wps">
          <w:drawing>
            <wp:anchor distT="0" distB="0" distL="114300" distR="114300" simplePos="0" relativeHeight="2048" behindDoc="0" locked="0" layoutInCell="1" allowOverlap="1">
              <wp:simplePos x="0" y="0"/>
              <wp:positionH relativeFrom="margin">
                <wp:align>outside</wp:align>
              </wp:positionH>
              <wp:positionV relativeFrom="paragraph">
                <wp:posOffset>-113665</wp:posOffset>
              </wp:positionV>
              <wp:extent cx="800100" cy="556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0100" cy="556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95pt;height:43.8pt;width:63pt;mso-position-horizontal:outside;mso-position-horizontal-relative:margin;z-index:2048;mso-width-relative:page;mso-height-relative:page;" filled="f" stroked="f" coordsize="21600,21600" o:gfxdata="UEsDBAoAAAAAAIdO4kAAAAAAAAAAAAAAAAAEAAAAZHJzL1BLAwQUAAAACACHTuJA/ekQANYAAAAH&#10;AQAADwAAAGRycy9kb3ducmV2LnhtbE2PS0/DMBCE70j8B2uRuLV2ekhpyKYHHjdeLSDBzYlNEhGv&#10;I3uTln+Pe4Ljzoxmvi23RzeI2YbYe0LIlgqEpcabnlqEt9f7xRWIyJqMHjxZhB8bYVudn5W6MP5A&#10;OzvvuRWphGKhETrmsZAyNp11Oi79aCl5Xz44zekMrTRBH1K5G+RKqVw63VNa6PRobzrbfO8nhzB8&#10;xPBQK/6cb9tHfnmW0/td9oR4eZGpaxBsj/wXhhN+QocqMdV+IhPFgJAeYYRFtt6AONmrPCk1Qr5Z&#10;g6xK+Z+/+gVQSwMEFAAAAAgAh07iQKbEWXEWAgAAEwQAAA4AAABkcnMvZTJvRG9jLnhtbK1TzY7T&#10;MBC+I/EOlu80aVGrVdV0VXZVhFSxKxXE2XXsxpLtMbbbpDwAvAEnLtx5rj4HYyftIuCEuEwm8z/f&#10;fF7cdkaTo/BBga3oeFRSIiyHWtl9Rd+/W7+4oSREZmumwYqKnkSgt8vnzxatm4sJNKBr4QkWsWHe&#10;uoo2Mbp5UQTeCMPCCJyw6JTgDYv46/dF7VmL1Y0uJmU5K1rwtfPARQhove+ddJnrSyl4fJAyiEh0&#10;RXG2mKXPcpdksVyw+d4z1yg+jMH+YQrDlMWm11L3LDJy8OqPUkZxDwFkHHEwBUipuMg74Dbj8rdt&#10;tg1zIu+C4AR3hSn8v7L87fHRE1Xj7SixzOCJzl+/nL/9OH//TMYJntaFOUZtHcbF7hV0KXSwBzSm&#10;rTvpTfriPgT9CPTpCq7oIuFovClxQfRwdE2ns8ksg188JTsf4msBhiSloh5vlyFlx02I2BBDLyGp&#10;l4W10jrfT1vSVnT2clrmhKsHM7TFxLRCP2rSYrfrhvl3UJ9wLQ89L4Lja4XNNyzER+aRCDgvkjs+&#10;oJAasAkMGiUN+E9/s6d4vA96KWmRWBUNHw/MC0r0G4uXSyy8KP6i7C6KPZg7QK7iNXCarGKCj/qi&#10;Sg/mA3J+lbqgi1mOvSoaL+pd7OmNb4aL1SoHHZxX+6ZPQN45Fjd263hq00O5OkSQKqOcIOpxGZBD&#10;5mXwh1eSqP3rf456esv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3pEADWAAAABwEAAA8AAAAA&#10;AAAAAQAgAAAAIgAAAGRycy9kb3ducmV2LnhtbFBLAQIUABQAAAAIAIdO4kCmxFlxFgIAABMEAAAO&#10;AAAAAAAAAAEAIAAAACUBAABkcnMvZTJvRG9jLnhtbFBLBQYAAAAABgAGAFkBAACtBQAAAAA=&#10;">
              <v:fill on="f" focussize="0,0"/>
              <v:stroke on="f" weight="0.5pt"/>
              <v:imagedata o:title=""/>
              <o:lock v:ext="edit" aspectratio="f"/>
              <v:textbox inset="0mm,0mm,0mm,0mm">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r>
      <w:rPr>
        <w:rStyle w:val="9"/>
      </w:rP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bodyPr upright="1"/>
                  </wps:wsp>
                </a:graphicData>
              </a:graphic>
            </wp:anchor>
          </w:drawing>
        </mc:Choice>
        <mc:Fallback>
          <w:pict>
            <v:shape id="4098" o:spid="_x0000_s1026" o:spt="202" type="#_x0000_t202" style="position:absolute;left:0pt;margin-top:0pt;height:144pt;width:144pt;mso-position-horizontal:outside;mso-position-horizontal-relative:margin;z-index:1024;mso-width-relative:page;mso-height-relative:page;" filled="f" stroked="f" coordsize="21600,21600" o:gfxdata="UEsDBAoAAAAAAIdO4kAAAAAAAAAAAAAAAAAEAAAAZHJzL1BLAwQUAAAACACHTuJANBm2xtAAAAAF&#10;AQAADwAAAGRycy9kb3ducmV2LnhtbE2PQUvDQBCF74L/YRmhNzvbUiXGbHpQvCrWtuBtm50mwexs&#10;yG6b+O8dRdDLMI83vPlesZ58p840xDawgcVcgyKugmu5NrB9e7rOQMVk2dkuMBn4pAjr8vKisLkL&#10;I7/SeZNqJSEcc2ugSanPEWPVkLdxHnpi8Y5h8DaJHGp0gx0l3He41PoWvW1ZPjS2p4eGqo/NyRvY&#10;PR/f9yv9Uj/6m34Mk0b2d2jM7Gqh70ElmtLfMXzjCzqUwnQIJ3ZRdQakSPqZ4i2zTOThd8GywP/0&#10;5RdQSwMEFAAAAAgAh07iQIxzBEN6AQAA+AIAAA4AAABkcnMvZTJvRG9jLnhtbK1Sy07DMBC8I/EP&#10;lu80aUVRiJpWQlW5IEAqfIDr2I0l22vZbpP+PWv3heCGuPg1u7M7s54tBqPJXvigwDZ0PCopEZZD&#10;q+y2oZ8fq7uKkhCZbZkGKxp6EIEu5rc3s97VYgId6FZ4giQ21L1raBejq4si8E4YFkbghEVQgjcs&#10;4tVvi9azHtmNLiZl+VD04FvngYsQ8HV5BOk880speHyTMohIdEOxt5hXn9dNWov5jNVbz1yn+KkN&#10;9ocuDFMWi16oliwysvPqF5VR3EMAGUccTAFSKi6yBlQzLn+oWXfMiawFzQnuYlP4P1r+un/3RLUN&#10;nVJimcER3ZePVfKld6FGeO0wIA5PMOB8z+8BH5PcQXqTdhRCEEeHDxdXxRAJT0nVpKpKhDhi5wvy&#10;F9d050N8FmBIOjTU49iym2z/EuIx9BySqllYKa3z6LQlfUMfp5NpTrggSK4t1kgijs2m0wbaA6rZ&#10;Oa+2HRbKenIM2ps7On2FNL/v98x0/bDz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DQZtsbQAAAA&#10;BQEAAA8AAAAAAAAAAQAgAAAAIgAAAGRycy9kb3ducmV2LnhtbFBLAQIUABQAAAAIAIdO4kCMcwRD&#10;egEAAPgCAAAOAAAAAAAAAAEAIAAAAB8BAABkcnMvZTJvRG9jLnhtbFBLBQYAAAAABgAGAFkBAAAL&#10;BQAAAAA=&#10;">
              <v:fill on="f" focussize="0,0"/>
              <v:stroke on="f"/>
              <v:imagedata o:title=""/>
              <o:lock v:ext="edit" aspectratio="f"/>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01"/>
    <w:rsid w:val="000C2801"/>
    <w:rsid w:val="00C43A2E"/>
    <w:rsid w:val="00CF5B0F"/>
    <w:rsid w:val="071A06C7"/>
    <w:rsid w:val="0A0868D8"/>
    <w:rsid w:val="0A902825"/>
    <w:rsid w:val="0AB9393D"/>
    <w:rsid w:val="0AEA3147"/>
    <w:rsid w:val="0BE23952"/>
    <w:rsid w:val="10326AC1"/>
    <w:rsid w:val="11F2097D"/>
    <w:rsid w:val="13522E6B"/>
    <w:rsid w:val="142D2379"/>
    <w:rsid w:val="15EE5802"/>
    <w:rsid w:val="162F47F8"/>
    <w:rsid w:val="171A01F6"/>
    <w:rsid w:val="18C97EE8"/>
    <w:rsid w:val="1B743528"/>
    <w:rsid w:val="1B7D75B7"/>
    <w:rsid w:val="1C72796A"/>
    <w:rsid w:val="1D4C52C7"/>
    <w:rsid w:val="1EDA646D"/>
    <w:rsid w:val="1F7A3CB3"/>
    <w:rsid w:val="205877D7"/>
    <w:rsid w:val="23A8501A"/>
    <w:rsid w:val="24E01694"/>
    <w:rsid w:val="256C011A"/>
    <w:rsid w:val="25840BB5"/>
    <w:rsid w:val="2758579E"/>
    <w:rsid w:val="27B1426A"/>
    <w:rsid w:val="2E27528B"/>
    <w:rsid w:val="2E556062"/>
    <w:rsid w:val="2EA36439"/>
    <w:rsid w:val="2EC07283"/>
    <w:rsid w:val="2FDF2898"/>
    <w:rsid w:val="30855D70"/>
    <w:rsid w:val="30DB5252"/>
    <w:rsid w:val="34066D15"/>
    <w:rsid w:val="35D04353"/>
    <w:rsid w:val="366F0353"/>
    <w:rsid w:val="37444095"/>
    <w:rsid w:val="38BC48C4"/>
    <w:rsid w:val="3CE70108"/>
    <w:rsid w:val="3E0E2BB9"/>
    <w:rsid w:val="3EC24819"/>
    <w:rsid w:val="3FBF59A2"/>
    <w:rsid w:val="4100676C"/>
    <w:rsid w:val="41024DDE"/>
    <w:rsid w:val="44120674"/>
    <w:rsid w:val="44CD0B5F"/>
    <w:rsid w:val="455B73DB"/>
    <w:rsid w:val="4AD90DE7"/>
    <w:rsid w:val="4E886533"/>
    <w:rsid w:val="4FB50A50"/>
    <w:rsid w:val="515508DA"/>
    <w:rsid w:val="5213630B"/>
    <w:rsid w:val="524B1A53"/>
    <w:rsid w:val="549B090D"/>
    <w:rsid w:val="549D3404"/>
    <w:rsid w:val="55851FC1"/>
    <w:rsid w:val="59B90F9B"/>
    <w:rsid w:val="5C3F6FE4"/>
    <w:rsid w:val="5D047702"/>
    <w:rsid w:val="61F778C7"/>
    <w:rsid w:val="64256A92"/>
    <w:rsid w:val="65B82536"/>
    <w:rsid w:val="66087122"/>
    <w:rsid w:val="686D6101"/>
    <w:rsid w:val="6AFA70D5"/>
    <w:rsid w:val="6C0E4CAE"/>
    <w:rsid w:val="70D24796"/>
    <w:rsid w:val="755E67DE"/>
    <w:rsid w:val="776018EB"/>
    <w:rsid w:val="79765086"/>
    <w:rsid w:val="7A73799D"/>
    <w:rsid w:val="7C49625F"/>
    <w:rsid w:val="7DAE471C"/>
    <w:rsid w:val="7DD63A77"/>
    <w:rsid w:val="7DF57CFE"/>
    <w:rsid w:val="7F76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rPr>
      <w:rFonts w:ascii="楷体_GB2312" w:eastAsia="楷体_GB2312"/>
      <w:sz w:val="32"/>
    </w:rPr>
  </w:style>
  <w:style w:type="paragraph" w:styleId="3">
    <w:name w:val="Date"/>
    <w:basedOn w:val="1"/>
    <w:next w:val="1"/>
    <w:link w:val="12"/>
    <w:qFormat/>
    <w:uiPriority w:val="0"/>
    <w:pPr>
      <w:ind w:left="100" w:leftChars="2500"/>
    </w:pPr>
    <w:rPr>
      <w:rFonts w:ascii="Times New Roman" w:hAnsi="Times New Roman"/>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NormalCharacter"/>
    <w:qFormat/>
    <w:uiPriority w:val="0"/>
    <w:rPr>
      <w:rFonts w:ascii="Times New Roman" w:hAnsi="Times New Roman" w:eastAsia="宋体"/>
    </w:rPr>
  </w:style>
  <w:style w:type="table" w:customStyle="1" w:styleId="10">
    <w:name w:val="TableNormal"/>
    <w:qFormat/>
    <w:uiPriority w:val="0"/>
    <w:tblPr>
      <w:tblLayout w:type="fixed"/>
      <w:tblCellMar>
        <w:top w:w="0" w:type="dxa"/>
        <w:left w:w="0" w:type="dxa"/>
        <w:bottom w:w="0" w:type="dxa"/>
        <w:right w:w="0" w:type="dxa"/>
      </w:tblCellMar>
    </w:tblPr>
  </w:style>
  <w:style w:type="paragraph" w:customStyle="1" w:styleId="11">
    <w:name w:val="Footer"/>
    <w:basedOn w:val="1"/>
    <w:qFormat/>
    <w:uiPriority w:val="0"/>
    <w:pPr>
      <w:tabs>
        <w:tab w:val="center" w:pos="4153"/>
        <w:tab w:val="right" w:pos="8306"/>
      </w:tabs>
      <w:snapToGrid w:val="0"/>
      <w:jc w:val="left"/>
    </w:pPr>
    <w:rPr>
      <w:rFonts w:ascii="Times New Roman" w:hAnsi="Times New Roman"/>
      <w:sz w:val="18"/>
    </w:rPr>
  </w:style>
  <w:style w:type="character" w:customStyle="1" w:styleId="12">
    <w:name w:val="日期 Char"/>
    <w:link w:val="3"/>
    <w:qFormat/>
    <w:uiPriority w:val="0"/>
    <w:rPr>
      <w:rFonts w:ascii="Calibri" w:hAnsi="Calibri" w:eastAsia="宋体"/>
      <w:kern w:val="2"/>
      <w:sz w:val="21"/>
      <w:szCs w:val="24"/>
    </w:rPr>
  </w:style>
  <w:style w:type="paragraph" w:customStyle="1" w:styleId="13">
    <w:name w:val="HtmlNormal"/>
    <w:basedOn w:val="1"/>
    <w:qFormat/>
    <w:uiPriority w:val="0"/>
    <w:rPr>
      <w:rFonts w:ascii="Times New Roman" w:hAnsi="Times New Roman"/>
      <w:sz w:val="24"/>
    </w:rPr>
  </w:style>
  <w:style w:type="paragraph" w:customStyle="1" w:styleId="1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rFonts w:ascii="Times New Roman" w:hAnsi="Times New Roman"/>
      <w:sz w:val="18"/>
    </w:rPr>
  </w:style>
  <w:style w:type="character" w:customStyle="1" w:styleId="15">
    <w:name w:val="页眉 Char"/>
    <w:basedOn w:val="6"/>
    <w:link w:val="5"/>
    <w:qFormat/>
    <w:uiPriority w:val="0"/>
    <w:rPr>
      <w:rFonts w:ascii="Calibri" w:hAnsi="Calibri" w:cs="Times New Roman"/>
      <w:kern w:val="2"/>
      <w:sz w:val="18"/>
      <w:szCs w:val="18"/>
    </w:rPr>
  </w:style>
  <w:style w:type="character" w:customStyle="1" w:styleId="16">
    <w:name w:val="页脚 Char"/>
    <w:basedOn w:val="6"/>
    <w:link w:val="4"/>
    <w:qFormat/>
    <w:uiPriority w:val="0"/>
    <w:rPr>
      <w:rFonts w:ascii="Calibri" w:hAnsi="Calibri" w:cs="Times New Roman"/>
      <w:kern w:val="2"/>
      <w:sz w:val="18"/>
      <w:szCs w:val="18"/>
    </w:rPr>
  </w:style>
  <w:style w:type="paragraph" w:customStyle="1" w:styleId="17">
    <w:name w:val="公文_标题"/>
    <w:basedOn w:val="1"/>
    <w:qFormat/>
    <w:uiPriority w:val="0"/>
    <w:pPr>
      <w:tabs>
        <w:tab w:val="left" w:pos="1600"/>
      </w:tabs>
      <w:spacing w:line="480" w:lineRule="exact"/>
      <w:ind w:firstLine="0" w:firstLineChars="0"/>
      <w:jc w:val="center"/>
    </w:pPr>
    <w:rPr>
      <w:rFonts w:ascii="方正小标宋简体" w:eastAsia="方正小标宋简体"/>
      <w:sz w:val="44"/>
      <w:szCs w:val="44"/>
    </w:rPr>
  </w:style>
  <w:style w:type="paragraph" w:customStyle="1" w:styleId="18">
    <w:name w:val="公文_主送机关"/>
    <w:basedOn w:val="19"/>
    <w:qFormat/>
    <w:uiPriority w:val="0"/>
    <w:pPr>
      <w:ind w:firstLine="0" w:firstLineChars="0"/>
    </w:pPr>
  </w:style>
  <w:style w:type="paragraph" w:customStyle="1" w:styleId="19">
    <w:name w:val="公文_段"/>
    <w:qFormat/>
    <w:uiPriority w:val="0"/>
    <w:pPr>
      <w:spacing w:line="240" w:lineRule="atLeast"/>
      <w:ind w:firstLine="200" w:firstLineChars="200"/>
    </w:pPr>
    <w:rPr>
      <w:rFonts w:ascii="仿宋" w:hAnsi="Calibri" w:eastAsia="仿宋"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232</Words>
  <Characters>1326</Characters>
  <Lines>11</Lines>
  <Paragraphs>3</Paragraphs>
  <TotalTime>49</TotalTime>
  <ScaleCrop>false</ScaleCrop>
  <LinksUpToDate>false</LinksUpToDate>
  <CharactersWithSpaces>1555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2020-02-07T11:02:00Z</dcterms:created>
  <dc:creator>WPS Office</dc:creator>
  <cp:lastModifiedBy>Administrator</cp:lastModifiedBy>
  <cp:lastPrinted>2022-01-18T01:29:00Z</cp:lastPrinted>
  <dcterms:modified xsi:type="dcterms:W3CDTF">2022-01-18T10:13:54Z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