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  <w:t>铜梁区促进商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  <w:t>务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  <w:t>服务业高质量发展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  <w:t>10条措施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进一步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贯彻落实习近平新时代中国特色社会主义思想和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党的二十大精神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认真落实市委区委全会精神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大抓消费促进，大抓开放发展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大力开展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</w:rPr>
        <w:t>商贸流通体系建设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，推动商务经济平稳运行、高质量发展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，结合我区实际，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制定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第一条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培育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限上企业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。对首次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申报纳入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限额以上的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商贸企业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，纳入限上统计次年起三年内，每年分别按5万元、2万元、3万元给予补助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如遇政策废止不影响剩余年度补助执行，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期内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下限的则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取消剩余补助。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对报表及时规范的企业给予每年4800元/户的统计报表工作补助。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对新增限上个体户给予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000元/户的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一次性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第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 xml:space="preserve">条 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支持首店经济发展。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支持老字号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非遗品牌或连锁经营企业在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商圈、特色街区、旅游景区、交通枢纽等区域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开设直营店、连锁经营店。对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符合条件的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实际经营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面积达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0平方米以上、连续经营满1年以上的，给予10万元一次性补助。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当年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引进企业开展知名商业品牌首发、首秀活动，给予活动费用（场租、搭建、宣传推广等）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5万元一次性补助。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第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 xml:space="preserve">条 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各镇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农贸市场建设。对镇政府投资修建规范化农贸市场，优先推荐争取市级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项目支持。对未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纳入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市级项目支持的镇，由镇政府向区政府专项申请，经区政府同意后，按以下标准给予资金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补助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：新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扩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建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面积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2000平方米以上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（含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2000平方米）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补助30万元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新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扩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建面积1000平方米以上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（含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1000平方米）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的补助15万元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改造维修的按照实际投资额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40%、最高不超过10万元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给予补助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第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农村快递物流发展。对通过网销渠道销售农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特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产品的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，按照实际产生快递运输费用的30%给予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补助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，单个企业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当年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最高不超过20万元。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第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 xml:space="preserve"> 支持三级物流体系建设。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三级物流体系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中正常运营的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村级服务站点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每年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补助2400元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/个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第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会展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经济发展。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对参加经区商务部门推荐的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国家级、市级或区级会展、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商服竞技比赛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给予实际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展位费和搭建费全额补助，交通费和食宿费按每户不超过市内2000元/次、市外4000元/次的标准给予补助，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参展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货物运输费按实际发生的50%给予补助。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第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品牌创建</w:t>
      </w:r>
      <w:r>
        <w:rPr>
          <w:rFonts w:hint="default" w:ascii="Times New Roman" w:hAnsi="Times New Roman" w:cs="Times New Roman"/>
          <w:color w:val="auto"/>
          <w:sz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新获评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五星、四星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、三星级农家乐，分别一次性给予8万元、5万元、2万元补助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对新评定的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五钻（五叶）、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四钻（四叶）、三钻（三叶）级酒家酒店（绿色饭店），分别一次性给予8万元、5万元、2万元补助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低等级升高等级的只给予差额补助。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新获评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“中华老字号”、“重庆老字号”，分别一次性给予8万元、3万元补助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；对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新获得区级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“商贸企业十强”和“餐饮企业十佳”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的企业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，一次性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给予每个企业1万元补助（评选办法另行制定）。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rPr>
          <w:rFonts w:hint="default" w:ascii="Times New Roman" w:hAnsi="Times New Roman" w:eastAsia="方正楷体_GBK" w:cs="Times New Roman"/>
          <w:color w:val="auto"/>
          <w:sz w:val="32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第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 xml:space="preserve"> 鼓励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外商投资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对有实际使用外资的企业，按照市级主管部门认定的当年实际使用外资额按照0.02元/美元的标准给予补助，单个企业当年最高不超过50万元。对外商直接投资当年累计到位达到100万美元的企业，可报区政府审定后给予一定补助。此条政策与国家或市级外资扶持政策叠加享受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第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支持外贸发展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u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u w:val="none"/>
          <w:lang w:eastAsia="zh-CN"/>
        </w:rPr>
        <w:t>重点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u w:val="none"/>
        </w:rPr>
        <w:t>支持企业开拓国际市场、自主品牌创建、出口技改研发、发展跨境电商等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u w:val="none"/>
        </w:rPr>
        <w:t>根据企业发展绩效给予一定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u w:val="none"/>
          <w:lang w:eastAsia="zh-CN"/>
        </w:rPr>
        <w:t>补助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u w:val="none"/>
        </w:rPr>
        <w:t>。具体扶持办法由区商务委会同区财政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u w:val="none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u w:val="none"/>
        </w:rPr>
        <w:t>制定并报区政府审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u w:val="none"/>
          <w:lang w:eastAsia="zh-CN"/>
        </w:rPr>
        <w:t>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u w:val="none"/>
        </w:rPr>
        <w:t>后执行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第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  <w:lang w:val="en-US" w:eastAsia="zh-CN"/>
        </w:rPr>
        <w:t>十</w:t>
      </w:r>
      <w:r>
        <w:rPr>
          <w:rFonts w:hint="default" w:ascii="Times New Roman" w:hAnsi="Times New Roman" w:eastAsia="方正黑体_GBK" w:cs="Times New Roman"/>
          <w:color w:val="auto"/>
          <w:sz w:val="32"/>
          <w:u w:val="none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24"/>
          <w:u w:val="none"/>
          <w:lang w:val="en-US" w:eastAsia="zh-CN" w:bidi="ar-SA"/>
        </w:rPr>
        <w:t>支持的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其他方面</w:t>
      </w:r>
      <w:r>
        <w:rPr>
          <w:rFonts w:hint="default" w:ascii="Times New Roman" w:hAnsi="Times New Roman" w:cs="Times New Roman"/>
          <w:color w:val="auto"/>
          <w:sz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支持商务市场主体或相关单位开展项目申报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、真实性审核、专家评审、专项审计、验收、绩效评估和品牌创建等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；支持商务市场主体或相关单位组织商务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管理人才、专业技术人员、企业统计人员以及电子商务等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商务行业人员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培训提高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；支持商务市场主体及相关单位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开展市场保供、市场监测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  <w:lang w:eastAsia="zh-CN"/>
        </w:rPr>
        <w:t>商务</w:t>
      </w: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行业协会发展。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9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u w:val="none"/>
          <w:lang w:eastAsia="zh-CN"/>
        </w:rPr>
        <w:t>本措施的资金申报、拨付及管理，由区商务委会同区财政局等部门制定实施细则或申报指南，按程序组织实施。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u w:val="none"/>
          <w:lang w:val="en-US" w:eastAsia="zh-CN"/>
        </w:rPr>
        <w:t>该政策最终解释权归区商务委所有。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jc w:val="both"/>
        <w:textAlignment w:val="auto"/>
        <w:outlineLvl w:val="9"/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本措施自2024年6月1日起施行，原《铜梁区促进商务服务业高质量发展12条措施（试行）》（铜商务发〔2022〕29号）同时废止。2023年1月1日至本措施施行日期间的“支持培育限上企业条款补助”和2024年1月1日至本措施施行日期间其它条款补助，参照本措施执行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082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C28E6"/>
    <w:rsid w:val="5FDC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2024-07-04T03:53:00Z</dcterms:created>
  <dc:creator>Administrator</dc:creator>
  <cp:lastModifiedBy>Administrator</cp:lastModifiedBy>
  <dcterms:modified xsi:type="dcterms:W3CDTF">2024-07-04T03:54:10Z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895FDCEB2E04432E95C8E4A30E3A72D5_11</vt:lpwstr>
  </property>
</Properties>
</file>