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5355" w:type="dxa"/>
        <w:tblInd w:w="-7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2509"/>
        <w:gridCol w:w="3528"/>
        <w:gridCol w:w="2060"/>
        <w:gridCol w:w="1355"/>
        <w:gridCol w:w="1880"/>
        <w:gridCol w:w="34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53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0"/>
                <w:sz w:val="44"/>
                <w:szCs w:val="44"/>
                <w:lang w:val="en-US" w:eastAsia="zh-CN"/>
              </w:rPr>
              <w:t>铜梁区2022年度商务区域协调发展资金安排情况公示表（外经贸第三批）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企业实际发生费用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补助比例%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初审补助金额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进口商品分销中心建设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重庆市铜梁区超联商贸有限公司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企业实际申报49.48万元，剔除员工薪酬、选品费等，装修、设施设备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国展的软件服务费合计支出14.91万元。按照50%，不超过5万元的标准，初审补助5万元。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境内国际性展会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重庆真艾农业有限公司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参加2023中国国际服务贸易交易会，给予全额支持。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rPr>
          <w:rFonts w:hint="eastAsia" w:hAnsi="方正仿宋_GBK" w:eastAsia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A3CAB"/>
    <w:rsid w:val="04C52956"/>
    <w:rsid w:val="18AB0642"/>
    <w:rsid w:val="7A9A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Chars="100" w:rightChars="100"/>
    </w:p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2023-11-02T06:50:00Z</dcterms:created>
  <dc:creator>Administrator</dc:creator>
  <cp:lastModifiedBy>TongLiang</cp:lastModifiedBy>
  <dcterms:modified xsi:type="dcterms:W3CDTF">2025-01-17T03:22:32Z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5C19AD479D064EFFB27CFEA531920E3D_12</vt:lpwstr>
  </property>
</Properties>
</file>