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tbl>
      <w:tblPr>
        <w:tblStyle w:val="6"/>
        <w:tblW w:w="15733" w:type="dxa"/>
        <w:tblInd w:w="-9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784"/>
        <w:gridCol w:w="4333"/>
        <w:gridCol w:w="1283"/>
        <w:gridCol w:w="1417"/>
        <w:gridCol w:w="1217"/>
        <w:gridCol w:w="50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7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pacing w:val="-23"/>
                <w:sz w:val="44"/>
                <w:szCs w:val="44"/>
                <w:lang w:val="en-US" w:eastAsia="zh-CN"/>
              </w:rPr>
              <w:t>铜梁区商务区域协调发展资金安排情况公示表（外经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2C3E50"/>
                <w:spacing w:val="-23"/>
                <w:sz w:val="44"/>
                <w:szCs w:val="44"/>
                <w:shd w:val="clear" w:color="auto" w:fill="FFFFFF"/>
                <w:lang w:val="en-US" w:eastAsia="zh-CN"/>
              </w:rPr>
              <w:t>贸第二批）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企业实际发生费用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补助比例%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初审补助金额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技改研发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重庆市威诺华光电科技有限公司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378000.00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80000.00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按照30%，单个企业不超过8万元。2022年度实现进出口额16885万元。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技改研发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重庆华丰迪杰特印刷材料有限公司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572500.00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80000.00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按照30%，单个企业不超过8万元。2022年度实现进出口额26691万元。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国际市场考察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重庆神驰五谷农机进出口有限公司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133338.00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80000.00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给予交通费、住宿费70%的支持。2022年度实现进出口额9144万元。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国际市场考察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重庆晨晖机电有限公司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87852.00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61400.00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给予交通费、住宿费70%的支持。2022年度实现进出口额17708万元。企业提交金额为105993，初审核实为87852元。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国际市场考察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重庆涪柴动力机械制造有限公司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36583.00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70%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25600.00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给予交通费、住宿费70%的支持。2022年度实现进出口额5111万元。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327000.00 </w:t>
            </w:r>
          </w:p>
        </w:tc>
        <w:tc>
          <w:tcPr>
            <w:tcW w:w="5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2297"/>
    <w:rsid w:val="3DC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leftChars="100" w:rightChars="100"/>
    </w:p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2023-10-23T02:07:00Z</dcterms:created>
  <dc:creator>Administrator</dc:creator>
  <cp:lastModifiedBy>Administrator</cp:lastModifiedBy>
  <dcterms:modified xsi:type="dcterms:W3CDTF">2023-10-23T02:08:46Z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