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outlineLvl w:val="0"/>
        <w:rPr>
          <w:rFonts w:hint="default" w:ascii="Times New Roman" w:hAnsi="Times New Roman" w:eastAsia="方正小标宋_GBK" w:cs="Times New Roman"/>
          <w:color w:val="auto"/>
          <w:sz w:val="44"/>
          <w:szCs w:val="44"/>
          <w:lang w:val="en-US" w:eastAsia="zh-CN"/>
        </w:rPr>
      </w:pPr>
      <w:bookmarkStart w:id="1" w:name="_GoBack"/>
      <w:bookmarkStart w:id="0" w:name="_Toc31706"/>
      <w:r>
        <w:rPr>
          <w:rFonts w:hint="default" w:ascii="Times New Roman" w:hAnsi="Times New Roman" w:eastAsia="方正小标宋_GBK" w:cs="Times New Roman"/>
          <w:color w:val="auto"/>
          <w:sz w:val="44"/>
          <w:szCs w:val="44"/>
          <w:lang w:val="en-US" w:eastAsia="zh-CN"/>
        </w:rPr>
        <w:t>铜梁区促进商贸服务业高质量发展15条措施</w:t>
      </w:r>
      <w:bookmarkEnd w:id="0"/>
    </w:p>
    <w:bookmarkEnd w:id="1"/>
    <w:p>
      <w:pPr>
        <w:pStyle w:val="2"/>
        <w:keepNext w:val="0"/>
        <w:keepLines w:val="0"/>
        <w:pageBreakBefore w:val="0"/>
        <w:kinsoku/>
        <w:wordWrap/>
        <w:overflowPunct/>
        <w:topLinePunct w:val="0"/>
        <w:bidi w:val="0"/>
        <w:ind w:left="0" w:leftChars="0" w:firstLine="0" w:firstLineChars="0"/>
        <w:jc w:val="center"/>
        <w:outlineLvl w:val="9"/>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w:t>
      </w:r>
      <w:r>
        <w:rPr>
          <w:rFonts w:hint="eastAsia" w:ascii="方正楷体_GBK" w:hAnsi="方正楷体_GBK" w:eastAsia="方正楷体_GBK" w:cs="方正楷体_GBK"/>
          <w:color w:val="auto"/>
          <w:kern w:val="2"/>
          <w:sz w:val="32"/>
          <w:szCs w:val="32"/>
          <w:lang w:val="en-US" w:eastAsia="zh-CN" w:bidi="ar-SA"/>
        </w:rPr>
        <w:t>征求意见稿</w:t>
      </w:r>
      <w:r>
        <w:rPr>
          <w:rFonts w:hint="eastAsia" w:ascii="方正楷体_GBK" w:hAnsi="方正楷体_GBK" w:eastAsia="方正楷体_GBK" w:cs="方正楷体_GBK"/>
          <w:color w:val="auto"/>
          <w:sz w:val="32"/>
          <w:szCs w:val="32"/>
          <w:lang w:val="en-US" w:eastAsia="zh-CN"/>
        </w:rPr>
        <w:t>）</w:t>
      </w:r>
    </w:p>
    <w:p>
      <w:pPr>
        <w:pStyle w:val="2"/>
        <w:keepNext w:val="0"/>
        <w:keepLines w:val="0"/>
        <w:pageBreakBefore w:val="0"/>
        <w:kinsoku/>
        <w:wordWrap/>
        <w:overflowPunct/>
        <w:topLinePunct w:val="0"/>
        <w:bidi w:val="0"/>
        <w:ind w:left="0" w:leftChars="0" w:firstLine="0" w:firstLineChars="0"/>
        <w:outlineLvl w:val="9"/>
        <w:rPr>
          <w:rFonts w:hint="default" w:ascii="Times New Roman" w:hAnsi="Times New Roman" w:eastAsia="方正楷体_GBK" w:cs="Times New Roman"/>
          <w:color w:val="auto"/>
          <w:sz w:val="32"/>
          <w:szCs w:val="32"/>
          <w:lang w:val="en-US" w:eastAsia="zh-CN"/>
        </w:rPr>
      </w:pPr>
    </w:p>
    <w:p>
      <w:pPr>
        <w:keepNext w:val="0"/>
        <w:keepLines w:val="0"/>
        <w:pageBreakBefore w:val="0"/>
        <w:kinsoku/>
        <w:wordWrap/>
        <w:overflowPunct/>
        <w:topLinePunct w:val="0"/>
        <w:bidi w:val="0"/>
        <w:snapToGrid/>
        <w:spacing w:line="579" w:lineRule="exact"/>
        <w:ind w:left="0" w:leftChars="0" w:firstLine="640" w:firstLineChars="200"/>
        <w:jc w:val="both"/>
        <w:textAlignment w:val="auto"/>
        <w:outlineLvl w:val="9"/>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为贯彻落实习近平新时代中国特色社会主义思想和党的十九大和十九届历次全会精神，坚定不移大抓工业大抓产业大抓实体经济大抓开放发展，有力促进</w:t>
      </w:r>
      <w:r>
        <w:rPr>
          <w:rFonts w:hint="eastAsia" w:ascii="Times New Roman" w:hAnsi="Times New Roman" w:eastAsia="方正仿宋_GBK" w:cs="Times New Roman"/>
          <w:color w:val="auto"/>
          <w:sz w:val="32"/>
          <w:lang w:eastAsia="zh-CN"/>
        </w:rPr>
        <w:t>商贸</w:t>
      </w:r>
      <w:r>
        <w:rPr>
          <w:rFonts w:hint="default" w:ascii="Times New Roman" w:hAnsi="Times New Roman" w:eastAsia="方正仿宋_GBK" w:cs="Times New Roman"/>
          <w:color w:val="auto"/>
          <w:sz w:val="32"/>
        </w:rPr>
        <w:t>企业健康发展，结合我区实际，提出促进</w:t>
      </w:r>
      <w:r>
        <w:rPr>
          <w:rFonts w:hint="eastAsia" w:ascii="Times New Roman" w:hAnsi="Times New Roman" w:eastAsia="方正仿宋_GBK" w:cs="Times New Roman"/>
          <w:color w:val="auto"/>
          <w:sz w:val="32"/>
          <w:lang w:eastAsia="zh-CN"/>
        </w:rPr>
        <w:t>商贸服务业</w:t>
      </w:r>
      <w:r>
        <w:rPr>
          <w:rFonts w:hint="default" w:ascii="Times New Roman" w:hAnsi="Times New Roman" w:eastAsia="方正仿宋_GBK" w:cs="Times New Roman"/>
          <w:color w:val="auto"/>
          <w:sz w:val="32"/>
        </w:rPr>
        <w:t>高质量发展1</w:t>
      </w:r>
      <w:r>
        <w:rPr>
          <w:rFonts w:hint="eastAsia" w:ascii="Times New Roman" w:hAnsi="Times New Roman" w:eastAsia="方正仿宋_GBK" w:cs="Times New Roman"/>
          <w:color w:val="auto"/>
          <w:sz w:val="32"/>
          <w:lang w:val="en-US" w:eastAsia="zh-CN"/>
        </w:rPr>
        <w:t>5</w:t>
      </w:r>
      <w:r>
        <w:rPr>
          <w:rFonts w:hint="default" w:ascii="Times New Roman" w:hAnsi="Times New Roman" w:eastAsia="方正仿宋_GBK" w:cs="Times New Roman"/>
          <w:color w:val="auto"/>
          <w:sz w:val="32"/>
        </w:rPr>
        <w:t>条措施。</w:t>
      </w:r>
    </w:p>
    <w:p>
      <w:pPr>
        <w:keepNext w:val="0"/>
        <w:keepLines w:val="0"/>
        <w:pageBreakBefore w:val="0"/>
        <w:widowControl/>
        <w:tabs>
          <w:tab w:val="left" w:pos="2460"/>
        </w:tabs>
        <w:kinsoku/>
        <w:wordWrap/>
        <w:overflowPunct/>
        <w:topLinePunct w:val="0"/>
        <w:bidi w:val="0"/>
        <w:snapToGrid/>
        <w:spacing w:line="579" w:lineRule="exact"/>
        <w:ind w:left="0" w:leftChars="0" w:firstLine="640" w:firstLineChars="200"/>
        <w:jc w:val="both"/>
        <w:textAlignment w:val="auto"/>
        <w:outlineLvl w:val="9"/>
        <w:rPr>
          <w:rFonts w:hint="default" w:ascii="Times New Roman" w:hAnsi="Times New Roman" w:eastAsia="方正楷体_GBK" w:cs="Times New Roman"/>
          <w:color w:val="auto"/>
          <w:sz w:val="32"/>
        </w:rPr>
      </w:pPr>
      <w:r>
        <w:rPr>
          <w:rFonts w:hint="default" w:ascii="Times New Roman" w:hAnsi="Times New Roman" w:eastAsia="方正黑体_GBK" w:cs="Times New Roman"/>
          <w:color w:val="auto"/>
          <w:sz w:val="32"/>
        </w:rPr>
        <w:t>第一条</w:t>
      </w:r>
      <w:r>
        <w:rPr>
          <w:rFonts w:hint="default" w:ascii="Times New Roman" w:hAnsi="Times New Roman" w:eastAsia="方正仿宋_GBK" w:cs="Times New Roman"/>
          <w:color w:val="auto"/>
          <w:sz w:val="32"/>
        </w:rPr>
        <w:t xml:space="preserve"> 新增和存量限上商贸主体培育。对限额以下首次成长为限额以上统计的法人企业，按照铜发改委〔2020〕161号执行。纳入限上统计次年起三年内，每年分别按5万元、2万元、3万元给予补助，期内退出限额以上统计则取消剩余补助。对新增限上个体户给予2000元/户的补助。</w:t>
      </w:r>
    </w:p>
    <w:p>
      <w:pPr>
        <w:keepNext w:val="0"/>
        <w:keepLines w:val="0"/>
        <w:pageBreakBefore w:val="0"/>
        <w:kinsoku/>
        <w:wordWrap/>
        <w:overflowPunct/>
        <w:topLinePunct w:val="0"/>
        <w:bidi w:val="0"/>
        <w:snapToGrid/>
        <w:spacing w:line="579" w:lineRule="exact"/>
        <w:ind w:left="0" w:leftChars="0" w:firstLine="640" w:firstLineChars="200"/>
        <w:jc w:val="both"/>
        <w:textAlignment w:val="auto"/>
        <w:outlineLvl w:val="9"/>
        <w:rPr>
          <w:rFonts w:hint="default" w:ascii="Times New Roman" w:hAnsi="Times New Roman" w:eastAsia="方正仿宋_GBK" w:cs="Times New Roman"/>
          <w:color w:val="auto"/>
          <w:sz w:val="32"/>
        </w:rPr>
      </w:pPr>
      <w:r>
        <w:rPr>
          <w:rFonts w:hint="default" w:ascii="Times New Roman" w:hAnsi="Times New Roman" w:eastAsia="方正黑体_GBK" w:cs="Times New Roman"/>
          <w:color w:val="auto"/>
          <w:sz w:val="32"/>
        </w:rPr>
        <w:t xml:space="preserve">第二条 </w:t>
      </w:r>
      <w:r>
        <w:rPr>
          <w:rFonts w:hint="default" w:ascii="Times New Roman" w:hAnsi="Times New Roman" w:eastAsia="方正仿宋_GBK" w:cs="Times New Roman"/>
          <w:color w:val="auto"/>
          <w:sz w:val="32"/>
        </w:rPr>
        <w:t>加大商贸企业统计工作支持。对纳入限额（规模）以上统计的法人企业，且报表及时规范，给予每个企业每年2400元报表工作经费补助。</w:t>
      </w:r>
    </w:p>
    <w:p>
      <w:pPr>
        <w:keepNext w:val="0"/>
        <w:keepLines w:val="0"/>
        <w:pageBreakBefore w:val="0"/>
        <w:kinsoku/>
        <w:wordWrap/>
        <w:overflowPunct/>
        <w:topLinePunct w:val="0"/>
        <w:bidi w:val="0"/>
        <w:snapToGrid/>
        <w:spacing w:line="579" w:lineRule="exact"/>
        <w:ind w:left="0" w:leftChars="0" w:firstLine="640" w:firstLineChars="200"/>
        <w:jc w:val="both"/>
        <w:textAlignment w:val="auto"/>
        <w:outlineLvl w:val="9"/>
        <w:rPr>
          <w:rFonts w:hint="default" w:ascii="Times New Roman" w:hAnsi="Times New Roman" w:eastAsia="方正仿宋_GBK" w:cs="Times New Roman"/>
          <w:color w:val="auto"/>
          <w:sz w:val="32"/>
        </w:rPr>
      </w:pPr>
      <w:r>
        <w:rPr>
          <w:rFonts w:hint="default" w:ascii="Times New Roman" w:hAnsi="Times New Roman" w:eastAsia="方正黑体_GBK" w:cs="Times New Roman"/>
          <w:color w:val="auto"/>
          <w:sz w:val="32"/>
        </w:rPr>
        <w:t xml:space="preserve">第三条 </w:t>
      </w:r>
      <w:r>
        <w:rPr>
          <w:rFonts w:hint="default" w:ascii="Times New Roman" w:hAnsi="Times New Roman" w:eastAsia="方正仿宋_GBK" w:cs="Times New Roman"/>
          <w:color w:val="auto"/>
          <w:sz w:val="32"/>
        </w:rPr>
        <w:t>重点商业特色街区打造</w:t>
      </w:r>
    </w:p>
    <w:p>
      <w:pPr>
        <w:keepNext w:val="0"/>
        <w:keepLines w:val="0"/>
        <w:pageBreakBefore w:val="0"/>
        <w:kinsoku/>
        <w:wordWrap/>
        <w:overflowPunct/>
        <w:topLinePunct w:val="0"/>
        <w:bidi w:val="0"/>
        <w:snapToGrid/>
        <w:spacing w:line="579" w:lineRule="exact"/>
        <w:ind w:left="0" w:leftChars="0" w:firstLine="640" w:firstLineChars="200"/>
        <w:jc w:val="both"/>
        <w:textAlignment w:val="auto"/>
        <w:outlineLvl w:val="9"/>
        <w:rPr>
          <w:rFonts w:hint="default" w:ascii="Times New Roman" w:hAnsi="Times New Roman" w:eastAsia="方正仿宋_GBK" w:cs="Times New Roman"/>
          <w:b/>
          <w:color w:val="auto"/>
          <w:sz w:val="32"/>
        </w:rPr>
      </w:pPr>
      <w:r>
        <w:rPr>
          <w:rFonts w:hint="default" w:ascii="Times New Roman" w:hAnsi="Times New Roman" w:eastAsia="方正仿宋_GBK" w:cs="Times New Roman"/>
          <w:color w:val="auto"/>
          <w:sz w:val="32"/>
        </w:rPr>
        <w:t>按照区政府重点规划建设打造的、达到市级及以上商业特色街区（含美食街、夜市街等）建设标准的，给予项目建设、装修、营销等方面的资金支持，其具体额度按照最高补助不超过投资总额的40%、最高限额不超过100万元的标准。</w:t>
      </w:r>
    </w:p>
    <w:p>
      <w:pPr>
        <w:pStyle w:val="9"/>
        <w:keepNext w:val="0"/>
        <w:keepLines w:val="0"/>
        <w:pageBreakBefore w:val="0"/>
        <w:numPr>
          <w:ilvl w:val="0"/>
          <w:numId w:val="0"/>
        </w:numPr>
        <w:kinsoku/>
        <w:wordWrap/>
        <w:overflowPunct/>
        <w:topLinePunct w:val="0"/>
        <w:bidi w:val="0"/>
        <w:snapToGrid/>
        <w:spacing w:line="579" w:lineRule="exact"/>
        <w:ind w:firstLine="640" w:firstLineChars="200"/>
        <w:jc w:val="both"/>
        <w:textAlignment w:val="auto"/>
        <w:outlineLvl w:val="9"/>
        <w:rPr>
          <w:rFonts w:hint="default" w:ascii="Times New Roman" w:hAnsi="Times New Roman" w:eastAsia="方正仿宋_GBK" w:cs="Times New Roman"/>
          <w:color w:val="auto"/>
          <w:sz w:val="32"/>
        </w:rPr>
      </w:pPr>
      <w:r>
        <w:rPr>
          <w:rFonts w:hint="default" w:ascii="Times New Roman" w:hAnsi="Times New Roman" w:eastAsia="方正黑体_GBK" w:cs="Times New Roman"/>
          <w:color w:val="auto"/>
          <w:sz w:val="32"/>
        </w:rPr>
        <w:t xml:space="preserve">第四条 </w:t>
      </w:r>
      <w:r>
        <w:rPr>
          <w:rFonts w:hint="default" w:ascii="Times New Roman" w:hAnsi="Times New Roman" w:eastAsia="方正仿宋_GBK" w:cs="Times New Roman"/>
          <w:color w:val="auto"/>
          <w:sz w:val="32"/>
        </w:rPr>
        <w:t>支持镇街建设农贸市场。对财政资金确有困难的镇政府投资修建规范化农贸市场，优先推荐争取市级项目支持。对未享受市级项目支持的镇，由镇政府向区政府专项申请，经区政府审定同意后，按以下标准给予资金支持：新</w:t>
      </w:r>
      <w:r>
        <w:rPr>
          <w:rFonts w:hint="default" w:ascii="Times New Roman" w:hAnsi="Times New Roman" w:eastAsia="方正仿宋_GBK" w:cs="Times New Roman"/>
          <w:color w:val="auto"/>
          <w:sz w:val="32"/>
          <w:lang w:eastAsia="zh-CN"/>
        </w:rPr>
        <w:t>（</w:t>
      </w:r>
      <w:r>
        <w:rPr>
          <w:rFonts w:hint="default" w:ascii="Times New Roman" w:hAnsi="Times New Roman" w:eastAsia="方正仿宋_GBK" w:cs="Times New Roman"/>
          <w:color w:val="auto"/>
          <w:sz w:val="32"/>
        </w:rPr>
        <w:t>扩</w:t>
      </w:r>
      <w:r>
        <w:rPr>
          <w:rFonts w:hint="default" w:ascii="Times New Roman" w:hAnsi="Times New Roman" w:eastAsia="方正仿宋_GBK" w:cs="Times New Roman"/>
          <w:color w:val="auto"/>
          <w:sz w:val="32"/>
          <w:lang w:eastAsia="zh-CN"/>
        </w:rPr>
        <w:t>）</w:t>
      </w:r>
      <w:r>
        <w:rPr>
          <w:rFonts w:hint="default" w:ascii="Times New Roman" w:hAnsi="Times New Roman" w:eastAsia="方正仿宋_GBK" w:cs="Times New Roman"/>
          <w:color w:val="auto"/>
          <w:sz w:val="32"/>
        </w:rPr>
        <w:t>建面积达到2000平方米以上的给予补助30万元，新</w:t>
      </w:r>
      <w:r>
        <w:rPr>
          <w:rFonts w:hint="default" w:ascii="Times New Roman" w:hAnsi="Times New Roman" w:eastAsia="方正仿宋_GBK" w:cs="Times New Roman"/>
          <w:color w:val="auto"/>
          <w:sz w:val="32"/>
          <w:lang w:eastAsia="zh-CN"/>
        </w:rPr>
        <w:t>（</w:t>
      </w:r>
      <w:r>
        <w:rPr>
          <w:rFonts w:hint="default" w:ascii="Times New Roman" w:hAnsi="Times New Roman" w:eastAsia="方正仿宋_GBK" w:cs="Times New Roman"/>
          <w:color w:val="auto"/>
          <w:sz w:val="32"/>
        </w:rPr>
        <w:t>扩</w:t>
      </w:r>
      <w:r>
        <w:rPr>
          <w:rFonts w:hint="default" w:ascii="Times New Roman" w:hAnsi="Times New Roman" w:eastAsia="方正仿宋_GBK" w:cs="Times New Roman"/>
          <w:color w:val="auto"/>
          <w:sz w:val="32"/>
          <w:lang w:eastAsia="zh-CN"/>
        </w:rPr>
        <w:t>）</w:t>
      </w:r>
      <w:r>
        <w:rPr>
          <w:rFonts w:hint="default" w:ascii="Times New Roman" w:hAnsi="Times New Roman" w:eastAsia="方正仿宋_GBK" w:cs="Times New Roman"/>
          <w:color w:val="auto"/>
          <w:sz w:val="32"/>
        </w:rPr>
        <w:t>建面积达到1000平方米以上的给予补助15万元，改造维修的按照实际有效投资额给予40%补助、最高不超过10万元。</w:t>
      </w:r>
    </w:p>
    <w:p>
      <w:pPr>
        <w:keepNext w:val="0"/>
        <w:keepLines w:val="0"/>
        <w:pageBreakBefore w:val="0"/>
        <w:kinsoku/>
        <w:wordWrap/>
        <w:overflowPunct/>
        <w:topLinePunct w:val="0"/>
        <w:bidi w:val="0"/>
        <w:snapToGrid/>
        <w:spacing w:line="579" w:lineRule="exact"/>
        <w:ind w:left="0" w:leftChars="0" w:firstLine="640" w:firstLineChars="200"/>
        <w:jc w:val="both"/>
        <w:textAlignment w:val="auto"/>
        <w:outlineLvl w:val="9"/>
        <w:rPr>
          <w:rFonts w:hint="default" w:ascii="Times New Roman" w:hAnsi="Times New Roman" w:eastAsia="方正仿宋_GBK" w:cs="Times New Roman"/>
          <w:color w:val="auto"/>
          <w:sz w:val="32"/>
        </w:rPr>
      </w:pPr>
      <w:r>
        <w:rPr>
          <w:rFonts w:hint="default" w:ascii="Times New Roman" w:hAnsi="Times New Roman" w:eastAsia="方正黑体_GBK" w:cs="Times New Roman"/>
          <w:color w:val="auto"/>
          <w:sz w:val="32"/>
        </w:rPr>
        <w:t>第五条</w:t>
      </w:r>
      <w:r>
        <w:rPr>
          <w:rFonts w:hint="default" w:ascii="Times New Roman" w:hAnsi="Times New Roman" w:eastAsia="方正仿宋_GBK" w:cs="Times New Roman"/>
          <w:color w:val="auto"/>
          <w:sz w:val="32"/>
        </w:rPr>
        <w:t xml:space="preserve"> 加快农村电商快递物流发展。对电子商务企业通过网销渠道销售本地生产的农产品到区外的，按照实际产生快递运输费用的30%给予激励，单个企业最高不超过20万元。</w:t>
      </w:r>
    </w:p>
    <w:p>
      <w:pPr>
        <w:keepNext w:val="0"/>
        <w:keepLines w:val="0"/>
        <w:pageBreakBefore w:val="0"/>
        <w:kinsoku/>
        <w:wordWrap/>
        <w:overflowPunct/>
        <w:topLinePunct w:val="0"/>
        <w:bidi w:val="0"/>
        <w:snapToGrid/>
        <w:spacing w:line="579" w:lineRule="exact"/>
        <w:ind w:left="0" w:leftChars="0" w:firstLine="640" w:firstLineChars="200"/>
        <w:jc w:val="both"/>
        <w:textAlignment w:val="auto"/>
        <w:outlineLvl w:val="9"/>
        <w:rPr>
          <w:rFonts w:hint="default" w:ascii="Times New Roman" w:hAnsi="Times New Roman" w:eastAsia="方正仿宋_GBK" w:cs="Times New Roman"/>
          <w:color w:val="auto"/>
          <w:sz w:val="32"/>
        </w:rPr>
      </w:pPr>
      <w:r>
        <w:rPr>
          <w:rFonts w:hint="default" w:ascii="Times New Roman" w:hAnsi="Times New Roman" w:eastAsia="方正黑体_GBK" w:cs="Times New Roman"/>
          <w:color w:val="auto"/>
          <w:sz w:val="32"/>
        </w:rPr>
        <w:t>第六条</w:t>
      </w:r>
      <w:r>
        <w:rPr>
          <w:rFonts w:hint="default" w:ascii="Times New Roman" w:hAnsi="Times New Roman" w:eastAsia="方正仿宋_GBK" w:cs="Times New Roman"/>
          <w:color w:val="auto"/>
          <w:sz w:val="32"/>
        </w:rPr>
        <w:t xml:space="preserve"> 支持三级物流体系建设。每年安排资金用于支持三级物流体系村级服务站点运营补助，单个站点补助标准2400元/年。</w:t>
      </w:r>
    </w:p>
    <w:p>
      <w:pPr>
        <w:keepNext w:val="0"/>
        <w:keepLines w:val="0"/>
        <w:pageBreakBefore w:val="0"/>
        <w:kinsoku/>
        <w:wordWrap/>
        <w:overflowPunct/>
        <w:topLinePunct w:val="0"/>
        <w:bidi w:val="0"/>
        <w:snapToGrid/>
        <w:spacing w:line="579" w:lineRule="exact"/>
        <w:ind w:left="0" w:leftChars="0" w:firstLine="640" w:firstLineChars="200"/>
        <w:jc w:val="both"/>
        <w:textAlignment w:val="auto"/>
        <w:outlineLvl w:val="9"/>
        <w:rPr>
          <w:rFonts w:hint="default" w:ascii="Times New Roman" w:hAnsi="Times New Roman" w:eastAsia="方正仿宋_GBK" w:cs="Times New Roman"/>
          <w:color w:val="auto"/>
          <w:sz w:val="32"/>
        </w:rPr>
      </w:pPr>
      <w:r>
        <w:rPr>
          <w:rFonts w:hint="default" w:ascii="Times New Roman" w:hAnsi="Times New Roman" w:eastAsia="方正黑体_GBK" w:cs="Times New Roman"/>
          <w:color w:val="auto"/>
          <w:sz w:val="32"/>
        </w:rPr>
        <w:t>第七条</w:t>
      </w:r>
      <w:r>
        <w:rPr>
          <w:rFonts w:hint="default" w:ascii="Times New Roman" w:hAnsi="Times New Roman" w:eastAsia="方正仿宋_GBK" w:cs="Times New Roman"/>
          <w:color w:val="auto"/>
          <w:sz w:val="32"/>
        </w:rPr>
        <w:t xml:space="preserve"> 对实施数字化、网络化、智能化改造的企业和跨境电商企业，择优按照不超过投资额40%，最高不超过50万元的标准给予资金奖励。</w:t>
      </w:r>
    </w:p>
    <w:p>
      <w:pPr>
        <w:keepNext w:val="0"/>
        <w:keepLines w:val="0"/>
        <w:pageBreakBefore w:val="0"/>
        <w:kinsoku/>
        <w:wordWrap/>
        <w:overflowPunct/>
        <w:topLinePunct w:val="0"/>
        <w:bidi w:val="0"/>
        <w:snapToGrid/>
        <w:spacing w:line="579" w:lineRule="exact"/>
        <w:ind w:left="0" w:leftChars="0" w:firstLine="640" w:firstLineChars="200"/>
        <w:jc w:val="both"/>
        <w:textAlignment w:val="auto"/>
        <w:outlineLvl w:val="9"/>
        <w:rPr>
          <w:rFonts w:hint="default" w:ascii="Times New Roman" w:hAnsi="Times New Roman" w:eastAsia="方正仿宋_GBK" w:cs="Times New Roman"/>
          <w:color w:val="auto"/>
          <w:sz w:val="32"/>
        </w:rPr>
      </w:pPr>
      <w:r>
        <w:rPr>
          <w:rFonts w:hint="default" w:ascii="Times New Roman" w:hAnsi="Times New Roman" w:eastAsia="方正黑体_GBK" w:cs="Times New Roman"/>
          <w:color w:val="auto"/>
          <w:sz w:val="32"/>
        </w:rPr>
        <w:t>第八条</w:t>
      </w:r>
      <w:r>
        <w:rPr>
          <w:rFonts w:hint="default" w:ascii="Times New Roman" w:hAnsi="Times New Roman" w:eastAsia="方正仿宋_GBK" w:cs="Times New Roman"/>
          <w:color w:val="auto"/>
          <w:sz w:val="32"/>
        </w:rPr>
        <w:t xml:space="preserve"> 会展活动</w:t>
      </w:r>
    </w:p>
    <w:p>
      <w:pPr>
        <w:keepNext w:val="0"/>
        <w:keepLines w:val="0"/>
        <w:pageBreakBefore w:val="0"/>
        <w:kinsoku/>
        <w:wordWrap/>
        <w:overflowPunct/>
        <w:topLinePunct w:val="0"/>
        <w:bidi w:val="0"/>
        <w:snapToGrid/>
        <w:spacing w:line="579" w:lineRule="exact"/>
        <w:ind w:left="0" w:leftChars="0" w:firstLine="640" w:firstLineChars="200"/>
        <w:jc w:val="both"/>
        <w:textAlignment w:val="auto"/>
        <w:outlineLvl w:val="9"/>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1.对区内企业参加经区政府商务部门推荐的，由国家、市政府、市商务委、区（县）商务部门主办或承办的境内、境外商品展销会、市内外商服竞技比赛，给予参展企业实际展位费和搭建费全额补助，交通费和食宿费按每户不超过市内2000元/次、市外4000元/次的标准给予补助，货物运输费按实际发生的50%以内给予补助。</w:t>
      </w:r>
    </w:p>
    <w:p>
      <w:pPr>
        <w:keepNext w:val="0"/>
        <w:keepLines w:val="0"/>
        <w:pageBreakBefore w:val="0"/>
        <w:kinsoku/>
        <w:wordWrap/>
        <w:overflowPunct/>
        <w:topLinePunct w:val="0"/>
        <w:bidi w:val="0"/>
        <w:snapToGrid/>
        <w:spacing w:line="579" w:lineRule="exact"/>
        <w:ind w:left="0" w:leftChars="0" w:firstLine="640" w:firstLineChars="200"/>
        <w:jc w:val="both"/>
        <w:textAlignment w:val="auto"/>
        <w:outlineLvl w:val="9"/>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2.经区委区政府同意开展的会展活动，给予最高不超过20万元的一次性补助（区政府直接主办的重大会展项目除外）。</w:t>
      </w:r>
    </w:p>
    <w:p>
      <w:pPr>
        <w:keepNext w:val="0"/>
        <w:keepLines w:val="0"/>
        <w:pageBreakBefore w:val="0"/>
        <w:kinsoku/>
        <w:wordWrap/>
        <w:overflowPunct/>
        <w:topLinePunct w:val="0"/>
        <w:bidi w:val="0"/>
        <w:snapToGrid/>
        <w:spacing w:line="579" w:lineRule="exact"/>
        <w:ind w:left="0" w:leftChars="0" w:firstLine="640" w:firstLineChars="200"/>
        <w:jc w:val="both"/>
        <w:textAlignment w:val="auto"/>
        <w:outlineLvl w:val="9"/>
        <w:rPr>
          <w:rFonts w:hint="default" w:ascii="Times New Roman" w:hAnsi="Times New Roman" w:eastAsia="方正仿宋_GBK" w:cs="Times New Roman"/>
          <w:color w:val="auto"/>
          <w:sz w:val="32"/>
        </w:rPr>
      </w:pPr>
      <w:r>
        <w:rPr>
          <w:rFonts w:hint="default" w:ascii="Times New Roman" w:hAnsi="Times New Roman" w:eastAsia="方正黑体_GBK" w:cs="Times New Roman"/>
          <w:color w:val="auto"/>
          <w:sz w:val="32"/>
        </w:rPr>
        <w:t>第九条</w:t>
      </w:r>
      <w:r>
        <w:rPr>
          <w:rFonts w:hint="default" w:ascii="Times New Roman" w:hAnsi="Times New Roman" w:eastAsia="方正仿宋_GBK" w:cs="Times New Roman"/>
          <w:color w:val="auto"/>
          <w:sz w:val="32"/>
        </w:rPr>
        <w:t xml:space="preserve"> 品牌创建</w:t>
      </w:r>
    </w:p>
    <w:p>
      <w:pPr>
        <w:keepNext w:val="0"/>
        <w:keepLines w:val="0"/>
        <w:pageBreakBefore w:val="0"/>
        <w:kinsoku/>
        <w:wordWrap/>
        <w:overflowPunct/>
        <w:topLinePunct w:val="0"/>
        <w:bidi w:val="0"/>
        <w:snapToGrid/>
        <w:spacing w:line="579" w:lineRule="exact"/>
        <w:ind w:left="0" w:leftChars="0" w:firstLine="640" w:firstLineChars="200"/>
        <w:jc w:val="both"/>
        <w:textAlignment w:val="auto"/>
        <w:outlineLvl w:val="9"/>
        <w:rPr>
          <w:rFonts w:hint="default" w:ascii="Times New Roman" w:hAnsi="Times New Roman" w:eastAsia="方正楷体_GBK" w:cs="Times New Roman"/>
          <w:color w:val="auto"/>
          <w:sz w:val="32"/>
        </w:rPr>
      </w:pPr>
      <w:r>
        <w:rPr>
          <w:rFonts w:hint="default" w:ascii="Times New Roman" w:hAnsi="Times New Roman" w:eastAsia="方正仿宋_GBK" w:cs="Times New Roman"/>
          <w:color w:val="auto"/>
          <w:sz w:val="32"/>
        </w:rPr>
        <w:t>1.新获评全市五星、四星、三星级农家乐的单位，分别一次性给予8万元、5万元、2万元补助。低等级升高等级的只给予差额补助。</w:t>
      </w:r>
    </w:p>
    <w:p>
      <w:pPr>
        <w:pStyle w:val="9"/>
        <w:keepNext w:val="0"/>
        <w:keepLines w:val="0"/>
        <w:pageBreakBefore w:val="0"/>
        <w:numPr>
          <w:ilvl w:val="0"/>
          <w:numId w:val="0"/>
        </w:numPr>
        <w:kinsoku/>
        <w:wordWrap/>
        <w:overflowPunct/>
        <w:topLinePunct w:val="0"/>
        <w:bidi w:val="0"/>
        <w:snapToGrid/>
        <w:spacing w:line="579" w:lineRule="exact"/>
        <w:ind w:firstLine="640" w:firstLineChars="200"/>
        <w:jc w:val="both"/>
        <w:textAlignment w:val="auto"/>
        <w:outlineLvl w:val="9"/>
        <w:rPr>
          <w:rFonts w:hint="default" w:ascii="Times New Roman" w:hAnsi="Times New Roman" w:eastAsia="方正楷体_GBK" w:cs="Times New Roman"/>
          <w:color w:val="auto"/>
          <w:sz w:val="32"/>
        </w:rPr>
      </w:pPr>
      <w:r>
        <w:rPr>
          <w:rFonts w:hint="default" w:ascii="Times New Roman" w:hAnsi="Times New Roman" w:eastAsia="方正仿宋_GBK" w:cs="Times New Roman"/>
          <w:color w:val="auto"/>
          <w:sz w:val="32"/>
        </w:rPr>
        <w:t>2.对新评定的国家五钻（五叶）、四钻（四叶）、三钻（三叶）级酒家酒店（绿色饭店），分别一次性给予8万元、5万元、2万元补助。低等级升高等级的只给予差额补助。</w:t>
      </w:r>
    </w:p>
    <w:p>
      <w:pPr>
        <w:keepNext w:val="0"/>
        <w:keepLines w:val="0"/>
        <w:pageBreakBefore w:val="0"/>
        <w:kinsoku/>
        <w:wordWrap/>
        <w:overflowPunct/>
        <w:topLinePunct w:val="0"/>
        <w:bidi w:val="0"/>
        <w:snapToGrid/>
        <w:spacing w:line="579" w:lineRule="exact"/>
        <w:ind w:left="0" w:leftChars="0" w:firstLine="640" w:firstLineChars="200"/>
        <w:jc w:val="both"/>
        <w:textAlignment w:val="auto"/>
        <w:outlineLvl w:val="9"/>
        <w:rPr>
          <w:rFonts w:hint="default" w:ascii="Times New Roman" w:hAnsi="Times New Roman" w:eastAsia="方正楷体_GBK" w:cs="Times New Roman"/>
          <w:color w:val="auto"/>
          <w:sz w:val="32"/>
        </w:rPr>
      </w:pPr>
      <w:r>
        <w:rPr>
          <w:rFonts w:hint="default" w:ascii="Times New Roman" w:hAnsi="Times New Roman" w:eastAsia="方正仿宋_GBK" w:cs="Times New Roman"/>
          <w:color w:val="auto"/>
          <w:sz w:val="32"/>
        </w:rPr>
        <w:t>3.评选出铜梁区“商贸企业十强”和“餐饮企业十佳”，由区政府命名授牌，给予每个企业1万元补助（评选办法另行制定）。</w:t>
      </w:r>
    </w:p>
    <w:p>
      <w:pPr>
        <w:keepNext w:val="0"/>
        <w:keepLines w:val="0"/>
        <w:pageBreakBefore w:val="0"/>
        <w:kinsoku/>
        <w:wordWrap/>
        <w:overflowPunct/>
        <w:topLinePunct w:val="0"/>
        <w:bidi w:val="0"/>
        <w:snapToGrid/>
        <w:spacing w:line="579" w:lineRule="exact"/>
        <w:ind w:left="0" w:leftChars="0" w:firstLine="640" w:firstLineChars="200"/>
        <w:jc w:val="both"/>
        <w:textAlignment w:val="auto"/>
        <w:outlineLvl w:val="9"/>
        <w:rPr>
          <w:rFonts w:hint="default" w:ascii="Times New Roman" w:hAnsi="Times New Roman" w:eastAsia="方正楷体_GBK" w:cs="Times New Roman"/>
          <w:color w:val="auto"/>
          <w:sz w:val="32"/>
        </w:rPr>
      </w:pPr>
      <w:r>
        <w:rPr>
          <w:rFonts w:hint="default" w:ascii="Times New Roman" w:hAnsi="Times New Roman" w:eastAsia="方正仿宋_GBK" w:cs="Times New Roman"/>
          <w:color w:val="auto"/>
          <w:sz w:val="32"/>
        </w:rPr>
        <w:t>4.新获评为“中华老字号”、“重庆老字号”的单位，分别一次性给予8万元、3万元补助。</w:t>
      </w:r>
    </w:p>
    <w:p>
      <w:pPr>
        <w:keepNext w:val="0"/>
        <w:keepLines w:val="0"/>
        <w:pageBreakBefore w:val="0"/>
        <w:kinsoku/>
        <w:wordWrap/>
        <w:overflowPunct/>
        <w:topLinePunct w:val="0"/>
        <w:bidi w:val="0"/>
        <w:snapToGrid/>
        <w:spacing w:line="579" w:lineRule="exact"/>
        <w:ind w:left="0" w:leftChars="0" w:firstLine="640" w:firstLineChars="200"/>
        <w:jc w:val="both"/>
        <w:textAlignment w:val="auto"/>
        <w:outlineLvl w:val="9"/>
        <w:rPr>
          <w:rFonts w:hint="default" w:ascii="Times New Roman" w:hAnsi="Times New Roman" w:eastAsia="方正仿宋_GBK" w:cs="Times New Roman"/>
          <w:color w:val="auto"/>
          <w:sz w:val="32"/>
        </w:rPr>
      </w:pPr>
      <w:r>
        <w:rPr>
          <w:rFonts w:hint="default" w:ascii="Times New Roman" w:hAnsi="Times New Roman" w:eastAsia="方正黑体_GBK" w:cs="Times New Roman"/>
          <w:color w:val="auto"/>
          <w:sz w:val="32"/>
        </w:rPr>
        <w:t>第十条</w:t>
      </w:r>
      <w:r>
        <w:rPr>
          <w:rFonts w:hint="default" w:ascii="Times New Roman" w:hAnsi="Times New Roman" w:eastAsia="方正仿宋_GBK" w:cs="Times New Roman"/>
          <w:color w:val="auto"/>
          <w:sz w:val="32"/>
        </w:rPr>
        <w:t xml:space="preserve">  鼓励利用外资。对区内当年度有实际利用外资额度的企业</w:t>
      </w:r>
      <w:r>
        <w:rPr>
          <w:rFonts w:hint="default" w:ascii="Times New Roman" w:hAnsi="Times New Roman" w:eastAsia="方正仿宋_GBK" w:cs="Times New Roman"/>
          <w:color w:val="auto"/>
          <w:sz w:val="32"/>
          <w:lang w:eastAsia="zh-CN"/>
        </w:rPr>
        <w:t>（</w:t>
      </w:r>
      <w:r>
        <w:rPr>
          <w:rFonts w:hint="default" w:ascii="Times New Roman" w:hAnsi="Times New Roman" w:eastAsia="方正仿宋_GBK" w:cs="Times New Roman"/>
          <w:color w:val="auto"/>
          <w:sz w:val="32"/>
        </w:rPr>
        <w:t>房地产业、金融业及类金融业项目除外</w:t>
      </w:r>
      <w:r>
        <w:rPr>
          <w:rFonts w:hint="default" w:ascii="Times New Roman" w:hAnsi="Times New Roman" w:eastAsia="方正仿宋_GBK" w:cs="Times New Roman"/>
          <w:color w:val="auto"/>
          <w:sz w:val="32"/>
          <w:lang w:eastAsia="zh-CN"/>
        </w:rPr>
        <w:t>）</w:t>
      </w:r>
      <w:r>
        <w:rPr>
          <w:rFonts w:hint="default" w:ascii="Times New Roman" w:hAnsi="Times New Roman" w:eastAsia="方正仿宋_GBK" w:cs="Times New Roman"/>
          <w:color w:val="auto"/>
          <w:sz w:val="32"/>
        </w:rPr>
        <w:t>，按照实际利用外资额度0.02元/美元的标准奖励。对区内当年外商直接投资到位资金300万美元（不含）以下的企业，按照实际到位资金0.02元/美元的标准奖励，当年外商直接投资到位资金超过300万美元（含）的企业区政府按照“一事一议”的政策，给予一定激励。</w:t>
      </w:r>
    </w:p>
    <w:p>
      <w:pPr>
        <w:keepNext w:val="0"/>
        <w:keepLines w:val="0"/>
        <w:pageBreakBefore w:val="0"/>
        <w:kinsoku/>
        <w:wordWrap/>
        <w:overflowPunct/>
        <w:topLinePunct w:val="0"/>
        <w:bidi w:val="0"/>
        <w:snapToGrid/>
        <w:spacing w:line="579" w:lineRule="exact"/>
        <w:ind w:left="0" w:leftChars="0" w:firstLine="640" w:firstLineChars="200"/>
        <w:jc w:val="both"/>
        <w:textAlignment w:val="auto"/>
        <w:outlineLvl w:val="9"/>
        <w:rPr>
          <w:rFonts w:hint="default" w:ascii="Times New Roman" w:hAnsi="Times New Roman" w:eastAsia="方正楷体_GBK" w:cs="Times New Roman"/>
          <w:color w:val="auto"/>
          <w:sz w:val="32"/>
        </w:rPr>
      </w:pPr>
      <w:r>
        <w:rPr>
          <w:rFonts w:hint="default" w:ascii="Times New Roman" w:hAnsi="Times New Roman" w:eastAsia="方正黑体_GBK" w:cs="Times New Roman"/>
          <w:color w:val="auto"/>
          <w:kern w:val="0"/>
          <w:sz w:val="32"/>
        </w:rPr>
        <w:t>第十一条</w:t>
      </w:r>
      <w:r>
        <w:rPr>
          <w:rFonts w:hint="default" w:ascii="Times New Roman" w:hAnsi="Times New Roman" w:eastAsia="方正仿宋_GBK" w:cs="Times New Roman"/>
          <w:color w:val="auto"/>
          <w:kern w:val="0"/>
          <w:sz w:val="32"/>
        </w:rPr>
        <w:t xml:space="preserve">  支持外贸企业做大做强和外贸新业态发展。支持企业国际市场开拓、自主品牌创建、出口技改研发、发展跨境电商等。根据企业发展绩效给予一定激励。具体扶持办法由区商务委会同区财政</w:t>
      </w:r>
      <w:r>
        <w:rPr>
          <w:rFonts w:hint="default" w:ascii="Times New Roman" w:hAnsi="Times New Roman" w:eastAsia="方正仿宋_GBK" w:cs="Times New Roman"/>
          <w:color w:val="auto"/>
          <w:kern w:val="0"/>
          <w:sz w:val="32"/>
          <w:lang w:eastAsia="zh-CN"/>
        </w:rPr>
        <w:t>局</w:t>
      </w:r>
      <w:r>
        <w:rPr>
          <w:rFonts w:hint="default" w:ascii="Times New Roman" w:hAnsi="Times New Roman" w:eastAsia="方正仿宋_GBK" w:cs="Times New Roman"/>
          <w:color w:val="auto"/>
          <w:kern w:val="0"/>
          <w:sz w:val="32"/>
        </w:rPr>
        <w:t>制定并报区政府审议后执行。</w:t>
      </w:r>
    </w:p>
    <w:p>
      <w:pPr>
        <w:keepNext w:val="0"/>
        <w:keepLines w:val="0"/>
        <w:pageBreakBefore w:val="0"/>
        <w:kinsoku/>
        <w:wordWrap/>
        <w:overflowPunct/>
        <w:topLinePunct w:val="0"/>
        <w:bidi w:val="0"/>
        <w:snapToGrid/>
        <w:spacing w:line="579" w:lineRule="exact"/>
        <w:ind w:left="0" w:leftChars="0" w:firstLine="640" w:firstLineChars="200"/>
        <w:jc w:val="both"/>
        <w:textAlignment w:val="auto"/>
        <w:outlineLvl w:val="9"/>
        <w:rPr>
          <w:rFonts w:hint="default" w:ascii="Times New Roman" w:hAnsi="Times New Roman" w:eastAsia="方正楷体_GBK" w:cs="Times New Roman"/>
          <w:color w:val="auto"/>
          <w:sz w:val="32"/>
        </w:rPr>
      </w:pPr>
      <w:r>
        <w:rPr>
          <w:rFonts w:hint="default" w:ascii="Times New Roman" w:hAnsi="Times New Roman" w:eastAsia="方正黑体_GBK" w:cs="Times New Roman"/>
          <w:color w:val="auto"/>
          <w:sz w:val="32"/>
        </w:rPr>
        <w:t>第十二条</w:t>
      </w:r>
      <w:r>
        <w:rPr>
          <w:rFonts w:hint="default" w:ascii="Times New Roman" w:hAnsi="Times New Roman" w:eastAsia="方正仿宋_GBK" w:cs="Times New Roman"/>
          <w:color w:val="auto"/>
          <w:sz w:val="32"/>
        </w:rPr>
        <w:t xml:space="preserve">  支持企业开展项目申报、真实性审核、专家评审、专项审计、验收、绩效评估和品牌创建等。</w:t>
      </w:r>
    </w:p>
    <w:p>
      <w:pPr>
        <w:keepNext w:val="0"/>
        <w:keepLines w:val="0"/>
        <w:pageBreakBefore w:val="0"/>
        <w:kinsoku/>
        <w:wordWrap/>
        <w:overflowPunct/>
        <w:topLinePunct w:val="0"/>
        <w:bidi w:val="0"/>
        <w:snapToGrid/>
        <w:spacing w:line="579" w:lineRule="exact"/>
        <w:ind w:left="0" w:leftChars="0" w:firstLine="640" w:firstLineChars="200"/>
        <w:jc w:val="both"/>
        <w:textAlignment w:val="auto"/>
        <w:outlineLvl w:val="9"/>
        <w:rPr>
          <w:rFonts w:hint="default" w:ascii="Times New Roman" w:hAnsi="Times New Roman" w:eastAsia="方正仿宋_GBK" w:cs="Times New Roman"/>
          <w:color w:val="auto"/>
          <w:sz w:val="32"/>
        </w:rPr>
      </w:pPr>
      <w:r>
        <w:rPr>
          <w:rFonts w:hint="default" w:ascii="Times New Roman" w:hAnsi="Times New Roman" w:eastAsia="方正黑体_GBK" w:cs="Times New Roman"/>
          <w:color w:val="auto"/>
          <w:sz w:val="32"/>
        </w:rPr>
        <w:t>第十三条</w:t>
      </w:r>
      <w:r>
        <w:rPr>
          <w:rFonts w:hint="default" w:ascii="Times New Roman" w:hAnsi="Times New Roman" w:eastAsia="方正仿宋_GBK" w:cs="Times New Roman"/>
          <w:color w:val="auto"/>
          <w:sz w:val="32"/>
        </w:rPr>
        <w:t xml:space="preserve">  支持全区商贸行业经营管理人才、专业技术人员、企业统计人员以及电子商务等现代商贸流通转型人员的培训提高。</w:t>
      </w:r>
    </w:p>
    <w:p>
      <w:pPr>
        <w:keepNext w:val="0"/>
        <w:keepLines w:val="0"/>
        <w:pageBreakBefore w:val="0"/>
        <w:kinsoku/>
        <w:wordWrap/>
        <w:overflowPunct/>
        <w:topLinePunct w:val="0"/>
        <w:bidi w:val="0"/>
        <w:snapToGrid/>
        <w:spacing w:line="579" w:lineRule="exact"/>
        <w:ind w:left="0" w:leftChars="0" w:firstLine="640" w:firstLineChars="200"/>
        <w:jc w:val="both"/>
        <w:textAlignment w:val="auto"/>
        <w:outlineLvl w:val="9"/>
        <w:rPr>
          <w:rFonts w:hint="default" w:ascii="Times New Roman" w:hAnsi="Times New Roman" w:eastAsia="方正仿宋_GBK" w:cs="Times New Roman"/>
          <w:color w:val="auto"/>
          <w:sz w:val="32"/>
        </w:rPr>
      </w:pPr>
      <w:r>
        <w:rPr>
          <w:rFonts w:hint="default" w:ascii="Times New Roman" w:hAnsi="Times New Roman" w:eastAsia="方正黑体_GBK" w:cs="Times New Roman"/>
          <w:color w:val="auto"/>
          <w:sz w:val="32"/>
        </w:rPr>
        <w:t>第十四条</w:t>
      </w:r>
      <w:r>
        <w:rPr>
          <w:rFonts w:hint="default" w:ascii="Times New Roman" w:hAnsi="Times New Roman" w:eastAsia="方正仿宋_GBK" w:cs="Times New Roman"/>
          <w:color w:val="auto"/>
          <w:sz w:val="32"/>
        </w:rPr>
        <w:t xml:space="preserve">  其他方面</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outlineLvl w:val="9"/>
        <w:rPr>
          <w:rFonts w:hint="default" w:ascii="Times New Roman" w:hAnsi="Times New Roman" w:eastAsia="方正仿宋_GBK" w:cs="Times New Roman"/>
          <w:color w:val="auto"/>
          <w:sz w:val="32"/>
        </w:rPr>
      </w:pPr>
      <w:r>
        <w:rPr>
          <w:rFonts w:hint="default" w:ascii="Times New Roman" w:hAnsi="Times New Roman" w:eastAsia="方正仿宋_GBK" w:cs="Times New Roman"/>
          <w:color w:val="auto"/>
          <w:sz w:val="32"/>
        </w:rPr>
        <w:t>支持企业开展区政府确定的其他重点支出项目以及编制商业产业规划、市场保供、市场统计监测执法及重点行业协会的发展壮大扶持等。</w:t>
      </w:r>
    </w:p>
    <w:p>
      <w:pPr>
        <w:pStyle w:val="9"/>
        <w:keepNext w:val="0"/>
        <w:keepLines w:val="0"/>
        <w:pageBreakBefore w:val="0"/>
        <w:numPr>
          <w:ilvl w:val="0"/>
          <w:numId w:val="0"/>
        </w:numPr>
        <w:kinsoku/>
        <w:wordWrap/>
        <w:overflowPunct/>
        <w:topLinePunct w:val="0"/>
        <w:bidi w:val="0"/>
        <w:snapToGrid/>
        <w:spacing w:line="579" w:lineRule="exact"/>
        <w:ind w:firstLine="640" w:firstLineChars="200"/>
        <w:jc w:val="both"/>
        <w:textAlignment w:val="auto"/>
        <w:outlineLvl w:val="9"/>
        <w:rPr>
          <w:rFonts w:hint="default" w:ascii="Times New Roman" w:hAnsi="Times New Roman" w:eastAsia="方正仿宋_GBK" w:cs="Times New Roman"/>
          <w:color w:val="auto"/>
          <w:sz w:val="32"/>
        </w:rPr>
      </w:pPr>
      <w:r>
        <w:rPr>
          <w:rFonts w:hint="default" w:ascii="Times New Roman" w:hAnsi="Times New Roman" w:eastAsia="方正黑体_GBK" w:cs="Times New Roman"/>
          <w:color w:val="auto"/>
          <w:sz w:val="32"/>
        </w:rPr>
        <w:t>第十五条</w:t>
      </w:r>
      <w:r>
        <w:rPr>
          <w:rFonts w:hint="default" w:ascii="Times New Roman" w:hAnsi="Times New Roman" w:eastAsia="方正仿宋_GBK" w:cs="Times New Roman"/>
          <w:color w:val="auto"/>
          <w:sz w:val="32"/>
        </w:rPr>
        <w:t xml:space="preserve"> 对铜梁经济社会发展作出突出贡献的商贸流通企业、外经贸企业和对全区产业结构调整产生重大影响的商业项目，经区政府批准，可以采取“一企一策”的方式给予特别扶持。</w:t>
      </w:r>
    </w:p>
    <w:p>
      <w:pPr>
        <w:pStyle w:val="9"/>
        <w:keepNext w:val="0"/>
        <w:keepLines w:val="0"/>
        <w:pageBreakBefore w:val="0"/>
        <w:numPr>
          <w:ilvl w:val="0"/>
          <w:numId w:val="0"/>
        </w:numPr>
        <w:kinsoku/>
        <w:wordWrap/>
        <w:overflowPunct/>
        <w:topLinePunct w:val="0"/>
        <w:bidi w:val="0"/>
        <w:snapToGrid/>
        <w:spacing w:line="579" w:lineRule="exact"/>
        <w:ind w:firstLine="640" w:firstLineChars="200"/>
        <w:jc w:val="both"/>
        <w:textAlignment w:val="auto"/>
        <w:outlineLvl w:val="9"/>
        <w:rPr>
          <w:rFonts w:hint="eastAsia" w:ascii="方正黑体_GBK" w:hAnsi="方正黑体_GBK" w:eastAsia="方正黑体_GBK" w:cs="方正黑体_GBK"/>
          <w:color w:val="auto"/>
          <w:sz w:val="32"/>
          <w:lang w:val="en-US" w:eastAsia="zh-CN"/>
        </w:rPr>
      </w:pPr>
      <w:r>
        <w:rPr>
          <w:rFonts w:hint="eastAsia" w:ascii="方正黑体_GBK" w:hAnsi="方正黑体_GBK" w:eastAsia="方正黑体_GBK" w:cs="方正黑体_GBK"/>
          <w:color w:val="auto"/>
          <w:sz w:val="32"/>
          <w:lang w:val="en-US" w:eastAsia="zh-CN"/>
        </w:rPr>
        <w:t>附则</w:t>
      </w:r>
    </w:p>
    <w:p>
      <w:pPr>
        <w:pStyle w:val="9"/>
        <w:keepNext w:val="0"/>
        <w:keepLines w:val="0"/>
        <w:pageBreakBefore w:val="0"/>
        <w:numPr>
          <w:ilvl w:val="0"/>
          <w:numId w:val="0"/>
        </w:numPr>
        <w:kinsoku/>
        <w:wordWrap/>
        <w:overflowPunct/>
        <w:topLinePunct w:val="0"/>
        <w:bidi w:val="0"/>
        <w:snapToGrid/>
        <w:spacing w:line="579" w:lineRule="exact"/>
        <w:ind w:firstLine="640" w:firstLineChars="200"/>
        <w:jc w:val="both"/>
        <w:textAlignment w:val="auto"/>
        <w:outlineLvl w:val="9"/>
        <w:rPr>
          <w:rFonts w:hint="eastAsia" w:ascii="Times New Roman" w:hAnsi="Times New Roman" w:eastAsia="方正仿宋_GBK" w:cs="Times New Roman"/>
          <w:color w:val="auto"/>
          <w:sz w:val="32"/>
          <w:lang w:eastAsia="zh-CN"/>
        </w:rPr>
      </w:pPr>
      <w:r>
        <w:rPr>
          <w:rFonts w:hint="eastAsia" w:ascii="Times New Roman" w:hAnsi="Times New Roman" w:eastAsia="方正仿宋_GBK" w:cs="Times New Roman"/>
          <w:color w:val="auto"/>
          <w:sz w:val="32"/>
          <w:lang w:val="en-US" w:eastAsia="zh-CN"/>
        </w:rPr>
        <w:t>1.</w:t>
      </w:r>
      <w:r>
        <w:rPr>
          <w:rFonts w:hint="eastAsia" w:ascii="Times New Roman" w:hAnsi="Times New Roman" w:eastAsia="方正仿宋_GBK" w:cs="Times New Roman"/>
          <w:color w:val="auto"/>
          <w:sz w:val="32"/>
          <w:lang w:eastAsia="zh-CN"/>
        </w:rPr>
        <w:t>以上措施适用于在我区依法注册登记设立的法人企业及措施明确规定</w:t>
      </w:r>
      <w:r>
        <w:rPr>
          <w:rFonts w:hint="eastAsia" w:eastAsia="方正仿宋_GBK" w:cs="Times New Roman"/>
          <w:color w:val="auto"/>
          <w:sz w:val="32"/>
          <w:lang w:eastAsia="zh-CN"/>
        </w:rPr>
        <w:t>的</w:t>
      </w:r>
      <w:r>
        <w:rPr>
          <w:rFonts w:hint="eastAsia" w:ascii="Times New Roman" w:hAnsi="Times New Roman" w:eastAsia="方正仿宋_GBK" w:cs="Times New Roman"/>
          <w:color w:val="auto"/>
          <w:sz w:val="32"/>
          <w:lang w:eastAsia="zh-CN"/>
        </w:rPr>
        <w:t>个体户。</w:t>
      </w:r>
    </w:p>
    <w:p>
      <w:pPr>
        <w:pStyle w:val="9"/>
        <w:keepNext w:val="0"/>
        <w:keepLines w:val="0"/>
        <w:pageBreakBefore w:val="0"/>
        <w:numPr>
          <w:ilvl w:val="0"/>
          <w:numId w:val="0"/>
        </w:numPr>
        <w:kinsoku/>
        <w:wordWrap/>
        <w:overflowPunct/>
        <w:topLinePunct w:val="0"/>
        <w:bidi w:val="0"/>
        <w:snapToGrid/>
        <w:spacing w:line="579" w:lineRule="exact"/>
        <w:ind w:firstLine="640" w:firstLineChars="200"/>
        <w:jc w:val="both"/>
        <w:textAlignment w:val="auto"/>
        <w:outlineLvl w:val="9"/>
        <w:rPr>
          <w:rFonts w:hint="eastAsia" w:ascii="Times New Roman" w:hAnsi="Times New Roman" w:eastAsia="方正仿宋_GBK" w:cs="Times New Roman"/>
          <w:color w:val="auto"/>
          <w:sz w:val="32"/>
          <w:lang w:eastAsia="zh-CN"/>
        </w:rPr>
      </w:pPr>
      <w:r>
        <w:rPr>
          <w:rFonts w:hint="eastAsia" w:ascii="Times New Roman" w:hAnsi="Times New Roman" w:eastAsia="方正仿宋_GBK" w:cs="Times New Roman"/>
          <w:color w:val="auto"/>
          <w:sz w:val="32"/>
          <w:lang w:val="en-US" w:eastAsia="zh-CN"/>
        </w:rPr>
        <w:t>2.</w:t>
      </w:r>
      <w:r>
        <w:rPr>
          <w:rFonts w:hint="eastAsia" w:ascii="Times New Roman" w:hAnsi="Times New Roman" w:eastAsia="方正仿宋_GBK" w:cs="Times New Roman"/>
          <w:color w:val="auto"/>
          <w:sz w:val="32"/>
          <w:lang w:eastAsia="zh-CN"/>
        </w:rPr>
        <w:t>以上措施</w:t>
      </w:r>
      <w:r>
        <w:rPr>
          <w:rFonts w:hint="eastAsia" w:ascii="Times New Roman" w:hAnsi="Times New Roman" w:eastAsia="方正仿宋_GBK" w:cs="Times New Roman"/>
          <w:color w:val="auto"/>
          <w:sz w:val="32"/>
        </w:rPr>
        <w:t>自20</w:t>
      </w:r>
      <w:r>
        <w:rPr>
          <w:rFonts w:hint="eastAsia" w:ascii="Times New Roman" w:hAnsi="Times New Roman" w:eastAsia="方正仿宋_GBK" w:cs="Times New Roman"/>
          <w:color w:val="auto"/>
          <w:sz w:val="32"/>
          <w:lang w:val="en-US" w:eastAsia="zh-CN"/>
        </w:rPr>
        <w:t>22</w:t>
      </w:r>
      <w:r>
        <w:rPr>
          <w:rFonts w:hint="eastAsia" w:ascii="Times New Roman" w:hAnsi="Times New Roman" w:eastAsia="方正仿宋_GBK" w:cs="Times New Roman"/>
          <w:color w:val="auto"/>
          <w:sz w:val="32"/>
        </w:rPr>
        <w:t>年1月1日起执行</w:t>
      </w:r>
      <w:r>
        <w:rPr>
          <w:rFonts w:hint="eastAsia" w:ascii="Times New Roman" w:hAnsi="Times New Roman" w:eastAsia="方正仿宋_GBK" w:cs="Times New Roman"/>
          <w:color w:val="auto"/>
          <w:sz w:val="32"/>
          <w:lang w:eastAsia="zh-CN"/>
        </w:rPr>
        <w:t>，由区商务委负责解释。</w:t>
      </w:r>
    </w:p>
    <w:p>
      <w:pPr>
        <w:rPr>
          <w:rFonts w:hint="default" w:eastAsia="方正仿宋_GBK"/>
          <w:lang w:val="en-US" w:eastAsia="zh-CN"/>
        </w:rPr>
      </w:pPr>
      <w:r>
        <w:rPr>
          <w:rFonts w:hint="eastAsia" w:ascii="方正仿宋_GBK" w:hAnsi="方正仿宋_GBK" w:eastAsia="方正仿宋_GBK" w:cs="方正仿宋_GBK"/>
          <w:sz w:val="32"/>
          <w:szCs w:val="32"/>
          <w:lang w:val="en-US" w:eastAsia="zh-CN"/>
        </w:rPr>
        <w:t xml:space="preserve">  </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r>
                            <w:rPr>
                              <w:rFonts w:hint="eastAsia"/>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r>
                      <w:rPr>
                        <w:rFonts w:hint="eastAsia"/>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FC1D7A"/>
    <w:rsid w:val="009626EF"/>
    <w:rsid w:val="03960F79"/>
    <w:rsid w:val="07DB643B"/>
    <w:rsid w:val="0BFC1D7A"/>
    <w:rsid w:val="12D43260"/>
    <w:rsid w:val="13666427"/>
    <w:rsid w:val="17FA2269"/>
    <w:rsid w:val="2A794E8B"/>
    <w:rsid w:val="2A885C53"/>
    <w:rsid w:val="325C6897"/>
    <w:rsid w:val="33784076"/>
    <w:rsid w:val="38004801"/>
    <w:rsid w:val="40357E61"/>
    <w:rsid w:val="5A484733"/>
    <w:rsid w:val="5B254617"/>
    <w:rsid w:val="5EA1080C"/>
    <w:rsid w:val="619D1B44"/>
    <w:rsid w:val="67620F81"/>
    <w:rsid w:val="6D6C72BC"/>
    <w:rsid w:val="6D761D4E"/>
    <w:rsid w:val="708A4624"/>
    <w:rsid w:val="72DA1833"/>
    <w:rsid w:val="73DD40A3"/>
    <w:rsid w:val="746E765E"/>
    <w:rsid w:val="77DF6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left="641" w:hanging="357"/>
      <w:jc w:val="both"/>
    </w:pPr>
    <w:rPr>
      <w:rFonts w:ascii="Calibri" w:hAnsi="Calibri" w:eastAsia="宋体" w:cs="Times New Roman"/>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table of authorities"/>
    <w:next w:val="1"/>
    <w:qFormat/>
    <w:uiPriority w:val="99"/>
    <w:pPr>
      <w:widowControl w:val="0"/>
      <w:ind w:left="420" w:leftChars="200"/>
      <w:jc w:val="both"/>
    </w:pPr>
    <w:rPr>
      <w:rFonts w:ascii="Calibri" w:hAnsi="Calibri" w:eastAsia="宋体" w:cs="Times New Roman"/>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paragraph" w:customStyle="1" w:styleId="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
    <w:name w:val="p0"/>
    <w:qFormat/>
    <w:uiPriority w:val="0"/>
    <w:pPr>
      <w:keepNext w:val="0"/>
      <w:keepLines w:val="0"/>
      <w:widowControl/>
      <w:suppressLineNumbers w:val="0"/>
      <w:snapToGrid w:val="0"/>
      <w:spacing w:before="0" w:beforeAutospacing="0" w:after="200" w:afterAutospacing="0"/>
      <w:ind w:left="0" w:right="0"/>
      <w:jc w:val="left"/>
    </w:pPr>
    <w:rPr>
      <w:rFonts w:hint="default" w:ascii="Tahoma" w:hAnsi="Tahoma" w:eastAsia="宋体" w:cs="Tahoma"/>
      <w:kern w:val="0"/>
      <w:sz w:val="22"/>
      <w:szCs w:val="22"/>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2143</Words>
  <Characters>2265</Characters>
  <Lines>0</Lines>
  <Paragraphs>0</Paragraphs>
  <TotalTime>5</TotalTime>
  <ScaleCrop>false</ScaleCrop>
  <LinksUpToDate>false</LinksUpToDate>
  <CharactersWithSpaces>2289</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2022-03-21T07:09:00Z</dcterms:created>
  <dc:creator>Admin</dc:creator>
  <cp:lastModifiedBy>青草根</cp:lastModifiedBy>
  <cp:lastPrinted>2022-04-07T03:20:00Z</cp:lastPrinted>
  <dcterms:modified xsi:type="dcterms:W3CDTF">2022-04-07T11:46:23Z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B88FFB95AE074DF5AF16149B243B4AF0</vt:lpwstr>
  </property>
</Properties>
</file>