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rPr>
          <w:rFonts w:hint="eastAsia" w:cs="方正仿宋_GBK"/>
          <w:szCs w:val="32"/>
        </w:rPr>
      </w:pPr>
    </w:p>
    <w:p>
      <w:pPr>
        <w:ind w:firstLine="0" w:firstLineChars="0"/>
        <w:rPr>
          <w:rFonts w:hint="eastAsia" w:cs="方正仿宋_GBK"/>
          <w:szCs w:val="32"/>
        </w:rPr>
      </w:pPr>
    </w:p>
    <w:p>
      <w:pPr>
        <w:ind w:firstLine="0" w:firstLineChars="0"/>
        <w:rPr>
          <w:rFonts w:hint="eastAsia" w:cs="方正仿宋_GBK"/>
          <w:szCs w:val="32"/>
        </w:rPr>
      </w:pPr>
    </w:p>
    <w:p>
      <w:pPr>
        <w:ind w:firstLine="0" w:firstLineChars="0"/>
        <w:rPr>
          <w:rFonts w:hint="eastAsia" w:cs="方正仿宋_GBK"/>
          <w:szCs w:val="32"/>
        </w:rPr>
      </w:pPr>
    </w:p>
    <w:p>
      <w:pPr>
        <w:ind w:firstLine="0" w:firstLineChars="0"/>
        <w:rPr>
          <w:rFonts w:hint="eastAsia" w:cs="方正仿宋_GBK"/>
          <w:szCs w:val="32"/>
        </w:rPr>
      </w:pPr>
    </w:p>
    <w:p>
      <w:pPr>
        <w:ind w:firstLine="0" w:firstLineChars="0"/>
        <w:rPr>
          <w:rFonts w:hint="eastAsia" w:cs="方正仿宋_GBK"/>
          <w:szCs w:val="32"/>
        </w:rPr>
      </w:pPr>
    </w:p>
    <w:p>
      <w:pPr>
        <w:keepNext w:val="0"/>
        <w:keepLines w:val="0"/>
        <w:pageBreakBefore w:val="0"/>
        <w:kinsoku/>
        <w:wordWrap/>
        <w:overflowPunct/>
        <w:topLinePunct w:val="0"/>
        <w:autoSpaceDE/>
        <w:autoSpaceDN/>
        <w:bidi w:val="0"/>
        <w:adjustRightInd/>
        <w:snapToGrid/>
        <w:spacing w:line="560" w:lineRule="exact"/>
        <w:ind w:firstLine="0" w:firstLineChars="0"/>
        <w:textAlignment w:val="auto"/>
        <w:rPr>
          <w:rFonts w:hint="eastAsia" w:cs="方正仿宋_GBK"/>
          <w:szCs w:val="32"/>
        </w:rPr>
      </w:pPr>
    </w:p>
    <w:p>
      <w:pPr>
        <w:keepNext w:val="0"/>
        <w:keepLines w:val="0"/>
        <w:pageBreakBefore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铜环发〔20</w:t>
      </w:r>
      <w:r>
        <w:rPr>
          <w:rFonts w:hint="eastAsia" w:ascii="Times New Roman" w:hAnsi="Times New Roman" w:eastAsia="方正仿宋_GBK" w:cs="方正仿宋_GBK"/>
          <w:sz w:val="32"/>
          <w:szCs w:val="32"/>
          <w:lang w:val="en-US" w:eastAsia="zh-CN"/>
        </w:rPr>
        <w:t>22</w:t>
      </w:r>
      <w:r>
        <w:rPr>
          <w:rFonts w:hint="eastAsia" w:ascii="Times New Roman" w:hAnsi="Times New Roman" w:eastAsia="方正仿宋_GBK" w:cs="方正仿宋_GBK"/>
          <w:sz w:val="32"/>
          <w:szCs w:val="32"/>
        </w:rPr>
        <w:t>〕</w:t>
      </w:r>
      <w:r>
        <w:rPr>
          <w:rFonts w:hint="eastAsia" w:eastAsia="方正仿宋_GBK" w:cs="方正仿宋_GBK"/>
          <w:sz w:val="32"/>
          <w:szCs w:val="32"/>
          <w:lang w:val="en-US" w:eastAsia="zh-CN"/>
        </w:rPr>
        <w:t>93</w:t>
      </w:r>
      <w:r>
        <w:rPr>
          <w:rFonts w:hint="eastAsia" w:ascii="Times New Roman" w:hAnsi="Times New Roman" w:eastAsia="方正仿宋_GBK" w:cs="方正仿宋_GBK"/>
          <w:sz w:val="32"/>
          <w:szCs w:val="32"/>
        </w:rPr>
        <w:t>号</w:t>
      </w:r>
    </w:p>
    <w:p>
      <w:pPr>
        <w:keepNext w:val="0"/>
        <w:keepLines w:val="0"/>
        <w:pageBreakBefore w:val="0"/>
        <w:kinsoku/>
        <w:wordWrap/>
        <w:overflowPunct/>
        <w:topLinePunct w:val="0"/>
        <w:autoSpaceDE/>
        <w:autoSpaceDN/>
        <w:bidi w:val="0"/>
        <w:adjustRightInd/>
        <w:snapToGrid/>
        <w:spacing w:line="560" w:lineRule="exact"/>
        <w:ind w:firstLine="0" w:firstLineChars="0"/>
        <w:textAlignment w:val="auto"/>
        <w:rPr>
          <w:rFonts w:hint="eastAsia" w:ascii="Times New Roman" w:hAnsi="Times New Roman" w:cs="方正仿宋_GBK"/>
          <w:szCs w:val="32"/>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_GBK" w:cs="方正小标宋_GBK"/>
          <w:sz w:val="44"/>
          <w:szCs w:val="44"/>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重庆市铜梁区生态环境局</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关于印发《重庆市</w:t>
      </w:r>
      <w:r>
        <w:rPr>
          <w:rFonts w:hint="eastAsia" w:ascii="Times New Roman" w:hAnsi="Times New Roman" w:eastAsia="方正小标宋_GBK" w:cs="方正小标宋_GBK"/>
          <w:sz w:val="44"/>
          <w:szCs w:val="44"/>
          <w:lang w:val="en-US" w:eastAsia="zh-CN"/>
        </w:rPr>
        <w:t>铜梁区</w:t>
      </w:r>
      <w:r>
        <w:rPr>
          <w:rFonts w:hint="eastAsia" w:ascii="Times New Roman" w:hAnsi="Times New Roman" w:eastAsia="方正小标宋_GBK" w:cs="方正小标宋_GBK"/>
          <w:sz w:val="44"/>
          <w:szCs w:val="44"/>
        </w:rPr>
        <w:t>应对气候变化“十四五”规划（2021—2025年）》的通知</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Times New Roman" w:hAnsi="Times New Roman"/>
        </w:rPr>
      </w:pPr>
    </w:p>
    <w:p>
      <w:pPr>
        <w:keepNext w:val="0"/>
        <w:keepLines w:val="0"/>
        <w:pageBreakBefore w:val="0"/>
        <w:kinsoku/>
        <w:wordWrap/>
        <w:overflowPunct/>
        <w:topLinePunct w:val="0"/>
        <w:autoSpaceDE/>
        <w:autoSpaceDN/>
        <w:bidi w:val="0"/>
        <w:adjustRightInd/>
        <w:snapToGrid/>
        <w:spacing w:line="560" w:lineRule="exact"/>
        <w:ind w:firstLine="0" w:firstLineChars="0"/>
        <w:textAlignment w:val="auto"/>
        <w:rPr>
          <w:rFonts w:hint="eastAsia" w:ascii="Times New Roman" w:hAnsi="Times New Roman" w:eastAsia="方正仿宋_GBK" w:cs="方正仿宋_GBK"/>
          <w:sz w:val="32"/>
        </w:rPr>
      </w:pPr>
      <w:r>
        <w:rPr>
          <w:rFonts w:hint="eastAsia" w:ascii="Times New Roman" w:hAnsi="Times New Roman" w:eastAsia="方正仿宋_GBK" w:cs="方正仿宋_GBK"/>
          <w:sz w:val="32"/>
        </w:rPr>
        <w:t>各镇人民政府、街道办事处，区</w:t>
      </w:r>
      <w:r>
        <w:rPr>
          <w:rFonts w:hint="eastAsia" w:ascii="Times New Roman" w:hAnsi="Times New Roman" w:eastAsia="方正仿宋_GBK" w:cs="方正仿宋_GBK"/>
          <w:sz w:val="32"/>
          <w:lang w:val="en-US" w:eastAsia="zh-CN"/>
        </w:rPr>
        <w:t>级</w:t>
      </w:r>
      <w:r>
        <w:rPr>
          <w:rFonts w:hint="eastAsia" w:ascii="Times New Roman" w:hAnsi="Times New Roman" w:eastAsia="方正仿宋_GBK" w:cs="方正仿宋_GBK"/>
          <w:sz w:val="32"/>
        </w:rPr>
        <w:t>有关部门，有关单位</w:t>
      </w:r>
      <w:r>
        <w:rPr>
          <w:rFonts w:hint="eastAsia" w:ascii="Times New Roman" w:hAnsi="Times New Roman" w:eastAsia="方正仿宋_GBK" w:cs="方正仿宋_GBK"/>
          <w:sz w:val="32"/>
          <w:lang w:eastAsia="zh-CN"/>
        </w:rPr>
        <w:t>，</w:t>
      </w:r>
      <w:r>
        <w:rPr>
          <w:rFonts w:hint="eastAsia" w:ascii="Times New Roman" w:hAnsi="Times New Roman" w:eastAsia="方正仿宋_GBK" w:cs="方正仿宋_GBK"/>
          <w:sz w:val="32"/>
          <w:lang w:val="en-US" w:eastAsia="zh-CN"/>
        </w:rPr>
        <w:t>局</w:t>
      </w:r>
      <w:r>
        <w:rPr>
          <w:rFonts w:hint="eastAsia" w:ascii="Times New Roman" w:hAnsi="Times New Roman" w:eastAsia="方正仿宋_GBK" w:cs="方正仿宋_GBK"/>
          <w:sz w:val="32"/>
          <w:lang w:eastAsia="zh-CN"/>
        </w:rPr>
        <w:t>机关各</w:t>
      </w:r>
      <w:r>
        <w:rPr>
          <w:rFonts w:hint="eastAsia" w:ascii="Times New Roman" w:hAnsi="Times New Roman" w:eastAsia="方正仿宋_GBK" w:cs="方正仿宋_GBK"/>
          <w:sz w:val="32"/>
          <w:lang w:val="en-US" w:eastAsia="zh-CN"/>
        </w:rPr>
        <w:t>科室</w:t>
      </w:r>
      <w:r>
        <w:rPr>
          <w:rFonts w:hint="eastAsia" w:ascii="Times New Roman" w:hAnsi="Times New Roman" w:eastAsia="方正仿宋_GBK" w:cs="方正仿宋_GBK"/>
          <w:sz w:val="32"/>
          <w:lang w:eastAsia="zh-CN"/>
        </w:rPr>
        <w:t>、</w:t>
      </w:r>
      <w:r>
        <w:rPr>
          <w:rFonts w:hint="eastAsia" w:ascii="Times New Roman" w:hAnsi="Times New Roman" w:eastAsia="方正仿宋_GBK" w:cs="方正仿宋_GBK"/>
          <w:sz w:val="32"/>
          <w:lang w:val="en-US" w:eastAsia="zh-CN"/>
        </w:rPr>
        <w:t>局属各事业</w:t>
      </w:r>
      <w:r>
        <w:rPr>
          <w:rFonts w:hint="eastAsia" w:ascii="Times New Roman" w:hAnsi="Times New Roman" w:eastAsia="方正仿宋_GBK" w:cs="方正仿宋_GBK"/>
          <w:sz w:val="32"/>
          <w:lang w:eastAsia="zh-CN"/>
        </w:rPr>
        <w:t>单位</w:t>
      </w:r>
      <w:r>
        <w:rPr>
          <w:rFonts w:hint="eastAsia" w:ascii="Times New Roman" w:hAnsi="Times New Roman" w:eastAsia="方正仿宋_GBK" w:cs="方正仿宋_GBK"/>
          <w:sz w:val="32"/>
        </w:rPr>
        <w:t>：</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Times New Roman" w:hAnsi="Times New Roman" w:eastAsia="方正仿宋_GBK" w:cs="方正仿宋_GBK"/>
          <w:sz w:val="32"/>
        </w:rPr>
      </w:pPr>
      <w:r>
        <w:rPr>
          <w:rFonts w:hint="eastAsia" w:ascii="Times New Roman" w:hAnsi="Times New Roman" w:eastAsia="方正仿宋_GBK" w:cs="方正仿宋_GBK"/>
          <w:sz w:val="32"/>
        </w:rPr>
        <w:t>《重庆市</w:t>
      </w:r>
      <w:r>
        <w:rPr>
          <w:rFonts w:hint="eastAsia" w:ascii="Times New Roman" w:hAnsi="Times New Roman" w:eastAsia="方正仿宋_GBK" w:cs="方正仿宋_GBK"/>
          <w:sz w:val="32"/>
          <w:lang w:val="en-US" w:eastAsia="zh-CN"/>
        </w:rPr>
        <w:t>铜梁区</w:t>
      </w:r>
      <w:r>
        <w:rPr>
          <w:rFonts w:hint="eastAsia" w:ascii="Times New Roman" w:hAnsi="Times New Roman" w:eastAsia="方正仿宋_GBK" w:cs="方正仿宋_GBK"/>
          <w:sz w:val="32"/>
        </w:rPr>
        <w:t>应对气候变化“十四五”规划（2021—2025年）》经</w:t>
      </w:r>
      <w:r>
        <w:rPr>
          <w:rFonts w:hint="eastAsia" w:ascii="Times New Roman" w:hAnsi="Times New Roman" w:eastAsia="方正仿宋_GBK" w:cs="方正仿宋_GBK"/>
          <w:sz w:val="32"/>
          <w:lang w:val="en-US" w:eastAsia="zh-CN"/>
        </w:rPr>
        <w:t>区政府同意，</w:t>
      </w:r>
      <w:r>
        <w:rPr>
          <w:rFonts w:hint="eastAsia" w:ascii="Times New Roman" w:hAnsi="Times New Roman" w:eastAsia="方正仿宋_GBK" w:cs="方正仿宋_GBK"/>
          <w:sz w:val="32"/>
        </w:rPr>
        <w:t>现印发给你们，请认真贯彻执行。</w:t>
      </w:r>
    </w:p>
    <w:p>
      <w:pPr>
        <w:keepNext w:val="0"/>
        <w:keepLines w:val="0"/>
        <w:pageBreakBefore w:val="0"/>
        <w:kinsoku/>
        <w:wordWrap/>
        <w:overflowPunct/>
        <w:topLinePunct w:val="0"/>
        <w:autoSpaceDE/>
        <w:autoSpaceDN/>
        <w:bidi w:val="0"/>
        <w:adjustRightInd/>
        <w:snapToGrid/>
        <w:spacing w:line="560" w:lineRule="exact"/>
        <w:ind w:firstLine="640" w:firstLineChars="0"/>
        <w:textAlignment w:val="auto"/>
        <w:rPr>
          <w:rFonts w:hint="eastAsia" w:ascii="Times New Roman" w:hAnsi="Times New Roman" w:eastAsia="方正仿宋_GBK" w:cs="方正仿宋_GBK"/>
          <w:sz w:val="32"/>
        </w:rPr>
      </w:pPr>
    </w:p>
    <w:p>
      <w:pPr>
        <w:keepNext w:val="0"/>
        <w:keepLines w:val="0"/>
        <w:pageBreakBefore w:val="0"/>
        <w:kinsoku/>
        <w:wordWrap/>
        <w:overflowPunct/>
        <w:topLinePunct w:val="0"/>
        <w:autoSpaceDE/>
        <w:autoSpaceDN/>
        <w:bidi w:val="0"/>
        <w:adjustRightInd/>
        <w:snapToGrid/>
        <w:spacing w:line="560" w:lineRule="exact"/>
        <w:ind w:firstLine="640" w:firstLineChars="0"/>
        <w:textAlignment w:val="auto"/>
        <w:rPr>
          <w:rFonts w:hint="eastAsia" w:ascii="Times New Roman" w:hAnsi="Times New Roman" w:eastAsia="方正仿宋_GBK" w:cs="方正仿宋_GBK"/>
          <w:sz w:val="32"/>
        </w:rPr>
      </w:pPr>
      <w:r>
        <w:rPr>
          <w:rFonts w:hint="eastAsia" w:ascii="Times New Roman" w:hAnsi="Times New Roman" w:eastAsia="方正仿宋_GBK" w:cs="方正仿宋_GBK"/>
          <w:sz w:val="32"/>
        </w:rPr>
        <w:t xml:space="preserve">                           重庆市铜梁区生态环境局</w:t>
      </w:r>
    </w:p>
    <w:p>
      <w:pPr>
        <w:keepNext w:val="0"/>
        <w:keepLines w:val="0"/>
        <w:pageBreakBefore w:val="0"/>
        <w:kinsoku/>
        <w:wordWrap/>
        <w:overflowPunct/>
        <w:topLinePunct w:val="0"/>
        <w:autoSpaceDE/>
        <w:autoSpaceDN/>
        <w:bidi w:val="0"/>
        <w:adjustRightInd/>
        <w:snapToGrid/>
        <w:spacing w:line="560" w:lineRule="exact"/>
        <w:ind w:firstLine="640" w:firstLineChars="0"/>
        <w:textAlignment w:val="auto"/>
        <w:rPr>
          <w:rFonts w:hint="eastAsia" w:ascii="Times New Roman" w:hAnsi="Times New Roman" w:eastAsia="方正仿宋_GBK" w:cs="方正仿宋_GBK"/>
          <w:sz w:val="32"/>
        </w:rPr>
      </w:pPr>
      <w:r>
        <w:rPr>
          <w:rFonts w:hint="eastAsia" w:ascii="Times New Roman" w:hAnsi="Times New Roman" w:eastAsia="方正仿宋_GBK" w:cs="方正仿宋_GBK"/>
          <w:sz w:val="32"/>
        </w:rPr>
        <w:t xml:space="preserve">                             </w:t>
      </w:r>
      <w:r>
        <w:rPr>
          <w:rFonts w:hint="eastAsia" w:eastAsia="方正仿宋_GBK" w:cs="方正仿宋_GBK"/>
          <w:sz w:val="32"/>
          <w:lang w:val="en-US" w:eastAsia="zh-CN"/>
        </w:rPr>
        <w:t xml:space="preserve"> </w:t>
      </w:r>
      <w:r>
        <w:rPr>
          <w:rFonts w:hint="eastAsia" w:ascii="Times New Roman" w:hAnsi="Times New Roman" w:eastAsia="方正仿宋_GBK" w:cs="方正仿宋_GBK"/>
          <w:sz w:val="32"/>
          <w:lang w:val="en-US" w:eastAsia="zh-CN"/>
        </w:rPr>
        <w:t>2022</w:t>
      </w:r>
      <w:r>
        <w:rPr>
          <w:rFonts w:hint="eastAsia" w:ascii="Times New Roman" w:hAnsi="Times New Roman" w:eastAsia="方正仿宋_GBK" w:cs="方正仿宋_GBK"/>
          <w:sz w:val="32"/>
        </w:rPr>
        <w:t>年</w:t>
      </w:r>
      <w:r>
        <w:rPr>
          <w:rFonts w:hint="eastAsia" w:eastAsia="方正仿宋_GBK" w:cs="方正仿宋_GBK"/>
          <w:sz w:val="32"/>
          <w:lang w:val="en-US" w:eastAsia="zh-CN"/>
        </w:rPr>
        <w:t>9</w:t>
      </w:r>
      <w:r>
        <w:rPr>
          <w:rFonts w:hint="eastAsia" w:ascii="Times New Roman" w:hAnsi="Times New Roman" w:eastAsia="方正仿宋_GBK" w:cs="方正仿宋_GBK"/>
          <w:sz w:val="32"/>
        </w:rPr>
        <w:t>月</w:t>
      </w:r>
      <w:r>
        <w:rPr>
          <w:rFonts w:hint="eastAsia" w:eastAsia="方正仿宋_GBK" w:cs="方正仿宋_GBK"/>
          <w:sz w:val="32"/>
          <w:lang w:val="en-US" w:eastAsia="zh-CN"/>
        </w:rPr>
        <w:t>1</w:t>
      </w:r>
      <w:r>
        <w:rPr>
          <w:rFonts w:hint="eastAsia" w:ascii="Times New Roman" w:hAnsi="Times New Roman" w:eastAsia="方正仿宋_GBK" w:cs="方正仿宋_GBK"/>
          <w:sz w:val="32"/>
        </w:rPr>
        <w:t>日</w:t>
      </w:r>
    </w:p>
    <w:p>
      <w:pPr>
        <w:pStyle w:val="3"/>
        <w:keepNext w:val="0"/>
        <w:keepLines w:val="0"/>
        <w:pageBreakBefore w:val="0"/>
        <w:widowControl w:val="0"/>
        <w:kinsoku/>
        <w:wordWrap/>
        <w:overflowPunct/>
        <w:topLinePunct w:val="0"/>
        <w:autoSpaceDE/>
        <w:autoSpaceDN/>
        <w:bidi w:val="0"/>
        <w:adjustRightInd/>
        <w:snapToGrid/>
        <w:spacing w:before="221" w:beforeLines="50" w:line="560" w:lineRule="exact"/>
        <w:ind w:left="0" w:leftChars="0" w:right="0" w:rightChars="0"/>
        <w:jc w:val="both"/>
        <w:textAlignment w:val="auto"/>
        <w:outlineLvl w:val="9"/>
        <w:rPr>
          <w:rFonts w:hint="eastAsia" w:ascii="Times New Roman" w:hAnsi="Times New Roman" w:eastAsia="方正仿宋_GBK" w:cs="方正仿宋_GBK"/>
          <w:color w:val="auto"/>
          <w:spacing w:val="-6"/>
          <w:sz w:val="32"/>
          <w:szCs w:val="32"/>
          <w:lang w:val="en-US" w:eastAsia="zh-CN"/>
        </w:rPr>
      </w:pPr>
      <w:r>
        <w:rPr>
          <w:rFonts w:hint="eastAsia" w:ascii="Times New Roman" w:hAnsi="Times New Roman" w:eastAsia="方正仿宋_GBK" w:cs="方正仿宋_GBK"/>
          <w:color w:val="auto"/>
          <w:spacing w:val="-6"/>
          <w:sz w:val="32"/>
          <w:szCs w:val="32"/>
          <w:lang w:val="en-US" w:eastAsia="zh-CN"/>
        </w:rPr>
        <w:t>（此件公开发布）</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Times New Roman" w:hAnsi="Times New Roman" w:eastAsia="方正仿宋_GBK" w:cs="方正仿宋_GBK"/>
          <w:color w:val="auto"/>
          <w:sz w:val="32"/>
          <w:lang w:val="en-US" w:eastAsia="zh-CN"/>
        </w:rPr>
        <w:sectPr>
          <w:footerReference r:id="rId4" w:type="default"/>
          <w:pgSz w:w="11906" w:h="16838"/>
          <w:pgMar w:top="2098" w:right="1474" w:bottom="1985" w:left="1588" w:header="851" w:footer="992" w:gutter="113"/>
          <w:pgNumType w:fmt="numberInDash" w:start="1"/>
          <w:cols w:space="425" w:num="1"/>
          <w:docGrid w:type="linesAndChars" w:linePitch="579" w:charSpace="-1675"/>
        </w:sectPr>
      </w:pPr>
    </w:p>
    <w:p>
      <w:pPr>
        <w:widowControl/>
        <w:jc w:val="left"/>
        <w:rPr>
          <w:rFonts w:hint="default" w:ascii="方正黑体_GBK" w:eastAsia="方正黑体_GBK"/>
          <w:color w:val="auto"/>
          <w:lang w:val="en-US" w:eastAsia="zh-CN"/>
        </w:rPr>
      </w:pPr>
    </w:p>
    <w:p>
      <w:pPr>
        <w:widowControl/>
        <w:jc w:val="left"/>
        <w:rPr>
          <w:rFonts w:hint="default" w:ascii="方正黑体_GBK" w:eastAsia="方正黑体_GBK"/>
          <w:color w:val="auto"/>
          <w:lang w:val="en-US" w:eastAsia="zh-CN"/>
        </w:rPr>
      </w:pPr>
    </w:p>
    <w:p>
      <w:pPr>
        <w:widowControl/>
        <w:jc w:val="center"/>
        <w:rPr>
          <w:rFonts w:ascii="方正小标宋_GBK" w:eastAsia="方正小标宋_GBK"/>
          <w:color w:val="auto"/>
          <w:sz w:val="44"/>
          <w:szCs w:val="44"/>
        </w:rPr>
      </w:pPr>
      <w:r>
        <w:rPr>
          <w:rFonts w:hint="eastAsia" w:ascii="方正小标宋_GBK" w:eastAsia="方正小标宋_GBK"/>
          <w:color w:val="auto"/>
          <w:sz w:val="44"/>
          <w:szCs w:val="44"/>
        </w:rPr>
        <w:t>重庆市铜梁区应对气候变化“十四五”规划</w:t>
      </w:r>
    </w:p>
    <w:p>
      <w:pPr>
        <w:widowControl/>
        <w:jc w:val="center"/>
        <w:rPr>
          <w:rFonts w:ascii="方正小标宋_GBK" w:eastAsia="方正小标宋_GBK"/>
          <w:color w:val="auto"/>
          <w:sz w:val="44"/>
          <w:szCs w:val="44"/>
        </w:rPr>
      </w:pPr>
      <w:r>
        <w:rPr>
          <w:rFonts w:hint="eastAsia" w:ascii="方正小标宋_GBK" w:eastAsia="方正小标宋_GBK"/>
          <w:color w:val="auto"/>
          <w:sz w:val="44"/>
          <w:szCs w:val="44"/>
        </w:rPr>
        <w:t>（2</w:t>
      </w:r>
      <w:r>
        <w:rPr>
          <w:rFonts w:ascii="方正小标宋_GBK" w:eastAsia="方正小标宋_GBK"/>
          <w:color w:val="auto"/>
          <w:sz w:val="44"/>
          <w:szCs w:val="44"/>
        </w:rPr>
        <w:t>021—2025</w:t>
      </w:r>
      <w:r>
        <w:rPr>
          <w:rFonts w:hint="eastAsia" w:ascii="方正小标宋_GBK" w:eastAsia="方正小标宋_GBK"/>
          <w:color w:val="auto"/>
          <w:sz w:val="44"/>
          <w:szCs w:val="44"/>
        </w:rPr>
        <w:t>年）</w:t>
      </w:r>
    </w:p>
    <w:p>
      <w:pPr>
        <w:widowControl/>
        <w:jc w:val="center"/>
        <w:rPr>
          <w:rFonts w:ascii="方正黑体_GBK" w:eastAsia="方正黑体_GBK"/>
          <w:color w:val="auto"/>
        </w:rPr>
      </w:pPr>
    </w:p>
    <w:p>
      <w:pPr>
        <w:widowControl/>
        <w:jc w:val="center"/>
        <w:rPr>
          <w:rFonts w:ascii="方正黑体_GBK" w:eastAsia="方正黑体_GBK"/>
          <w:color w:val="auto"/>
        </w:rPr>
      </w:pPr>
    </w:p>
    <w:p>
      <w:pPr>
        <w:widowControl/>
        <w:jc w:val="center"/>
        <w:rPr>
          <w:rFonts w:ascii="方正黑体_GBK" w:eastAsia="方正黑体_GBK"/>
          <w:color w:val="auto"/>
        </w:rPr>
      </w:pPr>
    </w:p>
    <w:p>
      <w:pPr>
        <w:widowControl/>
        <w:jc w:val="center"/>
        <w:rPr>
          <w:rFonts w:ascii="方正黑体_GBK" w:eastAsia="方正黑体_GBK"/>
          <w:color w:val="auto"/>
        </w:rPr>
      </w:pPr>
    </w:p>
    <w:p>
      <w:pPr>
        <w:widowControl/>
        <w:jc w:val="center"/>
        <w:rPr>
          <w:rFonts w:ascii="方正黑体_GBK" w:eastAsia="方正黑体_GBK"/>
          <w:color w:val="auto"/>
        </w:rPr>
      </w:pPr>
    </w:p>
    <w:p>
      <w:pPr>
        <w:widowControl/>
        <w:jc w:val="center"/>
        <w:rPr>
          <w:rFonts w:ascii="方正黑体_GBK" w:eastAsia="方正黑体_GBK"/>
          <w:color w:val="auto"/>
        </w:rPr>
      </w:pPr>
    </w:p>
    <w:p>
      <w:pPr>
        <w:widowControl/>
        <w:jc w:val="center"/>
        <w:rPr>
          <w:rFonts w:ascii="方正黑体_GBK" w:eastAsia="方正黑体_GBK"/>
          <w:color w:val="auto"/>
        </w:rPr>
      </w:pPr>
    </w:p>
    <w:p>
      <w:pPr>
        <w:widowControl/>
        <w:jc w:val="center"/>
        <w:rPr>
          <w:rFonts w:ascii="方正黑体_GBK" w:eastAsia="方正黑体_GBK"/>
          <w:color w:val="auto"/>
        </w:rPr>
      </w:pPr>
    </w:p>
    <w:p>
      <w:pPr>
        <w:widowControl/>
        <w:jc w:val="center"/>
        <w:rPr>
          <w:rFonts w:ascii="方正黑体_GBK" w:eastAsia="方正黑体_GBK"/>
          <w:color w:val="auto"/>
        </w:rPr>
      </w:pPr>
    </w:p>
    <w:p>
      <w:pPr>
        <w:widowControl/>
        <w:jc w:val="center"/>
        <w:rPr>
          <w:rFonts w:ascii="方正黑体_GBK" w:eastAsia="方正黑体_GBK"/>
          <w:color w:val="auto"/>
        </w:rPr>
      </w:pPr>
    </w:p>
    <w:p>
      <w:pPr>
        <w:widowControl/>
        <w:jc w:val="center"/>
        <w:rPr>
          <w:rFonts w:ascii="方正黑体_GBK" w:eastAsia="方正黑体_GBK"/>
          <w:color w:val="auto"/>
        </w:rPr>
      </w:pPr>
    </w:p>
    <w:p>
      <w:pPr>
        <w:widowControl/>
        <w:jc w:val="center"/>
        <w:rPr>
          <w:rFonts w:ascii="方正楷体_GBK" w:eastAsia="方正楷体_GBK"/>
          <w:color w:val="auto"/>
        </w:rPr>
      </w:pPr>
      <w:r>
        <w:rPr>
          <w:rFonts w:hint="eastAsia" w:ascii="方正楷体_GBK" w:eastAsia="方正楷体_GBK"/>
          <w:color w:val="auto"/>
        </w:rPr>
        <w:t>重庆市铜梁区生态环境局</w:t>
      </w:r>
    </w:p>
    <w:p>
      <w:pPr>
        <w:widowControl/>
        <w:jc w:val="center"/>
        <w:rPr>
          <w:rFonts w:ascii="方正楷体_GBK" w:eastAsia="方正楷体_GBK"/>
          <w:color w:val="auto"/>
        </w:rPr>
        <w:sectPr>
          <w:pgSz w:w="11906" w:h="16838"/>
          <w:pgMar w:top="2098" w:right="1474" w:bottom="1985" w:left="1588" w:header="851" w:footer="992" w:gutter="113"/>
          <w:pgNumType w:fmt="numberInDash"/>
          <w:cols w:space="425" w:num="1"/>
          <w:docGrid w:type="linesAndChars" w:linePitch="579" w:charSpace="-1675"/>
        </w:sectPr>
      </w:pPr>
      <w:r>
        <w:rPr>
          <w:rFonts w:hint="eastAsia" w:ascii="方正楷体_GBK" w:eastAsia="方正楷体_GBK"/>
          <w:color w:val="auto"/>
        </w:rPr>
        <w:t>二〇二二年</w:t>
      </w:r>
      <w:r>
        <w:rPr>
          <w:rFonts w:hint="eastAsia" w:ascii="方正楷体_GBK" w:eastAsia="方正楷体_GBK"/>
          <w:color w:val="auto"/>
          <w:lang w:val="en-US" w:eastAsia="zh-CN"/>
        </w:rPr>
        <w:t>九</w:t>
      </w:r>
      <w:r>
        <w:rPr>
          <w:rFonts w:hint="eastAsia" w:ascii="方正楷体_GBK" w:eastAsia="方正楷体_GBK"/>
          <w:color w:val="auto"/>
        </w:rPr>
        <w:t>月</w:t>
      </w:r>
    </w:p>
    <w:sdt>
      <w:sdtPr>
        <w:rPr>
          <w:rFonts w:ascii="Times New Roman" w:hAnsi="Times New Roman" w:eastAsia="仿宋_GB2312" w:cstheme="minorBidi"/>
          <w:color w:val="auto"/>
          <w:kern w:val="2"/>
          <w:szCs w:val="22"/>
          <w:lang w:val="zh-CN"/>
        </w:rPr>
        <w:id w:val="551350575"/>
        <w:docPartObj>
          <w:docPartGallery w:val="Table of Contents"/>
          <w:docPartUnique/>
        </w:docPartObj>
      </w:sdtPr>
      <w:sdtEndPr>
        <w:rPr>
          <w:rFonts w:ascii="Times New Roman" w:hAnsi="Times New Roman" w:eastAsia="仿宋_GB2312" w:cstheme="minorBidi"/>
          <w:b/>
          <w:bCs/>
          <w:color w:val="auto"/>
          <w:kern w:val="2"/>
          <w:szCs w:val="22"/>
          <w:lang w:val="zh-CN"/>
        </w:rPr>
      </w:sdtEndPr>
      <w:sdtContent>
        <w:p>
          <w:pPr>
            <w:pStyle w:val="29"/>
            <w:jc w:val="center"/>
            <w:rPr>
              <w:b w:val="0"/>
              <w:bCs w:val="0"/>
              <w:color w:val="auto"/>
            </w:rPr>
          </w:pPr>
          <w:r>
            <w:rPr>
              <w:rFonts w:hint="eastAsia" w:ascii="方正小标宋_GBK" w:hAnsi="方正小标宋_GBK" w:eastAsia="方正小标宋_GBK" w:cs="方正小标宋_GBK"/>
              <w:b w:val="0"/>
              <w:bCs w:val="0"/>
              <w:color w:val="auto"/>
              <w:sz w:val="44"/>
              <w:szCs w:val="44"/>
              <w:lang w:val="zh-CN"/>
            </w:rPr>
            <w:t>目 录</w:t>
          </w:r>
        </w:p>
        <w:p>
          <w:pPr>
            <w:pStyle w:val="9"/>
            <w:rPr>
              <w:rFonts w:asciiTheme="minorHAnsi" w:hAnsiTheme="minorHAnsi" w:eastAsiaTheme="minorEastAsia"/>
              <w:color w:val="auto"/>
              <w:sz w:val="21"/>
            </w:rPr>
          </w:pPr>
          <w:r>
            <w:rPr>
              <w:color w:val="auto"/>
            </w:rPr>
            <w:fldChar w:fldCharType="begin"/>
          </w:r>
          <w:r>
            <w:rPr>
              <w:color w:val="auto"/>
            </w:rPr>
            <w:instrText xml:space="preserve"> TOC \o "1-3" \h \z \u </w:instrText>
          </w:r>
          <w:r>
            <w:rPr>
              <w:color w:val="auto"/>
            </w:rPr>
            <w:fldChar w:fldCharType="separate"/>
          </w:r>
          <w:r>
            <w:rPr>
              <w:rStyle w:val="18"/>
              <w:color w:val="auto"/>
            </w:rPr>
            <w:fldChar w:fldCharType="begin"/>
          </w:r>
          <w:r>
            <w:rPr>
              <w:rStyle w:val="18"/>
              <w:color w:val="auto"/>
            </w:rPr>
            <w:instrText xml:space="preserve"> </w:instrText>
          </w:r>
          <w:r>
            <w:rPr>
              <w:color w:val="auto"/>
            </w:rPr>
            <w:instrText xml:space="preserve">HYPERLINK \l "_Toc109898239"</w:instrText>
          </w:r>
          <w:r>
            <w:rPr>
              <w:rStyle w:val="18"/>
              <w:color w:val="auto"/>
            </w:rPr>
            <w:instrText xml:space="preserve"> </w:instrText>
          </w:r>
          <w:r>
            <w:rPr>
              <w:rStyle w:val="18"/>
              <w:color w:val="auto"/>
            </w:rPr>
            <w:fldChar w:fldCharType="separate"/>
          </w:r>
          <w:r>
            <w:rPr>
              <w:rStyle w:val="18"/>
              <w:rFonts w:ascii="方正黑体_GBK" w:eastAsia="方正黑体_GBK"/>
              <w:color w:val="auto"/>
            </w:rPr>
            <w:t>前  言</w:t>
          </w:r>
          <w:r>
            <w:rPr>
              <w:color w:val="auto"/>
            </w:rPr>
            <w:tab/>
          </w:r>
          <w:r>
            <w:rPr>
              <w:color w:val="auto"/>
            </w:rPr>
            <w:fldChar w:fldCharType="begin"/>
          </w:r>
          <w:r>
            <w:rPr>
              <w:color w:val="auto"/>
            </w:rPr>
            <w:instrText xml:space="preserve"> PAGEREF _Toc109898239 \h </w:instrText>
          </w:r>
          <w:r>
            <w:rPr>
              <w:color w:val="auto"/>
            </w:rPr>
            <w:fldChar w:fldCharType="separate"/>
          </w:r>
          <w:r>
            <w:rPr>
              <w:color w:val="auto"/>
            </w:rPr>
            <w:t>- 6 -</w:t>
          </w:r>
          <w:r>
            <w:rPr>
              <w:color w:val="auto"/>
            </w:rPr>
            <w:fldChar w:fldCharType="end"/>
          </w:r>
          <w:r>
            <w:rPr>
              <w:rStyle w:val="18"/>
              <w:color w:val="auto"/>
            </w:rPr>
            <w:fldChar w:fldCharType="end"/>
          </w:r>
        </w:p>
        <w:p>
          <w:pPr>
            <w:pStyle w:val="9"/>
            <w:rPr>
              <w:rFonts w:asciiTheme="minorHAnsi" w:hAnsiTheme="minorHAnsi" w:eastAsiaTheme="minorEastAsia"/>
              <w:color w:val="auto"/>
              <w:sz w:val="21"/>
            </w:rPr>
          </w:pPr>
          <w:r>
            <w:rPr>
              <w:rStyle w:val="18"/>
              <w:color w:val="auto"/>
            </w:rPr>
            <w:fldChar w:fldCharType="begin"/>
          </w:r>
          <w:r>
            <w:rPr>
              <w:rStyle w:val="18"/>
              <w:color w:val="auto"/>
            </w:rPr>
            <w:instrText xml:space="preserve"> </w:instrText>
          </w:r>
          <w:r>
            <w:rPr>
              <w:color w:val="auto"/>
            </w:rPr>
            <w:instrText xml:space="preserve">HYPERLINK \l "_Toc109898240"</w:instrText>
          </w:r>
          <w:r>
            <w:rPr>
              <w:rStyle w:val="18"/>
              <w:color w:val="auto"/>
            </w:rPr>
            <w:instrText xml:space="preserve"> </w:instrText>
          </w:r>
          <w:r>
            <w:rPr>
              <w:rStyle w:val="18"/>
              <w:color w:val="auto"/>
            </w:rPr>
            <w:fldChar w:fldCharType="separate"/>
          </w:r>
          <w:r>
            <w:rPr>
              <w:rStyle w:val="18"/>
              <w:rFonts w:ascii="方正黑体_GBK" w:eastAsia="方正黑体_GBK"/>
              <w:color w:val="auto"/>
            </w:rPr>
            <w:t>第一章 应对气候变化形势</w:t>
          </w:r>
          <w:r>
            <w:rPr>
              <w:color w:val="auto"/>
            </w:rPr>
            <w:tab/>
          </w:r>
          <w:r>
            <w:rPr>
              <w:color w:val="auto"/>
            </w:rPr>
            <w:fldChar w:fldCharType="begin"/>
          </w:r>
          <w:r>
            <w:rPr>
              <w:color w:val="auto"/>
            </w:rPr>
            <w:instrText xml:space="preserve"> PAGEREF _Toc109898240 \h </w:instrText>
          </w:r>
          <w:r>
            <w:rPr>
              <w:color w:val="auto"/>
            </w:rPr>
            <w:fldChar w:fldCharType="separate"/>
          </w:r>
          <w:r>
            <w:rPr>
              <w:color w:val="auto"/>
            </w:rPr>
            <w:t>- 7 -</w:t>
          </w:r>
          <w:r>
            <w:rPr>
              <w:color w:val="auto"/>
            </w:rPr>
            <w:fldChar w:fldCharType="end"/>
          </w:r>
          <w:r>
            <w:rPr>
              <w:rStyle w:val="18"/>
              <w:color w:val="auto"/>
            </w:rPr>
            <w:fldChar w:fldCharType="end"/>
          </w:r>
        </w:p>
        <w:p>
          <w:pPr>
            <w:pStyle w:val="11"/>
            <w:tabs>
              <w:tab w:val="right" w:leader="dot" w:pos="8721"/>
            </w:tabs>
            <w:ind w:left="624"/>
            <w:rPr>
              <w:rFonts w:asciiTheme="minorHAnsi" w:hAnsiTheme="minorHAnsi" w:eastAsiaTheme="minorEastAsia"/>
              <w:color w:val="auto"/>
              <w:sz w:val="21"/>
            </w:rPr>
          </w:pPr>
          <w:r>
            <w:rPr>
              <w:rStyle w:val="18"/>
              <w:color w:val="auto"/>
            </w:rPr>
            <w:fldChar w:fldCharType="begin"/>
          </w:r>
          <w:r>
            <w:rPr>
              <w:rStyle w:val="18"/>
              <w:color w:val="auto"/>
            </w:rPr>
            <w:instrText xml:space="preserve"> </w:instrText>
          </w:r>
          <w:r>
            <w:rPr>
              <w:color w:val="auto"/>
            </w:rPr>
            <w:instrText xml:space="preserve">HYPERLINK \l "_Toc109898241"</w:instrText>
          </w:r>
          <w:r>
            <w:rPr>
              <w:rStyle w:val="18"/>
              <w:color w:val="auto"/>
            </w:rPr>
            <w:instrText xml:space="preserve"> </w:instrText>
          </w:r>
          <w:r>
            <w:rPr>
              <w:rStyle w:val="18"/>
              <w:color w:val="auto"/>
            </w:rPr>
            <w:fldChar w:fldCharType="separate"/>
          </w:r>
          <w:r>
            <w:rPr>
              <w:rStyle w:val="18"/>
              <w:rFonts w:ascii="方正楷体_GBK" w:eastAsia="方正楷体_GBK"/>
              <w:color w:val="auto"/>
            </w:rPr>
            <w:t>第一节 应对气候变化工作成效</w:t>
          </w:r>
          <w:r>
            <w:rPr>
              <w:color w:val="auto"/>
            </w:rPr>
            <w:tab/>
          </w:r>
          <w:r>
            <w:rPr>
              <w:color w:val="auto"/>
            </w:rPr>
            <w:fldChar w:fldCharType="begin"/>
          </w:r>
          <w:r>
            <w:rPr>
              <w:color w:val="auto"/>
            </w:rPr>
            <w:instrText xml:space="preserve"> PAGEREF _Toc109898241 \h </w:instrText>
          </w:r>
          <w:r>
            <w:rPr>
              <w:color w:val="auto"/>
            </w:rPr>
            <w:fldChar w:fldCharType="separate"/>
          </w:r>
          <w:r>
            <w:rPr>
              <w:color w:val="auto"/>
            </w:rPr>
            <w:t>- 7 -</w:t>
          </w:r>
          <w:r>
            <w:rPr>
              <w:color w:val="auto"/>
            </w:rPr>
            <w:fldChar w:fldCharType="end"/>
          </w:r>
          <w:r>
            <w:rPr>
              <w:rStyle w:val="18"/>
              <w:color w:val="auto"/>
            </w:rPr>
            <w:fldChar w:fldCharType="end"/>
          </w:r>
        </w:p>
        <w:p>
          <w:pPr>
            <w:pStyle w:val="11"/>
            <w:tabs>
              <w:tab w:val="right" w:leader="dot" w:pos="8721"/>
            </w:tabs>
            <w:ind w:left="624"/>
            <w:rPr>
              <w:rFonts w:asciiTheme="minorHAnsi" w:hAnsiTheme="minorHAnsi" w:eastAsiaTheme="minorEastAsia"/>
              <w:color w:val="auto"/>
              <w:sz w:val="21"/>
            </w:rPr>
          </w:pPr>
          <w:r>
            <w:rPr>
              <w:rStyle w:val="18"/>
              <w:color w:val="auto"/>
            </w:rPr>
            <w:fldChar w:fldCharType="begin"/>
          </w:r>
          <w:r>
            <w:rPr>
              <w:rStyle w:val="18"/>
              <w:color w:val="auto"/>
            </w:rPr>
            <w:instrText xml:space="preserve"> </w:instrText>
          </w:r>
          <w:r>
            <w:rPr>
              <w:color w:val="auto"/>
            </w:rPr>
            <w:instrText xml:space="preserve">HYPERLINK \l "_Toc109898242"</w:instrText>
          </w:r>
          <w:r>
            <w:rPr>
              <w:rStyle w:val="18"/>
              <w:color w:val="auto"/>
            </w:rPr>
            <w:instrText xml:space="preserve"> </w:instrText>
          </w:r>
          <w:r>
            <w:rPr>
              <w:rStyle w:val="18"/>
              <w:color w:val="auto"/>
            </w:rPr>
            <w:fldChar w:fldCharType="separate"/>
          </w:r>
          <w:r>
            <w:rPr>
              <w:rStyle w:val="18"/>
              <w:rFonts w:ascii="方正楷体_GBK" w:eastAsia="方正楷体_GBK"/>
              <w:color w:val="auto"/>
            </w:rPr>
            <w:t>第二节 面临的挑战</w:t>
          </w:r>
          <w:r>
            <w:rPr>
              <w:color w:val="auto"/>
            </w:rPr>
            <w:tab/>
          </w:r>
          <w:r>
            <w:rPr>
              <w:color w:val="auto"/>
            </w:rPr>
            <w:fldChar w:fldCharType="begin"/>
          </w:r>
          <w:r>
            <w:rPr>
              <w:color w:val="auto"/>
            </w:rPr>
            <w:instrText xml:space="preserve"> PAGEREF _Toc109898242 \h </w:instrText>
          </w:r>
          <w:r>
            <w:rPr>
              <w:color w:val="auto"/>
            </w:rPr>
            <w:fldChar w:fldCharType="separate"/>
          </w:r>
          <w:r>
            <w:rPr>
              <w:color w:val="auto"/>
            </w:rPr>
            <w:t>- 11 -</w:t>
          </w:r>
          <w:r>
            <w:rPr>
              <w:color w:val="auto"/>
            </w:rPr>
            <w:fldChar w:fldCharType="end"/>
          </w:r>
          <w:r>
            <w:rPr>
              <w:rStyle w:val="18"/>
              <w:color w:val="auto"/>
            </w:rPr>
            <w:fldChar w:fldCharType="end"/>
          </w:r>
        </w:p>
        <w:p>
          <w:pPr>
            <w:pStyle w:val="11"/>
            <w:tabs>
              <w:tab w:val="right" w:leader="dot" w:pos="8721"/>
            </w:tabs>
            <w:ind w:left="624"/>
            <w:rPr>
              <w:rFonts w:asciiTheme="minorHAnsi" w:hAnsiTheme="minorHAnsi" w:eastAsiaTheme="minorEastAsia"/>
              <w:color w:val="auto"/>
              <w:sz w:val="21"/>
            </w:rPr>
          </w:pPr>
          <w:r>
            <w:rPr>
              <w:rStyle w:val="18"/>
              <w:color w:val="auto"/>
            </w:rPr>
            <w:fldChar w:fldCharType="begin"/>
          </w:r>
          <w:r>
            <w:rPr>
              <w:rStyle w:val="18"/>
              <w:color w:val="auto"/>
            </w:rPr>
            <w:instrText xml:space="preserve"> </w:instrText>
          </w:r>
          <w:r>
            <w:rPr>
              <w:color w:val="auto"/>
            </w:rPr>
            <w:instrText xml:space="preserve">HYPERLINK \l "_Toc109898243"</w:instrText>
          </w:r>
          <w:r>
            <w:rPr>
              <w:rStyle w:val="18"/>
              <w:color w:val="auto"/>
            </w:rPr>
            <w:instrText xml:space="preserve"> </w:instrText>
          </w:r>
          <w:r>
            <w:rPr>
              <w:rStyle w:val="18"/>
              <w:color w:val="auto"/>
            </w:rPr>
            <w:fldChar w:fldCharType="separate"/>
          </w:r>
          <w:r>
            <w:rPr>
              <w:rStyle w:val="18"/>
              <w:rFonts w:ascii="方正楷体_GBK" w:eastAsia="方正楷体_GBK"/>
              <w:color w:val="auto"/>
            </w:rPr>
            <w:t>第三节 迎来的机遇</w:t>
          </w:r>
          <w:r>
            <w:rPr>
              <w:color w:val="auto"/>
            </w:rPr>
            <w:tab/>
          </w:r>
          <w:r>
            <w:rPr>
              <w:color w:val="auto"/>
            </w:rPr>
            <w:fldChar w:fldCharType="begin"/>
          </w:r>
          <w:r>
            <w:rPr>
              <w:color w:val="auto"/>
            </w:rPr>
            <w:instrText xml:space="preserve"> PAGEREF _Toc109898243 \h </w:instrText>
          </w:r>
          <w:r>
            <w:rPr>
              <w:color w:val="auto"/>
            </w:rPr>
            <w:fldChar w:fldCharType="separate"/>
          </w:r>
          <w:r>
            <w:rPr>
              <w:color w:val="auto"/>
            </w:rPr>
            <w:t>- 12 -</w:t>
          </w:r>
          <w:r>
            <w:rPr>
              <w:color w:val="auto"/>
            </w:rPr>
            <w:fldChar w:fldCharType="end"/>
          </w:r>
          <w:r>
            <w:rPr>
              <w:rStyle w:val="18"/>
              <w:color w:val="auto"/>
            </w:rPr>
            <w:fldChar w:fldCharType="end"/>
          </w:r>
        </w:p>
        <w:p>
          <w:pPr>
            <w:pStyle w:val="9"/>
            <w:rPr>
              <w:rFonts w:asciiTheme="minorHAnsi" w:hAnsiTheme="minorHAnsi" w:eastAsiaTheme="minorEastAsia"/>
              <w:color w:val="auto"/>
              <w:sz w:val="21"/>
            </w:rPr>
          </w:pPr>
          <w:r>
            <w:rPr>
              <w:rStyle w:val="18"/>
              <w:color w:val="auto"/>
            </w:rPr>
            <w:fldChar w:fldCharType="begin"/>
          </w:r>
          <w:r>
            <w:rPr>
              <w:rStyle w:val="18"/>
              <w:color w:val="auto"/>
            </w:rPr>
            <w:instrText xml:space="preserve"> </w:instrText>
          </w:r>
          <w:r>
            <w:rPr>
              <w:color w:val="auto"/>
            </w:rPr>
            <w:instrText xml:space="preserve">HYPERLINK \l "_Toc109898244"</w:instrText>
          </w:r>
          <w:r>
            <w:rPr>
              <w:rStyle w:val="18"/>
              <w:color w:val="auto"/>
            </w:rPr>
            <w:instrText xml:space="preserve"> </w:instrText>
          </w:r>
          <w:r>
            <w:rPr>
              <w:rStyle w:val="18"/>
              <w:color w:val="auto"/>
            </w:rPr>
            <w:fldChar w:fldCharType="separate"/>
          </w:r>
          <w:r>
            <w:rPr>
              <w:rStyle w:val="18"/>
              <w:rFonts w:ascii="方正黑体_GBK" w:eastAsia="方正黑体_GBK"/>
              <w:color w:val="auto"/>
            </w:rPr>
            <w:t>第二章 指导思想、基本原则和主要目标</w:t>
          </w:r>
          <w:r>
            <w:rPr>
              <w:color w:val="auto"/>
            </w:rPr>
            <w:tab/>
          </w:r>
          <w:r>
            <w:rPr>
              <w:color w:val="auto"/>
            </w:rPr>
            <w:fldChar w:fldCharType="begin"/>
          </w:r>
          <w:r>
            <w:rPr>
              <w:color w:val="auto"/>
            </w:rPr>
            <w:instrText xml:space="preserve"> PAGEREF _Toc109898244 \h </w:instrText>
          </w:r>
          <w:r>
            <w:rPr>
              <w:color w:val="auto"/>
            </w:rPr>
            <w:fldChar w:fldCharType="separate"/>
          </w:r>
          <w:r>
            <w:rPr>
              <w:color w:val="auto"/>
            </w:rPr>
            <w:t>- 14 -</w:t>
          </w:r>
          <w:r>
            <w:rPr>
              <w:color w:val="auto"/>
            </w:rPr>
            <w:fldChar w:fldCharType="end"/>
          </w:r>
          <w:r>
            <w:rPr>
              <w:rStyle w:val="18"/>
              <w:color w:val="auto"/>
            </w:rPr>
            <w:fldChar w:fldCharType="end"/>
          </w:r>
        </w:p>
        <w:p>
          <w:pPr>
            <w:pStyle w:val="11"/>
            <w:tabs>
              <w:tab w:val="right" w:leader="dot" w:pos="8721"/>
            </w:tabs>
            <w:ind w:left="624"/>
            <w:rPr>
              <w:rFonts w:asciiTheme="minorHAnsi" w:hAnsiTheme="minorHAnsi" w:eastAsiaTheme="minorEastAsia"/>
              <w:color w:val="auto"/>
              <w:sz w:val="21"/>
            </w:rPr>
          </w:pPr>
          <w:r>
            <w:rPr>
              <w:rStyle w:val="18"/>
              <w:color w:val="auto"/>
            </w:rPr>
            <w:fldChar w:fldCharType="begin"/>
          </w:r>
          <w:r>
            <w:rPr>
              <w:rStyle w:val="18"/>
              <w:color w:val="auto"/>
            </w:rPr>
            <w:instrText xml:space="preserve"> </w:instrText>
          </w:r>
          <w:r>
            <w:rPr>
              <w:color w:val="auto"/>
            </w:rPr>
            <w:instrText xml:space="preserve">HYPERLINK \l "_Toc109898245"</w:instrText>
          </w:r>
          <w:r>
            <w:rPr>
              <w:rStyle w:val="18"/>
              <w:color w:val="auto"/>
            </w:rPr>
            <w:instrText xml:space="preserve"> </w:instrText>
          </w:r>
          <w:r>
            <w:rPr>
              <w:rStyle w:val="18"/>
              <w:color w:val="auto"/>
            </w:rPr>
            <w:fldChar w:fldCharType="separate"/>
          </w:r>
          <w:r>
            <w:rPr>
              <w:rStyle w:val="18"/>
              <w:rFonts w:ascii="方正楷体_GBK" w:eastAsia="方正楷体_GBK"/>
              <w:color w:val="auto"/>
            </w:rPr>
            <w:t>第一节 指导思想</w:t>
          </w:r>
          <w:r>
            <w:rPr>
              <w:color w:val="auto"/>
            </w:rPr>
            <w:tab/>
          </w:r>
          <w:r>
            <w:rPr>
              <w:color w:val="auto"/>
            </w:rPr>
            <w:fldChar w:fldCharType="begin"/>
          </w:r>
          <w:r>
            <w:rPr>
              <w:color w:val="auto"/>
            </w:rPr>
            <w:instrText xml:space="preserve"> PAGEREF _Toc109898245 \h </w:instrText>
          </w:r>
          <w:r>
            <w:rPr>
              <w:color w:val="auto"/>
            </w:rPr>
            <w:fldChar w:fldCharType="separate"/>
          </w:r>
          <w:r>
            <w:rPr>
              <w:color w:val="auto"/>
            </w:rPr>
            <w:t>- 14 -</w:t>
          </w:r>
          <w:r>
            <w:rPr>
              <w:color w:val="auto"/>
            </w:rPr>
            <w:fldChar w:fldCharType="end"/>
          </w:r>
          <w:r>
            <w:rPr>
              <w:rStyle w:val="18"/>
              <w:color w:val="auto"/>
            </w:rPr>
            <w:fldChar w:fldCharType="end"/>
          </w:r>
        </w:p>
        <w:p>
          <w:pPr>
            <w:pStyle w:val="11"/>
            <w:tabs>
              <w:tab w:val="right" w:leader="dot" w:pos="8721"/>
            </w:tabs>
            <w:ind w:left="624"/>
            <w:rPr>
              <w:rFonts w:asciiTheme="minorHAnsi" w:hAnsiTheme="minorHAnsi" w:eastAsiaTheme="minorEastAsia"/>
              <w:color w:val="auto"/>
              <w:sz w:val="21"/>
            </w:rPr>
          </w:pPr>
          <w:r>
            <w:rPr>
              <w:rStyle w:val="18"/>
              <w:color w:val="auto"/>
            </w:rPr>
            <w:fldChar w:fldCharType="begin"/>
          </w:r>
          <w:r>
            <w:rPr>
              <w:rStyle w:val="18"/>
              <w:color w:val="auto"/>
            </w:rPr>
            <w:instrText xml:space="preserve"> </w:instrText>
          </w:r>
          <w:r>
            <w:rPr>
              <w:color w:val="auto"/>
            </w:rPr>
            <w:instrText xml:space="preserve">HYPERLINK \l "_Toc109898246"</w:instrText>
          </w:r>
          <w:r>
            <w:rPr>
              <w:rStyle w:val="18"/>
              <w:color w:val="auto"/>
            </w:rPr>
            <w:instrText xml:space="preserve"> </w:instrText>
          </w:r>
          <w:r>
            <w:rPr>
              <w:rStyle w:val="18"/>
              <w:color w:val="auto"/>
            </w:rPr>
            <w:fldChar w:fldCharType="separate"/>
          </w:r>
          <w:r>
            <w:rPr>
              <w:rStyle w:val="18"/>
              <w:rFonts w:ascii="方正楷体_GBK" w:eastAsia="方正楷体_GBK"/>
              <w:color w:val="auto"/>
            </w:rPr>
            <w:t>第二节 基本原则</w:t>
          </w:r>
          <w:r>
            <w:rPr>
              <w:color w:val="auto"/>
            </w:rPr>
            <w:tab/>
          </w:r>
          <w:r>
            <w:rPr>
              <w:color w:val="auto"/>
            </w:rPr>
            <w:fldChar w:fldCharType="begin"/>
          </w:r>
          <w:r>
            <w:rPr>
              <w:color w:val="auto"/>
            </w:rPr>
            <w:instrText xml:space="preserve"> PAGEREF _Toc109898246 \h </w:instrText>
          </w:r>
          <w:r>
            <w:rPr>
              <w:color w:val="auto"/>
            </w:rPr>
            <w:fldChar w:fldCharType="separate"/>
          </w:r>
          <w:r>
            <w:rPr>
              <w:color w:val="auto"/>
            </w:rPr>
            <w:t>- 15 -</w:t>
          </w:r>
          <w:r>
            <w:rPr>
              <w:color w:val="auto"/>
            </w:rPr>
            <w:fldChar w:fldCharType="end"/>
          </w:r>
          <w:r>
            <w:rPr>
              <w:rStyle w:val="18"/>
              <w:color w:val="auto"/>
            </w:rPr>
            <w:fldChar w:fldCharType="end"/>
          </w:r>
        </w:p>
        <w:p>
          <w:pPr>
            <w:pStyle w:val="11"/>
            <w:tabs>
              <w:tab w:val="right" w:leader="dot" w:pos="8721"/>
            </w:tabs>
            <w:ind w:left="624"/>
            <w:rPr>
              <w:rFonts w:asciiTheme="minorHAnsi" w:hAnsiTheme="minorHAnsi" w:eastAsiaTheme="minorEastAsia"/>
              <w:color w:val="auto"/>
              <w:sz w:val="21"/>
            </w:rPr>
          </w:pPr>
          <w:r>
            <w:rPr>
              <w:rStyle w:val="18"/>
              <w:color w:val="auto"/>
            </w:rPr>
            <w:fldChar w:fldCharType="begin"/>
          </w:r>
          <w:r>
            <w:rPr>
              <w:rStyle w:val="18"/>
              <w:color w:val="auto"/>
            </w:rPr>
            <w:instrText xml:space="preserve"> </w:instrText>
          </w:r>
          <w:r>
            <w:rPr>
              <w:color w:val="auto"/>
            </w:rPr>
            <w:instrText xml:space="preserve">HYPERLINK \l "_Toc109898247"</w:instrText>
          </w:r>
          <w:r>
            <w:rPr>
              <w:rStyle w:val="18"/>
              <w:color w:val="auto"/>
            </w:rPr>
            <w:instrText xml:space="preserve"> </w:instrText>
          </w:r>
          <w:r>
            <w:rPr>
              <w:rStyle w:val="18"/>
              <w:color w:val="auto"/>
            </w:rPr>
            <w:fldChar w:fldCharType="separate"/>
          </w:r>
          <w:r>
            <w:rPr>
              <w:rStyle w:val="18"/>
              <w:rFonts w:ascii="方正楷体_GBK" w:eastAsia="方正楷体_GBK"/>
              <w:color w:val="auto"/>
            </w:rPr>
            <w:t>第三节 目标指标</w:t>
          </w:r>
          <w:r>
            <w:rPr>
              <w:color w:val="auto"/>
            </w:rPr>
            <w:tab/>
          </w:r>
          <w:r>
            <w:rPr>
              <w:color w:val="auto"/>
            </w:rPr>
            <w:fldChar w:fldCharType="begin"/>
          </w:r>
          <w:r>
            <w:rPr>
              <w:color w:val="auto"/>
            </w:rPr>
            <w:instrText xml:space="preserve"> PAGEREF _Toc109898247 \h </w:instrText>
          </w:r>
          <w:r>
            <w:rPr>
              <w:color w:val="auto"/>
            </w:rPr>
            <w:fldChar w:fldCharType="separate"/>
          </w:r>
          <w:r>
            <w:rPr>
              <w:color w:val="auto"/>
            </w:rPr>
            <w:t>- 16 -</w:t>
          </w:r>
          <w:r>
            <w:rPr>
              <w:color w:val="auto"/>
            </w:rPr>
            <w:fldChar w:fldCharType="end"/>
          </w:r>
          <w:r>
            <w:rPr>
              <w:rStyle w:val="18"/>
              <w:color w:val="auto"/>
            </w:rPr>
            <w:fldChar w:fldCharType="end"/>
          </w:r>
        </w:p>
        <w:p>
          <w:pPr>
            <w:pStyle w:val="5"/>
            <w:tabs>
              <w:tab w:val="right" w:leader="dot" w:pos="8721"/>
            </w:tabs>
            <w:ind w:left="1247"/>
            <w:rPr>
              <w:rFonts w:asciiTheme="minorHAnsi" w:hAnsiTheme="minorHAnsi" w:eastAsiaTheme="minorEastAsia"/>
              <w:color w:val="auto"/>
              <w:sz w:val="21"/>
            </w:rPr>
          </w:pPr>
          <w:r>
            <w:rPr>
              <w:rStyle w:val="18"/>
              <w:color w:val="auto"/>
            </w:rPr>
            <w:fldChar w:fldCharType="begin"/>
          </w:r>
          <w:r>
            <w:rPr>
              <w:rStyle w:val="18"/>
              <w:color w:val="auto"/>
            </w:rPr>
            <w:instrText xml:space="preserve"> </w:instrText>
          </w:r>
          <w:r>
            <w:rPr>
              <w:color w:val="auto"/>
            </w:rPr>
            <w:instrText xml:space="preserve">HYPERLINK \l "_Toc109898248"</w:instrText>
          </w:r>
          <w:r>
            <w:rPr>
              <w:rStyle w:val="18"/>
              <w:color w:val="auto"/>
            </w:rPr>
            <w:instrText xml:space="preserve"> </w:instrText>
          </w:r>
          <w:r>
            <w:rPr>
              <w:rStyle w:val="18"/>
              <w:color w:val="auto"/>
            </w:rPr>
            <w:fldChar w:fldCharType="separate"/>
          </w:r>
          <w:r>
            <w:rPr>
              <w:rStyle w:val="18"/>
              <w:rFonts w:eastAsia="方正仿宋_GBK" w:cs="Times New Roman"/>
              <w:color w:val="auto"/>
            </w:rPr>
            <w:t>1</w:t>
          </w:r>
          <w:r>
            <w:rPr>
              <w:rStyle w:val="18"/>
              <w:rFonts w:ascii="方正仿宋_GBK" w:eastAsia="方正仿宋_GBK"/>
              <w:color w:val="auto"/>
            </w:rPr>
            <w:t>.总体目标</w:t>
          </w:r>
          <w:r>
            <w:rPr>
              <w:color w:val="auto"/>
            </w:rPr>
            <w:tab/>
          </w:r>
          <w:r>
            <w:rPr>
              <w:color w:val="auto"/>
            </w:rPr>
            <w:fldChar w:fldCharType="begin"/>
          </w:r>
          <w:r>
            <w:rPr>
              <w:color w:val="auto"/>
            </w:rPr>
            <w:instrText xml:space="preserve"> PAGEREF _Toc109898248 \h </w:instrText>
          </w:r>
          <w:r>
            <w:rPr>
              <w:color w:val="auto"/>
            </w:rPr>
            <w:fldChar w:fldCharType="separate"/>
          </w:r>
          <w:r>
            <w:rPr>
              <w:color w:val="auto"/>
            </w:rPr>
            <w:t>- 16 -</w:t>
          </w:r>
          <w:r>
            <w:rPr>
              <w:color w:val="auto"/>
            </w:rPr>
            <w:fldChar w:fldCharType="end"/>
          </w:r>
          <w:r>
            <w:rPr>
              <w:rStyle w:val="18"/>
              <w:color w:val="auto"/>
            </w:rPr>
            <w:fldChar w:fldCharType="end"/>
          </w:r>
        </w:p>
        <w:p>
          <w:pPr>
            <w:pStyle w:val="5"/>
            <w:tabs>
              <w:tab w:val="right" w:leader="dot" w:pos="8721"/>
            </w:tabs>
            <w:ind w:left="1247"/>
            <w:rPr>
              <w:rFonts w:asciiTheme="minorHAnsi" w:hAnsiTheme="minorHAnsi" w:eastAsiaTheme="minorEastAsia"/>
              <w:color w:val="auto"/>
              <w:sz w:val="21"/>
            </w:rPr>
          </w:pPr>
          <w:r>
            <w:rPr>
              <w:rStyle w:val="18"/>
              <w:color w:val="auto"/>
            </w:rPr>
            <w:fldChar w:fldCharType="begin"/>
          </w:r>
          <w:r>
            <w:rPr>
              <w:rStyle w:val="18"/>
              <w:color w:val="auto"/>
            </w:rPr>
            <w:instrText xml:space="preserve"> </w:instrText>
          </w:r>
          <w:r>
            <w:rPr>
              <w:color w:val="auto"/>
            </w:rPr>
            <w:instrText xml:space="preserve">HYPERLINK \l "_Toc109898249"</w:instrText>
          </w:r>
          <w:r>
            <w:rPr>
              <w:rStyle w:val="18"/>
              <w:color w:val="auto"/>
            </w:rPr>
            <w:instrText xml:space="preserve"> </w:instrText>
          </w:r>
          <w:r>
            <w:rPr>
              <w:rStyle w:val="18"/>
              <w:color w:val="auto"/>
            </w:rPr>
            <w:fldChar w:fldCharType="separate"/>
          </w:r>
          <w:r>
            <w:rPr>
              <w:rStyle w:val="18"/>
              <w:rFonts w:eastAsia="方正仿宋_GBK" w:cs="Times New Roman"/>
              <w:color w:val="auto"/>
            </w:rPr>
            <w:t>2</w:t>
          </w:r>
          <w:r>
            <w:rPr>
              <w:rStyle w:val="18"/>
              <w:rFonts w:ascii="方正仿宋_GBK" w:eastAsia="方正仿宋_GBK"/>
              <w:color w:val="auto"/>
            </w:rPr>
            <w:t>.具体指标</w:t>
          </w:r>
          <w:r>
            <w:rPr>
              <w:color w:val="auto"/>
            </w:rPr>
            <w:tab/>
          </w:r>
          <w:r>
            <w:rPr>
              <w:color w:val="auto"/>
            </w:rPr>
            <w:fldChar w:fldCharType="begin"/>
          </w:r>
          <w:r>
            <w:rPr>
              <w:color w:val="auto"/>
            </w:rPr>
            <w:instrText xml:space="preserve"> PAGEREF _Toc109898249 \h </w:instrText>
          </w:r>
          <w:r>
            <w:rPr>
              <w:color w:val="auto"/>
            </w:rPr>
            <w:fldChar w:fldCharType="separate"/>
          </w:r>
          <w:r>
            <w:rPr>
              <w:color w:val="auto"/>
            </w:rPr>
            <w:t>- 17 -</w:t>
          </w:r>
          <w:r>
            <w:rPr>
              <w:color w:val="auto"/>
            </w:rPr>
            <w:fldChar w:fldCharType="end"/>
          </w:r>
          <w:r>
            <w:rPr>
              <w:rStyle w:val="18"/>
              <w:color w:val="auto"/>
            </w:rPr>
            <w:fldChar w:fldCharType="end"/>
          </w:r>
        </w:p>
        <w:p>
          <w:pPr>
            <w:pStyle w:val="9"/>
            <w:rPr>
              <w:rFonts w:asciiTheme="minorHAnsi" w:hAnsiTheme="minorHAnsi" w:eastAsiaTheme="minorEastAsia"/>
              <w:color w:val="auto"/>
              <w:sz w:val="21"/>
            </w:rPr>
          </w:pPr>
          <w:r>
            <w:rPr>
              <w:rStyle w:val="18"/>
              <w:color w:val="auto"/>
            </w:rPr>
            <w:fldChar w:fldCharType="begin"/>
          </w:r>
          <w:r>
            <w:rPr>
              <w:rStyle w:val="18"/>
              <w:color w:val="auto"/>
            </w:rPr>
            <w:instrText xml:space="preserve"> </w:instrText>
          </w:r>
          <w:r>
            <w:rPr>
              <w:color w:val="auto"/>
            </w:rPr>
            <w:instrText xml:space="preserve">HYPERLINK \l "_Toc109898250"</w:instrText>
          </w:r>
          <w:r>
            <w:rPr>
              <w:rStyle w:val="18"/>
              <w:color w:val="auto"/>
            </w:rPr>
            <w:instrText xml:space="preserve"> </w:instrText>
          </w:r>
          <w:r>
            <w:rPr>
              <w:rStyle w:val="18"/>
              <w:color w:val="auto"/>
            </w:rPr>
            <w:fldChar w:fldCharType="separate"/>
          </w:r>
          <w:r>
            <w:rPr>
              <w:rStyle w:val="18"/>
              <w:rFonts w:ascii="方正黑体_GBK" w:eastAsia="方正黑体_GBK"/>
              <w:color w:val="auto"/>
            </w:rPr>
            <w:t>第三章 加快实施碳排放达峰行动</w:t>
          </w:r>
          <w:r>
            <w:rPr>
              <w:color w:val="auto"/>
            </w:rPr>
            <w:tab/>
          </w:r>
          <w:r>
            <w:rPr>
              <w:color w:val="auto"/>
            </w:rPr>
            <w:fldChar w:fldCharType="begin"/>
          </w:r>
          <w:r>
            <w:rPr>
              <w:color w:val="auto"/>
            </w:rPr>
            <w:instrText xml:space="preserve"> PAGEREF _Toc109898250 \h </w:instrText>
          </w:r>
          <w:r>
            <w:rPr>
              <w:color w:val="auto"/>
            </w:rPr>
            <w:fldChar w:fldCharType="separate"/>
          </w:r>
          <w:r>
            <w:rPr>
              <w:color w:val="auto"/>
            </w:rPr>
            <w:t>- 18 -</w:t>
          </w:r>
          <w:r>
            <w:rPr>
              <w:color w:val="auto"/>
            </w:rPr>
            <w:fldChar w:fldCharType="end"/>
          </w:r>
          <w:r>
            <w:rPr>
              <w:rStyle w:val="18"/>
              <w:color w:val="auto"/>
            </w:rPr>
            <w:fldChar w:fldCharType="end"/>
          </w:r>
        </w:p>
        <w:p>
          <w:pPr>
            <w:pStyle w:val="11"/>
            <w:tabs>
              <w:tab w:val="right" w:leader="dot" w:pos="8721"/>
            </w:tabs>
            <w:ind w:left="624"/>
            <w:rPr>
              <w:rFonts w:asciiTheme="minorHAnsi" w:hAnsiTheme="minorHAnsi" w:eastAsiaTheme="minorEastAsia"/>
              <w:color w:val="auto"/>
              <w:sz w:val="21"/>
            </w:rPr>
          </w:pPr>
          <w:r>
            <w:rPr>
              <w:rStyle w:val="18"/>
              <w:color w:val="auto"/>
            </w:rPr>
            <w:fldChar w:fldCharType="begin"/>
          </w:r>
          <w:r>
            <w:rPr>
              <w:rStyle w:val="18"/>
              <w:color w:val="auto"/>
            </w:rPr>
            <w:instrText xml:space="preserve"> </w:instrText>
          </w:r>
          <w:r>
            <w:rPr>
              <w:color w:val="auto"/>
            </w:rPr>
            <w:instrText xml:space="preserve">HYPERLINK \l "_Toc109898251"</w:instrText>
          </w:r>
          <w:r>
            <w:rPr>
              <w:rStyle w:val="18"/>
              <w:color w:val="auto"/>
            </w:rPr>
            <w:instrText xml:space="preserve"> </w:instrText>
          </w:r>
          <w:r>
            <w:rPr>
              <w:rStyle w:val="18"/>
              <w:color w:val="auto"/>
            </w:rPr>
            <w:fldChar w:fldCharType="separate"/>
          </w:r>
          <w:r>
            <w:rPr>
              <w:rStyle w:val="18"/>
              <w:rFonts w:ascii="方正楷体_GBK" w:eastAsia="方正楷体_GBK"/>
              <w:color w:val="auto"/>
            </w:rPr>
            <w:t>第一节 明确碳排放达峰目标</w:t>
          </w:r>
          <w:r>
            <w:rPr>
              <w:color w:val="auto"/>
            </w:rPr>
            <w:tab/>
          </w:r>
          <w:r>
            <w:rPr>
              <w:color w:val="auto"/>
            </w:rPr>
            <w:fldChar w:fldCharType="begin"/>
          </w:r>
          <w:r>
            <w:rPr>
              <w:color w:val="auto"/>
            </w:rPr>
            <w:instrText xml:space="preserve"> PAGEREF _Toc109898251 \h </w:instrText>
          </w:r>
          <w:r>
            <w:rPr>
              <w:color w:val="auto"/>
            </w:rPr>
            <w:fldChar w:fldCharType="separate"/>
          </w:r>
          <w:r>
            <w:rPr>
              <w:color w:val="auto"/>
            </w:rPr>
            <w:t>- 18 -</w:t>
          </w:r>
          <w:r>
            <w:rPr>
              <w:color w:val="auto"/>
            </w:rPr>
            <w:fldChar w:fldCharType="end"/>
          </w:r>
          <w:r>
            <w:rPr>
              <w:rStyle w:val="18"/>
              <w:color w:val="auto"/>
            </w:rPr>
            <w:fldChar w:fldCharType="end"/>
          </w:r>
        </w:p>
        <w:p>
          <w:pPr>
            <w:pStyle w:val="11"/>
            <w:tabs>
              <w:tab w:val="right" w:leader="dot" w:pos="8721"/>
            </w:tabs>
            <w:ind w:left="624"/>
            <w:rPr>
              <w:rFonts w:asciiTheme="minorHAnsi" w:hAnsiTheme="minorHAnsi" w:eastAsiaTheme="minorEastAsia"/>
              <w:color w:val="auto"/>
              <w:sz w:val="21"/>
            </w:rPr>
          </w:pPr>
          <w:r>
            <w:rPr>
              <w:rStyle w:val="18"/>
              <w:color w:val="auto"/>
            </w:rPr>
            <w:fldChar w:fldCharType="begin"/>
          </w:r>
          <w:r>
            <w:rPr>
              <w:rStyle w:val="18"/>
              <w:color w:val="auto"/>
            </w:rPr>
            <w:instrText xml:space="preserve"> </w:instrText>
          </w:r>
          <w:r>
            <w:rPr>
              <w:color w:val="auto"/>
            </w:rPr>
            <w:instrText xml:space="preserve">HYPERLINK \l "_Toc109898252"</w:instrText>
          </w:r>
          <w:r>
            <w:rPr>
              <w:rStyle w:val="18"/>
              <w:color w:val="auto"/>
            </w:rPr>
            <w:instrText xml:space="preserve"> </w:instrText>
          </w:r>
          <w:r>
            <w:rPr>
              <w:rStyle w:val="18"/>
              <w:color w:val="auto"/>
            </w:rPr>
            <w:fldChar w:fldCharType="separate"/>
          </w:r>
          <w:r>
            <w:rPr>
              <w:rStyle w:val="18"/>
              <w:rFonts w:ascii="方正楷体_GBK" w:eastAsia="方正楷体_GBK"/>
              <w:color w:val="auto"/>
            </w:rPr>
            <w:t>第二节 推动经济社会绿色低碳转型</w:t>
          </w:r>
          <w:r>
            <w:rPr>
              <w:color w:val="auto"/>
            </w:rPr>
            <w:tab/>
          </w:r>
          <w:r>
            <w:rPr>
              <w:color w:val="auto"/>
            </w:rPr>
            <w:fldChar w:fldCharType="begin"/>
          </w:r>
          <w:r>
            <w:rPr>
              <w:color w:val="auto"/>
            </w:rPr>
            <w:instrText xml:space="preserve"> PAGEREF _Toc109898252 \h </w:instrText>
          </w:r>
          <w:r>
            <w:rPr>
              <w:color w:val="auto"/>
            </w:rPr>
            <w:fldChar w:fldCharType="separate"/>
          </w:r>
          <w:r>
            <w:rPr>
              <w:color w:val="auto"/>
            </w:rPr>
            <w:t>- 19 -</w:t>
          </w:r>
          <w:r>
            <w:rPr>
              <w:color w:val="auto"/>
            </w:rPr>
            <w:fldChar w:fldCharType="end"/>
          </w:r>
          <w:r>
            <w:rPr>
              <w:rStyle w:val="18"/>
              <w:color w:val="auto"/>
            </w:rPr>
            <w:fldChar w:fldCharType="end"/>
          </w:r>
        </w:p>
        <w:p>
          <w:pPr>
            <w:pStyle w:val="11"/>
            <w:tabs>
              <w:tab w:val="right" w:leader="dot" w:pos="8721"/>
            </w:tabs>
            <w:ind w:left="624"/>
            <w:rPr>
              <w:rFonts w:asciiTheme="minorHAnsi" w:hAnsiTheme="minorHAnsi" w:eastAsiaTheme="minorEastAsia"/>
              <w:color w:val="auto"/>
              <w:sz w:val="21"/>
            </w:rPr>
          </w:pPr>
          <w:r>
            <w:rPr>
              <w:rStyle w:val="18"/>
              <w:color w:val="auto"/>
            </w:rPr>
            <w:fldChar w:fldCharType="begin"/>
          </w:r>
          <w:r>
            <w:rPr>
              <w:rStyle w:val="18"/>
              <w:color w:val="auto"/>
            </w:rPr>
            <w:instrText xml:space="preserve"> </w:instrText>
          </w:r>
          <w:r>
            <w:rPr>
              <w:color w:val="auto"/>
            </w:rPr>
            <w:instrText xml:space="preserve">HYPERLINK \l "_Toc109898253"</w:instrText>
          </w:r>
          <w:r>
            <w:rPr>
              <w:rStyle w:val="18"/>
              <w:color w:val="auto"/>
            </w:rPr>
            <w:instrText xml:space="preserve"> </w:instrText>
          </w:r>
          <w:r>
            <w:rPr>
              <w:rStyle w:val="18"/>
              <w:color w:val="auto"/>
            </w:rPr>
            <w:fldChar w:fldCharType="separate"/>
          </w:r>
          <w:r>
            <w:rPr>
              <w:rStyle w:val="18"/>
              <w:rFonts w:ascii="方正楷体_GBK" w:eastAsia="方正楷体_GBK"/>
              <w:color w:val="auto"/>
            </w:rPr>
            <w:t>第三节 以降碳引领能源结构调整</w:t>
          </w:r>
          <w:r>
            <w:rPr>
              <w:color w:val="auto"/>
            </w:rPr>
            <w:tab/>
          </w:r>
          <w:r>
            <w:rPr>
              <w:color w:val="auto"/>
            </w:rPr>
            <w:fldChar w:fldCharType="begin"/>
          </w:r>
          <w:r>
            <w:rPr>
              <w:color w:val="auto"/>
            </w:rPr>
            <w:instrText xml:space="preserve"> PAGEREF _Toc109898253 \h </w:instrText>
          </w:r>
          <w:r>
            <w:rPr>
              <w:color w:val="auto"/>
            </w:rPr>
            <w:fldChar w:fldCharType="separate"/>
          </w:r>
          <w:r>
            <w:rPr>
              <w:color w:val="auto"/>
            </w:rPr>
            <w:t>- 21 -</w:t>
          </w:r>
          <w:r>
            <w:rPr>
              <w:color w:val="auto"/>
            </w:rPr>
            <w:fldChar w:fldCharType="end"/>
          </w:r>
          <w:r>
            <w:rPr>
              <w:rStyle w:val="18"/>
              <w:color w:val="auto"/>
            </w:rPr>
            <w:fldChar w:fldCharType="end"/>
          </w:r>
        </w:p>
        <w:p>
          <w:pPr>
            <w:pStyle w:val="9"/>
            <w:rPr>
              <w:rFonts w:asciiTheme="minorHAnsi" w:hAnsiTheme="minorHAnsi" w:eastAsiaTheme="minorEastAsia"/>
              <w:color w:val="auto"/>
              <w:sz w:val="21"/>
            </w:rPr>
          </w:pPr>
          <w:r>
            <w:rPr>
              <w:rStyle w:val="18"/>
              <w:color w:val="auto"/>
            </w:rPr>
            <w:fldChar w:fldCharType="begin"/>
          </w:r>
          <w:r>
            <w:rPr>
              <w:rStyle w:val="18"/>
              <w:color w:val="auto"/>
            </w:rPr>
            <w:instrText xml:space="preserve"> </w:instrText>
          </w:r>
          <w:r>
            <w:rPr>
              <w:color w:val="auto"/>
            </w:rPr>
            <w:instrText xml:space="preserve">HYPERLINK \l "_Toc109898254"</w:instrText>
          </w:r>
          <w:r>
            <w:rPr>
              <w:rStyle w:val="18"/>
              <w:color w:val="auto"/>
            </w:rPr>
            <w:instrText xml:space="preserve"> </w:instrText>
          </w:r>
          <w:r>
            <w:rPr>
              <w:rStyle w:val="18"/>
              <w:color w:val="auto"/>
            </w:rPr>
            <w:fldChar w:fldCharType="separate"/>
          </w:r>
          <w:r>
            <w:rPr>
              <w:rStyle w:val="18"/>
              <w:rFonts w:ascii="方正黑体_GBK" w:eastAsia="方正黑体_GBK"/>
              <w:color w:val="auto"/>
            </w:rPr>
            <w:t>第四章 控制重点领域温室气体排放</w:t>
          </w:r>
          <w:r>
            <w:rPr>
              <w:color w:val="auto"/>
            </w:rPr>
            <w:tab/>
          </w:r>
          <w:r>
            <w:rPr>
              <w:color w:val="auto"/>
            </w:rPr>
            <w:fldChar w:fldCharType="begin"/>
          </w:r>
          <w:r>
            <w:rPr>
              <w:color w:val="auto"/>
            </w:rPr>
            <w:instrText xml:space="preserve"> PAGEREF _Toc109898254 \h </w:instrText>
          </w:r>
          <w:r>
            <w:rPr>
              <w:color w:val="auto"/>
            </w:rPr>
            <w:fldChar w:fldCharType="separate"/>
          </w:r>
          <w:r>
            <w:rPr>
              <w:color w:val="auto"/>
            </w:rPr>
            <w:t>- 22 -</w:t>
          </w:r>
          <w:r>
            <w:rPr>
              <w:color w:val="auto"/>
            </w:rPr>
            <w:fldChar w:fldCharType="end"/>
          </w:r>
          <w:r>
            <w:rPr>
              <w:rStyle w:val="18"/>
              <w:color w:val="auto"/>
            </w:rPr>
            <w:fldChar w:fldCharType="end"/>
          </w:r>
        </w:p>
        <w:p>
          <w:pPr>
            <w:pStyle w:val="11"/>
            <w:tabs>
              <w:tab w:val="right" w:leader="dot" w:pos="8721"/>
            </w:tabs>
            <w:ind w:left="624"/>
            <w:rPr>
              <w:rFonts w:asciiTheme="minorHAnsi" w:hAnsiTheme="minorHAnsi" w:eastAsiaTheme="minorEastAsia"/>
              <w:color w:val="auto"/>
              <w:sz w:val="21"/>
            </w:rPr>
          </w:pPr>
          <w:r>
            <w:rPr>
              <w:rStyle w:val="18"/>
              <w:color w:val="auto"/>
            </w:rPr>
            <w:fldChar w:fldCharType="begin"/>
          </w:r>
          <w:r>
            <w:rPr>
              <w:rStyle w:val="18"/>
              <w:color w:val="auto"/>
            </w:rPr>
            <w:instrText xml:space="preserve"> </w:instrText>
          </w:r>
          <w:r>
            <w:rPr>
              <w:color w:val="auto"/>
            </w:rPr>
            <w:instrText xml:space="preserve">HYPERLINK \l "_Toc109898255"</w:instrText>
          </w:r>
          <w:r>
            <w:rPr>
              <w:rStyle w:val="18"/>
              <w:color w:val="auto"/>
            </w:rPr>
            <w:instrText xml:space="preserve"> </w:instrText>
          </w:r>
          <w:r>
            <w:rPr>
              <w:rStyle w:val="18"/>
              <w:color w:val="auto"/>
            </w:rPr>
            <w:fldChar w:fldCharType="separate"/>
          </w:r>
          <w:r>
            <w:rPr>
              <w:rStyle w:val="18"/>
              <w:rFonts w:ascii="方正楷体_GBK" w:eastAsia="方正楷体_GBK"/>
              <w:color w:val="auto"/>
            </w:rPr>
            <w:t>第一节 控制工业领域温室气体排放</w:t>
          </w:r>
          <w:r>
            <w:rPr>
              <w:color w:val="auto"/>
            </w:rPr>
            <w:tab/>
          </w:r>
          <w:r>
            <w:rPr>
              <w:color w:val="auto"/>
            </w:rPr>
            <w:fldChar w:fldCharType="begin"/>
          </w:r>
          <w:r>
            <w:rPr>
              <w:color w:val="auto"/>
            </w:rPr>
            <w:instrText xml:space="preserve"> PAGEREF _Toc109898255 \h </w:instrText>
          </w:r>
          <w:r>
            <w:rPr>
              <w:color w:val="auto"/>
            </w:rPr>
            <w:fldChar w:fldCharType="separate"/>
          </w:r>
          <w:r>
            <w:rPr>
              <w:color w:val="auto"/>
            </w:rPr>
            <w:t>- 23 -</w:t>
          </w:r>
          <w:r>
            <w:rPr>
              <w:color w:val="auto"/>
            </w:rPr>
            <w:fldChar w:fldCharType="end"/>
          </w:r>
          <w:r>
            <w:rPr>
              <w:rStyle w:val="18"/>
              <w:color w:val="auto"/>
            </w:rPr>
            <w:fldChar w:fldCharType="end"/>
          </w:r>
        </w:p>
        <w:p>
          <w:pPr>
            <w:pStyle w:val="11"/>
            <w:tabs>
              <w:tab w:val="right" w:leader="dot" w:pos="8721"/>
            </w:tabs>
            <w:ind w:left="624"/>
            <w:rPr>
              <w:rFonts w:asciiTheme="minorHAnsi" w:hAnsiTheme="minorHAnsi" w:eastAsiaTheme="minorEastAsia"/>
              <w:color w:val="auto"/>
              <w:sz w:val="21"/>
            </w:rPr>
          </w:pPr>
          <w:r>
            <w:rPr>
              <w:rStyle w:val="18"/>
              <w:color w:val="auto"/>
            </w:rPr>
            <w:fldChar w:fldCharType="begin"/>
          </w:r>
          <w:r>
            <w:rPr>
              <w:rStyle w:val="18"/>
              <w:color w:val="auto"/>
            </w:rPr>
            <w:instrText xml:space="preserve"> </w:instrText>
          </w:r>
          <w:r>
            <w:rPr>
              <w:color w:val="auto"/>
            </w:rPr>
            <w:instrText xml:space="preserve">HYPERLINK \l "_Toc109898256"</w:instrText>
          </w:r>
          <w:r>
            <w:rPr>
              <w:rStyle w:val="18"/>
              <w:color w:val="auto"/>
            </w:rPr>
            <w:instrText xml:space="preserve"> </w:instrText>
          </w:r>
          <w:r>
            <w:rPr>
              <w:rStyle w:val="18"/>
              <w:color w:val="auto"/>
            </w:rPr>
            <w:fldChar w:fldCharType="separate"/>
          </w:r>
          <w:r>
            <w:rPr>
              <w:rStyle w:val="18"/>
              <w:rFonts w:ascii="方正楷体_GBK" w:eastAsia="方正楷体_GBK"/>
              <w:color w:val="auto"/>
            </w:rPr>
            <w:t>第二节 控制建筑领域温室气体排放</w:t>
          </w:r>
          <w:r>
            <w:rPr>
              <w:color w:val="auto"/>
            </w:rPr>
            <w:tab/>
          </w:r>
          <w:r>
            <w:rPr>
              <w:color w:val="auto"/>
            </w:rPr>
            <w:fldChar w:fldCharType="begin"/>
          </w:r>
          <w:r>
            <w:rPr>
              <w:color w:val="auto"/>
            </w:rPr>
            <w:instrText xml:space="preserve"> PAGEREF _Toc109898256 \h </w:instrText>
          </w:r>
          <w:r>
            <w:rPr>
              <w:color w:val="auto"/>
            </w:rPr>
            <w:fldChar w:fldCharType="separate"/>
          </w:r>
          <w:r>
            <w:rPr>
              <w:color w:val="auto"/>
            </w:rPr>
            <w:t>- 24 -</w:t>
          </w:r>
          <w:r>
            <w:rPr>
              <w:color w:val="auto"/>
            </w:rPr>
            <w:fldChar w:fldCharType="end"/>
          </w:r>
          <w:r>
            <w:rPr>
              <w:rStyle w:val="18"/>
              <w:color w:val="auto"/>
            </w:rPr>
            <w:fldChar w:fldCharType="end"/>
          </w:r>
        </w:p>
        <w:p>
          <w:pPr>
            <w:pStyle w:val="11"/>
            <w:tabs>
              <w:tab w:val="right" w:leader="dot" w:pos="8721"/>
            </w:tabs>
            <w:ind w:left="624"/>
            <w:rPr>
              <w:rFonts w:asciiTheme="minorHAnsi" w:hAnsiTheme="minorHAnsi" w:eastAsiaTheme="minorEastAsia"/>
              <w:color w:val="auto"/>
              <w:sz w:val="21"/>
            </w:rPr>
          </w:pPr>
          <w:r>
            <w:rPr>
              <w:rStyle w:val="18"/>
              <w:color w:val="auto"/>
            </w:rPr>
            <w:fldChar w:fldCharType="begin"/>
          </w:r>
          <w:r>
            <w:rPr>
              <w:rStyle w:val="18"/>
              <w:color w:val="auto"/>
            </w:rPr>
            <w:instrText xml:space="preserve"> </w:instrText>
          </w:r>
          <w:r>
            <w:rPr>
              <w:color w:val="auto"/>
            </w:rPr>
            <w:instrText xml:space="preserve">HYPERLINK \l "_Toc109898257"</w:instrText>
          </w:r>
          <w:r>
            <w:rPr>
              <w:rStyle w:val="18"/>
              <w:color w:val="auto"/>
            </w:rPr>
            <w:instrText xml:space="preserve"> </w:instrText>
          </w:r>
          <w:r>
            <w:rPr>
              <w:rStyle w:val="18"/>
              <w:color w:val="auto"/>
            </w:rPr>
            <w:fldChar w:fldCharType="separate"/>
          </w:r>
          <w:r>
            <w:rPr>
              <w:rStyle w:val="18"/>
              <w:rFonts w:ascii="方正楷体_GBK" w:eastAsia="方正楷体_GBK"/>
              <w:color w:val="auto"/>
            </w:rPr>
            <w:t>第三节 控制交通领域温室气体排放</w:t>
          </w:r>
          <w:r>
            <w:rPr>
              <w:color w:val="auto"/>
            </w:rPr>
            <w:tab/>
          </w:r>
          <w:r>
            <w:rPr>
              <w:color w:val="auto"/>
            </w:rPr>
            <w:fldChar w:fldCharType="begin"/>
          </w:r>
          <w:r>
            <w:rPr>
              <w:color w:val="auto"/>
            </w:rPr>
            <w:instrText xml:space="preserve"> PAGEREF _Toc109898257 \h </w:instrText>
          </w:r>
          <w:r>
            <w:rPr>
              <w:color w:val="auto"/>
            </w:rPr>
            <w:fldChar w:fldCharType="separate"/>
          </w:r>
          <w:r>
            <w:rPr>
              <w:color w:val="auto"/>
            </w:rPr>
            <w:t>- 25 -</w:t>
          </w:r>
          <w:r>
            <w:rPr>
              <w:color w:val="auto"/>
            </w:rPr>
            <w:fldChar w:fldCharType="end"/>
          </w:r>
          <w:r>
            <w:rPr>
              <w:rStyle w:val="18"/>
              <w:color w:val="auto"/>
            </w:rPr>
            <w:fldChar w:fldCharType="end"/>
          </w:r>
        </w:p>
        <w:p>
          <w:pPr>
            <w:pStyle w:val="11"/>
            <w:tabs>
              <w:tab w:val="right" w:leader="dot" w:pos="8721"/>
            </w:tabs>
            <w:ind w:left="624"/>
            <w:rPr>
              <w:rFonts w:asciiTheme="minorHAnsi" w:hAnsiTheme="minorHAnsi" w:eastAsiaTheme="minorEastAsia"/>
              <w:color w:val="auto"/>
              <w:sz w:val="21"/>
            </w:rPr>
          </w:pPr>
          <w:r>
            <w:rPr>
              <w:rStyle w:val="18"/>
              <w:color w:val="auto"/>
            </w:rPr>
            <w:fldChar w:fldCharType="begin"/>
          </w:r>
          <w:r>
            <w:rPr>
              <w:rStyle w:val="18"/>
              <w:color w:val="auto"/>
            </w:rPr>
            <w:instrText xml:space="preserve"> </w:instrText>
          </w:r>
          <w:r>
            <w:rPr>
              <w:color w:val="auto"/>
            </w:rPr>
            <w:instrText xml:space="preserve">HYPERLINK \l "_Toc109898258"</w:instrText>
          </w:r>
          <w:r>
            <w:rPr>
              <w:rStyle w:val="18"/>
              <w:color w:val="auto"/>
            </w:rPr>
            <w:instrText xml:space="preserve"> </w:instrText>
          </w:r>
          <w:r>
            <w:rPr>
              <w:rStyle w:val="18"/>
              <w:color w:val="auto"/>
            </w:rPr>
            <w:fldChar w:fldCharType="separate"/>
          </w:r>
          <w:r>
            <w:rPr>
              <w:rStyle w:val="18"/>
              <w:rFonts w:ascii="方正楷体_GBK" w:eastAsia="方正楷体_GBK"/>
              <w:color w:val="auto"/>
            </w:rPr>
            <w:t>第四节 控制新基建领域温室气体排放</w:t>
          </w:r>
          <w:r>
            <w:rPr>
              <w:color w:val="auto"/>
            </w:rPr>
            <w:tab/>
          </w:r>
          <w:r>
            <w:rPr>
              <w:color w:val="auto"/>
            </w:rPr>
            <w:fldChar w:fldCharType="begin"/>
          </w:r>
          <w:r>
            <w:rPr>
              <w:color w:val="auto"/>
            </w:rPr>
            <w:instrText xml:space="preserve"> PAGEREF _Toc109898258 \h </w:instrText>
          </w:r>
          <w:r>
            <w:rPr>
              <w:color w:val="auto"/>
            </w:rPr>
            <w:fldChar w:fldCharType="separate"/>
          </w:r>
          <w:r>
            <w:rPr>
              <w:color w:val="auto"/>
            </w:rPr>
            <w:t>- 26 -</w:t>
          </w:r>
          <w:r>
            <w:rPr>
              <w:color w:val="auto"/>
            </w:rPr>
            <w:fldChar w:fldCharType="end"/>
          </w:r>
          <w:r>
            <w:rPr>
              <w:rStyle w:val="18"/>
              <w:color w:val="auto"/>
            </w:rPr>
            <w:fldChar w:fldCharType="end"/>
          </w:r>
        </w:p>
        <w:p>
          <w:pPr>
            <w:pStyle w:val="11"/>
            <w:tabs>
              <w:tab w:val="right" w:leader="dot" w:pos="8721"/>
            </w:tabs>
            <w:ind w:left="624"/>
            <w:rPr>
              <w:rFonts w:asciiTheme="minorHAnsi" w:hAnsiTheme="minorHAnsi" w:eastAsiaTheme="minorEastAsia"/>
              <w:color w:val="auto"/>
              <w:sz w:val="21"/>
            </w:rPr>
          </w:pPr>
          <w:r>
            <w:rPr>
              <w:rStyle w:val="18"/>
              <w:color w:val="auto"/>
            </w:rPr>
            <w:fldChar w:fldCharType="begin"/>
          </w:r>
          <w:r>
            <w:rPr>
              <w:rStyle w:val="18"/>
              <w:color w:val="auto"/>
            </w:rPr>
            <w:instrText xml:space="preserve"> </w:instrText>
          </w:r>
          <w:r>
            <w:rPr>
              <w:color w:val="auto"/>
            </w:rPr>
            <w:instrText xml:space="preserve">HYPERLINK \l "_Toc109898259"</w:instrText>
          </w:r>
          <w:r>
            <w:rPr>
              <w:rStyle w:val="18"/>
              <w:color w:val="auto"/>
            </w:rPr>
            <w:instrText xml:space="preserve"> </w:instrText>
          </w:r>
          <w:r>
            <w:rPr>
              <w:rStyle w:val="18"/>
              <w:color w:val="auto"/>
            </w:rPr>
            <w:fldChar w:fldCharType="separate"/>
          </w:r>
          <w:r>
            <w:rPr>
              <w:rStyle w:val="18"/>
              <w:rFonts w:ascii="方正楷体_GBK" w:eastAsia="方正楷体_GBK"/>
              <w:color w:val="auto"/>
            </w:rPr>
            <w:t>第五节 控制非二氧化碳温室气体排放</w:t>
          </w:r>
          <w:r>
            <w:rPr>
              <w:color w:val="auto"/>
            </w:rPr>
            <w:tab/>
          </w:r>
          <w:r>
            <w:rPr>
              <w:color w:val="auto"/>
            </w:rPr>
            <w:fldChar w:fldCharType="begin"/>
          </w:r>
          <w:r>
            <w:rPr>
              <w:color w:val="auto"/>
            </w:rPr>
            <w:instrText xml:space="preserve"> PAGEREF _Toc109898259 \h </w:instrText>
          </w:r>
          <w:r>
            <w:rPr>
              <w:color w:val="auto"/>
            </w:rPr>
            <w:fldChar w:fldCharType="separate"/>
          </w:r>
          <w:r>
            <w:rPr>
              <w:color w:val="auto"/>
            </w:rPr>
            <w:t>- 26 -</w:t>
          </w:r>
          <w:r>
            <w:rPr>
              <w:color w:val="auto"/>
            </w:rPr>
            <w:fldChar w:fldCharType="end"/>
          </w:r>
          <w:r>
            <w:rPr>
              <w:rStyle w:val="18"/>
              <w:color w:val="auto"/>
            </w:rPr>
            <w:fldChar w:fldCharType="end"/>
          </w:r>
        </w:p>
        <w:p>
          <w:pPr>
            <w:pStyle w:val="11"/>
            <w:tabs>
              <w:tab w:val="right" w:leader="dot" w:pos="8721"/>
            </w:tabs>
            <w:ind w:left="624"/>
            <w:rPr>
              <w:rFonts w:asciiTheme="minorHAnsi" w:hAnsiTheme="minorHAnsi" w:eastAsiaTheme="minorEastAsia"/>
              <w:color w:val="auto"/>
              <w:sz w:val="21"/>
            </w:rPr>
          </w:pPr>
          <w:r>
            <w:rPr>
              <w:rStyle w:val="18"/>
              <w:color w:val="auto"/>
            </w:rPr>
            <w:fldChar w:fldCharType="begin"/>
          </w:r>
          <w:r>
            <w:rPr>
              <w:rStyle w:val="18"/>
              <w:color w:val="auto"/>
            </w:rPr>
            <w:instrText xml:space="preserve"> </w:instrText>
          </w:r>
          <w:r>
            <w:rPr>
              <w:color w:val="auto"/>
            </w:rPr>
            <w:instrText xml:space="preserve">HYPERLINK \l "_Toc109898260"</w:instrText>
          </w:r>
          <w:r>
            <w:rPr>
              <w:rStyle w:val="18"/>
              <w:color w:val="auto"/>
            </w:rPr>
            <w:instrText xml:space="preserve"> </w:instrText>
          </w:r>
          <w:r>
            <w:rPr>
              <w:rStyle w:val="18"/>
              <w:color w:val="auto"/>
            </w:rPr>
            <w:fldChar w:fldCharType="separate"/>
          </w:r>
          <w:r>
            <w:rPr>
              <w:rStyle w:val="18"/>
              <w:rFonts w:ascii="方正楷体_GBK" w:eastAsia="方正楷体_GBK"/>
              <w:color w:val="auto"/>
            </w:rPr>
            <w:t>第六节 增加生态系统碳汇能力</w:t>
          </w:r>
          <w:r>
            <w:rPr>
              <w:color w:val="auto"/>
            </w:rPr>
            <w:tab/>
          </w:r>
          <w:r>
            <w:rPr>
              <w:color w:val="auto"/>
            </w:rPr>
            <w:fldChar w:fldCharType="begin"/>
          </w:r>
          <w:r>
            <w:rPr>
              <w:color w:val="auto"/>
            </w:rPr>
            <w:instrText xml:space="preserve"> PAGEREF _Toc109898260 \h </w:instrText>
          </w:r>
          <w:r>
            <w:rPr>
              <w:color w:val="auto"/>
            </w:rPr>
            <w:fldChar w:fldCharType="separate"/>
          </w:r>
          <w:r>
            <w:rPr>
              <w:color w:val="auto"/>
            </w:rPr>
            <w:t>- 27 -</w:t>
          </w:r>
          <w:r>
            <w:rPr>
              <w:color w:val="auto"/>
            </w:rPr>
            <w:fldChar w:fldCharType="end"/>
          </w:r>
          <w:r>
            <w:rPr>
              <w:rStyle w:val="18"/>
              <w:color w:val="auto"/>
            </w:rPr>
            <w:fldChar w:fldCharType="end"/>
          </w:r>
        </w:p>
        <w:p>
          <w:pPr>
            <w:pStyle w:val="9"/>
            <w:rPr>
              <w:rFonts w:asciiTheme="minorHAnsi" w:hAnsiTheme="minorHAnsi" w:eastAsiaTheme="minorEastAsia"/>
              <w:color w:val="auto"/>
              <w:sz w:val="21"/>
            </w:rPr>
          </w:pPr>
          <w:r>
            <w:rPr>
              <w:rStyle w:val="18"/>
              <w:color w:val="auto"/>
            </w:rPr>
            <w:fldChar w:fldCharType="begin"/>
          </w:r>
          <w:r>
            <w:rPr>
              <w:rStyle w:val="18"/>
              <w:color w:val="auto"/>
            </w:rPr>
            <w:instrText xml:space="preserve"> </w:instrText>
          </w:r>
          <w:r>
            <w:rPr>
              <w:color w:val="auto"/>
            </w:rPr>
            <w:instrText xml:space="preserve">HYPERLINK \l "_Toc109898261"</w:instrText>
          </w:r>
          <w:r>
            <w:rPr>
              <w:rStyle w:val="18"/>
              <w:color w:val="auto"/>
            </w:rPr>
            <w:instrText xml:space="preserve"> </w:instrText>
          </w:r>
          <w:r>
            <w:rPr>
              <w:rStyle w:val="18"/>
              <w:color w:val="auto"/>
            </w:rPr>
            <w:fldChar w:fldCharType="separate"/>
          </w:r>
          <w:r>
            <w:rPr>
              <w:rStyle w:val="18"/>
              <w:rFonts w:ascii="方正黑体_GBK" w:eastAsia="方正黑体_GBK"/>
              <w:color w:val="auto"/>
            </w:rPr>
            <w:t>第五章 加强主动适应气候变化能力</w:t>
          </w:r>
          <w:r>
            <w:rPr>
              <w:color w:val="auto"/>
            </w:rPr>
            <w:tab/>
          </w:r>
          <w:r>
            <w:rPr>
              <w:color w:val="auto"/>
            </w:rPr>
            <w:fldChar w:fldCharType="begin"/>
          </w:r>
          <w:r>
            <w:rPr>
              <w:color w:val="auto"/>
            </w:rPr>
            <w:instrText xml:space="preserve"> PAGEREF _Toc109898261 \h </w:instrText>
          </w:r>
          <w:r>
            <w:rPr>
              <w:color w:val="auto"/>
            </w:rPr>
            <w:fldChar w:fldCharType="separate"/>
          </w:r>
          <w:r>
            <w:rPr>
              <w:color w:val="auto"/>
            </w:rPr>
            <w:t>- 28 -</w:t>
          </w:r>
          <w:r>
            <w:rPr>
              <w:color w:val="auto"/>
            </w:rPr>
            <w:fldChar w:fldCharType="end"/>
          </w:r>
          <w:r>
            <w:rPr>
              <w:rStyle w:val="18"/>
              <w:color w:val="auto"/>
            </w:rPr>
            <w:fldChar w:fldCharType="end"/>
          </w:r>
        </w:p>
        <w:p>
          <w:pPr>
            <w:pStyle w:val="11"/>
            <w:tabs>
              <w:tab w:val="right" w:leader="dot" w:pos="8721"/>
            </w:tabs>
            <w:ind w:left="624"/>
            <w:rPr>
              <w:rFonts w:asciiTheme="minorHAnsi" w:hAnsiTheme="minorHAnsi" w:eastAsiaTheme="minorEastAsia"/>
              <w:color w:val="auto"/>
              <w:sz w:val="21"/>
            </w:rPr>
          </w:pPr>
          <w:r>
            <w:rPr>
              <w:rStyle w:val="18"/>
              <w:color w:val="auto"/>
            </w:rPr>
            <w:fldChar w:fldCharType="begin"/>
          </w:r>
          <w:r>
            <w:rPr>
              <w:rStyle w:val="18"/>
              <w:color w:val="auto"/>
            </w:rPr>
            <w:instrText xml:space="preserve"> </w:instrText>
          </w:r>
          <w:r>
            <w:rPr>
              <w:color w:val="auto"/>
            </w:rPr>
            <w:instrText xml:space="preserve">HYPERLINK \l "_Toc109898262"</w:instrText>
          </w:r>
          <w:r>
            <w:rPr>
              <w:rStyle w:val="18"/>
              <w:color w:val="auto"/>
            </w:rPr>
            <w:instrText xml:space="preserve"> </w:instrText>
          </w:r>
          <w:r>
            <w:rPr>
              <w:rStyle w:val="18"/>
              <w:color w:val="auto"/>
            </w:rPr>
            <w:fldChar w:fldCharType="separate"/>
          </w:r>
          <w:r>
            <w:rPr>
              <w:rStyle w:val="18"/>
              <w:rFonts w:ascii="方正楷体_GBK" w:eastAsia="方正楷体_GBK"/>
              <w:color w:val="auto"/>
            </w:rPr>
            <w:t>第一节 基于自然解决方案推动城市绿色更新</w:t>
          </w:r>
          <w:r>
            <w:rPr>
              <w:color w:val="auto"/>
            </w:rPr>
            <w:tab/>
          </w:r>
          <w:r>
            <w:rPr>
              <w:color w:val="auto"/>
            </w:rPr>
            <w:fldChar w:fldCharType="begin"/>
          </w:r>
          <w:r>
            <w:rPr>
              <w:color w:val="auto"/>
            </w:rPr>
            <w:instrText xml:space="preserve"> PAGEREF _Toc109898262 \h </w:instrText>
          </w:r>
          <w:r>
            <w:rPr>
              <w:color w:val="auto"/>
            </w:rPr>
            <w:fldChar w:fldCharType="separate"/>
          </w:r>
          <w:r>
            <w:rPr>
              <w:color w:val="auto"/>
            </w:rPr>
            <w:t>- 28 -</w:t>
          </w:r>
          <w:r>
            <w:rPr>
              <w:color w:val="auto"/>
            </w:rPr>
            <w:fldChar w:fldCharType="end"/>
          </w:r>
          <w:r>
            <w:rPr>
              <w:rStyle w:val="18"/>
              <w:color w:val="auto"/>
            </w:rPr>
            <w:fldChar w:fldCharType="end"/>
          </w:r>
        </w:p>
        <w:p>
          <w:pPr>
            <w:pStyle w:val="11"/>
            <w:tabs>
              <w:tab w:val="right" w:leader="dot" w:pos="8721"/>
            </w:tabs>
            <w:ind w:left="624"/>
            <w:rPr>
              <w:rFonts w:asciiTheme="minorHAnsi" w:hAnsiTheme="minorHAnsi" w:eastAsiaTheme="minorEastAsia"/>
              <w:color w:val="auto"/>
              <w:sz w:val="21"/>
            </w:rPr>
          </w:pPr>
          <w:r>
            <w:rPr>
              <w:rStyle w:val="18"/>
              <w:color w:val="auto"/>
            </w:rPr>
            <w:fldChar w:fldCharType="begin"/>
          </w:r>
          <w:r>
            <w:rPr>
              <w:rStyle w:val="18"/>
              <w:color w:val="auto"/>
            </w:rPr>
            <w:instrText xml:space="preserve"> </w:instrText>
          </w:r>
          <w:r>
            <w:rPr>
              <w:color w:val="auto"/>
            </w:rPr>
            <w:instrText xml:space="preserve">HYPERLINK \l "_Toc109898263"</w:instrText>
          </w:r>
          <w:r>
            <w:rPr>
              <w:rStyle w:val="18"/>
              <w:color w:val="auto"/>
            </w:rPr>
            <w:instrText xml:space="preserve"> </w:instrText>
          </w:r>
          <w:r>
            <w:rPr>
              <w:rStyle w:val="18"/>
              <w:color w:val="auto"/>
            </w:rPr>
            <w:fldChar w:fldCharType="separate"/>
          </w:r>
          <w:r>
            <w:rPr>
              <w:rStyle w:val="18"/>
              <w:rFonts w:ascii="方正楷体_GBK" w:eastAsia="方正楷体_GBK"/>
              <w:color w:val="auto"/>
            </w:rPr>
            <w:t>第二节 强化基础设施气候适应能力</w:t>
          </w:r>
          <w:r>
            <w:rPr>
              <w:color w:val="auto"/>
            </w:rPr>
            <w:tab/>
          </w:r>
          <w:r>
            <w:rPr>
              <w:color w:val="auto"/>
            </w:rPr>
            <w:fldChar w:fldCharType="begin"/>
          </w:r>
          <w:r>
            <w:rPr>
              <w:color w:val="auto"/>
            </w:rPr>
            <w:instrText xml:space="preserve"> PAGEREF _Toc109898263 \h </w:instrText>
          </w:r>
          <w:r>
            <w:rPr>
              <w:color w:val="auto"/>
            </w:rPr>
            <w:fldChar w:fldCharType="separate"/>
          </w:r>
          <w:r>
            <w:rPr>
              <w:color w:val="auto"/>
            </w:rPr>
            <w:t>- 30 -</w:t>
          </w:r>
          <w:r>
            <w:rPr>
              <w:color w:val="auto"/>
            </w:rPr>
            <w:fldChar w:fldCharType="end"/>
          </w:r>
          <w:r>
            <w:rPr>
              <w:rStyle w:val="18"/>
              <w:color w:val="auto"/>
            </w:rPr>
            <w:fldChar w:fldCharType="end"/>
          </w:r>
        </w:p>
        <w:p>
          <w:pPr>
            <w:pStyle w:val="11"/>
            <w:tabs>
              <w:tab w:val="right" w:leader="dot" w:pos="8721"/>
            </w:tabs>
            <w:ind w:left="624"/>
            <w:rPr>
              <w:rFonts w:asciiTheme="minorHAnsi" w:hAnsiTheme="minorHAnsi" w:eastAsiaTheme="minorEastAsia"/>
              <w:color w:val="auto"/>
              <w:sz w:val="21"/>
            </w:rPr>
          </w:pPr>
          <w:r>
            <w:rPr>
              <w:rStyle w:val="18"/>
              <w:color w:val="auto"/>
            </w:rPr>
            <w:fldChar w:fldCharType="begin"/>
          </w:r>
          <w:r>
            <w:rPr>
              <w:rStyle w:val="18"/>
              <w:color w:val="auto"/>
            </w:rPr>
            <w:instrText xml:space="preserve"> </w:instrText>
          </w:r>
          <w:r>
            <w:rPr>
              <w:color w:val="auto"/>
            </w:rPr>
            <w:instrText xml:space="preserve">HYPERLINK \l "_Toc109898264"</w:instrText>
          </w:r>
          <w:r>
            <w:rPr>
              <w:rStyle w:val="18"/>
              <w:color w:val="auto"/>
            </w:rPr>
            <w:instrText xml:space="preserve"> </w:instrText>
          </w:r>
          <w:r>
            <w:rPr>
              <w:rStyle w:val="18"/>
              <w:color w:val="auto"/>
            </w:rPr>
            <w:fldChar w:fldCharType="separate"/>
          </w:r>
          <w:r>
            <w:rPr>
              <w:rStyle w:val="18"/>
              <w:rFonts w:ascii="方正楷体_GBK" w:eastAsia="方正楷体_GBK"/>
              <w:color w:val="auto"/>
            </w:rPr>
            <w:t>第三节 提升重点领域气候适应水平</w:t>
          </w:r>
          <w:r>
            <w:rPr>
              <w:color w:val="auto"/>
            </w:rPr>
            <w:tab/>
          </w:r>
          <w:r>
            <w:rPr>
              <w:color w:val="auto"/>
            </w:rPr>
            <w:fldChar w:fldCharType="begin"/>
          </w:r>
          <w:r>
            <w:rPr>
              <w:color w:val="auto"/>
            </w:rPr>
            <w:instrText xml:space="preserve"> PAGEREF _Toc109898264 \h </w:instrText>
          </w:r>
          <w:r>
            <w:rPr>
              <w:color w:val="auto"/>
            </w:rPr>
            <w:fldChar w:fldCharType="separate"/>
          </w:r>
          <w:r>
            <w:rPr>
              <w:color w:val="auto"/>
            </w:rPr>
            <w:t>- 31 -</w:t>
          </w:r>
          <w:r>
            <w:rPr>
              <w:color w:val="auto"/>
            </w:rPr>
            <w:fldChar w:fldCharType="end"/>
          </w:r>
          <w:r>
            <w:rPr>
              <w:rStyle w:val="18"/>
              <w:color w:val="auto"/>
            </w:rPr>
            <w:fldChar w:fldCharType="end"/>
          </w:r>
        </w:p>
        <w:p>
          <w:pPr>
            <w:pStyle w:val="11"/>
            <w:tabs>
              <w:tab w:val="right" w:leader="dot" w:pos="8721"/>
            </w:tabs>
            <w:ind w:left="624"/>
            <w:rPr>
              <w:rFonts w:asciiTheme="minorHAnsi" w:hAnsiTheme="minorHAnsi" w:eastAsiaTheme="minorEastAsia"/>
              <w:color w:val="auto"/>
              <w:sz w:val="21"/>
            </w:rPr>
          </w:pPr>
          <w:r>
            <w:rPr>
              <w:rStyle w:val="18"/>
              <w:color w:val="auto"/>
            </w:rPr>
            <w:fldChar w:fldCharType="begin"/>
          </w:r>
          <w:r>
            <w:rPr>
              <w:rStyle w:val="18"/>
              <w:color w:val="auto"/>
            </w:rPr>
            <w:instrText xml:space="preserve"> </w:instrText>
          </w:r>
          <w:r>
            <w:rPr>
              <w:color w:val="auto"/>
            </w:rPr>
            <w:instrText xml:space="preserve">HYPERLINK \l "_Toc109898265"</w:instrText>
          </w:r>
          <w:r>
            <w:rPr>
              <w:rStyle w:val="18"/>
              <w:color w:val="auto"/>
            </w:rPr>
            <w:instrText xml:space="preserve"> </w:instrText>
          </w:r>
          <w:r>
            <w:rPr>
              <w:rStyle w:val="18"/>
              <w:color w:val="auto"/>
            </w:rPr>
            <w:fldChar w:fldCharType="separate"/>
          </w:r>
          <w:r>
            <w:rPr>
              <w:rStyle w:val="18"/>
              <w:rFonts w:ascii="方正楷体_GBK" w:eastAsia="方正楷体_GBK"/>
              <w:color w:val="auto"/>
            </w:rPr>
            <w:t>第四节 推动重点区域适应气候变化</w:t>
          </w:r>
          <w:r>
            <w:rPr>
              <w:color w:val="auto"/>
            </w:rPr>
            <w:tab/>
          </w:r>
          <w:r>
            <w:rPr>
              <w:color w:val="auto"/>
            </w:rPr>
            <w:fldChar w:fldCharType="begin"/>
          </w:r>
          <w:r>
            <w:rPr>
              <w:color w:val="auto"/>
            </w:rPr>
            <w:instrText xml:space="preserve"> PAGEREF _Toc109898265 \h </w:instrText>
          </w:r>
          <w:r>
            <w:rPr>
              <w:color w:val="auto"/>
            </w:rPr>
            <w:fldChar w:fldCharType="separate"/>
          </w:r>
          <w:r>
            <w:rPr>
              <w:color w:val="auto"/>
            </w:rPr>
            <w:t>- 31 -</w:t>
          </w:r>
          <w:r>
            <w:rPr>
              <w:color w:val="auto"/>
            </w:rPr>
            <w:fldChar w:fldCharType="end"/>
          </w:r>
          <w:r>
            <w:rPr>
              <w:rStyle w:val="18"/>
              <w:color w:val="auto"/>
            </w:rPr>
            <w:fldChar w:fldCharType="end"/>
          </w:r>
        </w:p>
        <w:p>
          <w:pPr>
            <w:pStyle w:val="11"/>
            <w:tabs>
              <w:tab w:val="right" w:leader="dot" w:pos="8721"/>
            </w:tabs>
            <w:ind w:left="624"/>
            <w:rPr>
              <w:rFonts w:asciiTheme="minorHAnsi" w:hAnsiTheme="minorHAnsi" w:eastAsiaTheme="minorEastAsia"/>
              <w:color w:val="auto"/>
              <w:sz w:val="21"/>
            </w:rPr>
          </w:pPr>
          <w:r>
            <w:rPr>
              <w:rStyle w:val="18"/>
              <w:color w:val="auto"/>
            </w:rPr>
            <w:fldChar w:fldCharType="begin"/>
          </w:r>
          <w:r>
            <w:rPr>
              <w:rStyle w:val="18"/>
              <w:color w:val="auto"/>
            </w:rPr>
            <w:instrText xml:space="preserve"> </w:instrText>
          </w:r>
          <w:r>
            <w:rPr>
              <w:color w:val="auto"/>
            </w:rPr>
            <w:instrText xml:space="preserve">HYPERLINK \l "_Toc109898266"</w:instrText>
          </w:r>
          <w:r>
            <w:rPr>
              <w:rStyle w:val="18"/>
              <w:color w:val="auto"/>
            </w:rPr>
            <w:instrText xml:space="preserve"> </w:instrText>
          </w:r>
          <w:r>
            <w:rPr>
              <w:rStyle w:val="18"/>
              <w:color w:val="auto"/>
            </w:rPr>
            <w:fldChar w:fldCharType="separate"/>
          </w:r>
          <w:r>
            <w:rPr>
              <w:rStyle w:val="18"/>
              <w:rFonts w:ascii="方正楷体_GBK" w:eastAsia="方正楷体_GBK"/>
              <w:color w:val="auto"/>
            </w:rPr>
            <w:t>第五节 建立健全气候防灾减灾体系</w:t>
          </w:r>
          <w:r>
            <w:rPr>
              <w:color w:val="auto"/>
            </w:rPr>
            <w:tab/>
          </w:r>
          <w:r>
            <w:rPr>
              <w:color w:val="auto"/>
            </w:rPr>
            <w:fldChar w:fldCharType="begin"/>
          </w:r>
          <w:r>
            <w:rPr>
              <w:color w:val="auto"/>
            </w:rPr>
            <w:instrText xml:space="preserve"> PAGEREF _Toc109898266 \h </w:instrText>
          </w:r>
          <w:r>
            <w:rPr>
              <w:color w:val="auto"/>
            </w:rPr>
            <w:fldChar w:fldCharType="separate"/>
          </w:r>
          <w:r>
            <w:rPr>
              <w:color w:val="auto"/>
            </w:rPr>
            <w:t>- 32 -</w:t>
          </w:r>
          <w:r>
            <w:rPr>
              <w:color w:val="auto"/>
            </w:rPr>
            <w:fldChar w:fldCharType="end"/>
          </w:r>
          <w:r>
            <w:rPr>
              <w:rStyle w:val="18"/>
              <w:color w:val="auto"/>
            </w:rPr>
            <w:fldChar w:fldCharType="end"/>
          </w:r>
        </w:p>
        <w:p>
          <w:pPr>
            <w:pStyle w:val="9"/>
            <w:rPr>
              <w:rFonts w:asciiTheme="minorHAnsi" w:hAnsiTheme="minorHAnsi" w:eastAsiaTheme="minorEastAsia"/>
              <w:color w:val="auto"/>
              <w:sz w:val="21"/>
            </w:rPr>
          </w:pPr>
          <w:r>
            <w:rPr>
              <w:rStyle w:val="18"/>
              <w:color w:val="auto"/>
            </w:rPr>
            <w:fldChar w:fldCharType="begin"/>
          </w:r>
          <w:r>
            <w:rPr>
              <w:rStyle w:val="18"/>
              <w:color w:val="auto"/>
            </w:rPr>
            <w:instrText xml:space="preserve"> </w:instrText>
          </w:r>
          <w:r>
            <w:rPr>
              <w:color w:val="auto"/>
            </w:rPr>
            <w:instrText xml:space="preserve">HYPERLINK \l "_Toc109898267"</w:instrText>
          </w:r>
          <w:r>
            <w:rPr>
              <w:rStyle w:val="18"/>
              <w:color w:val="auto"/>
            </w:rPr>
            <w:instrText xml:space="preserve"> </w:instrText>
          </w:r>
          <w:r>
            <w:rPr>
              <w:rStyle w:val="18"/>
              <w:color w:val="auto"/>
            </w:rPr>
            <w:fldChar w:fldCharType="separate"/>
          </w:r>
          <w:r>
            <w:rPr>
              <w:rStyle w:val="18"/>
              <w:rFonts w:ascii="方正黑体_GBK" w:eastAsia="方正黑体_GBK"/>
              <w:color w:val="auto"/>
            </w:rPr>
            <w:t>第六章 推进应对气候变化治理体系和治理能力现代化</w:t>
          </w:r>
          <w:r>
            <w:rPr>
              <w:color w:val="auto"/>
            </w:rPr>
            <w:tab/>
          </w:r>
          <w:r>
            <w:rPr>
              <w:color w:val="auto"/>
            </w:rPr>
            <w:fldChar w:fldCharType="begin"/>
          </w:r>
          <w:r>
            <w:rPr>
              <w:color w:val="auto"/>
            </w:rPr>
            <w:instrText xml:space="preserve"> PAGEREF _Toc109898267 \h </w:instrText>
          </w:r>
          <w:r>
            <w:rPr>
              <w:color w:val="auto"/>
            </w:rPr>
            <w:fldChar w:fldCharType="separate"/>
          </w:r>
          <w:r>
            <w:rPr>
              <w:color w:val="auto"/>
            </w:rPr>
            <w:t>- 33 -</w:t>
          </w:r>
          <w:r>
            <w:rPr>
              <w:color w:val="auto"/>
            </w:rPr>
            <w:fldChar w:fldCharType="end"/>
          </w:r>
          <w:r>
            <w:rPr>
              <w:rStyle w:val="18"/>
              <w:color w:val="auto"/>
            </w:rPr>
            <w:fldChar w:fldCharType="end"/>
          </w:r>
        </w:p>
        <w:p>
          <w:pPr>
            <w:pStyle w:val="11"/>
            <w:tabs>
              <w:tab w:val="right" w:leader="dot" w:pos="8721"/>
            </w:tabs>
            <w:ind w:left="624"/>
            <w:rPr>
              <w:rFonts w:asciiTheme="minorHAnsi" w:hAnsiTheme="minorHAnsi" w:eastAsiaTheme="minorEastAsia"/>
              <w:color w:val="auto"/>
              <w:sz w:val="21"/>
            </w:rPr>
          </w:pPr>
          <w:r>
            <w:rPr>
              <w:rStyle w:val="18"/>
              <w:color w:val="auto"/>
            </w:rPr>
            <w:fldChar w:fldCharType="begin"/>
          </w:r>
          <w:r>
            <w:rPr>
              <w:rStyle w:val="18"/>
              <w:color w:val="auto"/>
            </w:rPr>
            <w:instrText xml:space="preserve"> </w:instrText>
          </w:r>
          <w:r>
            <w:rPr>
              <w:color w:val="auto"/>
            </w:rPr>
            <w:instrText xml:space="preserve">HYPERLINK \l "_Toc109898268"</w:instrText>
          </w:r>
          <w:r>
            <w:rPr>
              <w:rStyle w:val="18"/>
              <w:color w:val="auto"/>
            </w:rPr>
            <w:instrText xml:space="preserve"> </w:instrText>
          </w:r>
          <w:r>
            <w:rPr>
              <w:rStyle w:val="18"/>
              <w:color w:val="auto"/>
            </w:rPr>
            <w:fldChar w:fldCharType="separate"/>
          </w:r>
          <w:r>
            <w:rPr>
              <w:rStyle w:val="18"/>
              <w:rFonts w:ascii="方正楷体_GBK" w:eastAsia="方正楷体_GBK"/>
              <w:color w:val="auto"/>
            </w:rPr>
            <w:t>第一节 建立健全应对气候变化制度</w:t>
          </w:r>
          <w:r>
            <w:rPr>
              <w:color w:val="auto"/>
            </w:rPr>
            <w:tab/>
          </w:r>
          <w:r>
            <w:rPr>
              <w:color w:val="auto"/>
            </w:rPr>
            <w:fldChar w:fldCharType="begin"/>
          </w:r>
          <w:r>
            <w:rPr>
              <w:color w:val="auto"/>
            </w:rPr>
            <w:instrText xml:space="preserve"> PAGEREF _Toc109898268 \h </w:instrText>
          </w:r>
          <w:r>
            <w:rPr>
              <w:color w:val="auto"/>
            </w:rPr>
            <w:fldChar w:fldCharType="separate"/>
          </w:r>
          <w:r>
            <w:rPr>
              <w:color w:val="auto"/>
            </w:rPr>
            <w:t>- 33 -</w:t>
          </w:r>
          <w:r>
            <w:rPr>
              <w:color w:val="auto"/>
            </w:rPr>
            <w:fldChar w:fldCharType="end"/>
          </w:r>
          <w:r>
            <w:rPr>
              <w:rStyle w:val="18"/>
              <w:color w:val="auto"/>
            </w:rPr>
            <w:fldChar w:fldCharType="end"/>
          </w:r>
        </w:p>
        <w:p>
          <w:pPr>
            <w:pStyle w:val="11"/>
            <w:tabs>
              <w:tab w:val="right" w:leader="dot" w:pos="8721"/>
            </w:tabs>
            <w:ind w:left="624"/>
            <w:rPr>
              <w:rFonts w:asciiTheme="minorHAnsi" w:hAnsiTheme="minorHAnsi" w:eastAsiaTheme="minorEastAsia"/>
              <w:color w:val="auto"/>
              <w:sz w:val="21"/>
            </w:rPr>
          </w:pPr>
          <w:r>
            <w:rPr>
              <w:rStyle w:val="18"/>
              <w:color w:val="auto"/>
            </w:rPr>
            <w:fldChar w:fldCharType="begin"/>
          </w:r>
          <w:r>
            <w:rPr>
              <w:rStyle w:val="18"/>
              <w:color w:val="auto"/>
            </w:rPr>
            <w:instrText xml:space="preserve"> </w:instrText>
          </w:r>
          <w:r>
            <w:rPr>
              <w:color w:val="auto"/>
            </w:rPr>
            <w:instrText xml:space="preserve">HYPERLINK \l "_Toc109898269"</w:instrText>
          </w:r>
          <w:r>
            <w:rPr>
              <w:rStyle w:val="18"/>
              <w:color w:val="auto"/>
            </w:rPr>
            <w:instrText xml:space="preserve"> </w:instrText>
          </w:r>
          <w:r>
            <w:rPr>
              <w:rStyle w:val="18"/>
              <w:color w:val="auto"/>
            </w:rPr>
            <w:fldChar w:fldCharType="separate"/>
          </w:r>
          <w:r>
            <w:rPr>
              <w:rStyle w:val="18"/>
              <w:rFonts w:ascii="方正楷体_GBK" w:eastAsia="方正楷体_GBK"/>
              <w:color w:val="auto"/>
            </w:rPr>
            <w:t>第二节 强化气候领域科技创新水平</w:t>
          </w:r>
          <w:r>
            <w:rPr>
              <w:color w:val="auto"/>
            </w:rPr>
            <w:tab/>
          </w:r>
          <w:r>
            <w:rPr>
              <w:color w:val="auto"/>
            </w:rPr>
            <w:fldChar w:fldCharType="begin"/>
          </w:r>
          <w:r>
            <w:rPr>
              <w:color w:val="auto"/>
            </w:rPr>
            <w:instrText xml:space="preserve"> PAGEREF _Toc109898269 \h </w:instrText>
          </w:r>
          <w:r>
            <w:rPr>
              <w:color w:val="auto"/>
            </w:rPr>
            <w:fldChar w:fldCharType="separate"/>
          </w:r>
          <w:r>
            <w:rPr>
              <w:color w:val="auto"/>
            </w:rPr>
            <w:t>- 35 -</w:t>
          </w:r>
          <w:r>
            <w:rPr>
              <w:color w:val="auto"/>
            </w:rPr>
            <w:fldChar w:fldCharType="end"/>
          </w:r>
          <w:r>
            <w:rPr>
              <w:rStyle w:val="18"/>
              <w:color w:val="auto"/>
            </w:rPr>
            <w:fldChar w:fldCharType="end"/>
          </w:r>
        </w:p>
        <w:p>
          <w:pPr>
            <w:pStyle w:val="11"/>
            <w:tabs>
              <w:tab w:val="right" w:leader="dot" w:pos="8721"/>
            </w:tabs>
            <w:ind w:left="624"/>
            <w:rPr>
              <w:rFonts w:asciiTheme="minorHAnsi" w:hAnsiTheme="minorHAnsi" w:eastAsiaTheme="minorEastAsia"/>
              <w:color w:val="auto"/>
              <w:sz w:val="21"/>
            </w:rPr>
          </w:pPr>
          <w:r>
            <w:rPr>
              <w:rStyle w:val="18"/>
              <w:color w:val="auto"/>
            </w:rPr>
            <w:fldChar w:fldCharType="begin"/>
          </w:r>
          <w:r>
            <w:rPr>
              <w:rStyle w:val="18"/>
              <w:color w:val="auto"/>
            </w:rPr>
            <w:instrText xml:space="preserve"> </w:instrText>
          </w:r>
          <w:r>
            <w:rPr>
              <w:color w:val="auto"/>
            </w:rPr>
            <w:instrText xml:space="preserve">HYPERLINK \l "_Toc109898270"</w:instrText>
          </w:r>
          <w:r>
            <w:rPr>
              <w:rStyle w:val="18"/>
              <w:color w:val="auto"/>
            </w:rPr>
            <w:instrText xml:space="preserve"> </w:instrText>
          </w:r>
          <w:r>
            <w:rPr>
              <w:rStyle w:val="18"/>
              <w:color w:val="auto"/>
            </w:rPr>
            <w:fldChar w:fldCharType="separate"/>
          </w:r>
          <w:r>
            <w:rPr>
              <w:rStyle w:val="18"/>
              <w:rFonts w:ascii="方正楷体_GBK" w:eastAsia="方正楷体_GBK"/>
              <w:color w:val="auto"/>
            </w:rPr>
            <w:t>第三节 建立气候领域人才队伍体系</w:t>
          </w:r>
          <w:r>
            <w:rPr>
              <w:color w:val="auto"/>
            </w:rPr>
            <w:tab/>
          </w:r>
          <w:r>
            <w:rPr>
              <w:color w:val="auto"/>
            </w:rPr>
            <w:fldChar w:fldCharType="begin"/>
          </w:r>
          <w:r>
            <w:rPr>
              <w:color w:val="auto"/>
            </w:rPr>
            <w:instrText xml:space="preserve"> PAGEREF _Toc109898270 \h </w:instrText>
          </w:r>
          <w:r>
            <w:rPr>
              <w:color w:val="auto"/>
            </w:rPr>
            <w:fldChar w:fldCharType="separate"/>
          </w:r>
          <w:r>
            <w:rPr>
              <w:color w:val="auto"/>
            </w:rPr>
            <w:t>- 36 -</w:t>
          </w:r>
          <w:r>
            <w:rPr>
              <w:color w:val="auto"/>
            </w:rPr>
            <w:fldChar w:fldCharType="end"/>
          </w:r>
          <w:r>
            <w:rPr>
              <w:rStyle w:val="18"/>
              <w:color w:val="auto"/>
            </w:rPr>
            <w:fldChar w:fldCharType="end"/>
          </w:r>
        </w:p>
        <w:p>
          <w:pPr>
            <w:pStyle w:val="9"/>
            <w:rPr>
              <w:rFonts w:asciiTheme="minorHAnsi" w:hAnsiTheme="minorHAnsi" w:eastAsiaTheme="minorEastAsia"/>
              <w:color w:val="auto"/>
              <w:sz w:val="21"/>
            </w:rPr>
          </w:pPr>
          <w:r>
            <w:rPr>
              <w:rStyle w:val="18"/>
              <w:color w:val="auto"/>
            </w:rPr>
            <w:fldChar w:fldCharType="begin"/>
          </w:r>
          <w:r>
            <w:rPr>
              <w:rStyle w:val="18"/>
              <w:color w:val="auto"/>
            </w:rPr>
            <w:instrText xml:space="preserve"> </w:instrText>
          </w:r>
          <w:r>
            <w:rPr>
              <w:color w:val="auto"/>
            </w:rPr>
            <w:instrText xml:space="preserve">HYPERLINK \l "_Toc109898271"</w:instrText>
          </w:r>
          <w:r>
            <w:rPr>
              <w:rStyle w:val="18"/>
              <w:color w:val="auto"/>
            </w:rPr>
            <w:instrText xml:space="preserve"> </w:instrText>
          </w:r>
          <w:r>
            <w:rPr>
              <w:rStyle w:val="18"/>
              <w:color w:val="auto"/>
            </w:rPr>
            <w:fldChar w:fldCharType="separate"/>
          </w:r>
          <w:r>
            <w:rPr>
              <w:rStyle w:val="18"/>
              <w:rFonts w:ascii="方正黑体_GBK" w:eastAsia="方正黑体_GBK"/>
              <w:color w:val="auto"/>
            </w:rPr>
            <w:t>第七章 建立健全应对气候变化激励约束机制</w:t>
          </w:r>
          <w:r>
            <w:rPr>
              <w:color w:val="auto"/>
            </w:rPr>
            <w:tab/>
          </w:r>
          <w:r>
            <w:rPr>
              <w:color w:val="auto"/>
            </w:rPr>
            <w:fldChar w:fldCharType="begin"/>
          </w:r>
          <w:r>
            <w:rPr>
              <w:color w:val="auto"/>
            </w:rPr>
            <w:instrText xml:space="preserve"> PAGEREF _Toc109898271 \h </w:instrText>
          </w:r>
          <w:r>
            <w:rPr>
              <w:color w:val="auto"/>
            </w:rPr>
            <w:fldChar w:fldCharType="separate"/>
          </w:r>
          <w:r>
            <w:rPr>
              <w:color w:val="auto"/>
            </w:rPr>
            <w:t>- 36 -</w:t>
          </w:r>
          <w:r>
            <w:rPr>
              <w:color w:val="auto"/>
            </w:rPr>
            <w:fldChar w:fldCharType="end"/>
          </w:r>
          <w:r>
            <w:rPr>
              <w:rStyle w:val="18"/>
              <w:color w:val="auto"/>
            </w:rPr>
            <w:fldChar w:fldCharType="end"/>
          </w:r>
        </w:p>
        <w:p>
          <w:pPr>
            <w:pStyle w:val="11"/>
            <w:tabs>
              <w:tab w:val="right" w:leader="dot" w:pos="8721"/>
            </w:tabs>
            <w:ind w:left="624"/>
            <w:rPr>
              <w:rFonts w:asciiTheme="minorHAnsi" w:hAnsiTheme="minorHAnsi" w:eastAsiaTheme="minorEastAsia"/>
              <w:color w:val="auto"/>
              <w:sz w:val="21"/>
            </w:rPr>
          </w:pPr>
          <w:r>
            <w:rPr>
              <w:rStyle w:val="18"/>
              <w:color w:val="auto"/>
            </w:rPr>
            <w:fldChar w:fldCharType="begin"/>
          </w:r>
          <w:r>
            <w:rPr>
              <w:rStyle w:val="18"/>
              <w:color w:val="auto"/>
            </w:rPr>
            <w:instrText xml:space="preserve"> </w:instrText>
          </w:r>
          <w:r>
            <w:rPr>
              <w:color w:val="auto"/>
            </w:rPr>
            <w:instrText xml:space="preserve">HYPERLINK \l "_Toc109898272"</w:instrText>
          </w:r>
          <w:r>
            <w:rPr>
              <w:rStyle w:val="18"/>
              <w:color w:val="auto"/>
            </w:rPr>
            <w:instrText xml:space="preserve"> </w:instrText>
          </w:r>
          <w:r>
            <w:rPr>
              <w:rStyle w:val="18"/>
              <w:color w:val="auto"/>
            </w:rPr>
            <w:fldChar w:fldCharType="separate"/>
          </w:r>
          <w:r>
            <w:rPr>
              <w:rStyle w:val="18"/>
              <w:rFonts w:ascii="方正楷体_GBK" w:eastAsia="方正楷体_GBK"/>
              <w:color w:val="auto"/>
            </w:rPr>
            <w:t>第一节 完善经济政策</w:t>
          </w:r>
          <w:r>
            <w:rPr>
              <w:color w:val="auto"/>
            </w:rPr>
            <w:tab/>
          </w:r>
          <w:r>
            <w:rPr>
              <w:color w:val="auto"/>
            </w:rPr>
            <w:fldChar w:fldCharType="begin"/>
          </w:r>
          <w:r>
            <w:rPr>
              <w:color w:val="auto"/>
            </w:rPr>
            <w:instrText xml:space="preserve"> PAGEREF _Toc109898272 \h </w:instrText>
          </w:r>
          <w:r>
            <w:rPr>
              <w:color w:val="auto"/>
            </w:rPr>
            <w:fldChar w:fldCharType="separate"/>
          </w:r>
          <w:r>
            <w:rPr>
              <w:color w:val="auto"/>
            </w:rPr>
            <w:t>- 37 -</w:t>
          </w:r>
          <w:r>
            <w:rPr>
              <w:color w:val="auto"/>
            </w:rPr>
            <w:fldChar w:fldCharType="end"/>
          </w:r>
          <w:r>
            <w:rPr>
              <w:rStyle w:val="18"/>
              <w:color w:val="auto"/>
            </w:rPr>
            <w:fldChar w:fldCharType="end"/>
          </w:r>
        </w:p>
        <w:p>
          <w:pPr>
            <w:pStyle w:val="11"/>
            <w:tabs>
              <w:tab w:val="right" w:leader="dot" w:pos="8721"/>
            </w:tabs>
            <w:ind w:left="624"/>
            <w:rPr>
              <w:rFonts w:asciiTheme="minorHAnsi" w:hAnsiTheme="minorHAnsi" w:eastAsiaTheme="minorEastAsia"/>
              <w:color w:val="auto"/>
              <w:sz w:val="21"/>
            </w:rPr>
          </w:pPr>
          <w:r>
            <w:rPr>
              <w:rStyle w:val="18"/>
              <w:color w:val="auto"/>
            </w:rPr>
            <w:fldChar w:fldCharType="begin"/>
          </w:r>
          <w:r>
            <w:rPr>
              <w:rStyle w:val="18"/>
              <w:color w:val="auto"/>
            </w:rPr>
            <w:instrText xml:space="preserve"> </w:instrText>
          </w:r>
          <w:r>
            <w:rPr>
              <w:color w:val="auto"/>
            </w:rPr>
            <w:instrText xml:space="preserve">HYPERLINK \l "_Toc109898273"</w:instrText>
          </w:r>
          <w:r>
            <w:rPr>
              <w:rStyle w:val="18"/>
              <w:color w:val="auto"/>
            </w:rPr>
            <w:instrText xml:space="preserve"> </w:instrText>
          </w:r>
          <w:r>
            <w:rPr>
              <w:rStyle w:val="18"/>
              <w:color w:val="auto"/>
            </w:rPr>
            <w:fldChar w:fldCharType="separate"/>
          </w:r>
          <w:r>
            <w:rPr>
              <w:rStyle w:val="18"/>
              <w:rFonts w:ascii="方正楷体_GBK" w:eastAsia="方正楷体_GBK"/>
              <w:color w:val="auto"/>
            </w:rPr>
            <w:t>第二节 完善市场机制</w:t>
          </w:r>
          <w:r>
            <w:rPr>
              <w:color w:val="auto"/>
            </w:rPr>
            <w:tab/>
          </w:r>
          <w:r>
            <w:rPr>
              <w:color w:val="auto"/>
            </w:rPr>
            <w:fldChar w:fldCharType="begin"/>
          </w:r>
          <w:r>
            <w:rPr>
              <w:color w:val="auto"/>
            </w:rPr>
            <w:instrText xml:space="preserve"> PAGEREF _Toc109898273 \h </w:instrText>
          </w:r>
          <w:r>
            <w:rPr>
              <w:color w:val="auto"/>
            </w:rPr>
            <w:fldChar w:fldCharType="separate"/>
          </w:r>
          <w:r>
            <w:rPr>
              <w:color w:val="auto"/>
            </w:rPr>
            <w:t>- 38 -</w:t>
          </w:r>
          <w:r>
            <w:rPr>
              <w:color w:val="auto"/>
            </w:rPr>
            <w:fldChar w:fldCharType="end"/>
          </w:r>
          <w:r>
            <w:rPr>
              <w:rStyle w:val="18"/>
              <w:color w:val="auto"/>
            </w:rPr>
            <w:fldChar w:fldCharType="end"/>
          </w:r>
        </w:p>
        <w:p>
          <w:pPr>
            <w:pStyle w:val="11"/>
            <w:tabs>
              <w:tab w:val="right" w:leader="dot" w:pos="8721"/>
            </w:tabs>
            <w:ind w:left="624"/>
            <w:rPr>
              <w:rFonts w:asciiTheme="minorHAnsi" w:hAnsiTheme="minorHAnsi" w:eastAsiaTheme="minorEastAsia"/>
              <w:color w:val="auto"/>
              <w:sz w:val="21"/>
            </w:rPr>
          </w:pPr>
          <w:r>
            <w:rPr>
              <w:rStyle w:val="18"/>
              <w:color w:val="auto"/>
            </w:rPr>
            <w:fldChar w:fldCharType="begin"/>
          </w:r>
          <w:r>
            <w:rPr>
              <w:rStyle w:val="18"/>
              <w:color w:val="auto"/>
            </w:rPr>
            <w:instrText xml:space="preserve"> </w:instrText>
          </w:r>
          <w:r>
            <w:rPr>
              <w:color w:val="auto"/>
            </w:rPr>
            <w:instrText xml:space="preserve">HYPERLINK \l "_Toc109898274"</w:instrText>
          </w:r>
          <w:r>
            <w:rPr>
              <w:rStyle w:val="18"/>
              <w:color w:val="auto"/>
            </w:rPr>
            <w:instrText xml:space="preserve"> </w:instrText>
          </w:r>
          <w:r>
            <w:rPr>
              <w:rStyle w:val="18"/>
              <w:color w:val="auto"/>
            </w:rPr>
            <w:fldChar w:fldCharType="separate"/>
          </w:r>
          <w:r>
            <w:rPr>
              <w:rStyle w:val="18"/>
              <w:rFonts w:ascii="方正楷体_GBK" w:eastAsia="方正楷体_GBK"/>
              <w:color w:val="auto"/>
            </w:rPr>
            <w:t>第三节 推进气候投融资工作</w:t>
          </w:r>
          <w:r>
            <w:rPr>
              <w:color w:val="auto"/>
            </w:rPr>
            <w:tab/>
          </w:r>
          <w:r>
            <w:rPr>
              <w:color w:val="auto"/>
            </w:rPr>
            <w:fldChar w:fldCharType="begin"/>
          </w:r>
          <w:r>
            <w:rPr>
              <w:color w:val="auto"/>
            </w:rPr>
            <w:instrText xml:space="preserve"> PAGEREF _Toc109898274 \h </w:instrText>
          </w:r>
          <w:r>
            <w:rPr>
              <w:color w:val="auto"/>
            </w:rPr>
            <w:fldChar w:fldCharType="separate"/>
          </w:r>
          <w:r>
            <w:rPr>
              <w:color w:val="auto"/>
            </w:rPr>
            <w:t>- 39 -</w:t>
          </w:r>
          <w:r>
            <w:rPr>
              <w:color w:val="auto"/>
            </w:rPr>
            <w:fldChar w:fldCharType="end"/>
          </w:r>
          <w:r>
            <w:rPr>
              <w:rStyle w:val="18"/>
              <w:color w:val="auto"/>
            </w:rPr>
            <w:fldChar w:fldCharType="end"/>
          </w:r>
        </w:p>
        <w:p>
          <w:pPr>
            <w:pStyle w:val="9"/>
            <w:rPr>
              <w:rFonts w:asciiTheme="minorHAnsi" w:hAnsiTheme="minorHAnsi" w:eastAsiaTheme="minorEastAsia"/>
              <w:color w:val="auto"/>
              <w:sz w:val="21"/>
            </w:rPr>
          </w:pPr>
          <w:r>
            <w:rPr>
              <w:rStyle w:val="18"/>
              <w:color w:val="auto"/>
            </w:rPr>
            <w:fldChar w:fldCharType="begin"/>
          </w:r>
          <w:r>
            <w:rPr>
              <w:rStyle w:val="18"/>
              <w:color w:val="auto"/>
            </w:rPr>
            <w:instrText xml:space="preserve"> </w:instrText>
          </w:r>
          <w:r>
            <w:rPr>
              <w:color w:val="auto"/>
            </w:rPr>
            <w:instrText xml:space="preserve">HYPERLINK \l "_Toc109898275"</w:instrText>
          </w:r>
          <w:r>
            <w:rPr>
              <w:rStyle w:val="18"/>
              <w:color w:val="auto"/>
            </w:rPr>
            <w:instrText xml:space="preserve"> </w:instrText>
          </w:r>
          <w:r>
            <w:rPr>
              <w:rStyle w:val="18"/>
              <w:color w:val="auto"/>
            </w:rPr>
            <w:fldChar w:fldCharType="separate"/>
          </w:r>
          <w:r>
            <w:rPr>
              <w:rStyle w:val="18"/>
              <w:rFonts w:ascii="方正黑体_GBK" w:eastAsia="方正黑体_GBK"/>
              <w:color w:val="auto"/>
            </w:rPr>
            <w:t>第八章 开展应对气候变化试点示范</w:t>
          </w:r>
          <w:r>
            <w:rPr>
              <w:color w:val="auto"/>
            </w:rPr>
            <w:tab/>
          </w:r>
          <w:r>
            <w:rPr>
              <w:color w:val="auto"/>
            </w:rPr>
            <w:fldChar w:fldCharType="begin"/>
          </w:r>
          <w:r>
            <w:rPr>
              <w:color w:val="auto"/>
            </w:rPr>
            <w:instrText xml:space="preserve"> PAGEREF _Toc109898275 \h </w:instrText>
          </w:r>
          <w:r>
            <w:rPr>
              <w:color w:val="auto"/>
            </w:rPr>
            <w:fldChar w:fldCharType="separate"/>
          </w:r>
          <w:r>
            <w:rPr>
              <w:color w:val="auto"/>
            </w:rPr>
            <w:t>- 39 -</w:t>
          </w:r>
          <w:r>
            <w:rPr>
              <w:color w:val="auto"/>
            </w:rPr>
            <w:fldChar w:fldCharType="end"/>
          </w:r>
          <w:r>
            <w:rPr>
              <w:rStyle w:val="18"/>
              <w:color w:val="auto"/>
            </w:rPr>
            <w:fldChar w:fldCharType="end"/>
          </w:r>
        </w:p>
        <w:p>
          <w:pPr>
            <w:pStyle w:val="11"/>
            <w:tabs>
              <w:tab w:val="right" w:leader="dot" w:pos="8721"/>
            </w:tabs>
            <w:ind w:left="624"/>
            <w:rPr>
              <w:rFonts w:asciiTheme="minorHAnsi" w:hAnsiTheme="minorHAnsi" w:eastAsiaTheme="minorEastAsia"/>
              <w:color w:val="auto"/>
              <w:sz w:val="21"/>
            </w:rPr>
          </w:pPr>
          <w:r>
            <w:rPr>
              <w:rStyle w:val="18"/>
              <w:color w:val="auto"/>
            </w:rPr>
            <w:fldChar w:fldCharType="begin"/>
          </w:r>
          <w:r>
            <w:rPr>
              <w:rStyle w:val="18"/>
              <w:color w:val="auto"/>
            </w:rPr>
            <w:instrText xml:space="preserve"> </w:instrText>
          </w:r>
          <w:r>
            <w:rPr>
              <w:color w:val="auto"/>
            </w:rPr>
            <w:instrText xml:space="preserve">HYPERLINK \l "_Toc109898276"</w:instrText>
          </w:r>
          <w:r>
            <w:rPr>
              <w:rStyle w:val="18"/>
              <w:color w:val="auto"/>
            </w:rPr>
            <w:instrText xml:space="preserve"> </w:instrText>
          </w:r>
          <w:r>
            <w:rPr>
              <w:rStyle w:val="18"/>
              <w:color w:val="auto"/>
            </w:rPr>
            <w:fldChar w:fldCharType="separate"/>
          </w:r>
          <w:r>
            <w:rPr>
              <w:rStyle w:val="18"/>
              <w:rFonts w:ascii="方正楷体_GBK" w:eastAsia="方正楷体_GBK"/>
              <w:color w:val="auto"/>
            </w:rPr>
            <w:t>第一节 探索开展气候适应型城市建设</w:t>
          </w:r>
          <w:r>
            <w:rPr>
              <w:color w:val="auto"/>
            </w:rPr>
            <w:tab/>
          </w:r>
          <w:r>
            <w:rPr>
              <w:color w:val="auto"/>
            </w:rPr>
            <w:fldChar w:fldCharType="begin"/>
          </w:r>
          <w:r>
            <w:rPr>
              <w:color w:val="auto"/>
            </w:rPr>
            <w:instrText xml:space="preserve"> PAGEREF _Toc109898276 \h </w:instrText>
          </w:r>
          <w:r>
            <w:rPr>
              <w:color w:val="auto"/>
            </w:rPr>
            <w:fldChar w:fldCharType="separate"/>
          </w:r>
          <w:r>
            <w:rPr>
              <w:color w:val="auto"/>
            </w:rPr>
            <w:t>- 40 -</w:t>
          </w:r>
          <w:r>
            <w:rPr>
              <w:color w:val="auto"/>
            </w:rPr>
            <w:fldChar w:fldCharType="end"/>
          </w:r>
          <w:r>
            <w:rPr>
              <w:rStyle w:val="18"/>
              <w:color w:val="auto"/>
            </w:rPr>
            <w:fldChar w:fldCharType="end"/>
          </w:r>
        </w:p>
        <w:p>
          <w:pPr>
            <w:pStyle w:val="11"/>
            <w:tabs>
              <w:tab w:val="right" w:leader="dot" w:pos="8721"/>
            </w:tabs>
            <w:ind w:left="624"/>
            <w:rPr>
              <w:rFonts w:asciiTheme="minorHAnsi" w:hAnsiTheme="minorHAnsi" w:eastAsiaTheme="minorEastAsia"/>
              <w:color w:val="auto"/>
              <w:sz w:val="21"/>
            </w:rPr>
          </w:pPr>
          <w:r>
            <w:rPr>
              <w:rStyle w:val="18"/>
              <w:color w:val="auto"/>
            </w:rPr>
            <w:fldChar w:fldCharType="begin"/>
          </w:r>
          <w:r>
            <w:rPr>
              <w:rStyle w:val="18"/>
              <w:color w:val="auto"/>
            </w:rPr>
            <w:instrText xml:space="preserve"> </w:instrText>
          </w:r>
          <w:r>
            <w:rPr>
              <w:color w:val="auto"/>
            </w:rPr>
            <w:instrText xml:space="preserve">HYPERLINK \l "_Toc109898277"</w:instrText>
          </w:r>
          <w:r>
            <w:rPr>
              <w:rStyle w:val="18"/>
              <w:color w:val="auto"/>
            </w:rPr>
            <w:instrText xml:space="preserve"> </w:instrText>
          </w:r>
          <w:r>
            <w:rPr>
              <w:rStyle w:val="18"/>
              <w:color w:val="auto"/>
            </w:rPr>
            <w:fldChar w:fldCharType="separate"/>
          </w:r>
          <w:r>
            <w:rPr>
              <w:rStyle w:val="18"/>
              <w:rFonts w:ascii="方正楷体_GBK" w:eastAsia="方正楷体_GBK"/>
              <w:color w:val="auto"/>
            </w:rPr>
            <w:t>第二节 建设“近零碳”排放示范工程</w:t>
          </w:r>
          <w:r>
            <w:rPr>
              <w:color w:val="auto"/>
            </w:rPr>
            <w:tab/>
          </w:r>
          <w:r>
            <w:rPr>
              <w:color w:val="auto"/>
            </w:rPr>
            <w:fldChar w:fldCharType="begin"/>
          </w:r>
          <w:r>
            <w:rPr>
              <w:color w:val="auto"/>
            </w:rPr>
            <w:instrText xml:space="preserve"> PAGEREF _Toc109898277 \h </w:instrText>
          </w:r>
          <w:r>
            <w:rPr>
              <w:color w:val="auto"/>
            </w:rPr>
            <w:fldChar w:fldCharType="separate"/>
          </w:r>
          <w:r>
            <w:rPr>
              <w:color w:val="auto"/>
            </w:rPr>
            <w:t>- 40 -</w:t>
          </w:r>
          <w:r>
            <w:rPr>
              <w:color w:val="auto"/>
            </w:rPr>
            <w:fldChar w:fldCharType="end"/>
          </w:r>
          <w:r>
            <w:rPr>
              <w:rStyle w:val="18"/>
              <w:color w:val="auto"/>
            </w:rPr>
            <w:fldChar w:fldCharType="end"/>
          </w:r>
        </w:p>
        <w:p>
          <w:pPr>
            <w:pStyle w:val="9"/>
            <w:rPr>
              <w:rFonts w:asciiTheme="minorHAnsi" w:hAnsiTheme="minorHAnsi" w:eastAsiaTheme="minorEastAsia"/>
              <w:color w:val="auto"/>
              <w:sz w:val="21"/>
            </w:rPr>
          </w:pPr>
          <w:r>
            <w:rPr>
              <w:rStyle w:val="18"/>
              <w:color w:val="auto"/>
            </w:rPr>
            <w:fldChar w:fldCharType="begin"/>
          </w:r>
          <w:r>
            <w:rPr>
              <w:rStyle w:val="18"/>
              <w:color w:val="auto"/>
            </w:rPr>
            <w:instrText xml:space="preserve"> </w:instrText>
          </w:r>
          <w:r>
            <w:rPr>
              <w:color w:val="auto"/>
            </w:rPr>
            <w:instrText xml:space="preserve">HYPERLINK \l "_Toc109898278"</w:instrText>
          </w:r>
          <w:r>
            <w:rPr>
              <w:rStyle w:val="18"/>
              <w:color w:val="auto"/>
            </w:rPr>
            <w:instrText xml:space="preserve"> </w:instrText>
          </w:r>
          <w:r>
            <w:rPr>
              <w:rStyle w:val="18"/>
              <w:color w:val="auto"/>
            </w:rPr>
            <w:fldChar w:fldCharType="separate"/>
          </w:r>
          <w:r>
            <w:rPr>
              <w:rStyle w:val="18"/>
              <w:rFonts w:ascii="方正黑体_GBK" w:eastAsia="方正黑体_GBK"/>
              <w:color w:val="auto"/>
            </w:rPr>
            <w:t>第九章 强化规划系统衔接和组织实施</w:t>
          </w:r>
          <w:r>
            <w:rPr>
              <w:color w:val="auto"/>
            </w:rPr>
            <w:tab/>
          </w:r>
          <w:r>
            <w:rPr>
              <w:color w:val="auto"/>
            </w:rPr>
            <w:fldChar w:fldCharType="begin"/>
          </w:r>
          <w:r>
            <w:rPr>
              <w:color w:val="auto"/>
            </w:rPr>
            <w:instrText xml:space="preserve"> PAGEREF _Toc109898278 \h </w:instrText>
          </w:r>
          <w:r>
            <w:rPr>
              <w:color w:val="auto"/>
            </w:rPr>
            <w:fldChar w:fldCharType="separate"/>
          </w:r>
          <w:r>
            <w:rPr>
              <w:color w:val="auto"/>
            </w:rPr>
            <w:t>- 41 -</w:t>
          </w:r>
          <w:r>
            <w:rPr>
              <w:color w:val="auto"/>
            </w:rPr>
            <w:fldChar w:fldCharType="end"/>
          </w:r>
          <w:r>
            <w:rPr>
              <w:rStyle w:val="18"/>
              <w:color w:val="auto"/>
            </w:rPr>
            <w:fldChar w:fldCharType="end"/>
          </w:r>
        </w:p>
        <w:p>
          <w:pPr>
            <w:pStyle w:val="11"/>
            <w:tabs>
              <w:tab w:val="right" w:leader="dot" w:pos="8721"/>
            </w:tabs>
            <w:ind w:left="624"/>
            <w:rPr>
              <w:rFonts w:asciiTheme="minorHAnsi" w:hAnsiTheme="minorHAnsi" w:eastAsiaTheme="minorEastAsia"/>
              <w:color w:val="auto"/>
              <w:sz w:val="21"/>
            </w:rPr>
          </w:pPr>
          <w:r>
            <w:rPr>
              <w:rStyle w:val="18"/>
              <w:color w:val="auto"/>
            </w:rPr>
            <w:fldChar w:fldCharType="begin"/>
          </w:r>
          <w:r>
            <w:rPr>
              <w:rStyle w:val="18"/>
              <w:color w:val="auto"/>
            </w:rPr>
            <w:instrText xml:space="preserve"> </w:instrText>
          </w:r>
          <w:r>
            <w:rPr>
              <w:color w:val="auto"/>
            </w:rPr>
            <w:instrText xml:space="preserve">HYPERLINK \l "_Toc109898279"</w:instrText>
          </w:r>
          <w:r>
            <w:rPr>
              <w:rStyle w:val="18"/>
              <w:color w:val="auto"/>
            </w:rPr>
            <w:instrText xml:space="preserve"> </w:instrText>
          </w:r>
          <w:r>
            <w:rPr>
              <w:rStyle w:val="18"/>
              <w:color w:val="auto"/>
            </w:rPr>
            <w:fldChar w:fldCharType="separate"/>
          </w:r>
          <w:r>
            <w:rPr>
              <w:rStyle w:val="18"/>
              <w:rFonts w:ascii="方正楷体_GBK" w:eastAsia="方正楷体_GBK"/>
              <w:color w:val="auto"/>
            </w:rPr>
            <w:t>第一节 做好规划衔接</w:t>
          </w:r>
          <w:r>
            <w:rPr>
              <w:color w:val="auto"/>
            </w:rPr>
            <w:tab/>
          </w:r>
          <w:r>
            <w:rPr>
              <w:color w:val="auto"/>
            </w:rPr>
            <w:fldChar w:fldCharType="begin"/>
          </w:r>
          <w:r>
            <w:rPr>
              <w:color w:val="auto"/>
            </w:rPr>
            <w:instrText xml:space="preserve"> PAGEREF _Toc109898279 \h </w:instrText>
          </w:r>
          <w:r>
            <w:rPr>
              <w:color w:val="auto"/>
            </w:rPr>
            <w:fldChar w:fldCharType="separate"/>
          </w:r>
          <w:r>
            <w:rPr>
              <w:color w:val="auto"/>
            </w:rPr>
            <w:t>- 41 -</w:t>
          </w:r>
          <w:r>
            <w:rPr>
              <w:color w:val="auto"/>
            </w:rPr>
            <w:fldChar w:fldCharType="end"/>
          </w:r>
          <w:r>
            <w:rPr>
              <w:rStyle w:val="18"/>
              <w:color w:val="auto"/>
            </w:rPr>
            <w:fldChar w:fldCharType="end"/>
          </w:r>
        </w:p>
        <w:p>
          <w:pPr>
            <w:pStyle w:val="11"/>
            <w:tabs>
              <w:tab w:val="right" w:leader="dot" w:pos="8721"/>
            </w:tabs>
            <w:ind w:left="624"/>
            <w:rPr>
              <w:rFonts w:asciiTheme="minorHAnsi" w:hAnsiTheme="minorHAnsi" w:eastAsiaTheme="minorEastAsia"/>
              <w:color w:val="auto"/>
              <w:sz w:val="21"/>
            </w:rPr>
          </w:pPr>
          <w:r>
            <w:rPr>
              <w:rStyle w:val="18"/>
              <w:color w:val="auto"/>
            </w:rPr>
            <w:fldChar w:fldCharType="begin"/>
          </w:r>
          <w:r>
            <w:rPr>
              <w:rStyle w:val="18"/>
              <w:color w:val="auto"/>
            </w:rPr>
            <w:instrText xml:space="preserve"> </w:instrText>
          </w:r>
          <w:r>
            <w:rPr>
              <w:color w:val="auto"/>
            </w:rPr>
            <w:instrText xml:space="preserve">HYPERLINK \l "_Toc109898280"</w:instrText>
          </w:r>
          <w:r>
            <w:rPr>
              <w:rStyle w:val="18"/>
              <w:color w:val="auto"/>
            </w:rPr>
            <w:instrText xml:space="preserve"> </w:instrText>
          </w:r>
          <w:r>
            <w:rPr>
              <w:rStyle w:val="18"/>
              <w:color w:val="auto"/>
            </w:rPr>
            <w:fldChar w:fldCharType="separate"/>
          </w:r>
          <w:r>
            <w:rPr>
              <w:rStyle w:val="18"/>
              <w:rFonts w:ascii="方正楷体_GBK" w:eastAsia="方正楷体_GBK"/>
              <w:color w:val="auto"/>
            </w:rPr>
            <w:t>第二节 明确责任分工</w:t>
          </w:r>
          <w:r>
            <w:rPr>
              <w:color w:val="auto"/>
            </w:rPr>
            <w:tab/>
          </w:r>
          <w:r>
            <w:rPr>
              <w:color w:val="auto"/>
            </w:rPr>
            <w:fldChar w:fldCharType="begin"/>
          </w:r>
          <w:r>
            <w:rPr>
              <w:color w:val="auto"/>
            </w:rPr>
            <w:instrText xml:space="preserve"> PAGEREF _Toc109898280 \h </w:instrText>
          </w:r>
          <w:r>
            <w:rPr>
              <w:color w:val="auto"/>
            </w:rPr>
            <w:fldChar w:fldCharType="separate"/>
          </w:r>
          <w:r>
            <w:rPr>
              <w:color w:val="auto"/>
            </w:rPr>
            <w:t>- 41 -</w:t>
          </w:r>
          <w:r>
            <w:rPr>
              <w:color w:val="auto"/>
            </w:rPr>
            <w:fldChar w:fldCharType="end"/>
          </w:r>
          <w:r>
            <w:rPr>
              <w:rStyle w:val="18"/>
              <w:color w:val="auto"/>
            </w:rPr>
            <w:fldChar w:fldCharType="end"/>
          </w:r>
        </w:p>
        <w:p>
          <w:pPr>
            <w:pStyle w:val="11"/>
            <w:tabs>
              <w:tab w:val="right" w:leader="dot" w:pos="8721"/>
            </w:tabs>
            <w:ind w:left="624"/>
            <w:rPr>
              <w:rFonts w:asciiTheme="minorHAnsi" w:hAnsiTheme="minorHAnsi" w:eastAsiaTheme="minorEastAsia"/>
              <w:color w:val="auto"/>
              <w:sz w:val="21"/>
            </w:rPr>
          </w:pPr>
          <w:r>
            <w:rPr>
              <w:rStyle w:val="18"/>
              <w:color w:val="auto"/>
            </w:rPr>
            <w:fldChar w:fldCharType="begin"/>
          </w:r>
          <w:r>
            <w:rPr>
              <w:rStyle w:val="18"/>
              <w:color w:val="auto"/>
            </w:rPr>
            <w:instrText xml:space="preserve"> </w:instrText>
          </w:r>
          <w:r>
            <w:rPr>
              <w:color w:val="auto"/>
            </w:rPr>
            <w:instrText xml:space="preserve">HYPERLINK \l "_Toc109898281"</w:instrText>
          </w:r>
          <w:r>
            <w:rPr>
              <w:rStyle w:val="18"/>
              <w:color w:val="auto"/>
            </w:rPr>
            <w:instrText xml:space="preserve"> </w:instrText>
          </w:r>
          <w:r>
            <w:rPr>
              <w:rStyle w:val="18"/>
              <w:color w:val="auto"/>
            </w:rPr>
            <w:fldChar w:fldCharType="separate"/>
          </w:r>
          <w:r>
            <w:rPr>
              <w:rStyle w:val="18"/>
              <w:rFonts w:ascii="方正楷体_GBK" w:eastAsia="方正楷体_GBK"/>
              <w:color w:val="auto"/>
            </w:rPr>
            <w:t>第三节 强化统筹协调</w:t>
          </w:r>
          <w:r>
            <w:rPr>
              <w:color w:val="auto"/>
            </w:rPr>
            <w:tab/>
          </w:r>
          <w:r>
            <w:rPr>
              <w:color w:val="auto"/>
            </w:rPr>
            <w:fldChar w:fldCharType="begin"/>
          </w:r>
          <w:r>
            <w:rPr>
              <w:color w:val="auto"/>
            </w:rPr>
            <w:instrText xml:space="preserve"> PAGEREF _Toc109898281 \h </w:instrText>
          </w:r>
          <w:r>
            <w:rPr>
              <w:color w:val="auto"/>
            </w:rPr>
            <w:fldChar w:fldCharType="separate"/>
          </w:r>
          <w:r>
            <w:rPr>
              <w:color w:val="auto"/>
            </w:rPr>
            <w:t>- 42 -</w:t>
          </w:r>
          <w:r>
            <w:rPr>
              <w:color w:val="auto"/>
            </w:rPr>
            <w:fldChar w:fldCharType="end"/>
          </w:r>
          <w:r>
            <w:rPr>
              <w:rStyle w:val="18"/>
              <w:color w:val="auto"/>
            </w:rPr>
            <w:fldChar w:fldCharType="end"/>
          </w:r>
        </w:p>
        <w:p>
          <w:pPr>
            <w:pStyle w:val="11"/>
            <w:tabs>
              <w:tab w:val="right" w:leader="dot" w:pos="8721"/>
            </w:tabs>
            <w:ind w:left="624"/>
            <w:rPr>
              <w:rFonts w:asciiTheme="minorHAnsi" w:hAnsiTheme="minorHAnsi" w:eastAsiaTheme="minorEastAsia"/>
              <w:color w:val="auto"/>
              <w:sz w:val="21"/>
            </w:rPr>
          </w:pPr>
          <w:r>
            <w:rPr>
              <w:rStyle w:val="18"/>
              <w:color w:val="auto"/>
            </w:rPr>
            <w:fldChar w:fldCharType="begin"/>
          </w:r>
          <w:r>
            <w:rPr>
              <w:rStyle w:val="18"/>
              <w:color w:val="auto"/>
            </w:rPr>
            <w:instrText xml:space="preserve"> </w:instrText>
          </w:r>
          <w:r>
            <w:rPr>
              <w:color w:val="auto"/>
            </w:rPr>
            <w:instrText xml:space="preserve">HYPERLINK \l "_Toc109898282"</w:instrText>
          </w:r>
          <w:r>
            <w:rPr>
              <w:rStyle w:val="18"/>
              <w:color w:val="auto"/>
            </w:rPr>
            <w:instrText xml:space="preserve"> </w:instrText>
          </w:r>
          <w:r>
            <w:rPr>
              <w:rStyle w:val="18"/>
              <w:color w:val="auto"/>
            </w:rPr>
            <w:fldChar w:fldCharType="separate"/>
          </w:r>
          <w:r>
            <w:rPr>
              <w:rStyle w:val="18"/>
              <w:rFonts w:ascii="方正楷体_GBK" w:eastAsia="方正楷体_GBK"/>
              <w:color w:val="auto"/>
            </w:rPr>
            <w:t>第四节 严格考核监管</w:t>
          </w:r>
          <w:r>
            <w:rPr>
              <w:color w:val="auto"/>
            </w:rPr>
            <w:tab/>
          </w:r>
          <w:r>
            <w:rPr>
              <w:color w:val="auto"/>
            </w:rPr>
            <w:fldChar w:fldCharType="begin"/>
          </w:r>
          <w:r>
            <w:rPr>
              <w:color w:val="auto"/>
            </w:rPr>
            <w:instrText xml:space="preserve"> PAGEREF _Toc109898282 \h </w:instrText>
          </w:r>
          <w:r>
            <w:rPr>
              <w:color w:val="auto"/>
            </w:rPr>
            <w:fldChar w:fldCharType="separate"/>
          </w:r>
          <w:r>
            <w:rPr>
              <w:color w:val="auto"/>
            </w:rPr>
            <w:t>- 42 -</w:t>
          </w:r>
          <w:r>
            <w:rPr>
              <w:color w:val="auto"/>
            </w:rPr>
            <w:fldChar w:fldCharType="end"/>
          </w:r>
          <w:r>
            <w:rPr>
              <w:rStyle w:val="18"/>
              <w:color w:val="auto"/>
            </w:rPr>
            <w:fldChar w:fldCharType="end"/>
          </w:r>
        </w:p>
        <w:p>
          <w:pPr>
            <w:pStyle w:val="11"/>
            <w:tabs>
              <w:tab w:val="right" w:leader="dot" w:pos="8721"/>
            </w:tabs>
            <w:ind w:left="624"/>
            <w:rPr>
              <w:rFonts w:asciiTheme="minorHAnsi" w:hAnsiTheme="minorHAnsi" w:eastAsiaTheme="minorEastAsia"/>
              <w:color w:val="auto"/>
              <w:sz w:val="21"/>
            </w:rPr>
          </w:pPr>
          <w:r>
            <w:rPr>
              <w:rStyle w:val="18"/>
              <w:color w:val="auto"/>
            </w:rPr>
            <w:fldChar w:fldCharType="begin"/>
          </w:r>
          <w:r>
            <w:rPr>
              <w:rStyle w:val="18"/>
              <w:color w:val="auto"/>
            </w:rPr>
            <w:instrText xml:space="preserve"> </w:instrText>
          </w:r>
          <w:r>
            <w:rPr>
              <w:color w:val="auto"/>
            </w:rPr>
            <w:instrText xml:space="preserve">HYPERLINK \l "_Toc109898283"</w:instrText>
          </w:r>
          <w:r>
            <w:rPr>
              <w:rStyle w:val="18"/>
              <w:color w:val="auto"/>
            </w:rPr>
            <w:instrText xml:space="preserve"> </w:instrText>
          </w:r>
          <w:r>
            <w:rPr>
              <w:rStyle w:val="18"/>
              <w:color w:val="auto"/>
            </w:rPr>
            <w:fldChar w:fldCharType="separate"/>
          </w:r>
          <w:r>
            <w:rPr>
              <w:rStyle w:val="18"/>
              <w:rFonts w:ascii="方正楷体_GBK" w:eastAsia="方正楷体_GBK"/>
              <w:color w:val="auto"/>
            </w:rPr>
            <w:t>第五节 加大财政支持</w:t>
          </w:r>
          <w:r>
            <w:rPr>
              <w:color w:val="auto"/>
            </w:rPr>
            <w:tab/>
          </w:r>
          <w:r>
            <w:rPr>
              <w:color w:val="auto"/>
            </w:rPr>
            <w:fldChar w:fldCharType="begin"/>
          </w:r>
          <w:r>
            <w:rPr>
              <w:color w:val="auto"/>
            </w:rPr>
            <w:instrText xml:space="preserve"> PAGEREF _Toc109898283 \h </w:instrText>
          </w:r>
          <w:r>
            <w:rPr>
              <w:color w:val="auto"/>
            </w:rPr>
            <w:fldChar w:fldCharType="separate"/>
          </w:r>
          <w:r>
            <w:rPr>
              <w:color w:val="auto"/>
            </w:rPr>
            <w:t>- 42 -</w:t>
          </w:r>
          <w:r>
            <w:rPr>
              <w:color w:val="auto"/>
            </w:rPr>
            <w:fldChar w:fldCharType="end"/>
          </w:r>
          <w:r>
            <w:rPr>
              <w:rStyle w:val="18"/>
              <w:color w:val="auto"/>
            </w:rPr>
            <w:fldChar w:fldCharType="end"/>
          </w:r>
        </w:p>
        <w:p>
          <w:pPr>
            <w:pStyle w:val="11"/>
            <w:tabs>
              <w:tab w:val="right" w:leader="dot" w:pos="8721"/>
            </w:tabs>
            <w:ind w:left="624"/>
            <w:rPr>
              <w:rFonts w:asciiTheme="minorHAnsi" w:hAnsiTheme="minorHAnsi" w:eastAsiaTheme="minorEastAsia"/>
              <w:color w:val="auto"/>
              <w:sz w:val="21"/>
            </w:rPr>
          </w:pPr>
          <w:r>
            <w:rPr>
              <w:rStyle w:val="18"/>
              <w:color w:val="auto"/>
            </w:rPr>
            <w:fldChar w:fldCharType="begin"/>
          </w:r>
          <w:r>
            <w:rPr>
              <w:rStyle w:val="18"/>
              <w:color w:val="auto"/>
            </w:rPr>
            <w:instrText xml:space="preserve"> </w:instrText>
          </w:r>
          <w:r>
            <w:rPr>
              <w:color w:val="auto"/>
            </w:rPr>
            <w:instrText xml:space="preserve">HYPERLINK \l "_Toc109898284"</w:instrText>
          </w:r>
          <w:r>
            <w:rPr>
              <w:rStyle w:val="18"/>
              <w:color w:val="auto"/>
            </w:rPr>
            <w:instrText xml:space="preserve"> </w:instrText>
          </w:r>
          <w:r>
            <w:rPr>
              <w:rStyle w:val="18"/>
              <w:color w:val="auto"/>
            </w:rPr>
            <w:fldChar w:fldCharType="separate"/>
          </w:r>
          <w:r>
            <w:rPr>
              <w:rStyle w:val="18"/>
              <w:rFonts w:ascii="方正楷体_GBK" w:eastAsia="方正楷体_GBK"/>
              <w:color w:val="auto"/>
            </w:rPr>
            <w:t>第六节 注重低碳宣传</w:t>
          </w:r>
          <w:r>
            <w:rPr>
              <w:color w:val="auto"/>
            </w:rPr>
            <w:tab/>
          </w:r>
          <w:r>
            <w:rPr>
              <w:color w:val="auto"/>
            </w:rPr>
            <w:fldChar w:fldCharType="begin"/>
          </w:r>
          <w:r>
            <w:rPr>
              <w:color w:val="auto"/>
            </w:rPr>
            <w:instrText xml:space="preserve"> PAGEREF _Toc109898284 \h </w:instrText>
          </w:r>
          <w:r>
            <w:rPr>
              <w:color w:val="auto"/>
            </w:rPr>
            <w:fldChar w:fldCharType="separate"/>
          </w:r>
          <w:r>
            <w:rPr>
              <w:color w:val="auto"/>
            </w:rPr>
            <w:t>- 43 -</w:t>
          </w:r>
          <w:r>
            <w:rPr>
              <w:color w:val="auto"/>
            </w:rPr>
            <w:fldChar w:fldCharType="end"/>
          </w:r>
          <w:r>
            <w:rPr>
              <w:rStyle w:val="18"/>
              <w:color w:val="auto"/>
            </w:rPr>
            <w:fldChar w:fldCharType="end"/>
          </w:r>
        </w:p>
        <w:p>
          <w:pPr>
            <w:pStyle w:val="9"/>
            <w:rPr>
              <w:rFonts w:asciiTheme="minorHAnsi" w:hAnsiTheme="minorHAnsi" w:eastAsiaTheme="minorEastAsia"/>
              <w:color w:val="auto"/>
              <w:sz w:val="21"/>
            </w:rPr>
          </w:pPr>
          <w:r>
            <w:rPr>
              <w:rStyle w:val="18"/>
              <w:color w:val="auto"/>
            </w:rPr>
            <w:fldChar w:fldCharType="begin"/>
          </w:r>
          <w:r>
            <w:rPr>
              <w:rStyle w:val="18"/>
              <w:color w:val="auto"/>
            </w:rPr>
            <w:instrText xml:space="preserve"> </w:instrText>
          </w:r>
          <w:r>
            <w:rPr>
              <w:color w:val="auto"/>
            </w:rPr>
            <w:instrText xml:space="preserve">HYPERLINK \l "_Toc109898285"</w:instrText>
          </w:r>
          <w:r>
            <w:rPr>
              <w:rStyle w:val="18"/>
              <w:color w:val="auto"/>
            </w:rPr>
            <w:instrText xml:space="preserve"> </w:instrText>
          </w:r>
          <w:r>
            <w:rPr>
              <w:rStyle w:val="18"/>
              <w:color w:val="auto"/>
            </w:rPr>
            <w:fldChar w:fldCharType="separate"/>
          </w:r>
          <w:r>
            <w:rPr>
              <w:rStyle w:val="18"/>
              <w:rFonts w:ascii="方正黑体_GBK" w:eastAsia="方正黑体_GBK"/>
              <w:color w:val="auto"/>
            </w:rPr>
            <w:t>附表1 规划重点项目储备库</w:t>
          </w:r>
          <w:r>
            <w:rPr>
              <w:color w:val="auto"/>
            </w:rPr>
            <w:tab/>
          </w:r>
          <w:r>
            <w:rPr>
              <w:color w:val="auto"/>
            </w:rPr>
            <w:fldChar w:fldCharType="begin"/>
          </w:r>
          <w:r>
            <w:rPr>
              <w:color w:val="auto"/>
            </w:rPr>
            <w:instrText xml:space="preserve"> PAGEREF _Toc109898285 \h </w:instrText>
          </w:r>
          <w:r>
            <w:rPr>
              <w:color w:val="auto"/>
            </w:rPr>
            <w:fldChar w:fldCharType="separate"/>
          </w:r>
          <w:r>
            <w:rPr>
              <w:color w:val="auto"/>
            </w:rPr>
            <w:t>- 44 -</w:t>
          </w:r>
          <w:r>
            <w:rPr>
              <w:color w:val="auto"/>
            </w:rPr>
            <w:fldChar w:fldCharType="end"/>
          </w:r>
          <w:r>
            <w:rPr>
              <w:rStyle w:val="18"/>
              <w:color w:val="auto"/>
            </w:rPr>
            <w:fldChar w:fldCharType="end"/>
          </w:r>
        </w:p>
        <w:p>
          <w:pPr>
            <w:pStyle w:val="9"/>
            <w:rPr>
              <w:rFonts w:asciiTheme="minorHAnsi" w:hAnsiTheme="minorHAnsi" w:eastAsiaTheme="minorEastAsia"/>
              <w:color w:val="auto"/>
              <w:sz w:val="21"/>
            </w:rPr>
          </w:pPr>
          <w:r>
            <w:rPr>
              <w:rStyle w:val="18"/>
              <w:color w:val="auto"/>
            </w:rPr>
            <w:fldChar w:fldCharType="begin"/>
          </w:r>
          <w:r>
            <w:rPr>
              <w:rStyle w:val="18"/>
              <w:color w:val="auto"/>
            </w:rPr>
            <w:instrText xml:space="preserve"> </w:instrText>
          </w:r>
          <w:r>
            <w:rPr>
              <w:color w:val="auto"/>
            </w:rPr>
            <w:instrText xml:space="preserve">HYPERLINK \l "_Toc109898286"</w:instrText>
          </w:r>
          <w:r>
            <w:rPr>
              <w:rStyle w:val="18"/>
              <w:color w:val="auto"/>
            </w:rPr>
            <w:instrText xml:space="preserve"> </w:instrText>
          </w:r>
          <w:r>
            <w:rPr>
              <w:rStyle w:val="18"/>
              <w:color w:val="auto"/>
            </w:rPr>
            <w:fldChar w:fldCharType="separate"/>
          </w:r>
          <w:r>
            <w:rPr>
              <w:rStyle w:val="18"/>
              <w:rFonts w:ascii="方正黑体_GBK" w:eastAsia="方正黑体_GBK"/>
              <w:color w:val="auto"/>
            </w:rPr>
            <w:t>附表2 规划重点任务分工表</w:t>
          </w:r>
          <w:r>
            <w:rPr>
              <w:color w:val="auto"/>
            </w:rPr>
            <w:tab/>
          </w:r>
          <w:r>
            <w:rPr>
              <w:color w:val="auto"/>
            </w:rPr>
            <w:fldChar w:fldCharType="begin"/>
          </w:r>
          <w:r>
            <w:rPr>
              <w:color w:val="auto"/>
            </w:rPr>
            <w:instrText xml:space="preserve"> PAGEREF _Toc109898286 \h </w:instrText>
          </w:r>
          <w:r>
            <w:rPr>
              <w:color w:val="auto"/>
            </w:rPr>
            <w:fldChar w:fldCharType="separate"/>
          </w:r>
          <w:r>
            <w:rPr>
              <w:color w:val="auto"/>
            </w:rPr>
            <w:t>- 50 -</w:t>
          </w:r>
          <w:r>
            <w:rPr>
              <w:color w:val="auto"/>
            </w:rPr>
            <w:fldChar w:fldCharType="end"/>
          </w:r>
          <w:r>
            <w:rPr>
              <w:rStyle w:val="18"/>
              <w:color w:val="auto"/>
            </w:rPr>
            <w:fldChar w:fldCharType="end"/>
          </w:r>
        </w:p>
        <w:p>
          <w:pPr>
            <w:rPr>
              <w:color w:val="auto"/>
            </w:rPr>
          </w:pPr>
          <w:r>
            <w:rPr>
              <w:b/>
              <w:bCs/>
              <w:color w:val="auto"/>
              <w:lang w:val="zh-CN"/>
            </w:rPr>
            <w:fldChar w:fldCharType="end"/>
          </w:r>
        </w:p>
      </w:sdtContent>
    </w:sdt>
    <w:p>
      <w:pPr>
        <w:widowControl/>
        <w:jc w:val="left"/>
        <w:rPr>
          <w:rFonts w:ascii="方正黑体_GBK" w:eastAsia="方正黑体_GBK"/>
          <w:color w:val="auto"/>
        </w:rPr>
        <w:sectPr>
          <w:footerReference r:id="rId5" w:type="default"/>
          <w:pgSz w:w="11906" w:h="16838"/>
          <w:pgMar w:top="2098" w:right="1474" w:bottom="1985" w:left="1588" w:header="851" w:footer="992" w:gutter="113"/>
          <w:pgNumType w:fmt="numberInDash"/>
          <w:cols w:space="425" w:num="1"/>
          <w:docGrid w:type="linesAndChars" w:linePitch="579" w:charSpace="-1675"/>
        </w:sectPr>
      </w:pPr>
    </w:p>
    <w:p>
      <w:pPr>
        <w:spacing w:before="289" w:beforeLines="50" w:after="289" w:afterLines="50" w:line="596" w:lineRule="exact"/>
        <w:jc w:val="center"/>
        <w:outlineLvl w:val="0"/>
        <w:rPr>
          <w:rFonts w:ascii="方正黑体_GBK" w:eastAsia="方正黑体_GBK"/>
          <w:color w:val="auto"/>
        </w:rPr>
      </w:pPr>
      <w:bookmarkStart w:id="0" w:name="_Toc109898239"/>
      <w:r>
        <w:rPr>
          <w:rFonts w:hint="eastAsia" w:ascii="方正黑体_GBK" w:eastAsia="方正黑体_GBK"/>
          <w:color w:val="auto"/>
        </w:rPr>
        <w:t>前  言</w:t>
      </w:r>
      <w:bookmarkEnd w:id="0"/>
    </w:p>
    <w:p>
      <w:pPr>
        <w:widowControl/>
        <w:spacing w:line="596" w:lineRule="exact"/>
        <w:ind w:firstLine="624" w:firstLineChars="200"/>
        <w:rPr>
          <w:rFonts w:ascii="方正仿宋_GBK" w:eastAsia="方正仿宋_GBK"/>
          <w:color w:val="auto"/>
        </w:rPr>
      </w:pPr>
      <w:r>
        <w:rPr>
          <w:rFonts w:hint="eastAsia" w:ascii="方正仿宋_GBK" w:eastAsia="方正仿宋_GBK"/>
          <w:color w:val="auto"/>
        </w:rPr>
        <w:t>应对气候变化是全人类共同事业，习近平总书记强调，实现碳达峰、碳中和是一场广泛而深刻的经济社会系统性变革，要把碳达峰、碳中和纳入生态文明建设整体布局。重庆市研究制定了《重庆市推进碳达峰碳中和工作方案》，加快构建碳达峰碳中和领域“</w:t>
      </w:r>
      <w:r>
        <w:rPr>
          <w:rFonts w:eastAsia="方正仿宋_GBK" w:cs="Times New Roman"/>
          <w:color w:val="auto"/>
        </w:rPr>
        <w:t>1+2+6+N</w:t>
      </w:r>
      <w:r>
        <w:rPr>
          <w:rFonts w:hint="eastAsia" w:ascii="方正仿宋_GBK" w:eastAsia="方正仿宋_GBK"/>
          <w:color w:val="auto"/>
        </w:rPr>
        <w:t>”政策体系，对“十四五”期间全市碳达峰、碳中和等工作进行了详细部署。市发展改革委、市生态环境局多次围绕中央对碳达峰、碳中和的总体部署、面临的形势、能耗双控面临的形势压力以及双方工作联动机制等内容进行交流讨论，共同扎实开展规划联动，建成线上全国首个生态产品价值实现平台—“碳惠通”，组建全国首个区域性气候投融资产业促进中心，在全国率先将碳排放管理纳入环评和排污许可，组织编制了温室气体排放清单，进一步推动“双碳”工作有序开展。</w:t>
      </w:r>
    </w:p>
    <w:p>
      <w:pPr>
        <w:widowControl/>
        <w:spacing w:line="596" w:lineRule="exact"/>
        <w:ind w:firstLine="624" w:firstLineChars="200"/>
        <w:rPr>
          <w:rFonts w:ascii="方正仿宋_GBK" w:eastAsia="方正仿宋_GBK"/>
          <w:color w:val="auto"/>
        </w:rPr>
      </w:pPr>
      <w:r>
        <w:rPr>
          <w:rFonts w:hint="eastAsia" w:ascii="方正仿宋_GBK" w:eastAsia="方正仿宋_GBK"/>
          <w:color w:val="auto"/>
        </w:rPr>
        <w:t>为积极贯彻落实国家、重庆市有关应对气候变化工作要求，系统部署应对气候变化工作，加快推动全区绿色低碳发展，打好碳达峰、碳中和这场硬仗，按照《重庆市生态环境局关于印发</w:t>
      </w:r>
      <w:r>
        <w:rPr>
          <w:rFonts w:eastAsia="方正仿宋_GBK" w:cs="Times New Roman"/>
          <w:color w:val="auto"/>
        </w:rPr>
        <w:t>2021</w:t>
      </w:r>
      <w:r>
        <w:rPr>
          <w:rFonts w:hint="eastAsia" w:ascii="方正仿宋_GBK" w:eastAsia="方正仿宋_GBK"/>
          <w:color w:val="auto"/>
        </w:rPr>
        <w:t>年全市污染防治攻坚战目标任务的函》（渝环函</w:t>
      </w:r>
      <w:r>
        <w:rPr>
          <w:rFonts w:hint="eastAsia" w:eastAsia="方正仿宋_GBK" w:cs="Times New Roman"/>
          <w:color w:val="auto"/>
        </w:rPr>
        <w:t>〔</w:t>
      </w:r>
      <w:r>
        <w:rPr>
          <w:rFonts w:eastAsia="方正仿宋_GBK" w:cs="Times New Roman"/>
          <w:color w:val="auto"/>
        </w:rPr>
        <w:t>2021</w:t>
      </w:r>
      <w:r>
        <w:rPr>
          <w:rFonts w:hint="eastAsia" w:eastAsia="方正仿宋_GBK" w:cs="Times New Roman"/>
          <w:color w:val="auto"/>
        </w:rPr>
        <w:t>〕</w:t>
      </w:r>
      <w:r>
        <w:rPr>
          <w:rFonts w:eastAsia="方正仿宋_GBK" w:cs="Times New Roman"/>
          <w:color w:val="auto"/>
        </w:rPr>
        <w:t>340</w:t>
      </w:r>
      <w:r>
        <w:rPr>
          <w:rFonts w:hint="eastAsia" w:ascii="方正仿宋_GBK" w:eastAsia="方正仿宋_GBK"/>
          <w:color w:val="auto"/>
        </w:rPr>
        <w:t>号）要求，结合《重庆市应对气候变化“十四五”规划（</w:t>
      </w:r>
      <w:r>
        <w:rPr>
          <w:rFonts w:eastAsia="方正仿宋_GBK" w:cs="Times New Roman"/>
          <w:color w:val="auto"/>
        </w:rPr>
        <w:t>2021</w:t>
      </w:r>
      <w:r>
        <w:rPr>
          <w:rFonts w:hint="eastAsia" w:eastAsia="方正仿宋_GBK" w:cs="Times New Roman"/>
          <w:color w:val="auto"/>
        </w:rPr>
        <w:t>—</w:t>
      </w:r>
      <w:r>
        <w:rPr>
          <w:rFonts w:eastAsia="方正仿宋_GBK" w:cs="Times New Roman"/>
          <w:color w:val="auto"/>
        </w:rPr>
        <w:t>2025</w:t>
      </w:r>
      <w:r>
        <w:rPr>
          <w:rFonts w:hint="eastAsia" w:ascii="方正仿宋_GBK" w:eastAsia="方正仿宋_GBK"/>
          <w:color w:val="auto"/>
        </w:rPr>
        <w:t>年）》（渝环</w:t>
      </w:r>
      <w:r>
        <w:rPr>
          <w:rFonts w:hint="eastAsia" w:eastAsia="方正仿宋_GBK" w:cs="Times New Roman"/>
          <w:color w:val="auto"/>
        </w:rPr>
        <w:t>〔</w:t>
      </w:r>
      <w:bookmarkStart w:id="1" w:name="gwnh"/>
      <w:r>
        <w:rPr>
          <w:rFonts w:eastAsia="方正仿宋_GBK" w:cs="Times New Roman"/>
          <w:color w:val="auto"/>
        </w:rPr>
        <w:t>2022</w:t>
      </w:r>
      <w:bookmarkEnd w:id="1"/>
      <w:r>
        <w:rPr>
          <w:rFonts w:hint="eastAsia" w:eastAsia="方正仿宋_GBK" w:cs="Times New Roman"/>
          <w:color w:val="auto"/>
        </w:rPr>
        <w:t>〕</w:t>
      </w:r>
      <w:bookmarkStart w:id="2" w:name="gwqh"/>
      <w:r>
        <w:rPr>
          <w:rFonts w:eastAsia="方正仿宋_GBK" w:cs="Times New Roman"/>
          <w:color w:val="auto"/>
        </w:rPr>
        <w:t>50</w:t>
      </w:r>
      <w:bookmarkEnd w:id="2"/>
      <w:r>
        <w:rPr>
          <w:rFonts w:hint="eastAsia" w:ascii="方正仿宋_GBK" w:eastAsia="方正仿宋_GBK"/>
          <w:color w:val="auto"/>
        </w:rPr>
        <w:t>号）文件，编制《重庆市铜梁区应对气候变化“十四五”规划》（</w:t>
      </w:r>
      <w:r>
        <w:rPr>
          <w:rFonts w:eastAsia="方正仿宋_GBK" w:cs="Times New Roman"/>
          <w:color w:val="auto"/>
        </w:rPr>
        <w:t>2021</w:t>
      </w:r>
      <w:r>
        <w:rPr>
          <w:rFonts w:hint="eastAsia" w:eastAsia="方正仿宋_GBK" w:cs="Times New Roman"/>
          <w:color w:val="auto"/>
        </w:rPr>
        <w:t>—</w:t>
      </w:r>
      <w:r>
        <w:rPr>
          <w:rFonts w:eastAsia="方正仿宋_GBK" w:cs="Times New Roman"/>
          <w:color w:val="auto"/>
        </w:rPr>
        <w:t>2025</w:t>
      </w:r>
      <w:r>
        <w:rPr>
          <w:rFonts w:hint="eastAsia" w:ascii="方正仿宋_GBK" w:eastAsia="方正仿宋_GBK"/>
          <w:color w:val="auto"/>
        </w:rPr>
        <w:t>年）。</w:t>
      </w:r>
    </w:p>
    <w:p>
      <w:pPr>
        <w:widowControl/>
        <w:spacing w:line="596" w:lineRule="exact"/>
        <w:ind w:firstLine="198"/>
        <w:jc w:val="left"/>
        <w:rPr>
          <w:color w:val="auto"/>
        </w:rPr>
      </w:pPr>
      <w:r>
        <w:rPr>
          <w:color w:val="auto"/>
        </w:rPr>
        <w:br w:type="page"/>
      </w:r>
    </w:p>
    <w:p>
      <w:pPr>
        <w:tabs>
          <w:tab w:val="left" w:pos="2496"/>
          <w:tab w:val="center" w:pos="4365"/>
        </w:tabs>
        <w:spacing w:before="289" w:beforeLines="50" w:after="289" w:afterLines="50" w:line="596" w:lineRule="exact"/>
        <w:jc w:val="left"/>
        <w:outlineLvl w:val="0"/>
        <w:rPr>
          <w:rFonts w:ascii="方正黑体_GBK" w:eastAsia="方正黑体_GBK"/>
          <w:color w:val="auto"/>
        </w:rPr>
      </w:pPr>
      <w:r>
        <w:rPr>
          <w:rFonts w:ascii="方正黑体_GBK" w:eastAsia="方正黑体_GBK"/>
          <w:color w:val="auto"/>
        </w:rPr>
        <w:tab/>
      </w:r>
      <w:r>
        <w:rPr>
          <w:rFonts w:ascii="方正黑体_GBK" w:eastAsia="方正黑体_GBK"/>
          <w:color w:val="auto"/>
        </w:rPr>
        <w:tab/>
      </w:r>
      <w:bookmarkStart w:id="3" w:name="_Toc109898240"/>
      <w:r>
        <w:rPr>
          <w:rFonts w:hint="eastAsia" w:ascii="方正黑体_GBK" w:eastAsia="方正黑体_GBK"/>
          <w:color w:val="auto"/>
        </w:rPr>
        <w:t>第一章 应对气候变化形势</w:t>
      </w:r>
      <w:bookmarkEnd w:id="3"/>
    </w:p>
    <w:p>
      <w:pPr>
        <w:spacing w:line="596" w:lineRule="exact"/>
        <w:ind w:firstLine="624" w:firstLineChars="200"/>
        <w:rPr>
          <w:rFonts w:ascii="方正仿宋_GBK" w:eastAsia="方正仿宋_GBK"/>
          <w:color w:val="auto"/>
        </w:rPr>
      </w:pPr>
      <w:r>
        <w:rPr>
          <w:rFonts w:hint="eastAsia" w:ascii="方正仿宋_GBK" w:eastAsia="方正仿宋_GBK"/>
          <w:color w:val="auto"/>
        </w:rPr>
        <w:t>“十三五”期间，全区坚持创新、协调、绿色、开放、共享的发展理念，坚持实施积极应对气候变化的国家战略，采取产业结构调整、能源结构调整、减污降碳协同创新等一系列措施，在控制温室气体排放、开展低碳试点示范、推进低碳技术创新及应用、建立健全体制机制等方面取得积极成效。</w:t>
      </w:r>
    </w:p>
    <w:p>
      <w:pPr>
        <w:spacing w:before="289" w:beforeLines="50" w:after="289" w:afterLines="50" w:line="596" w:lineRule="exact"/>
        <w:jc w:val="center"/>
        <w:outlineLvl w:val="1"/>
        <w:rPr>
          <w:rFonts w:ascii="方正楷体_GBK" w:eastAsia="方正楷体_GBK"/>
          <w:color w:val="auto"/>
        </w:rPr>
      </w:pPr>
      <w:bookmarkStart w:id="4" w:name="_Toc109898241"/>
      <w:r>
        <w:rPr>
          <w:rFonts w:hint="eastAsia" w:ascii="方正楷体_GBK" w:eastAsia="方正楷体_GBK"/>
          <w:color w:val="auto"/>
        </w:rPr>
        <w:t>第一节 应对气候变化工作成效</w:t>
      </w:r>
      <w:bookmarkEnd w:id="4"/>
    </w:p>
    <w:p>
      <w:pPr>
        <w:spacing w:line="596" w:lineRule="exact"/>
        <w:ind w:firstLine="624" w:firstLineChars="200"/>
        <w:rPr>
          <w:rFonts w:ascii="方正仿宋_GBK" w:eastAsia="方正仿宋_GBK"/>
          <w:color w:val="auto"/>
        </w:rPr>
      </w:pPr>
      <w:r>
        <w:rPr>
          <w:rFonts w:hint="eastAsia" w:ascii="方正仿宋_GBK" w:eastAsia="方正仿宋_GBK"/>
          <w:b/>
          <w:bCs/>
          <w:color w:val="auto"/>
        </w:rPr>
        <w:t>持续构建低碳产业体系。</w:t>
      </w:r>
      <w:r>
        <w:rPr>
          <w:rFonts w:eastAsia="方正仿宋_GBK" w:cs="Times New Roman"/>
          <w:color w:val="auto"/>
        </w:rPr>
        <w:t>2020</w:t>
      </w:r>
      <w:r>
        <w:rPr>
          <w:rFonts w:hint="eastAsia" w:ascii="方正仿宋_GBK" w:eastAsia="方正仿宋_GBK"/>
          <w:color w:val="auto"/>
        </w:rPr>
        <w:t>年，铜梁地区生产总值</w:t>
      </w:r>
      <w:r>
        <w:rPr>
          <w:rFonts w:eastAsia="方正仿宋_GBK" w:cs="Times New Roman"/>
          <w:color w:val="auto"/>
        </w:rPr>
        <w:t>661</w:t>
      </w:r>
      <w:r>
        <w:rPr>
          <w:rFonts w:hint="eastAsia" w:ascii="方正仿宋_GBK" w:eastAsia="方正仿宋_GBK"/>
          <w:color w:val="auto"/>
        </w:rPr>
        <w:t>亿元，三次产业结构由</w:t>
      </w:r>
      <w:r>
        <w:rPr>
          <w:rFonts w:eastAsia="方正仿宋_GBK" w:cs="Times New Roman"/>
          <w:color w:val="auto"/>
        </w:rPr>
        <w:t>2015</w:t>
      </w:r>
      <w:r>
        <w:rPr>
          <w:rFonts w:hint="eastAsia" w:ascii="方正仿宋_GBK" w:eastAsia="方正仿宋_GBK"/>
          <w:color w:val="auto"/>
        </w:rPr>
        <w:t>年</w:t>
      </w:r>
      <w:r>
        <w:rPr>
          <w:rFonts w:eastAsia="方正仿宋_GBK" w:cs="Times New Roman"/>
          <w:color w:val="auto"/>
        </w:rPr>
        <w:t>4.3:67.5:28.2</w:t>
      </w:r>
      <w:r>
        <w:rPr>
          <w:rFonts w:hint="eastAsia" w:ascii="方正仿宋_GBK" w:eastAsia="方正仿宋_GBK"/>
          <w:color w:val="auto"/>
        </w:rPr>
        <w:t>调整为</w:t>
      </w:r>
      <w:r>
        <w:rPr>
          <w:rFonts w:eastAsia="方正仿宋_GBK" w:cs="Times New Roman"/>
          <w:color w:val="auto"/>
        </w:rPr>
        <w:t>8.8:55.4:35.8</w:t>
      </w:r>
      <w:r>
        <w:rPr>
          <w:rFonts w:hint="eastAsia" w:ascii="方正仿宋_GBK" w:eastAsia="方正仿宋_GBK"/>
          <w:color w:val="auto"/>
        </w:rPr>
        <w:t>，产业结构得到持续优化。“十三五”期间，累计实施智能化改造项目</w:t>
      </w:r>
      <w:r>
        <w:rPr>
          <w:rFonts w:eastAsia="方正仿宋_GBK" w:cs="Times New Roman"/>
          <w:color w:val="auto"/>
        </w:rPr>
        <w:t>268</w:t>
      </w:r>
      <w:r>
        <w:rPr>
          <w:rFonts w:hint="eastAsia" w:ascii="方正仿宋_GBK" w:eastAsia="方正仿宋_GBK"/>
          <w:color w:val="auto"/>
        </w:rPr>
        <w:t>个，规上数字经济产值年均增长达到</w:t>
      </w:r>
      <w:r>
        <w:rPr>
          <w:rFonts w:eastAsia="方正仿宋_GBK" w:cs="Times New Roman"/>
          <w:color w:val="auto"/>
        </w:rPr>
        <w:t>27.8%</w:t>
      </w:r>
      <w:r>
        <w:rPr>
          <w:rFonts w:hint="eastAsia" w:ascii="方正仿宋_GBK" w:eastAsia="方正仿宋_GBK"/>
          <w:color w:val="auto"/>
        </w:rPr>
        <w:t>，高新技术企业、科技型企业分别达到</w:t>
      </w:r>
      <w:r>
        <w:rPr>
          <w:rFonts w:eastAsia="方正仿宋_GBK" w:cs="Times New Roman"/>
          <w:color w:val="auto"/>
        </w:rPr>
        <w:t>95</w:t>
      </w:r>
      <w:r>
        <w:rPr>
          <w:rFonts w:hint="eastAsia" w:ascii="方正仿宋_GBK" w:eastAsia="方正仿宋_GBK"/>
          <w:color w:val="auto"/>
        </w:rPr>
        <w:t>家、</w:t>
      </w:r>
      <w:r>
        <w:rPr>
          <w:rFonts w:eastAsia="方正仿宋_GBK" w:cs="Times New Roman"/>
          <w:color w:val="auto"/>
        </w:rPr>
        <w:t>540</w:t>
      </w:r>
      <w:r>
        <w:rPr>
          <w:rFonts w:hint="eastAsia" w:ascii="方正仿宋_GBK" w:eastAsia="方正仿宋_GBK"/>
          <w:color w:val="auto"/>
        </w:rPr>
        <w:t>家，“双新”企业产值占规上工业比重提高至</w:t>
      </w:r>
      <w:r>
        <w:rPr>
          <w:rFonts w:eastAsia="方正仿宋_GBK" w:cs="Times New Roman"/>
          <w:color w:val="auto"/>
        </w:rPr>
        <w:t>45.3%</w:t>
      </w:r>
      <w:r>
        <w:rPr>
          <w:rFonts w:hint="eastAsia" w:ascii="方正仿宋_GBK" w:eastAsia="方正仿宋_GBK"/>
          <w:color w:val="auto"/>
        </w:rPr>
        <w:t>，全区实现工业增加值</w:t>
      </w:r>
      <w:r>
        <w:rPr>
          <w:rFonts w:eastAsia="方正仿宋_GBK" w:cs="Times New Roman"/>
          <w:color w:val="auto"/>
        </w:rPr>
        <w:t>254.5</w:t>
      </w:r>
      <w:r>
        <w:rPr>
          <w:rFonts w:hint="eastAsia" w:ascii="方正仿宋_GBK" w:eastAsia="方正仿宋_GBK"/>
          <w:color w:val="auto"/>
        </w:rPr>
        <w:t>亿元，铜梁加速迈向生态数字花园国家高新区。现代服务业发展势头良好，以龙城天街为首的核心商圈商业综合体雏形初现，围绕现代物流、现代金融、高端康养、文体旅游等行业门类，大力发展现代服务业及其配套产业，实现城市现代服务有效聚集和高质量发展，全区实现服务业增加值</w:t>
      </w:r>
      <w:r>
        <w:rPr>
          <w:rFonts w:eastAsia="方正仿宋_GBK" w:cs="Times New Roman"/>
          <w:color w:val="auto"/>
        </w:rPr>
        <w:t>236.3</w:t>
      </w:r>
      <w:r>
        <w:rPr>
          <w:rFonts w:hint="eastAsia" w:ascii="方正仿宋_GBK" w:eastAsia="方正仿宋_GBK"/>
          <w:color w:val="auto"/>
        </w:rPr>
        <w:t>亿元。农业产业提档升级，优势特色产业持续发展壮大，铜梁农业科技园区成功跻身于第八批国家农业科技园区，全区实现农业增加值</w:t>
      </w:r>
      <w:r>
        <w:rPr>
          <w:rFonts w:eastAsia="方正仿宋_GBK" w:cs="Times New Roman"/>
          <w:color w:val="auto"/>
        </w:rPr>
        <w:t>58.3</w:t>
      </w:r>
      <w:r>
        <w:rPr>
          <w:rFonts w:hint="eastAsia" w:ascii="方正仿宋_GBK" w:eastAsia="方正仿宋_GBK"/>
          <w:color w:val="auto"/>
        </w:rPr>
        <w:t>亿元。</w:t>
      </w:r>
    </w:p>
    <w:p>
      <w:pPr>
        <w:spacing w:line="596" w:lineRule="exact"/>
        <w:ind w:firstLine="624" w:firstLineChars="200"/>
        <w:rPr>
          <w:rFonts w:ascii="方正仿宋_GBK" w:eastAsia="方正仿宋_GBK"/>
          <w:color w:val="auto"/>
        </w:rPr>
      </w:pPr>
      <w:r>
        <w:rPr>
          <w:rFonts w:hint="eastAsia" w:ascii="方正仿宋_GBK" w:eastAsia="方正仿宋_GBK"/>
          <w:b/>
          <w:bCs/>
          <w:color w:val="auto"/>
        </w:rPr>
        <w:t>低碳能源体系持续优化。</w:t>
      </w:r>
      <w:r>
        <w:rPr>
          <w:rFonts w:hint="eastAsia" w:ascii="方正仿宋_GBK" w:eastAsia="方正仿宋_GBK"/>
          <w:color w:val="auto"/>
        </w:rPr>
        <w:t>持续开展煤炭消费减量工作，依法依规淘汰落后产能，</w:t>
      </w:r>
      <w:r>
        <w:rPr>
          <w:rFonts w:eastAsia="方正仿宋_GBK" w:cs="Times New Roman"/>
          <w:color w:val="auto"/>
        </w:rPr>
        <w:t>2020</w:t>
      </w:r>
      <w:r>
        <w:rPr>
          <w:rFonts w:hint="eastAsia" w:ascii="方正仿宋_GBK" w:eastAsia="方正仿宋_GBK"/>
          <w:color w:val="auto"/>
        </w:rPr>
        <w:t>年，全区规上企业消耗原煤</w:t>
      </w:r>
      <w:r>
        <w:rPr>
          <w:rFonts w:eastAsia="方正仿宋_GBK" w:cs="Times New Roman"/>
          <w:color w:val="auto"/>
        </w:rPr>
        <w:t>32.52</w:t>
      </w:r>
      <w:r>
        <w:rPr>
          <w:rFonts w:hint="eastAsia" w:ascii="方正仿宋_GBK" w:eastAsia="方正仿宋_GBK"/>
          <w:color w:val="auto"/>
        </w:rPr>
        <w:t>万吨，较</w:t>
      </w:r>
      <w:r>
        <w:rPr>
          <w:rFonts w:eastAsia="方正仿宋_GBK" w:cs="Times New Roman"/>
          <w:color w:val="auto"/>
        </w:rPr>
        <w:t>2015</w:t>
      </w:r>
      <w:r>
        <w:rPr>
          <w:rFonts w:hint="eastAsia" w:ascii="方正仿宋_GBK" w:eastAsia="方正仿宋_GBK"/>
          <w:color w:val="auto"/>
        </w:rPr>
        <w:t>年下降</w:t>
      </w:r>
      <w:r>
        <w:rPr>
          <w:rFonts w:eastAsia="方正仿宋_GBK" w:cs="Times New Roman"/>
          <w:color w:val="auto"/>
        </w:rPr>
        <w:t>44.4%</w:t>
      </w:r>
      <w:r>
        <w:rPr>
          <w:rFonts w:hint="eastAsia" w:ascii="方正仿宋_GBK" w:eastAsia="方正仿宋_GBK"/>
          <w:color w:val="auto"/>
        </w:rPr>
        <w:t>。大力发展非化石能源，积极推进清洁能源替代工作，稳步实施能源重点项目建设，</w:t>
      </w:r>
      <w:r>
        <w:rPr>
          <w:rFonts w:eastAsia="方正仿宋_GBK" w:cs="Times New Roman"/>
          <w:color w:val="auto"/>
        </w:rPr>
        <w:t>2020</w:t>
      </w:r>
      <w:r>
        <w:rPr>
          <w:rFonts w:hint="eastAsia" w:ascii="方正仿宋_GBK" w:eastAsia="方正仿宋_GBK"/>
          <w:color w:val="auto"/>
        </w:rPr>
        <w:t>年日最大电力达</w:t>
      </w:r>
      <w:r>
        <w:rPr>
          <w:rFonts w:eastAsia="方正仿宋_GBK" w:cs="Times New Roman"/>
          <w:color w:val="auto"/>
        </w:rPr>
        <w:t>958</w:t>
      </w:r>
      <w:r>
        <w:rPr>
          <w:rFonts w:hint="eastAsia" w:ascii="方正仿宋_GBK" w:eastAsia="方正仿宋_GBK"/>
          <w:color w:val="auto"/>
        </w:rPr>
        <w:t>万千瓦时，较</w:t>
      </w:r>
      <w:r>
        <w:rPr>
          <w:rFonts w:eastAsia="方正仿宋_GBK" w:cs="Times New Roman"/>
          <w:color w:val="auto"/>
        </w:rPr>
        <w:t>2015</w:t>
      </w:r>
      <w:r>
        <w:rPr>
          <w:rFonts w:hint="eastAsia" w:ascii="方正仿宋_GBK" w:eastAsia="方正仿宋_GBK"/>
          <w:color w:val="auto"/>
        </w:rPr>
        <w:t>年提升</w:t>
      </w:r>
      <w:r>
        <w:rPr>
          <w:rFonts w:eastAsia="方正仿宋_GBK" w:cs="Times New Roman"/>
          <w:color w:val="auto"/>
        </w:rPr>
        <w:t>98.76%</w:t>
      </w:r>
      <w:r>
        <w:rPr>
          <w:rFonts w:hint="eastAsia" w:ascii="方正仿宋_GBK" w:eastAsia="方正仿宋_GBK"/>
          <w:color w:val="auto"/>
        </w:rPr>
        <w:t>，页岩气累计产气量达到</w:t>
      </w:r>
      <w:r>
        <w:rPr>
          <w:rFonts w:eastAsia="方正仿宋_GBK" w:cs="Times New Roman"/>
          <w:color w:val="auto"/>
        </w:rPr>
        <w:t>1.5</w:t>
      </w:r>
      <w:r>
        <w:rPr>
          <w:rFonts w:hint="eastAsia" w:ascii="方正仿宋_GBK" w:eastAsia="方正仿宋_GBK"/>
          <w:color w:val="auto"/>
        </w:rPr>
        <w:t>亿立方米，完成了一批农村电网升级改造、无危小区电力“一户一表”改造等民心工程。持续完善能源管理体系，印发《重庆市铜梁区“十三五”节能和控制能源消费总量重点工作通知》（铜发改</w:t>
      </w:r>
      <w:r>
        <w:rPr>
          <w:rFonts w:hint="eastAsia" w:eastAsia="方正仿宋_GBK" w:cs="Times New Roman"/>
          <w:color w:val="auto"/>
        </w:rPr>
        <w:t>〔</w:t>
      </w:r>
      <w:r>
        <w:rPr>
          <w:rFonts w:eastAsia="方正仿宋_GBK" w:cs="Times New Roman"/>
          <w:color w:val="auto"/>
        </w:rPr>
        <w:t>2017</w:t>
      </w:r>
      <w:r>
        <w:rPr>
          <w:rFonts w:hint="eastAsia" w:eastAsia="方正仿宋_GBK" w:cs="Times New Roman"/>
          <w:color w:val="auto"/>
        </w:rPr>
        <w:t>〕</w:t>
      </w:r>
      <w:r>
        <w:rPr>
          <w:rFonts w:eastAsia="方正仿宋_GBK" w:cs="Times New Roman"/>
          <w:color w:val="auto"/>
        </w:rPr>
        <w:t>2</w:t>
      </w:r>
      <w:r>
        <w:rPr>
          <w:rFonts w:hint="eastAsia" w:ascii="方正仿宋_GBK" w:eastAsia="方正仿宋_GBK"/>
          <w:color w:val="auto"/>
        </w:rPr>
        <w:t>号）等制度文件，建立健全节能工作长效机制，扎实推进能源统计和上报工作。</w:t>
      </w:r>
      <w:r>
        <w:rPr>
          <w:rFonts w:eastAsia="方正仿宋_GBK" w:cs="Times New Roman"/>
          <w:color w:val="auto"/>
        </w:rPr>
        <w:t>2020</w:t>
      </w:r>
      <w:r>
        <w:rPr>
          <w:rFonts w:hint="eastAsia" w:ascii="方正仿宋_GBK" w:eastAsia="方正仿宋_GBK"/>
          <w:color w:val="auto"/>
        </w:rPr>
        <w:t>年，全区万元</w:t>
      </w:r>
      <w:r>
        <w:rPr>
          <w:rFonts w:eastAsia="方正仿宋_GBK" w:cs="Times New Roman"/>
          <w:color w:val="auto"/>
        </w:rPr>
        <w:t>GDP</w:t>
      </w:r>
      <w:r>
        <w:rPr>
          <w:rFonts w:hint="eastAsia" w:ascii="方正仿宋_GBK" w:eastAsia="方正仿宋_GBK"/>
          <w:color w:val="auto"/>
        </w:rPr>
        <w:t>能耗累计下降</w:t>
      </w:r>
      <w:r>
        <w:rPr>
          <w:rFonts w:eastAsia="方正仿宋_GBK" w:cs="Times New Roman"/>
          <w:color w:val="auto"/>
        </w:rPr>
        <w:t>22%</w:t>
      </w:r>
      <w:r>
        <w:rPr>
          <w:rFonts w:hint="eastAsia" w:ascii="方正仿宋_GBK" w:eastAsia="方正仿宋_GBK"/>
          <w:color w:val="auto"/>
        </w:rPr>
        <w:t>、万元工业增加值能耗下降</w:t>
      </w:r>
      <w:r>
        <w:rPr>
          <w:rFonts w:eastAsia="方正仿宋_GBK" w:cs="Times New Roman"/>
          <w:color w:val="auto"/>
        </w:rPr>
        <w:t>43.4%</w:t>
      </w:r>
      <w:r>
        <w:rPr>
          <w:rFonts w:hint="eastAsia" w:ascii="方正仿宋_GBK" w:eastAsia="方正仿宋_GBK"/>
          <w:color w:val="auto"/>
        </w:rPr>
        <w:t>，全社会能源消耗总量</w:t>
      </w:r>
      <w:r>
        <w:rPr>
          <w:rFonts w:eastAsia="方正仿宋_GBK" w:cs="Times New Roman"/>
          <w:color w:val="auto"/>
        </w:rPr>
        <w:t>132.39</w:t>
      </w:r>
      <w:r>
        <w:rPr>
          <w:rFonts w:hint="eastAsia" w:ascii="方正仿宋_GBK" w:eastAsia="方正仿宋_GBK"/>
          <w:color w:val="auto"/>
        </w:rPr>
        <w:t>万吨标煤，年均增速</w:t>
      </w:r>
      <w:r>
        <w:rPr>
          <w:rFonts w:eastAsia="方正仿宋_GBK" w:cs="Times New Roman"/>
          <w:color w:val="auto"/>
        </w:rPr>
        <w:t>3.4</w:t>
      </w:r>
      <w:r>
        <w:rPr>
          <w:rFonts w:ascii="方正仿宋_GBK" w:eastAsia="方正仿宋_GBK"/>
          <w:color w:val="auto"/>
        </w:rPr>
        <w:t>%</w:t>
      </w:r>
      <w:r>
        <w:rPr>
          <w:rFonts w:hint="eastAsia" w:ascii="方正仿宋_GBK" w:eastAsia="方正仿宋_GBK"/>
          <w:color w:val="auto"/>
        </w:rPr>
        <w:t>，全面完成《关于下达“十三五”能耗强度和增速“双控”目标的通知》（渝节减办</w:t>
      </w:r>
      <w:r>
        <w:rPr>
          <w:rFonts w:hint="eastAsia" w:eastAsia="方正仿宋_GBK" w:cs="Times New Roman"/>
          <w:color w:val="auto"/>
        </w:rPr>
        <w:t>〔</w:t>
      </w:r>
      <w:r>
        <w:rPr>
          <w:rFonts w:eastAsia="方正仿宋_GBK" w:cs="Times New Roman"/>
          <w:color w:val="auto"/>
        </w:rPr>
        <w:t>2017</w:t>
      </w:r>
      <w:r>
        <w:rPr>
          <w:rFonts w:hint="eastAsia" w:eastAsia="方正仿宋_GBK" w:cs="Times New Roman"/>
          <w:color w:val="auto"/>
        </w:rPr>
        <w:t>〕</w:t>
      </w:r>
      <w:r>
        <w:rPr>
          <w:rFonts w:eastAsia="方正仿宋_GBK" w:cs="Times New Roman"/>
          <w:color w:val="auto"/>
        </w:rPr>
        <w:t>7</w:t>
      </w:r>
      <w:r>
        <w:rPr>
          <w:rFonts w:hint="eastAsia" w:ascii="方正仿宋_GBK" w:eastAsia="方正仿宋_GBK"/>
          <w:color w:val="auto"/>
        </w:rPr>
        <w:t>号）要求。</w:t>
      </w:r>
    </w:p>
    <w:p>
      <w:pPr>
        <w:spacing w:line="596" w:lineRule="exact"/>
        <w:ind w:firstLine="624" w:firstLineChars="200"/>
        <w:rPr>
          <w:rFonts w:ascii="方正仿宋_GBK" w:eastAsia="方正仿宋_GBK"/>
          <w:color w:val="auto"/>
          <w:highlight w:val="none"/>
        </w:rPr>
      </w:pPr>
      <w:r>
        <w:rPr>
          <w:rFonts w:hint="eastAsia" w:ascii="方正仿宋_GBK" w:eastAsia="方正仿宋_GBK"/>
          <w:b/>
          <w:bCs/>
          <w:color w:val="auto"/>
        </w:rPr>
        <w:t>碳汇能力持续巩固提升。</w:t>
      </w:r>
      <w:r>
        <w:rPr>
          <w:rFonts w:hint="eastAsia" w:ascii="方正仿宋_GBK" w:eastAsia="方正仿宋_GBK"/>
          <w:color w:val="auto"/>
        </w:rPr>
        <w:t>以创建国家森林城市为抓手，大力实施国土绿化提升行动，</w:t>
      </w:r>
      <w:r>
        <w:rPr>
          <w:rFonts w:eastAsia="方正仿宋_GBK" w:cs="Times New Roman"/>
          <w:color w:val="auto"/>
        </w:rPr>
        <w:t>2018</w:t>
      </w:r>
      <w:r>
        <w:rPr>
          <w:rFonts w:hint="eastAsia" w:ascii="方正仿宋_GBK" w:eastAsia="方正仿宋_GBK"/>
          <w:color w:val="auto"/>
        </w:rPr>
        <w:t>年以来，全区共计完成营造林</w:t>
      </w:r>
      <w:r>
        <w:rPr>
          <w:rFonts w:eastAsia="方正仿宋_GBK" w:cs="Times New Roman"/>
          <w:color w:val="auto"/>
        </w:rPr>
        <w:t>25.8</w:t>
      </w:r>
      <w:r>
        <w:rPr>
          <w:rFonts w:hint="eastAsia" w:ascii="方正仿宋_GBK" w:eastAsia="方正仿宋_GBK"/>
          <w:color w:val="auto"/>
        </w:rPr>
        <w:t>万亩，实现森林数量提升</w:t>
      </w:r>
      <w:r>
        <w:rPr>
          <w:rFonts w:eastAsia="方正仿宋_GBK" w:cs="Times New Roman"/>
          <w:color w:val="auto"/>
        </w:rPr>
        <w:t>20.5</w:t>
      </w:r>
      <w:r>
        <w:rPr>
          <w:rFonts w:hint="eastAsia" w:ascii="方正仿宋_GBK" w:eastAsia="方正仿宋_GBK"/>
          <w:color w:val="auto"/>
        </w:rPr>
        <w:t>万亩，中心城区见缝插绿新增绿地面积约</w:t>
      </w:r>
      <w:r>
        <w:rPr>
          <w:rFonts w:eastAsia="方正仿宋_GBK" w:cs="Times New Roman"/>
          <w:color w:val="auto"/>
        </w:rPr>
        <w:t>342</w:t>
      </w:r>
      <w:r>
        <w:rPr>
          <w:rFonts w:hint="eastAsia" w:ascii="方正仿宋_GBK" w:eastAsia="方正仿宋_GBK"/>
          <w:color w:val="auto"/>
        </w:rPr>
        <w:t>万平方米，实现市民出门</w:t>
      </w:r>
      <w:r>
        <w:rPr>
          <w:rFonts w:eastAsia="方正仿宋_GBK" w:cs="Times New Roman"/>
          <w:color w:val="auto"/>
        </w:rPr>
        <w:t>500</w:t>
      </w:r>
      <w:r>
        <w:rPr>
          <w:rFonts w:hint="eastAsia" w:ascii="方正仿宋_GBK" w:eastAsia="方正仿宋_GBK"/>
          <w:color w:val="auto"/>
        </w:rPr>
        <w:t>米以内就有公园广场的城市森林生态空间新格局，截至</w:t>
      </w:r>
      <w:r>
        <w:rPr>
          <w:rFonts w:eastAsia="方正仿宋_GBK" w:cs="Times New Roman"/>
          <w:color w:val="auto"/>
        </w:rPr>
        <w:t>2020</w:t>
      </w:r>
      <w:r>
        <w:rPr>
          <w:rFonts w:hint="eastAsia" w:ascii="方正仿宋_GBK" w:eastAsia="方正仿宋_GBK"/>
          <w:color w:val="auto"/>
        </w:rPr>
        <w:t>年，全区森林覆盖率达到</w:t>
      </w:r>
      <w:r>
        <w:rPr>
          <w:rFonts w:eastAsia="方正仿宋_GBK" w:cs="Times New Roman"/>
          <w:color w:val="auto"/>
        </w:rPr>
        <w:t>47%</w:t>
      </w:r>
      <w:r>
        <w:rPr>
          <w:rFonts w:hint="eastAsia" w:ascii="方正仿宋_GBK" w:eastAsia="方正仿宋_GBK"/>
          <w:color w:val="auto"/>
        </w:rPr>
        <w:t>，建成区绿地率达到</w:t>
      </w:r>
      <w:r>
        <w:rPr>
          <w:rFonts w:eastAsia="方正仿宋_GBK" w:cs="Times New Roman"/>
          <w:color w:val="auto"/>
        </w:rPr>
        <w:t>47.98%</w:t>
      </w:r>
      <w:r>
        <w:rPr>
          <w:rFonts w:hint="eastAsia" w:ascii="方正仿宋_GBK" w:eastAsia="方正仿宋_GBK"/>
          <w:color w:val="auto"/>
        </w:rPr>
        <w:t>。依托安居黄家坝国家湿地公园（试点）建设，完成黎家沟水库饮用水源地水质和水环境改善工程、小北海水库水资源涵养及水生态修复工程等湿地生态修复工作，全区湿地面积达</w:t>
      </w:r>
      <w:r>
        <w:rPr>
          <w:rFonts w:eastAsia="方正仿宋_GBK" w:cs="Times New Roman"/>
          <w:color w:val="auto"/>
        </w:rPr>
        <w:t>5.6</w:t>
      </w:r>
      <w:r>
        <w:rPr>
          <w:rFonts w:hint="eastAsia" w:ascii="方正仿宋_GBK" w:eastAsia="方正仿宋_GBK"/>
          <w:color w:val="auto"/>
        </w:rPr>
        <w:t>万亩。不断实施流域生态保护修复，</w:t>
      </w:r>
      <w:r>
        <w:rPr>
          <w:rFonts w:eastAsia="方正仿宋_GBK" w:cs="Times New Roman"/>
          <w:color w:val="auto"/>
        </w:rPr>
        <w:t>2015</w:t>
      </w:r>
      <w:r>
        <w:rPr>
          <w:rFonts w:hint="eastAsia" w:ascii="方正仿宋_GBK" w:eastAsia="方正仿宋_GBK"/>
          <w:color w:val="auto"/>
        </w:rPr>
        <w:t>年以来，累计综合治理河道</w:t>
      </w:r>
      <w:r>
        <w:rPr>
          <w:rFonts w:eastAsia="方正仿宋_GBK" w:cs="Times New Roman"/>
          <w:color w:val="auto"/>
        </w:rPr>
        <w:t>27.91</w:t>
      </w:r>
      <w:r>
        <w:rPr>
          <w:rFonts w:hint="eastAsia" w:ascii="方正仿宋_GBK" w:eastAsia="方正仿宋_GBK"/>
          <w:color w:val="auto"/>
        </w:rPr>
        <w:t>公里。大力实施生物多样性提升工作，完成毓青山国家森林公园和西温泉市级森林公园科普基地、森林教室、动植物观察点、科研监测等设施建设。</w:t>
      </w:r>
    </w:p>
    <w:p>
      <w:pPr>
        <w:spacing w:line="596" w:lineRule="exact"/>
        <w:ind w:firstLine="624" w:firstLineChars="200"/>
        <w:rPr>
          <w:rFonts w:ascii="方正仿宋_GBK" w:eastAsia="方正仿宋_GBK"/>
          <w:color w:val="auto"/>
        </w:rPr>
      </w:pPr>
      <w:r>
        <w:rPr>
          <w:rFonts w:hint="eastAsia" w:ascii="方正仿宋_GBK" w:eastAsia="方正仿宋_GBK"/>
          <w:b/>
          <w:bCs/>
          <w:color w:val="auto"/>
        </w:rPr>
        <w:t>低碳城市建设一体推进。</w:t>
      </w:r>
      <w:r>
        <w:rPr>
          <w:rFonts w:hint="eastAsia" w:ascii="方正仿宋_GBK" w:eastAsia="方正仿宋_GBK"/>
          <w:color w:val="auto"/>
        </w:rPr>
        <w:t>积极推广绿色建筑，制定实施了《铜梁区装配式建筑发展专业规划》，严格建筑节能与绿色建筑专项检查，</w:t>
      </w:r>
      <w:r>
        <w:rPr>
          <w:rFonts w:eastAsia="方正仿宋_GBK" w:cs="Times New Roman"/>
          <w:color w:val="auto"/>
        </w:rPr>
        <w:t>2016</w:t>
      </w:r>
      <w:r>
        <w:rPr>
          <w:rFonts w:hint="eastAsia" w:ascii="方正仿宋_GBK" w:eastAsia="方正仿宋_GBK"/>
          <w:color w:val="auto"/>
        </w:rPr>
        <w:t>年</w:t>
      </w:r>
      <w:r>
        <w:rPr>
          <w:rFonts w:eastAsia="方正仿宋_GBK" w:cs="Times New Roman"/>
          <w:color w:val="auto"/>
        </w:rPr>
        <w:t>9</w:t>
      </w:r>
      <w:r>
        <w:rPr>
          <w:rFonts w:hint="eastAsia" w:ascii="方正仿宋_GBK" w:eastAsia="方正仿宋_GBK"/>
          <w:color w:val="auto"/>
        </w:rPr>
        <w:t>月至今，建筑面积大于</w:t>
      </w:r>
      <w:r>
        <w:rPr>
          <w:rFonts w:eastAsia="方正仿宋_GBK" w:cs="Times New Roman"/>
          <w:color w:val="auto"/>
        </w:rPr>
        <w:t>1000</w:t>
      </w:r>
      <w:r>
        <w:rPr>
          <w:rFonts w:hint="eastAsia" w:ascii="方正仿宋_GBK" w:eastAsia="方正仿宋_GBK"/>
          <w:color w:val="auto"/>
        </w:rPr>
        <w:t>平方米的公共建筑全面执行绿色建筑标准。制定实施《铜梁区海绵城市专项规划》，高水平规划建设</w:t>
      </w:r>
      <w:r>
        <w:rPr>
          <w:rFonts w:eastAsia="方正仿宋_GBK" w:cs="Times New Roman"/>
          <w:color w:val="auto"/>
        </w:rPr>
        <w:t>8.26</w:t>
      </w:r>
      <w:r>
        <w:rPr>
          <w:rFonts w:hint="eastAsia" w:ascii="方正仿宋_GBK" w:eastAsia="方正仿宋_GBK"/>
          <w:color w:val="auto"/>
        </w:rPr>
        <w:t>平方公里淮远新区，打造产城景一体的高品质生态新区和海绵城市示范区。优先发展公共交通，扎实开展电动汽车充电基础设施建设，大力推广新能源车、清洁能源车，“十三五”期间，累计建设新能源汽车充电桩</w:t>
      </w:r>
      <w:r>
        <w:rPr>
          <w:rFonts w:eastAsia="方正仿宋_GBK" w:cs="Times New Roman"/>
          <w:color w:val="auto"/>
        </w:rPr>
        <w:t>996</w:t>
      </w:r>
      <w:r>
        <w:rPr>
          <w:rFonts w:hint="eastAsia" w:ascii="方正仿宋_GBK" w:eastAsia="方正仿宋_GBK"/>
          <w:color w:val="auto"/>
        </w:rPr>
        <w:t>个，截至</w:t>
      </w:r>
      <w:r>
        <w:rPr>
          <w:rFonts w:eastAsia="方正仿宋_GBK" w:cs="Times New Roman"/>
          <w:color w:val="auto"/>
        </w:rPr>
        <w:t>2020</w:t>
      </w:r>
      <w:r>
        <w:rPr>
          <w:rFonts w:hint="eastAsia" w:ascii="方正仿宋_GBK" w:eastAsia="方正仿宋_GBK"/>
          <w:color w:val="auto"/>
        </w:rPr>
        <w:t>年，全区清洁能源客运车达</w:t>
      </w:r>
      <w:r>
        <w:rPr>
          <w:rFonts w:eastAsia="方正仿宋_GBK" w:cs="Times New Roman"/>
          <w:color w:val="auto"/>
        </w:rPr>
        <w:t>425</w:t>
      </w:r>
      <w:r>
        <w:rPr>
          <w:rFonts w:hint="eastAsia" w:ascii="方正仿宋_GBK" w:eastAsia="方正仿宋_GBK"/>
          <w:color w:val="auto"/>
        </w:rPr>
        <w:t>辆，新能源公交车</w:t>
      </w:r>
      <w:r>
        <w:rPr>
          <w:rFonts w:eastAsia="方正仿宋_GBK" w:cs="Times New Roman"/>
          <w:color w:val="auto"/>
        </w:rPr>
        <w:t>25</w:t>
      </w:r>
      <w:r>
        <w:rPr>
          <w:rFonts w:hint="eastAsia" w:ascii="方正仿宋_GBK" w:eastAsia="方正仿宋_GBK"/>
          <w:color w:val="auto"/>
        </w:rPr>
        <w:t>辆。严格落实《铜梁区生活垃圾分类工作实施方案》（铜府办发</w:t>
      </w:r>
      <w:r>
        <w:rPr>
          <w:rFonts w:hint="eastAsia" w:eastAsia="方正仿宋_GBK" w:cs="Times New Roman"/>
          <w:color w:val="auto"/>
        </w:rPr>
        <w:t>〔</w:t>
      </w:r>
      <w:r>
        <w:rPr>
          <w:rFonts w:eastAsia="方正仿宋_GBK" w:cs="Times New Roman"/>
          <w:color w:val="auto"/>
        </w:rPr>
        <w:t>2019</w:t>
      </w:r>
      <w:r>
        <w:rPr>
          <w:rFonts w:hint="eastAsia" w:eastAsia="方正仿宋_GBK" w:cs="Times New Roman"/>
          <w:color w:val="auto"/>
        </w:rPr>
        <w:t>〕</w:t>
      </w:r>
      <w:r>
        <w:rPr>
          <w:rFonts w:eastAsia="方正仿宋_GBK" w:cs="Times New Roman"/>
          <w:color w:val="auto"/>
        </w:rPr>
        <w:t>23</w:t>
      </w:r>
      <w:r>
        <w:rPr>
          <w:rFonts w:hint="eastAsia" w:ascii="方正仿宋_GBK" w:eastAsia="方正仿宋_GBK"/>
          <w:color w:val="auto"/>
        </w:rPr>
        <w:t>号）文件要求，目前城市建成区</w:t>
      </w:r>
      <w:r>
        <w:rPr>
          <w:rFonts w:eastAsia="方正仿宋_GBK" w:cs="Times New Roman"/>
          <w:color w:val="auto"/>
        </w:rPr>
        <w:t>80%</w:t>
      </w:r>
      <w:r>
        <w:rPr>
          <w:rFonts w:hint="eastAsia" w:ascii="方正仿宋_GBK" w:eastAsia="方正仿宋_GBK"/>
          <w:color w:val="auto"/>
        </w:rPr>
        <w:t>以上的街道已开展生活垃圾分类示范，累计建成</w:t>
      </w:r>
      <w:r>
        <w:rPr>
          <w:rFonts w:eastAsia="方正仿宋_GBK" w:cs="Times New Roman"/>
          <w:color w:val="auto"/>
        </w:rPr>
        <w:t>215</w:t>
      </w:r>
      <w:r>
        <w:rPr>
          <w:rFonts w:hint="eastAsia" w:ascii="方正仿宋_GBK" w:eastAsia="方正仿宋_GBK"/>
          <w:color w:val="auto"/>
        </w:rPr>
        <w:t>个生活垃圾分类示范村。“限塑令”升级“禁塑令”，全面禁止生产和销售厚度小于</w:t>
      </w:r>
      <w:r>
        <w:rPr>
          <w:rFonts w:eastAsia="方正仿宋_GBK" w:cs="Times New Roman"/>
          <w:color w:val="auto"/>
        </w:rPr>
        <w:t>0.025</w:t>
      </w:r>
      <w:r>
        <w:rPr>
          <w:rFonts w:hint="eastAsia" w:ascii="方正仿宋_GBK" w:eastAsia="方正仿宋_GBK"/>
          <w:color w:val="auto"/>
        </w:rPr>
        <w:t>毫米塑料购物袋、一次性发泡塑料餐具、一次性塑料棉签。</w:t>
      </w:r>
    </w:p>
    <w:p>
      <w:pPr>
        <w:spacing w:line="596" w:lineRule="exact"/>
        <w:ind w:firstLine="624" w:firstLineChars="200"/>
        <w:rPr>
          <w:rFonts w:ascii="方正仿宋_GBK" w:eastAsia="方正仿宋_GBK"/>
          <w:color w:val="auto"/>
        </w:rPr>
      </w:pPr>
      <w:r>
        <w:rPr>
          <w:rFonts w:hint="eastAsia" w:ascii="方正仿宋_GBK" w:eastAsia="方正仿宋_GBK"/>
          <w:b/>
          <w:bCs/>
          <w:color w:val="auto"/>
        </w:rPr>
        <w:t>应对气候变化工作稳步推进。</w:t>
      </w:r>
      <w:r>
        <w:rPr>
          <w:rFonts w:hint="eastAsia" w:ascii="方正仿宋_GBK" w:eastAsia="方正仿宋_GBK"/>
          <w:color w:val="auto"/>
        </w:rPr>
        <w:t>成立气象灾害防御指挥部，建成“御天·智能预警信息发布系统”。落地落实重庆智慧气象“四天”系统，建成“四天·铜梁智慧气象服务应用平台”，观测业务实现全面自动化。建成全市首家标准化人工影响天气作业（科普）基地，扎实开展蓝天行动人工增雨改善空气质量作业服务。在全市率先建成基于三维实景的生态宜居及防灾减灾大数据平台。制定农业气象服务方案，开展农业气象实用技术研究，并全面推广农业气象精细化智能服务平台，成功创建“全国标准化现代农业气象服务区县”。大力推进水利基础设施建设，建成琼江安居提水二期等一批重点水源工程、防洪护岸综合整治和中小河流治理等一批防洪减灾工程、濑溪河大灌区等一批农田水利建设工程。加强水土保持生态建设，“十三五”期间实施水土保持重点工程共治理水土流失</w:t>
      </w:r>
      <w:r>
        <w:rPr>
          <w:rFonts w:eastAsia="方正仿宋_GBK" w:cs="Times New Roman"/>
          <w:color w:val="auto"/>
        </w:rPr>
        <w:t>21.03</w:t>
      </w:r>
      <w:r>
        <w:rPr>
          <w:rFonts w:hint="eastAsia" w:ascii="方正仿宋_GBK" w:eastAsia="方正仿宋_GBK"/>
          <w:color w:val="auto"/>
        </w:rPr>
        <w:t>平方公里。</w:t>
      </w:r>
    </w:p>
    <w:p>
      <w:pPr>
        <w:spacing w:line="596" w:lineRule="exact"/>
        <w:ind w:firstLine="624" w:firstLineChars="200"/>
        <w:rPr>
          <w:rFonts w:ascii="方正仿宋_GBK" w:eastAsia="方正仿宋_GBK"/>
          <w:color w:val="auto"/>
        </w:rPr>
      </w:pPr>
      <w:r>
        <w:rPr>
          <w:rFonts w:hint="eastAsia" w:ascii="方正仿宋_GBK" w:eastAsia="方正仿宋_GBK"/>
          <w:b/>
          <w:bCs/>
          <w:color w:val="auto"/>
        </w:rPr>
        <w:t>低碳工作体系不断健全。</w:t>
      </w:r>
      <w:r>
        <w:rPr>
          <w:rFonts w:hint="eastAsia" w:ascii="方正仿宋_GBK" w:eastAsia="方正仿宋_GBK"/>
          <w:color w:val="auto"/>
        </w:rPr>
        <w:t>制定《铜梁区节能降耗工作协调机制》，进一步明确了各相关部门节能降耗职能职责，推进节能工作长效机制持续完善。持续完善节能机构建设，成立节能监察中心设于区发展改革委，区住房城乡建委、区交通局、区经济信息委、区机关事务局等各自设立本单位节能减排领导小组。不断完善能源统计体系，区统计局明确设立能源统计科室，每年召开能源统计年报会，向企业布置能源统计任务；每年组织开展能源统计业务培训，不断提高镇街统计人员统计业务水平。积极参与全国碳市场建设，重庆铜梁共和水泥有限责任公司、重庆庆龙精细锶盐化工有限公司、重庆铜梁西南水泥公司纳入全国重点碳市场排放单位名录。节能减排降碳宣传力度持续加大，充分利用节能宣传周、全国低碳日等节日契机，广泛宣传“绿色发展、节能先行”理念。</w:t>
      </w:r>
    </w:p>
    <w:p>
      <w:pPr>
        <w:spacing w:before="289" w:beforeLines="50" w:after="289" w:afterLines="50" w:line="596" w:lineRule="exact"/>
        <w:jc w:val="center"/>
        <w:outlineLvl w:val="1"/>
        <w:rPr>
          <w:rFonts w:ascii="方正楷体_GBK" w:eastAsia="方正楷体_GBK"/>
          <w:color w:val="auto"/>
        </w:rPr>
      </w:pPr>
      <w:bookmarkStart w:id="5" w:name="_Toc109898242"/>
      <w:r>
        <w:rPr>
          <w:rFonts w:hint="eastAsia" w:ascii="方正楷体_GBK" w:eastAsia="方正楷体_GBK"/>
          <w:color w:val="auto"/>
        </w:rPr>
        <w:t>第二节 面临的挑战</w:t>
      </w:r>
      <w:bookmarkEnd w:id="5"/>
    </w:p>
    <w:p>
      <w:pPr>
        <w:spacing w:line="596" w:lineRule="exact"/>
        <w:ind w:firstLine="624" w:firstLineChars="200"/>
        <w:rPr>
          <w:rFonts w:ascii="方正仿宋_GBK" w:eastAsia="方正仿宋_GBK"/>
          <w:color w:val="auto"/>
        </w:rPr>
      </w:pPr>
      <w:r>
        <w:rPr>
          <w:rFonts w:hint="eastAsia" w:ascii="方正仿宋_GBK" w:eastAsia="方正仿宋_GBK"/>
          <w:b/>
          <w:bCs/>
          <w:color w:val="auto"/>
        </w:rPr>
        <w:t>能源产业结构性矛盾形势仍然严峻。</w:t>
      </w:r>
      <w:r>
        <w:rPr>
          <w:rFonts w:hint="eastAsia" w:ascii="方正仿宋_GBK" w:eastAsia="方正仿宋_GBK"/>
          <w:color w:val="auto"/>
        </w:rPr>
        <w:t>经济规模增长是全区排放增长的主要因素，根据</w:t>
      </w:r>
      <w:r>
        <w:rPr>
          <w:rFonts w:eastAsia="方正仿宋_GBK" w:cs="Times New Roman"/>
          <w:color w:val="auto"/>
        </w:rPr>
        <w:t>2020</w:t>
      </w:r>
      <w:r>
        <w:rPr>
          <w:rFonts w:hint="eastAsia" w:ascii="方正仿宋_GBK" w:eastAsia="方正仿宋_GBK"/>
          <w:color w:val="auto"/>
        </w:rPr>
        <w:t>年碳排放清单，全区碳排放主要集中在能源消费、工业生产过程方面。“十三五”期间，全区全社会综合能源消费总量增速从</w:t>
      </w:r>
      <w:r>
        <w:rPr>
          <w:rFonts w:eastAsia="方正仿宋_GBK" w:cs="Times New Roman"/>
          <w:color w:val="auto"/>
        </w:rPr>
        <w:t>2016</w:t>
      </w:r>
      <w:r>
        <w:rPr>
          <w:rFonts w:hint="eastAsia" w:ascii="方正仿宋_GBK" w:eastAsia="方正仿宋_GBK"/>
          <w:color w:val="auto"/>
        </w:rPr>
        <w:t>年的</w:t>
      </w:r>
      <w:r>
        <w:rPr>
          <w:rFonts w:eastAsia="方正仿宋_GBK" w:cs="Times New Roman"/>
          <w:color w:val="auto"/>
        </w:rPr>
        <w:t>5.04%</w:t>
      </w:r>
      <w:r>
        <w:rPr>
          <w:rFonts w:hint="eastAsia" w:ascii="方正仿宋_GBK" w:eastAsia="方正仿宋_GBK"/>
          <w:color w:val="auto"/>
        </w:rPr>
        <w:t>降低至</w:t>
      </w:r>
      <w:r>
        <w:rPr>
          <w:rFonts w:eastAsia="方正仿宋_GBK" w:cs="Times New Roman"/>
          <w:color w:val="auto"/>
        </w:rPr>
        <w:t>2020</w:t>
      </w:r>
      <w:r>
        <w:rPr>
          <w:rFonts w:hint="eastAsia" w:ascii="方正仿宋_GBK" w:eastAsia="方正仿宋_GBK"/>
          <w:color w:val="auto"/>
        </w:rPr>
        <w:t>年</w:t>
      </w:r>
      <w:r>
        <w:rPr>
          <w:rFonts w:eastAsia="方正仿宋_GBK" w:cs="Times New Roman"/>
          <w:color w:val="auto"/>
        </w:rPr>
        <w:t>0.76%</w:t>
      </w:r>
      <w:r>
        <w:rPr>
          <w:rFonts w:hint="eastAsia" w:ascii="方正仿宋_GBK" w:eastAsia="方正仿宋_GBK"/>
          <w:color w:val="auto"/>
        </w:rPr>
        <w:t>，增速实现总体下降，但消费总量仍处于持续上升趋势。</w:t>
      </w:r>
      <w:r>
        <w:rPr>
          <w:rFonts w:eastAsia="方正仿宋_GBK" w:cs="Times New Roman"/>
          <w:color w:val="auto"/>
        </w:rPr>
        <w:t>2020</w:t>
      </w:r>
      <w:r>
        <w:rPr>
          <w:rFonts w:hint="eastAsia" w:ascii="方正仿宋_GBK" w:eastAsia="方正仿宋_GBK"/>
          <w:color w:val="auto"/>
        </w:rPr>
        <w:t>年，规模以上传统制造业综合能源消费量</w:t>
      </w:r>
      <w:r>
        <w:rPr>
          <w:rFonts w:eastAsia="方正仿宋_GBK" w:cs="Times New Roman"/>
          <w:color w:val="auto"/>
        </w:rPr>
        <w:t>50.22</w:t>
      </w:r>
      <w:r>
        <w:rPr>
          <w:rFonts w:hint="eastAsia" w:ascii="方正仿宋_GBK" w:eastAsia="方正仿宋_GBK"/>
          <w:color w:val="auto"/>
        </w:rPr>
        <w:t>万吨标准煤，占规模以上工业企业综合能源消费量的</w:t>
      </w:r>
      <w:r>
        <w:rPr>
          <w:rFonts w:eastAsia="方正仿宋_GBK" w:cs="Times New Roman"/>
          <w:color w:val="auto"/>
        </w:rPr>
        <w:t>95.48%</w:t>
      </w:r>
      <w:r>
        <w:rPr>
          <w:rFonts w:hint="eastAsia" w:ascii="方正仿宋_GBK" w:eastAsia="方正仿宋_GBK"/>
          <w:color w:val="auto"/>
        </w:rPr>
        <w:t>。从规模以上工业能源结构上看，</w:t>
      </w:r>
      <w:r>
        <w:rPr>
          <w:rFonts w:eastAsia="方正仿宋_GBK" w:cs="Times New Roman"/>
          <w:color w:val="auto"/>
        </w:rPr>
        <w:t>2020</w:t>
      </w:r>
      <w:r>
        <w:rPr>
          <w:rFonts w:hint="eastAsia" w:ascii="方正仿宋_GBK" w:eastAsia="方正仿宋_GBK"/>
          <w:color w:val="auto"/>
        </w:rPr>
        <w:t>年，规模以上工业原煤消耗</w:t>
      </w:r>
      <w:r>
        <w:rPr>
          <w:rFonts w:eastAsia="方正仿宋_GBK" w:cs="Times New Roman"/>
          <w:color w:val="auto"/>
        </w:rPr>
        <w:t>32.52</w:t>
      </w:r>
      <w:r>
        <w:rPr>
          <w:rFonts w:hint="eastAsia" w:ascii="方正仿宋_GBK" w:eastAsia="方正仿宋_GBK"/>
          <w:color w:val="auto"/>
        </w:rPr>
        <w:t>万吨、天然气消耗</w:t>
      </w:r>
      <w:r>
        <w:rPr>
          <w:rFonts w:eastAsia="方正仿宋_GBK" w:cs="Times New Roman"/>
          <w:color w:val="auto"/>
        </w:rPr>
        <w:t>5505</w:t>
      </w:r>
      <w:r>
        <w:rPr>
          <w:rFonts w:hint="eastAsia" w:ascii="方正仿宋_GBK" w:eastAsia="方正仿宋_GBK"/>
          <w:color w:val="auto"/>
        </w:rPr>
        <w:t>万立方米、汽柴油消耗</w:t>
      </w:r>
      <w:r>
        <w:rPr>
          <w:rFonts w:eastAsia="方正仿宋_GBK" w:cs="Times New Roman"/>
          <w:color w:val="auto"/>
        </w:rPr>
        <w:t>1.36</w:t>
      </w:r>
      <w:r>
        <w:rPr>
          <w:rFonts w:hint="eastAsia" w:ascii="方正仿宋_GBK" w:eastAsia="方正仿宋_GBK"/>
          <w:color w:val="auto"/>
        </w:rPr>
        <w:t>万吨，能源消耗结构仍偏较重。“十四五”期间，全区经济主要部分仍为传统制造业，行业减煤空间进一步收窄，绿色转型难度进一步加大。</w:t>
      </w:r>
    </w:p>
    <w:p>
      <w:pPr>
        <w:spacing w:line="596" w:lineRule="exact"/>
        <w:ind w:firstLine="624" w:firstLineChars="200"/>
        <w:rPr>
          <w:rFonts w:ascii="方正仿宋_GBK" w:eastAsia="方正仿宋_GBK"/>
          <w:color w:val="auto"/>
        </w:rPr>
      </w:pPr>
      <w:r>
        <w:rPr>
          <w:rFonts w:hint="eastAsia" w:ascii="方正仿宋_GBK" w:eastAsia="方正仿宋_GBK"/>
          <w:b/>
          <w:bCs/>
          <w:color w:val="auto"/>
        </w:rPr>
        <w:t>气候变化的适应能力仍旧薄弱。</w:t>
      </w:r>
      <w:r>
        <w:rPr>
          <w:rFonts w:hint="eastAsia" w:ascii="方正仿宋_GBK" w:eastAsia="方正仿宋_GBK"/>
          <w:color w:val="auto"/>
        </w:rPr>
        <w:t>近年来，在全市大环境下，极端天气增多，高温、洪水等极端气象灾害频发，现阶段应对气候变化以减缓为主，对适应的认识和重视程度不足，适应气候变化的具体工作以农业、林业、水利、住建等部门为主，工作保障体系尚未形成。防洪薄弱环节仍然存在，部分区域防洪工程措施未达到规定防洪标准，防汛预警预报系统仍需持续完善，水文、气象、国土等部门的监测预警信息还需进一步整合共享。全区水资源分布不均，水利设施建设滞后，农业应对极端异常天气引发自然灾害的能力不强。全区以创建森林城市为契机，大力实施国土绿化提升行动，取得积极成效，但新增营造林部分的森林蓄积量不高、固碳能力不强，仍需不断提升国土绿化质量。</w:t>
      </w:r>
    </w:p>
    <w:p>
      <w:pPr>
        <w:spacing w:line="596" w:lineRule="exact"/>
        <w:ind w:firstLine="624" w:firstLineChars="200"/>
        <w:rPr>
          <w:color w:val="auto"/>
        </w:rPr>
      </w:pPr>
      <w:r>
        <w:rPr>
          <w:rFonts w:hint="eastAsia" w:ascii="方正仿宋_GBK" w:eastAsia="方正仿宋_GBK"/>
          <w:b/>
          <w:bCs/>
          <w:color w:val="auto"/>
        </w:rPr>
        <w:t>低碳发展的深度广度亟需拓展。</w:t>
      </w:r>
      <w:r>
        <w:rPr>
          <w:rFonts w:hint="eastAsia" w:ascii="方正仿宋_GBK" w:eastAsia="方正仿宋_GBK"/>
          <w:color w:val="auto"/>
        </w:rPr>
        <w:t>碳排放交易市场从</w:t>
      </w:r>
      <w:r>
        <w:rPr>
          <w:rFonts w:eastAsia="方正仿宋_GBK" w:cs="Times New Roman"/>
          <w:color w:val="auto"/>
        </w:rPr>
        <w:t>2013</w:t>
      </w:r>
      <w:r>
        <w:rPr>
          <w:rFonts w:hint="eastAsia" w:ascii="方正仿宋_GBK" w:eastAsia="方正仿宋_GBK"/>
          <w:color w:val="auto"/>
        </w:rPr>
        <w:t>年启动以来，重庆作为八个碳市场交易试点省市，铜梁区纳入碳排放交易市场的企业仅</w:t>
      </w:r>
      <w:r>
        <w:rPr>
          <w:rFonts w:eastAsia="方正仿宋_GBK" w:cs="Times New Roman"/>
          <w:color w:val="auto"/>
        </w:rPr>
        <w:t>3</w:t>
      </w:r>
      <w:r>
        <w:rPr>
          <w:rFonts w:hint="eastAsia" w:ascii="方正仿宋_GBK" w:eastAsia="方正仿宋_GBK"/>
          <w:color w:val="auto"/>
        </w:rPr>
        <w:t>家，全区参与碳市场金融化程度总体偏低。各类建筑业企业、交通类企业、高耗能企业等完全依靠强制性标准进行节能约束，主动参与节能降耗的意愿不强。应对气候变化涉及的工作点多面广，全区低碳发展缺乏中长期规划指引，尚未开展实质性、针对性的碳减排、碳中和以及应对气候变化等相关工作，行业主管部门之间应对气候变化的协同机制体制亟待完善。此外，广大居民节能意识仍有待提高。</w:t>
      </w:r>
    </w:p>
    <w:p>
      <w:pPr>
        <w:spacing w:before="289" w:beforeLines="50" w:after="289" w:afterLines="50" w:line="596" w:lineRule="exact"/>
        <w:jc w:val="center"/>
        <w:outlineLvl w:val="1"/>
        <w:rPr>
          <w:rFonts w:ascii="方正楷体_GBK" w:eastAsia="方正楷体_GBK"/>
          <w:color w:val="auto"/>
        </w:rPr>
      </w:pPr>
      <w:bookmarkStart w:id="6" w:name="_Toc109898243"/>
      <w:r>
        <w:rPr>
          <w:rFonts w:hint="eastAsia" w:ascii="方正楷体_GBK" w:eastAsia="方正楷体_GBK"/>
          <w:color w:val="auto"/>
        </w:rPr>
        <w:t>第三节 迎来的机遇</w:t>
      </w:r>
      <w:bookmarkEnd w:id="6"/>
    </w:p>
    <w:p>
      <w:pPr>
        <w:spacing w:line="596" w:lineRule="exact"/>
        <w:ind w:firstLine="624" w:firstLineChars="200"/>
        <w:rPr>
          <w:rFonts w:ascii="方正仿宋_GBK" w:eastAsia="方正仿宋_GBK"/>
          <w:color w:val="auto"/>
        </w:rPr>
      </w:pPr>
      <w:r>
        <w:rPr>
          <w:rFonts w:hint="eastAsia" w:ascii="方正仿宋_GBK" w:eastAsia="方正仿宋_GBK"/>
          <w:b/>
          <w:bCs/>
          <w:color w:val="auto"/>
        </w:rPr>
        <w:t>应对气候变化工作迎来全新局面。</w:t>
      </w:r>
      <w:r>
        <w:rPr>
          <w:rFonts w:hint="eastAsia" w:ascii="方正仿宋_GBK" w:eastAsia="方正仿宋_GBK"/>
          <w:color w:val="auto"/>
        </w:rPr>
        <w:t>习</w:t>
      </w:r>
      <w:r>
        <w:rPr>
          <w:rFonts w:hint="eastAsia" w:ascii="方正仿宋_GBK" w:eastAsia="方正仿宋_GBK"/>
          <w:color w:val="auto"/>
          <w:lang w:eastAsia="zh-CN"/>
        </w:rPr>
        <w:t>近平</w:t>
      </w:r>
      <w:r>
        <w:rPr>
          <w:rFonts w:hint="eastAsia" w:ascii="方正仿宋_GBK" w:eastAsia="方正仿宋_GBK"/>
          <w:color w:val="auto"/>
        </w:rPr>
        <w:t>总书记在中央财经委员会第六次会议、中央政治局会议上要求成渝地区“成为具有全国影响力的高品质生活宜居地”“走出一条生态优先、绿色发展的新路子”，为实现碳达峰、碳中和以及应对气候变化工作找准了方法和路径，坚定了决心。市委市政府高度重视应对气候变化工作，成立市应对气候变化领导小组、市碳达峰碳中和领导小组，多次在市政府常务会议上提出具体要求，并将碳达峰碳中和纳入全市生态文明建设整体布局，率先将碳排放管理纳入环评和排污许可，争取全国首批气候投融资试点，表明全市走绿色低碳发展道路的雄心和决心。在国家、市委市政府领导下，应对气候变化工作将释放更多政策福利，助推铜梁应对气候变化工作持续发力，为重庆实现碳达峰、碳中和贡献铜梁力量。</w:t>
      </w:r>
    </w:p>
    <w:p>
      <w:pPr>
        <w:spacing w:line="596" w:lineRule="exact"/>
        <w:ind w:firstLine="624" w:firstLineChars="200"/>
        <w:rPr>
          <w:rFonts w:ascii="方正仿宋_GBK" w:eastAsia="方正仿宋_GBK"/>
          <w:color w:val="auto"/>
        </w:rPr>
      </w:pPr>
      <w:r>
        <w:rPr>
          <w:rFonts w:hint="eastAsia" w:ascii="方正仿宋_GBK" w:eastAsia="方正仿宋_GBK"/>
          <w:b/>
          <w:bCs/>
          <w:color w:val="auto"/>
        </w:rPr>
        <w:t>应对气候变化工作具备一定的基础和条件。</w:t>
      </w:r>
      <w:r>
        <w:rPr>
          <w:rFonts w:hint="eastAsia" w:ascii="方正仿宋_GBK" w:eastAsia="方正仿宋_GBK"/>
          <w:color w:val="auto"/>
        </w:rPr>
        <w:t>铜梁区积极贯彻落实上位要求，“十三五”以来，全区煤炭企业已实现整体退出，关闭不符合产业政策烧结砖企业</w:t>
      </w:r>
      <w:r>
        <w:rPr>
          <w:rFonts w:eastAsia="方正仿宋_GBK" w:cs="Times New Roman"/>
          <w:color w:val="auto"/>
        </w:rPr>
        <w:t>11</w:t>
      </w:r>
      <w:r>
        <w:rPr>
          <w:rFonts w:hint="eastAsia" w:ascii="方正仿宋_GBK" w:eastAsia="方正仿宋_GBK"/>
          <w:color w:val="auto"/>
        </w:rPr>
        <w:t>家，淘汰落后钢铁产能</w:t>
      </w:r>
      <w:r>
        <w:rPr>
          <w:rFonts w:eastAsia="方正仿宋_GBK" w:cs="Times New Roman"/>
          <w:color w:val="auto"/>
        </w:rPr>
        <w:t>20.25</w:t>
      </w:r>
      <w:r>
        <w:rPr>
          <w:rFonts w:hint="eastAsia" w:ascii="方正仿宋_GBK" w:eastAsia="方正仿宋_GBK"/>
          <w:color w:val="auto"/>
        </w:rPr>
        <w:t>万吨。每年保质保量完成利用能耗、环保、质量、安全、技术等综合标准依法依规推动落后产能退出工作，全区产业结构持续优化。“十三五”期间，超额完成市级下达的能耗双控目标，逐步实现减污降碳协同增效，对打好实现碳达峰、碳中和的硬仗，推动应对气候变化工作已具备一定的基础和条件。积极践行“两山”理念，铜梁区成功创建重庆市“两山”基地，正在争创国家“两山”基地，绿色发展理念深入人心。此外，在全市范围内，璧山区与潼南区国家首批气候适应型城市建设试点、巴南区木洞镇绿色低碳重点小城镇试点、两江新区民心佳园等多个低碳社区试点、悦来生态城近零碳排放区示范工程等示范探索工作，将为铜梁区各类型、各领域应对气候变化工作提供成功典范和宝贵经验。</w:t>
      </w:r>
    </w:p>
    <w:p>
      <w:pPr>
        <w:spacing w:line="596" w:lineRule="exact"/>
        <w:ind w:firstLine="624" w:firstLineChars="200"/>
        <w:rPr>
          <w:rFonts w:ascii="方正仿宋_GBK" w:eastAsia="方正仿宋_GBK"/>
          <w:color w:val="auto"/>
        </w:rPr>
      </w:pPr>
      <w:r>
        <w:rPr>
          <w:rFonts w:hint="eastAsia" w:ascii="方正仿宋_GBK" w:hAnsi="Times New Roman" w:eastAsia="方正仿宋_GBK" w:cstheme="minorBidi"/>
          <w:b/>
          <w:bCs/>
          <w:color w:val="auto"/>
          <w:shd w:val="clear" w:color="auto" w:fill="auto"/>
        </w:rPr>
        <w:t>“一带一路”、</w:t>
      </w:r>
      <w:r>
        <w:rPr>
          <w:rFonts w:hint="eastAsia" w:ascii="方正仿宋_GBK" w:eastAsia="方正仿宋_GBK"/>
          <w:b/>
          <w:bCs/>
          <w:color w:val="auto"/>
        </w:rPr>
        <w:t>成渝地区双城经济圈等战略促进应对气候变化区域协同。</w:t>
      </w:r>
      <w:r>
        <w:rPr>
          <w:rFonts w:hint="eastAsia" w:ascii="方正仿宋_GBK" w:eastAsia="方正仿宋_GBK"/>
          <w:color w:val="auto"/>
        </w:rPr>
        <w:t>随着成渝地区双城经济圈建设全局谋划，形成统一谋划、一体部署、相互协作、共同实施的生态环境协同保护新机制，推动成渝环保标准统一，一张负面清单管两地。当前成渝两地签订战略合作协议，将从环境技术信息共建共享、搭建行业交流平台、环境保护关键核心技术攻关、定期召开联席会议和工作协调会等</w:t>
      </w:r>
      <w:r>
        <w:rPr>
          <w:rFonts w:eastAsia="方正仿宋_GBK" w:cs="Times New Roman"/>
          <w:color w:val="auto"/>
        </w:rPr>
        <w:t>8</w:t>
      </w:r>
      <w:r>
        <w:rPr>
          <w:rFonts w:hint="eastAsia" w:ascii="方正仿宋_GBK" w:eastAsia="方正仿宋_GBK"/>
          <w:color w:val="auto"/>
        </w:rPr>
        <w:t>个方面开展深入合作与交流，此外，重庆市、四川省签订“应对气候变化工作合作协议”，议定“</w:t>
      </w:r>
      <w:r>
        <w:rPr>
          <w:rFonts w:eastAsia="方正仿宋_GBK" w:cs="Times New Roman"/>
          <w:color w:val="auto"/>
        </w:rPr>
        <w:t>8+5</w:t>
      </w:r>
      <w:r>
        <w:rPr>
          <w:rFonts w:hint="eastAsia" w:ascii="方正仿宋_GBK" w:eastAsia="方正仿宋_GBK"/>
          <w:color w:val="auto"/>
        </w:rPr>
        <w:t>”具体合作事项，进一步推动铜梁区在碳普惠机制，碳标识、碳排放权交易等工作中受益，促进铜梁与四川省各地级市、全市各区县在积极应对气候变化工作等方面的合作。</w:t>
      </w:r>
    </w:p>
    <w:p>
      <w:pPr>
        <w:spacing w:before="289" w:beforeLines="50" w:after="289" w:afterLines="50" w:line="596" w:lineRule="exact"/>
        <w:jc w:val="center"/>
        <w:outlineLvl w:val="0"/>
        <w:rPr>
          <w:rFonts w:ascii="方正黑体_GBK" w:eastAsia="方正黑体_GBK"/>
          <w:color w:val="auto"/>
        </w:rPr>
      </w:pPr>
      <w:bookmarkStart w:id="7" w:name="_Toc109898244"/>
      <w:r>
        <w:rPr>
          <w:rFonts w:hint="eastAsia" w:ascii="方正黑体_GBK" w:eastAsia="方正黑体_GBK"/>
          <w:color w:val="auto"/>
        </w:rPr>
        <w:t>第二章 指导思想、基本原则和主要目标</w:t>
      </w:r>
      <w:bookmarkEnd w:id="7"/>
    </w:p>
    <w:p>
      <w:pPr>
        <w:spacing w:before="289" w:beforeLines="50" w:after="289" w:afterLines="50" w:line="596" w:lineRule="exact"/>
        <w:jc w:val="center"/>
        <w:outlineLvl w:val="1"/>
        <w:rPr>
          <w:rFonts w:ascii="方正楷体_GBK" w:eastAsia="方正楷体_GBK"/>
          <w:color w:val="auto"/>
        </w:rPr>
      </w:pPr>
      <w:bookmarkStart w:id="8" w:name="_Toc109898245"/>
      <w:r>
        <w:rPr>
          <w:rFonts w:hint="eastAsia" w:ascii="方正楷体_GBK" w:eastAsia="方正楷体_GBK"/>
          <w:color w:val="auto"/>
        </w:rPr>
        <w:t>第一节 指导思想</w:t>
      </w:r>
      <w:bookmarkEnd w:id="8"/>
    </w:p>
    <w:p>
      <w:pPr>
        <w:spacing w:line="596" w:lineRule="exact"/>
        <w:ind w:firstLine="624" w:firstLineChars="200"/>
        <w:rPr>
          <w:rFonts w:ascii="方正仿宋_GBK" w:eastAsia="方正仿宋_GBK"/>
          <w:color w:val="auto"/>
        </w:rPr>
      </w:pPr>
      <w:r>
        <w:rPr>
          <w:rFonts w:hint="eastAsia" w:ascii="方正仿宋_GBK" w:eastAsia="方正仿宋_GBK"/>
          <w:color w:val="auto"/>
        </w:rPr>
        <w:t>坚持以习近平新时代中国特色社会主义思想为指导，深学笃用习近平生态文明思想，全面贯彻党的十九大和十九届历次全会精神，全面落实习近平总书记对重庆提出的营造良好政治生态，坚持“两点”定位、“两地”“两高”目标，发挥“三个作用”和推动成渝地区双城经济圈建设等重要指示要求，完整、准确、全面贯彻新发展理念，把实现减污降碳协同增效作为促进经济社会发展全面绿色转型的总抓手，积极应对气候变化，切实筑牢长江上游生态屏障，为铜梁谱写高质量发展高品质生活新篇章提供坚实支撑。</w:t>
      </w:r>
    </w:p>
    <w:p>
      <w:pPr>
        <w:spacing w:before="289" w:beforeLines="50" w:after="289" w:afterLines="50" w:line="596" w:lineRule="exact"/>
        <w:jc w:val="center"/>
        <w:outlineLvl w:val="1"/>
        <w:rPr>
          <w:rFonts w:ascii="方正楷体_GBK" w:eastAsia="方正楷体_GBK"/>
          <w:color w:val="auto"/>
        </w:rPr>
      </w:pPr>
      <w:bookmarkStart w:id="9" w:name="_Toc109898246"/>
      <w:r>
        <w:rPr>
          <w:rFonts w:hint="eastAsia" w:ascii="方正楷体_GBK" w:eastAsia="方正楷体_GBK"/>
          <w:color w:val="auto"/>
        </w:rPr>
        <w:t>第二节 基本原则</w:t>
      </w:r>
      <w:bookmarkEnd w:id="9"/>
    </w:p>
    <w:p>
      <w:pPr>
        <w:spacing w:line="596" w:lineRule="exact"/>
        <w:ind w:firstLine="624" w:firstLineChars="200"/>
        <w:rPr>
          <w:rFonts w:ascii="方正仿宋_GBK" w:eastAsia="方正仿宋_GBK"/>
          <w:color w:val="auto"/>
        </w:rPr>
      </w:pPr>
      <w:r>
        <w:rPr>
          <w:rFonts w:hint="eastAsia" w:ascii="方正仿宋_GBK" w:eastAsia="方正仿宋_GBK"/>
          <w:b/>
          <w:bCs/>
          <w:color w:val="auto"/>
        </w:rPr>
        <w:t>坚持政府主导，市场主体。</w:t>
      </w:r>
      <w:r>
        <w:rPr>
          <w:rFonts w:hint="eastAsia" w:ascii="方正仿宋_GBK" w:eastAsia="方正仿宋_GBK"/>
          <w:color w:val="auto"/>
        </w:rPr>
        <w:t>充分发挥政府在应对气候变化工作中的组织协调、监督管理等领导作用。强化企事业单位主体责任，激发各类市场主体在生产生活方式中向绿色低碳转型。完善市场机制，发挥企业、公众在减缓工作中的主体作用，挖掘适应工作潜力。</w:t>
      </w:r>
    </w:p>
    <w:p>
      <w:pPr>
        <w:spacing w:line="596" w:lineRule="exact"/>
        <w:ind w:firstLine="624" w:firstLineChars="200"/>
        <w:rPr>
          <w:rFonts w:ascii="方正仿宋_GBK" w:eastAsia="方正仿宋_GBK"/>
          <w:color w:val="auto"/>
        </w:rPr>
      </w:pPr>
      <w:r>
        <w:rPr>
          <w:rFonts w:hint="eastAsia" w:ascii="方正仿宋_GBK" w:eastAsia="方正仿宋_GBK"/>
          <w:b/>
          <w:bCs/>
          <w:color w:val="auto"/>
        </w:rPr>
        <w:t>坚持立足目标，突出重点。</w:t>
      </w:r>
      <w:r>
        <w:rPr>
          <w:rFonts w:hint="eastAsia" w:ascii="方正仿宋_GBK" w:eastAsia="方正仿宋_GBK"/>
          <w:color w:val="auto"/>
        </w:rPr>
        <w:t>以碳达峰、碳中和目标为引领，加快推动产业、能源、交通运输、用地结构调整，统筹推进重点领域、重点区域应对气候变化工作。立足于气候变化对铜梁区重点区域与领域的影响，开展城市规划和基础设施建设，加强气候变化预警预测能力和防灾减灾体系建设。</w:t>
      </w:r>
    </w:p>
    <w:p>
      <w:pPr>
        <w:spacing w:line="596" w:lineRule="exact"/>
        <w:ind w:firstLine="624" w:firstLineChars="200"/>
        <w:rPr>
          <w:rFonts w:ascii="方正仿宋_GBK" w:eastAsia="方正仿宋_GBK"/>
          <w:color w:val="auto"/>
        </w:rPr>
      </w:pPr>
      <w:r>
        <w:rPr>
          <w:rFonts w:hint="eastAsia" w:ascii="方正仿宋_GBK" w:eastAsia="方正仿宋_GBK"/>
          <w:b/>
          <w:bCs/>
          <w:color w:val="auto"/>
        </w:rPr>
        <w:t>坚持科技引领，试点推进。</w:t>
      </w:r>
      <w:r>
        <w:rPr>
          <w:rFonts w:hint="eastAsia" w:ascii="方正仿宋_GBK" w:eastAsia="方正仿宋_GBK"/>
          <w:color w:val="auto"/>
        </w:rPr>
        <w:t>强化应对气候变化的科技创新支撑，加快绿色低碳技术的研发和应用。加强应对气候变化大数据应用，提升数字智治水平。发挥基层的主动性和创造性，推动在发展模式、产业、业态等方面的创新示范作用，探索绿色低碳发展新路径，有效发挥典型带动作用。</w:t>
      </w:r>
    </w:p>
    <w:p>
      <w:pPr>
        <w:spacing w:line="596" w:lineRule="exact"/>
        <w:ind w:firstLine="624" w:firstLineChars="200"/>
        <w:rPr>
          <w:rFonts w:ascii="方正仿宋_GBK" w:eastAsia="方正仿宋_GBK"/>
          <w:color w:val="auto"/>
        </w:rPr>
      </w:pPr>
      <w:r>
        <w:rPr>
          <w:rFonts w:hint="eastAsia" w:ascii="方正仿宋_GBK" w:eastAsia="方正仿宋_GBK"/>
          <w:b/>
          <w:bCs/>
          <w:color w:val="auto"/>
        </w:rPr>
        <w:t>坚持各方协作，联合推进。</w:t>
      </w:r>
      <w:r>
        <w:rPr>
          <w:rFonts w:hint="eastAsia" w:ascii="方正仿宋_GBK" w:eastAsia="方正仿宋_GBK"/>
          <w:color w:val="auto"/>
        </w:rPr>
        <w:t>把握应对气候变化是推动经济高质量发展和生态文明建设的重要抓手的定位，促进应对气候变化工作与四大结构调整、城市规划建设、生态环境保护与修复等方面深度融合。推进各部门、各行业共同参与，协作推进应对气候变化工作，推动经济低碳绿色复苏，实现高质量发展。</w:t>
      </w:r>
    </w:p>
    <w:p>
      <w:pPr>
        <w:spacing w:before="289" w:beforeLines="50" w:after="289" w:afterLines="50" w:line="596" w:lineRule="exact"/>
        <w:jc w:val="center"/>
        <w:outlineLvl w:val="1"/>
        <w:rPr>
          <w:rFonts w:ascii="方正楷体_GBK" w:eastAsia="方正楷体_GBK"/>
          <w:color w:val="auto"/>
        </w:rPr>
      </w:pPr>
      <w:bookmarkStart w:id="10" w:name="_Toc109898247"/>
      <w:r>
        <w:rPr>
          <w:rFonts w:hint="eastAsia" w:ascii="方正楷体_GBK" w:eastAsia="方正楷体_GBK"/>
          <w:color w:val="auto"/>
        </w:rPr>
        <w:t>第三节 目标指标</w:t>
      </w:r>
      <w:bookmarkEnd w:id="10"/>
    </w:p>
    <w:p>
      <w:pPr>
        <w:spacing w:line="596" w:lineRule="exact"/>
        <w:ind w:firstLine="624" w:firstLineChars="200"/>
        <w:outlineLvl w:val="2"/>
        <w:rPr>
          <w:rFonts w:ascii="方正仿宋_GBK" w:eastAsia="方正仿宋_GBK"/>
          <w:color w:val="auto"/>
        </w:rPr>
      </w:pPr>
      <w:bookmarkStart w:id="11" w:name="_Toc109898248"/>
      <w:r>
        <w:rPr>
          <w:rFonts w:eastAsia="方正仿宋_GBK" w:cs="Times New Roman"/>
          <w:color w:val="auto"/>
        </w:rPr>
        <w:t>1</w:t>
      </w:r>
      <w:r>
        <w:rPr>
          <w:rFonts w:ascii="方正仿宋_GBK" w:eastAsia="方正仿宋_GBK"/>
          <w:color w:val="auto"/>
        </w:rPr>
        <w:t>.</w:t>
      </w:r>
      <w:r>
        <w:rPr>
          <w:rFonts w:hint="eastAsia" w:ascii="方正仿宋_GBK" w:eastAsia="方正仿宋_GBK"/>
          <w:color w:val="auto"/>
        </w:rPr>
        <w:t>总体目标</w:t>
      </w:r>
      <w:bookmarkEnd w:id="11"/>
    </w:p>
    <w:p>
      <w:pPr>
        <w:spacing w:line="596" w:lineRule="exact"/>
        <w:ind w:firstLine="624" w:firstLineChars="200"/>
        <w:rPr>
          <w:rFonts w:ascii="方正仿宋_GBK" w:eastAsia="方正仿宋_GBK"/>
          <w:color w:val="auto"/>
        </w:rPr>
      </w:pPr>
      <w:r>
        <w:rPr>
          <w:rFonts w:hint="eastAsia" w:ascii="方正仿宋_GBK" w:eastAsia="方正仿宋_GBK"/>
          <w:color w:val="auto"/>
        </w:rPr>
        <w:t>到</w:t>
      </w:r>
      <w:r>
        <w:rPr>
          <w:rFonts w:eastAsia="方正仿宋_GBK" w:cs="Times New Roman"/>
          <w:color w:val="auto"/>
        </w:rPr>
        <w:t>2025</w:t>
      </w:r>
      <w:r>
        <w:rPr>
          <w:rFonts w:hint="eastAsia" w:ascii="方正仿宋_GBK" w:eastAsia="方正仿宋_GBK"/>
          <w:color w:val="auto"/>
        </w:rPr>
        <w:t>年，基本形成与经济社会发展相协调、与生态文明建设相适应、与生态环境保护相融合的应对气候变化工作新局面。碳排放强度持续下降，温室气体排放总量得到有效控制，绿色产业体系、清洁能源结构和低碳消费模式基本形成，重点领域节能减碳取得明显成效，气候变化治理能力有效增强。</w:t>
      </w:r>
    </w:p>
    <w:p>
      <w:pPr>
        <w:spacing w:line="596" w:lineRule="exact"/>
        <w:ind w:firstLine="624" w:firstLineChars="200"/>
        <w:rPr>
          <w:rFonts w:ascii="方正仿宋_GBK" w:eastAsia="方正仿宋_GBK"/>
          <w:color w:val="auto"/>
        </w:rPr>
      </w:pPr>
      <w:r>
        <w:rPr>
          <w:rFonts w:hint="eastAsia" w:ascii="方正仿宋_GBK" w:eastAsia="方正仿宋_GBK"/>
          <w:b/>
          <w:bCs/>
          <w:color w:val="auto"/>
        </w:rPr>
        <w:t>——经济增长更加绿色低碳。</w:t>
      </w:r>
      <w:r>
        <w:rPr>
          <w:rFonts w:hint="eastAsia" w:ascii="方正仿宋_GBK" w:eastAsia="方正仿宋_GBK"/>
          <w:color w:val="auto"/>
        </w:rPr>
        <w:t>初步形成产业低碳化、低碳产业化的战略新兴产业体系，三次产业结构得到进一步优化，现代服务业占比进一步提升，单位地区生产总值二氧化碳排放强度持续降低。</w:t>
      </w:r>
    </w:p>
    <w:p>
      <w:pPr>
        <w:spacing w:line="596" w:lineRule="exact"/>
        <w:ind w:firstLine="624" w:firstLineChars="200"/>
        <w:rPr>
          <w:rFonts w:ascii="方正仿宋_GBK" w:eastAsia="方正仿宋_GBK"/>
          <w:color w:val="auto"/>
        </w:rPr>
      </w:pPr>
      <w:r>
        <w:rPr>
          <w:rFonts w:hint="eastAsia" w:ascii="方正仿宋_GBK" w:eastAsia="方正仿宋_GBK"/>
          <w:b/>
          <w:bCs/>
          <w:color w:val="auto"/>
        </w:rPr>
        <w:t>——碳排放总量和强度得到有效控制。</w:t>
      </w:r>
      <w:r>
        <w:rPr>
          <w:rFonts w:hint="eastAsia" w:ascii="方正仿宋_GBK" w:eastAsia="方正仿宋_GBK"/>
          <w:color w:val="auto"/>
        </w:rPr>
        <w:t>低碳发展水平显著提升，基本形成低碳的生产生活方式，能源结构进一步优化，能耗消费强度持续降低。</w:t>
      </w:r>
      <w:r>
        <w:rPr>
          <w:rFonts w:ascii="方正仿宋_GBK" w:eastAsia="方正仿宋_GBK"/>
          <w:color w:val="auto"/>
        </w:rPr>
        <w:t xml:space="preserve"> </w:t>
      </w:r>
    </w:p>
    <w:p>
      <w:pPr>
        <w:spacing w:line="596" w:lineRule="exact"/>
        <w:ind w:firstLine="624" w:firstLineChars="200"/>
        <w:rPr>
          <w:rFonts w:ascii="方正仿宋_GBK" w:eastAsia="方正仿宋_GBK"/>
          <w:color w:val="auto"/>
        </w:rPr>
      </w:pPr>
      <w:r>
        <w:rPr>
          <w:rFonts w:hint="eastAsia" w:ascii="方正仿宋_GBK" w:eastAsia="方正仿宋_GBK"/>
          <w:b/>
          <w:bCs/>
          <w:color w:val="auto"/>
        </w:rPr>
        <w:t>——适应气候变化能力有效提升。</w:t>
      </w:r>
      <w:r>
        <w:rPr>
          <w:rFonts w:hint="eastAsia" w:ascii="方正仿宋_GBK" w:eastAsia="方正仿宋_GBK"/>
          <w:color w:val="auto"/>
        </w:rPr>
        <w:t>江河湖库防洪减灾体系进一步完善，农业适应气候变化能力持续提高，生态系统稳定性进一步增强，生态系统碳汇明显增加，气候灾害预警和应对能力显著增强。</w:t>
      </w:r>
    </w:p>
    <w:p>
      <w:pPr>
        <w:spacing w:line="596" w:lineRule="exact"/>
        <w:ind w:firstLine="624" w:firstLineChars="200"/>
        <w:rPr>
          <w:rFonts w:ascii="方正仿宋_GBK" w:eastAsia="方正仿宋_GBK"/>
          <w:color w:val="auto"/>
        </w:rPr>
      </w:pPr>
      <w:r>
        <w:rPr>
          <w:rFonts w:hint="eastAsia" w:ascii="方正仿宋_GBK" w:eastAsia="方正仿宋_GBK"/>
          <w:b/>
          <w:bCs/>
          <w:color w:val="auto"/>
        </w:rPr>
        <w:t>——气候治理能力有效增强。</w:t>
      </w:r>
      <w:r>
        <w:rPr>
          <w:rFonts w:hint="eastAsia" w:ascii="方正仿宋_GBK" w:eastAsia="方正仿宋_GBK"/>
          <w:color w:val="auto"/>
        </w:rPr>
        <w:t>应对气候变化制度体系不断完善，减污降碳协同推进，科技创新水平持续增强，市场机制有效建立，人才队伍不断壮大。</w:t>
      </w:r>
    </w:p>
    <w:p>
      <w:pPr>
        <w:spacing w:line="596" w:lineRule="exact"/>
        <w:ind w:firstLine="624" w:firstLineChars="200"/>
        <w:rPr>
          <w:rFonts w:ascii="方正仿宋_GBK" w:eastAsia="方正仿宋_GBK"/>
          <w:color w:val="auto"/>
        </w:rPr>
      </w:pPr>
      <w:r>
        <w:rPr>
          <w:rFonts w:hint="eastAsia" w:ascii="方正仿宋_GBK" w:eastAsia="方正仿宋_GBK"/>
          <w:b/>
          <w:bCs/>
          <w:color w:val="auto"/>
        </w:rPr>
        <w:t>——示范试点体系健全完善。</w:t>
      </w:r>
      <w:r>
        <w:rPr>
          <w:rFonts w:hint="eastAsia" w:ascii="方正仿宋_GBK" w:eastAsia="方正仿宋_GBK"/>
          <w:color w:val="auto"/>
        </w:rPr>
        <w:t>低碳发展示范试点全面推进，适应气候变化示范试点工作有效开展，建成一批具有典型示范意义的低碳、“零碳”示范试点工程，全民践行简约适度、绿色低碳的生活理念基本形成。</w:t>
      </w:r>
    </w:p>
    <w:p>
      <w:pPr>
        <w:spacing w:line="596" w:lineRule="exact"/>
        <w:ind w:firstLine="624" w:firstLineChars="200"/>
        <w:outlineLvl w:val="2"/>
        <w:rPr>
          <w:rFonts w:ascii="方正仿宋_GBK" w:eastAsia="方正仿宋_GBK"/>
          <w:color w:val="auto"/>
        </w:rPr>
      </w:pPr>
      <w:bookmarkStart w:id="12" w:name="_Toc109898249"/>
      <w:r>
        <w:rPr>
          <w:rFonts w:eastAsia="方正仿宋_GBK" w:cs="Times New Roman"/>
          <w:color w:val="auto"/>
        </w:rPr>
        <w:t>2</w:t>
      </w:r>
      <w:r>
        <w:rPr>
          <w:rFonts w:ascii="方正仿宋_GBK" w:eastAsia="方正仿宋_GBK"/>
          <w:color w:val="auto"/>
        </w:rPr>
        <w:t>.</w:t>
      </w:r>
      <w:r>
        <w:rPr>
          <w:rFonts w:hint="eastAsia" w:ascii="方正仿宋_GBK" w:eastAsia="方正仿宋_GBK"/>
          <w:color w:val="auto"/>
        </w:rPr>
        <w:t>具体指标</w:t>
      </w:r>
      <w:bookmarkEnd w:id="12"/>
    </w:p>
    <w:p>
      <w:pPr>
        <w:spacing w:line="596" w:lineRule="exact"/>
        <w:ind w:firstLine="624" w:firstLineChars="200"/>
        <w:rPr>
          <w:color w:val="auto"/>
        </w:rPr>
      </w:pPr>
      <w:r>
        <w:rPr>
          <w:rFonts w:hint="eastAsia" w:ascii="方正仿宋_GBK" w:eastAsia="方正仿宋_GBK"/>
          <w:color w:val="auto"/>
        </w:rPr>
        <w:t>“十四五”期间共设置应对气候变化重点指标</w:t>
      </w:r>
      <w:r>
        <w:rPr>
          <w:rFonts w:eastAsia="方正仿宋_GBK" w:cs="Times New Roman"/>
          <w:color w:val="auto"/>
        </w:rPr>
        <w:t>14</w:t>
      </w:r>
      <w:r>
        <w:rPr>
          <w:rFonts w:hint="eastAsia" w:ascii="方正仿宋_GBK" w:eastAsia="方正仿宋_GBK"/>
          <w:color w:val="auto"/>
        </w:rPr>
        <w:t>项，包括综合控制指标、结构性控制指标、重点领域指标、气候适应性指标。</w:t>
      </w:r>
    </w:p>
    <w:p>
      <w:pPr>
        <w:jc w:val="center"/>
        <w:rPr>
          <w:rFonts w:hint="eastAsia" w:ascii="方正仿宋_GBK" w:eastAsia="方正仿宋_GBK"/>
          <w:b/>
          <w:bCs/>
          <w:color w:val="auto"/>
          <w:sz w:val="28"/>
          <w:szCs w:val="28"/>
        </w:rPr>
      </w:pPr>
      <w:r>
        <w:rPr>
          <w:rFonts w:hint="eastAsia" w:ascii="方正仿宋_GBK" w:eastAsia="方正仿宋_GBK"/>
          <w:b/>
          <w:bCs/>
          <w:color w:val="auto"/>
          <w:sz w:val="28"/>
          <w:szCs w:val="28"/>
        </w:rPr>
        <w:t>表</w:t>
      </w:r>
      <w:r>
        <w:rPr>
          <w:rFonts w:eastAsia="方正仿宋_GBK" w:cs="Times New Roman"/>
          <w:b/>
          <w:bCs/>
          <w:color w:val="auto"/>
          <w:sz w:val="28"/>
          <w:szCs w:val="28"/>
        </w:rPr>
        <w:t>2-1</w:t>
      </w:r>
      <w:r>
        <w:rPr>
          <w:rFonts w:hint="eastAsia" w:ascii="方正仿宋_GBK" w:eastAsia="方正仿宋_GBK"/>
          <w:b/>
          <w:bCs/>
          <w:color w:val="auto"/>
          <w:sz w:val="28"/>
          <w:szCs w:val="28"/>
        </w:rPr>
        <w:t>铜梁区应对气候变化指标体系</w:t>
      </w:r>
    </w:p>
    <w:tbl>
      <w:tblPr>
        <w:tblStyle w:val="14"/>
        <w:tblW w:w="87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709"/>
        <w:gridCol w:w="2421"/>
        <w:gridCol w:w="1701"/>
        <w:gridCol w:w="708"/>
        <w:gridCol w:w="855"/>
        <w:gridCol w:w="1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vAlign w:val="center"/>
          </w:tcPr>
          <w:p>
            <w:pPr>
              <w:spacing w:line="300" w:lineRule="exact"/>
              <w:jc w:val="center"/>
              <w:rPr>
                <w:rFonts w:ascii="方正书宋简体" w:eastAsia="方正书宋简体"/>
                <w:b/>
                <w:bCs/>
                <w:color w:val="auto"/>
                <w:sz w:val="21"/>
                <w:szCs w:val="21"/>
              </w:rPr>
            </w:pPr>
            <w:r>
              <w:rPr>
                <w:rFonts w:hint="eastAsia" w:ascii="方正书宋简体" w:eastAsia="方正书宋简体"/>
                <w:b/>
                <w:bCs/>
                <w:color w:val="auto"/>
                <w:sz w:val="21"/>
                <w:szCs w:val="21"/>
              </w:rPr>
              <w:t>类别</w:t>
            </w:r>
          </w:p>
        </w:tc>
        <w:tc>
          <w:tcPr>
            <w:tcW w:w="709" w:type="dxa"/>
            <w:vAlign w:val="center"/>
          </w:tcPr>
          <w:p>
            <w:pPr>
              <w:spacing w:line="300" w:lineRule="exact"/>
              <w:jc w:val="center"/>
              <w:rPr>
                <w:rFonts w:ascii="方正书宋简体" w:eastAsia="方正书宋简体"/>
                <w:b/>
                <w:bCs/>
                <w:color w:val="auto"/>
                <w:sz w:val="21"/>
                <w:szCs w:val="21"/>
              </w:rPr>
            </w:pPr>
            <w:r>
              <w:rPr>
                <w:rFonts w:hint="eastAsia" w:ascii="方正书宋简体" w:eastAsia="方正书宋简体"/>
                <w:b/>
                <w:bCs/>
                <w:color w:val="auto"/>
                <w:sz w:val="21"/>
                <w:szCs w:val="21"/>
              </w:rPr>
              <w:t>序号</w:t>
            </w:r>
          </w:p>
        </w:tc>
        <w:tc>
          <w:tcPr>
            <w:tcW w:w="2421" w:type="dxa"/>
            <w:vAlign w:val="center"/>
          </w:tcPr>
          <w:p>
            <w:pPr>
              <w:spacing w:line="300" w:lineRule="exact"/>
              <w:jc w:val="center"/>
              <w:rPr>
                <w:rFonts w:ascii="方正书宋简体" w:eastAsia="方正书宋简体"/>
                <w:b/>
                <w:bCs/>
                <w:color w:val="auto"/>
                <w:sz w:val="21"/>
                <w:szCs w:val="21"/>
              </w:rPr>
            </w:pPr>
            <w:r>
              <w:rPr>
                <w:rFonts w:hint="eastAsia" w:ascii="方正书宋简体" w:eastAsia="方正书宋简体"/>
                <w:b/>
                <w:bCs/>
                <w:color w:val="auto"/>
                <w:sz w:val="21"/>
                <w:szCs w:val="21"/>
              </w:rPr>
              <w:t>具体指标</w:t>
            </w:r>
          </w:p>
        </w:tc>
        <w:tc>
          <w:tcPr>
            <w:tcW w:w="1701" w:type="dxa"/>
            <w:vAlign w:val="center"/>
          </w:tcPr>
          <w:p>
            <w:pPr>
              <w:spacing w:line="300" w:lineRule="exact"/>
              <w:jc w:val="center"/>
              <w:rPr>
                <w:rFonts w:ascii="方正书宋简体" w:eastAsia="方正书宋简体"/>
                <w:b/>
                <w:bCs/>
                <w:color w:val="auto"/>
                <w:sz w:val="21"/>
                <w:szCs w:val="21"/>
              </w:rPr>
            </w:pPr>
            <w:r>
              <w:rPr>
                <w:rFonts w:ascii="方正书宋简体" w:eastAsia="方正书宋简体"/>
                <w:b/>
                <w:bCs/>
                <w:color w:val="auto"/>
                <w:sz w:val="21"/>
                <w:szCs w:val="21"/>
              </w:rPr>
              <w:t>2020</w:t>
            </w:r>
            <w:r>
              <w:rPr>
                <w:rFonts w:hint="eastAsia" w:ascii="方正书宋简体" w:eastAsia="方正书宋简体"/>
                <w:b/>
                <w:bCs/>
                <w:color w:val="auto"/>
                <w:sz w:val="21"/>
                <w:szCs w:val="21"/>
              </w:rPr>
              <w:t>年</w:t>
            </w:r>
          </w:p>
        </w:tc>
        <w:tc>
          <w:tcPr>
            <w:tcW w:w="708" w:type="dxa"/>
            <w:vAlign w:val="center"/>
          </w:tcPr>
          <w:p>
            <w:pPr>
              <w:spacing w:line="300" w:lineRule="exact"/>
              <w:jc w:val="center"/>
              <w:rPr>
                <w:rFonts w:ascii="方正书宋简体" w:eastAsia="方正书宋简体"/>
                <w:b/>
                <w:bCs/>
                <w:color w:val="auto"/>
                <w:sz w:val="21"/>
                <w:szCs w:val="21"/>
              </w:rPr>
            </w:pPr>
            <w:r>
              <w:rPr>
                <w:rFonts w:hint="eastAsia" w:ascii="方正书宋简体" w:eastAsia="方正书宋简体"/>
                <w:b/>
                <w:bCs/>
                <w:color w:val="auto"/>
                <w:sz w:val="21"/>
                <w:szCs w:val="21"/>
              </w:rPr>
              <w:t>2025年</w:t>
            </w:r>
          </w:p>
        </w:tc>
        <w:tc>
          <w:tcPr>
            <w:tcW w:w="855" w:type="dxa"/>
            <w:vAlign w:val="center"/>
          </w:tcPr>
          <w:p>
            <w:pPr>
              <w:spacing w:line="300" w:lineRule="exact"/>
              <w:jc w:val="center"/>
              <w:rPr>
                <w:rFonts w:ascii="方正书宋简体" w:eastAsia="方正书宋简体"/>
                <w:b/>
                <w:bCs/>
                <w:color w:val="auto"/>
                <w:sz w:val="21"/>
                <w:szCs w:val="21"/>
              </w:rPr>
            </w:pPr>
            <w:r>
              <w:rPr>
                <w:rFonts w:hint="eastAsia" w:ascii="方正书宋简体" w:eastAsia="方正书宋简体"/>
                <w:b/>
                <w:bCs/>
                <w:color w:val="auto"/>
                <w:sz w:val="21"/>
                <w:szCs w:val="21"/>
              </w:rPr>
              <w:t>指标性质</w:t>
            </w:r>
          </w:p>
        </w:tc>
        <w:tc>
          <w:tcPr>
            <w:tcW w:w="1634" w:type="dxa"/>
            <w:vAlign w:val="center"/>
          </w:tcPr>
          <w:p>
            <w:pPr>
              <w:spacing w:line="300" w:lineRule="exact"/>
              <w:jc w:val="center"/>
              <w:rPr>
                <w:rFonts w:ascii="方正书宋简体" w:eastAsia="方正书宋简体"/>
                <w:b/>
                <w:bCs/>
                <w:color w:val="auto"/>
                <w:sz w:val="21"/>
                <w:szCs w:val="21"/>
              </w:rPr>
            </w:pPr>
            <w:r>
              <w:rPr>
                <w:rFonts w:hint="eastAsia" w:ascii="方正书宋简体" w:eastAsia="方正书宋简体"/>
                <w:b/>
                <w:bCs/>
                <w:color w:val="auto"/>
                <w:sz w:val="21"/>
                <w:szCs w:val="21"/>
              </w:rPr>
              <w:t>责任部门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vMerge w:val="restart"/>
            <w:vAlign w:val="center"/>
          </w:tcPr>
          <w:p>
            <w:pPr>
              <w:spacing w:line="300" w:lineRule="exact"/>
              <w:rPr>
                <w:rFonts w:ascii="方正书宋简体" w:eastAsia="方正书宋简体"/>
                <w:color w:val="auto"/>
                <w:sz w:val="21"/>
                <w:szCs w:val="21"/>
              </w:rPr>
            </w:pPr>
            <w:r>
              <w:rPr>
                <w:rFonts w:hint="eastAsia" w:ascii="方正书宋简体" w:eastAsia="方正书宋简体"/>
                <w:color w:val="auto"/>
                <w:sz w:val="21"/>
                <w:szCs w:val="21"/>
              </w:rPr>
              <w:t>综合指标</w:t>
            </w:r>
          </w:p>
        </w:tc>
        <w:tc>
          <w:tcPr>
            <w:tcW w:w="709" w:type="dxa"/>
            <w:vAlign w:val="center"/>
          </w:tcPr>
          <w:p>
            <w:pPr>
              <w:spacing w:line="300" w:lineRule="exact"/>
              <w:jc w:val="center"/>
              <w:rPr>
                <w:rFonts w:ascii="方正书宋简体" w:eastAsia="方正书宋简体"/>
                <w:color w:val="auto"/>
                <w:sz w:val="21"/>
                <w:szCs w:val="21"/>
              </w:rPr>
            </w:pPr>
            <w:r>
              <w:rPr>
                <w:rFonts w:ascii="方正书宋简体" w:eastAsia="方正书宋简体"/>
                <w:color w:val="auto"/>
                <w:sz w:val="21"/>
                <w:szCs w:val="21"/>
              </w:rPr>
              <w:t>1</w:t>
            </w:r>
          </w:p>
        </w:tc>
        <w:tc>
          <w:tcPr>
            <w:tcW w:w="2421" w:type="dxa"/>
            <w:vAlign w:val="center"/>
          </w:tcPr>
          <w:p>
            <w:pPr>
              <w:spacing w:line="300" w:lineRule="exact"/>
              <w:rPr>
                <w:rFonts w:ascii="方正书宋简体" w:eastAsia="方正书宋简体"/>
                <w:color w:val="auto"/>
                <w:sz w:val="21"/>
                <w:szCs w:val="21"/>
              </w:rPr>
            </w:pPr>
            <w:r>
              <w:rPr>
                <w:rFonts w:hint="eastAsia" w:ascii="方正书宋简体" w:eastAsia="方正书宋简体"/>
                <w:color w:val="auto"/>
                <w:sz w:val="21"/>
                <w:szCs w:val="21"/>
              </w:rPr>
              <w:t>单位地区生产总值二氧化碳排放下降（%）</w:t>
            </w:r>
          </w:p>
        </w:tc>
        <w:tc>
          <w:tcPr>
            <w:tcW w:w="1701" w:type="dxa"/>
            <w:vAlign w:val="center"/>
          </w:tcPr>
          <w:p>
            <w:pPr>
              <w:spacing w:line="300" w:lineRule="exact"/>
              <w:jc w:val="center"/>
              <w:rPr>
                <w:rFonts w:ascii="方正书宋简体" w:eastAsia="方正书宋简体"/>
                <w:color w:val="auto"/>
                <w:sz w:val="21"/>
                <w:szCs w:val="21"/>
              </w:rPr>
            </w:pPr>
            <w:r>
              <w:rPr>
                <w:rFonts w:ascii="方正书宋简体" w:eastAsia="方正书宋简体"/>
                <w:color w:val="auto"/>
                <w:sz w:val="21"/>
                <w:szCs w:val="21"/>
              </w:rPr>
              <w:t>-</w:t>
            </w:r>
          </w:p>
        </w:tc>
        <w:tc>
          <w:tcPr>
            <w:tcW w:w="708" w:type="dxa"/>
            <w:vAlign w:val="center"/>
          </w:tcPr>
          <w:p>
            <w:pPr>
              <w:spacing w:line="300" w:lineRule="exact"/>
              <w:rPr>
                <w:rFonts w:ascii="方正书宋简体" w:eastAsia="方正书宋简体"/>
                <w:color w:val="auto"/>
                <w:sz w:val="21"/>
                <w:szCs w:val="21"/>
              </w:rPr>
            </w:pPr>
            <w:r>
              <w:rPr>
                <w:rFonts w:hint="eastAsia" w:ascii="方正书宋简体" w:eastAsia="方正书宋简体"/>
                <w:color w:val="auto"/>
                <w:sz w:val="21"/>
                <w:szCs w:val="21"/>
              </w:rPr>
              <w:t>市级下达</w:t>
            </w:r>
          </w:p>
        </w:tc>
        <w:tc>
          <w:tcPr>
            <w:tcW w:w="855" w:type="dxa"/>
            <w:vAlign w:val="center"/>
          </w:tcPr>
          <w:p>
            <w:pPr>
              <w:spacing w:line="300" w:lineRule="exact"/>
              <w:jc w:val="center"/>
              <w:rPr>
                <w:rFonts w:ascii="方正书宋简体" w:eastAsia="方正书宋简体"/>
                <w:color w:val="auto"/>
                <w:sz w:val="21"/>
                <w:szCs w:val="21"/>
              </w:rPr>
            </w:pPr>
            <w:r>
              <w:rPr>
                <w:rFonts w:hint="eastAsia" w:ascii="方正书宋简体" w:eastAsia="方正书宋简体"/>
                <w:color w:val="auto"/>
                <w:sz w:val="21"/>
                <w:szCs w:val="21"/>
              </w:rPr>
              <w:t>约束性</w:t>
            </w:r>
          </w:p>
        </w:tc>
        <w:tc>
          <w:tcPr>
            <w:tcW w:w="1634" w:type="dxa"/>
            <w:vAlign w:val="center"/>
          </w:tcPr>
          <w:p>
            <w:pPr>
              <w:spacing w:line="300" w:lineRule="exact"/>
              <w:jc w:val="center"/>
              <w:rPr>
                <w:rFonts w:ascii="方正书宋简体" w:eastAsia="方正书宋简体"/>
                <w:color w:val="auto"/>
                <w:sz w:val="21"/>
                <w:szCs w:val="21"/>
              </w:rPr>
            </w:pPr>
            <w:r>
              <w:rPr>
                <w:rFonts w:hint="eastAsia" w:ascii="方正书宋简体" w:eastAsia="方正书宋简体"/>
                <w:color w:val="auto"/>
                <w:sz w:val="21"/>
                <w:szCs w:val="21"/>
              </w:rPr>
              <w:t>区发展改革委、区生态环境局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vMerge w:val="continue"/>
            <w:vAlign w:val="center"/>
          </w:tcPr>
          <w:p>
            <w:pPr>
              <w:spacing w:line="300" w:lineRule="exact"/>
              <w:rPr>
                <w:rFonts w:ascii="方正书宋简体" w:eastAsia="方正书宋简体"/>
                <w:color w:val="auto"/>
                <w:sz w:val="21"/>
                <w:szCs w:val="21"/>
              </w:rPr>
            </w:pPr>
          </w:p>
        </w:tc>
        <w:tc>
          <w:tcPr>
            <w:tcW w:w="709" w:type="dxa"/>
            <w:vAlign w:val="center"/>
          </w:tcPr>
          <w:p>
            <w:pPr>
              <w:spacing w:line="300" w:lineRule="exact"/>
              <w:jc w:val="center"/>
              <w:rPr>
                <w:rFonts w:ascii="方正书宋简体" w:eastAsia="方正书宋简体"/>
                <w:color w:val="auto"/>
                <w:sz w:val="21"/>
                <w:szCs w:val="21"/>
              </w:rPr>
            </w:pPr>
            <w:r>
              <w:rPr>
                <w:rFonts w:ascii="方正书宋简体" w:eastAsia="方正书宋简体"/>
                <w:color w:val="auto"/>
                <w:sz w:val="21"/>
                <w:szCs w:val="21"/>
              </w:rPr>
              <w:t>2</w:t>
            </w:r>
          </w:p>
        </w:tc>
        <w:tc>
          <w:tcPr>
            <w:tcW w:w="2421" w:type="dxa"/>
            <w:vAlign w:val="center"/>
          </w:tcPr>
          <w:p>
            <w:pPr>
              <w:spacing w:line="300" w:lineRule="exact"/>
              <w:rPr>
                <w:rFonts w:ascii="方正书宋简体" w:eastAsia="方正书宋简体"/>
                <w:color w:val="auto"/>
                <w:sz w:val="21"/>
                <w:szCs w:val="21"/>
              </w:rPr>
            </w:pPr>
            <w:r>
              <w:rPr>
                <w:rFonts w:hint="eastAsia" w:ascii="方正书宋简体" w:eastAsia="方正书宋简体"/>
                <w:color w:val="auto"/>
                <w:sz w:val="21"/>
                <w:szCs w:val="21"/>
              </w:rPr>
              <w:t>单位地区生产总值能</w:t>
            </w:r>
            <w:r>
              <w:rPr>
                <w:rFonts w:hint="eastAsia" w:ascii="方正书宋简体" w:eastAsia="方正书宋简体"/>
                <w:color w:val="auto"/>
                <w:sz w:val="21"/>
                <w:szCs w:val="21"/>
                <w:lang w:val="en-US" w:eastAsia="zh-CN"/>
              </w:rPr>
              <w:t>源</w:t>
            </w:r>
            <w:r>
              <w:rPr>
                <w:rFonts w:hint="eastAsia" w:ascii="方正书宋简体" w:eastAsia="方正书宋简体"/>
                <w:color w:val="auto"/>
                <w:sz w:val="21"/>
                <w:szCs w:val="21"/>
              </w:rPr>
              <w:t>消耗下降（%）</w:t>
            </w:r>
          </w:p>
        </w:tc>
        <w:tc>
          <w:tcPr>
            <w:tcW w:w="1701" w:type="dxa"/>
            <w:vAlign w:val="center"/>
          </w:tcPr>
          <w:p>
            <w:pPr>
              <w:spacing w:line="300" w:lineRule="exact"/>
              <w:jc w:val="center"/>
              <w:rPr>
                <w:rFonts w:ascii="方正书宋简体" w:eastAsia="方正书宋简体"/>
                <w:color w:val="auto"/>
                <w:sz w:val="21"/>
                <w:szCs w:val="21"/>
              </w:rPr>
            </w:pPr>
            <w:r>
              <w:rPr>
                <w:rFonts w:ascii="方正书宋简体" w:eastAsia="方正书宋简体"/>
                <w:color w:val="auto"/>
                <w:sz w:val="21"/>
                <w:szCs w:val="21"/>
              </w:rPr>
              <w:t>[16]</w:t>
            </w:r>
          </w:p>
        </w:tc>
        <w:tc>
          <w:tcPr>
            <w:tcW w:w="708" w:type="dxa"/>
            <w:vAlign w:val="center"/>
          </w:tcPr>
          <w:p>
            <w:pPr>
              <w:spacing w:line="300" w:lineRule="exact"/>
              <w:jc w:val="center"/>
              <w:rPr>
                <w:rFonts w:ascii="方正书宋简体" w:eastAsia="方正书宋简体"/>
                <w:color w:val="auto"/>
                <w:sz w:val="21"/>
                <w:szCs w:val="21"/>
              </w:rPr>
            </w:pPr>
            <w:r>
              <w:rPr>
                <w:rFonts w:ascii="方正书宋简体" w:eastAsia="方正书宋简体"/>
                <w:color w:val="auto"/>
                <w:sz w:val="21"/>
                <w:szCs w:val="21"/>
              </w:rPr>
              <w:t>[14]</w:t>
            </w:r>
          </w:p>
        </w:tc>
        <w:tc>
          <w:tcPr>
            <w:tcW w:w="855" w:type="dxa"/>
            <w:vAlign w:val="center"/>
          </w:tcPr>
          <w:p>
            <w:pPr>
              <w:spacing w:line="300" w:lineRule="exact"/>
              <w:jc w:val="center"/>
              <w:rPr>
                <w:rFonts w:ascii="方正书宋简体" w:eastAsia="方正书宋简体"/>
                <w:color w:val="auto"/>
                <w:sz w:val="21"/>
                <w:szCs w:val="21"/>
              </w:rPr>
            </w:pPr>
            <w:r>
              <w:rPr>
                <w:rFonts w:hint="eastAsia" w:ascii="方正书宋简体" w:eastAsia="方正书宋简体"/>
                <w:color w:val="auto"/>
                <w:sz w:val="21"/>
                <w:szCs w:val="21"/>
              </w:rPr>
              <w:t>约束性</w:t>
            </w:r>
          </w:p>
        </w:tc>
        <w:tc>
          <w:tcPr>
            <w:tcW w:w="1634" w:type="dxa"/>
            <w:vAlign w:val="center"/>
          </w:tcPr>
          <w:p>
            <w:pPr>
              <w:spacing w:line="300" w:lineRule="exact"/>
              <w:jc w:val="center"/>
              <w:rPr>
                <w:rFonts w:ascii="方正书宋简体" w:eastAsia="方正书宋简体"/>
                <w:color w:val="auto"/>
                <w:sz w:val="21"/>
                <w:szCs w:val="21"/>
              </w:rPr>
            </w:pPr>
            <w:r>
              <w:rPr>
                <w:rFonts w:hint="eastAsia" w:ascii="方正书宋简体" w:eastAsia="方正书宋简体"/>
                <w:color w:val="auto"/>
                <w:sz w:val="21"/>
                <w:szCs w:val="21"/>
              </w:rPr>
              <w:t>区发展改革委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93" w:type="dxa"/>
            <w:vAlign w:val="center"/>
          </w:tcPr>
          <w:p>
            <w:pPr>
              <w:spacing w:line="300" w:lineRule="exact"/>
              <w:rPr>
                <w:rFonts w:ascii="方正书宋简体" w:eastAsia="方正书宋简体"/>
                <w:color w:val="auto"/>
                <w:sz w:val="21"/>
                <w:szCs w:val="21"/>
              </w:rPr>
            </w:pPr>
            <w:r>
              <w:rPr>
                <w:rFonts w:hint="eastAsia" w:ascii="方正书宋简体" w:eastAsia="方正书宋简体"/>
                <w:color w:val="auto"/>
                <w:sz w:val="21"/>
                <w:szCs w:val="21"/>
              </w:rPr>
              <w:t>结构性指标</w:t>
            </w:r>
          </w:p>
        </w:tc>
        <w:tc>
          <w:tcPr>
            <w:tcW w:w="709" w:type="dxa"/>
            <w:vAlign w:val="center"/>
          </w:tcPr>
          <w:p>
            <w:pPr>
              <w:spacing w:line="300" w:lineRule="exact"/>
              <w:jc w:val="center"/>
              <w:rPr>
                <w:rFonts w:ascii="方正书宋简体" w:eastAsia="方正书宋简体"/>
                <w:color w:val="auto"/>
                <w:sz w:val="21"/>
                <w:szCs w:val="21"/>
              </w:rPr>
            </w:pPr>
            <w:r>
              <w:rPr>
                <w:rFonts w:ascii="方正书宋简体" w:eastAsia="方正书宋简体"/>
                <w:color w:val="auto"/>
                <w:sz w:val="21"/>
                <w:szCs w:val="21"/>
              </w:rPr>
              <w:t>3</w:t>
            </w:r>
          </w:p>
        </w:tc>
        <w:tc>
          <w:tcPr>
            <w:tcW w:w="2421" w:type="dxa"/>
            <w:vAlign w:val="center"/>
          </w:tcPr>
          <w:p>
            <w:pPr>
              <w:spacing w:line="300" w:lineRule="exact"/>
              <w:rPr>
                <w:rFonts w:ascii="方正书宋简体" w:eastAsia="方正书宋简体"/>
                <w:color w:val="auto"/>
                <w:sz w:val="21"/>
                <w:szCs w:val="21"/>
              </w:rPr>
            </w:pPr>
            <w:r>
              <w:rPr>
                <w:rFonts w:hint="eastAsia" w:ascii="方正书宋简体" w:eastAsia="方正书宋简体"/>
                <w:color w:val="auto"/>
                <w:sz w:val="21"/>
                <w:szCs w:val="21"/>
              </w:rPr>
              <w:t>规模以上战略性新兴产业产值占规模以上工业总产值比重（%）</w:t>
            </w:r>
          </w:p>
        </w:tc>
        <w:tc>
          <w:tcPr>
            <w:tcW w:w="1701" w:type="dxa"/>
            <w:vAlign w:val="center"/>
          </w:tcPr>
          <w:p>
            <w:pPr>
              <w:spacing w:line="300" w:lineRule="exact"/>
              <w:jc w:val="center"/>
              <w:rPr>
                <w:rFonts w:ascii="方正书宋简体" w:eastAsia="方正书宋简体"/>
                <w:color w:val="auto"/>
                <w:sz w:val="21"/>
                <w:szCs w:val="21"/>
              </w:rPr>
            </w:pPr>
            <w:r>
              <w:rPr>
                <w:rFonts w:ascii="方正书宋简体" w:eastAsia="方正书宋简体"/>
                <w:color w:val="auto"/>
                <w:sz w:val="21"/>
                <w:szCs w:val="21"/>
              </w:rPr>
              <w:t>14.9</w:t>
            </w:r>
          </w:p>
        </w:tc>
        <w:tc>
          <w:tcPr>
            <w:tcW w:w="708" w:type="dxa"/>
            <w:vAlign w:val="center"/>
          </w:tcPr>
          <w:p>
            <w:pPr>
              <w:spacing w:line="300" w:lineRule="exact"/>
              <w:jc w:val="center"/>
              <w:rPr>
                <w:rFonts w:ascii="方正书宋简体" w:eastAsia="方正书宋简体"/>
                <w:color w:val="auto"/>
                <w:sz w:val="21"/>
                <w:szCs w:val="21"/>
              </w:rPr>
            </w:pPr>
            <w:r>
              <w:rPr>
                <w:rFonts w:ascii="方正书宋简体" w:eastAsia="方正书宋简体"/>
                <w:color w:val="auto"/>
                <w:sz w:val="21"/>
                <w:szCs w:val="21"/>
              </w:rPr>
              <w:t>15</w:t>
            </w:r>
          </w:p>
        </w:tc>
        <w:tc>
          <w:tcPr>
            <w:tcW w:w="855" w:type="dxa"/>
            <w:vAlign w:val="center"/>
          </w:tcPr>
          <w:p>
            <w:pPr>
              <w:spacing w:line="300" w:lineRule="exact"/>
              <w:jc w:val="center"/>
              <w:rPr>
                <w:rFonts w:ascii="方正书宋简体" w:eastAsia="方正书宋简体"/>
                <w:color w:val="auto"/>
                <w:sz w:val="21"/>
                <w:szCs w:val="21"/>
              </w:rPr>
            </w:pPr>
            <w:r>
              <w:rPr>
                <w:rFonts w:hint="eastAsia" w:ascii="方正书宋简体" w:eastAsia="方正书宋简体"/>
                <w:color w:val="auto"/>
                <w:sz w:val="21"/>
                <w:szCs w:val="21"/>
              </w:rPr>
              <w:t>预期性</w:t>
            </w:r>
          </w:p>
        </w:tc>
        <w:tc>
          <w:tcPr>
            <w:tcW w:w="1634" w:type="dxa"/>
            <w:vAlign w:val="center"/>
          </w:tcPr>
          <w:p>
            <w:pPr>
              <w:spacing w:line="300" w:lineRule="exact"/>
              <w:jc w:val="center"/>
              <w:rPr>
                <w:rFonts w:ascii="方正书宋简体" w:eastAsia="方正书宋简体"/>
                <w:color w:val="auto"/>
                <w:sz w:val="21"/>
                <w:szCs w:val="21"/>
              </w:rPr>
            </w:pPr>
            <w:r>
              <w:rPr>
                <w:rFonts w:hint="eastAsia" w:ascii="方正书宋简体" w:eastAsia="方正书宋简体"/>
                <w:color w:val="auto"/>
                <w:sz w:val="21"/>
                <w:szCs w:val="21"/>
              </w:rPr>
              <w:t>区发展改革委、区经济信息委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vMerge w:val="restart"/>
            <w:vAlign w:val="center"/>
          </w:tcPr>
          <w:p>
            <w:pPr>
              <w:spacing w:line="300" w:lineRule="exact"/>
              <w:rPr>
                <w:rFonts w:ascii="方正书宋简体" w:eastAsia="方正书宋简体"/>
                <w:color w:val="auto"/>
                <w:sz w:val="21"/>
                <w:szCs w:val="21"/>
              </w:rPr>
            </w:pPr>
            <w:r>
              <w:rPr>
                <w:rFonts w:hint="eastAsia" w:ascii="方正书宋简体" w:eastAsia="方正书宋简体"/>
                <w:color w:val="auto"/>
                <w:sz w:val="21"/>
                <w:szCs w:val="21"/>
              </w:rPr>
              <w:t>重点领域指标</w:t>
            </w:r>
          </w:p>
        </w:tc>
        <w:tc>
          <w:tcPr>
            <w:tcW w:w="709" w:type="dxa"/>
            <w:vAlign w:val="center"/>
          </w:tcPr>
          <w:p>
            <w:pPr>
              <w:spacing w:line="300" w:lineRule="exact"/>
              <w:jc w:val="center"/>
              <w:rPr>
                <w:rFonts w:ascii="方正书宋简体" w:eastAsia="方正书宋简体"/>
                <w:color w:val="auto"/>
                <w:sz w:val="21"/>
                <w:szCs w:val="21"/>
              </w:rPr>
            </w:pPr>
            <w:r>
              <w:rPr>
                <w:rFonts w:ascii="方正书宋简体" w:eastAsia="方正书宋简体"/>
                <w:color w:val="auto"/>
                <w:sz w:val="21"/>
                <w:szCs w:val="21"/>
              </w:rPr>
              <w:t>4</w:t>
            </w:r>
          </w:p>
        </w:tc>
        <w:tc>
          <w:tcPr>
            <w:tcW w:w="2421" w:type="dxa"/>
            <w:vAlign w:val="center"/>
          </w:tcPr>
          <w:p>
            <w:pPr>
              <w:spacing w:line="300" w:lineRule="exact"/>
              <w:rPr>
                <w:rFonts w:ascii="方正书宋简体" w:eastAsia="方正书宋简体"/>
                <w:color w:val="auto"/>
                <w:sz w:val="21"/>
                <w:szCs w:val="21"/>
              </w:rPr>
            </w:pPr>
            <w:r>
              <w:rPr>
                <w:rFonts w:hint="eastAsia" w:ascii="方正书宋简体" w:eastAsia="方正书宋简体"/>
                <w:color w:val="auto"/>
                <w:sz w:val="21"/>
                <w:szCs w:val="21"/>
              </w:rPr>
              <w:t>单位工业增加值二氧化碳排放下降率（</w:t>
            </w:r>
            <w:r>
              <w:rPr>
                <w:rFonts w:ascii="方正书宋简体" w:eastAsia="方正书宋简体"/>
                <w:color w:val="auto"/>
                <w:sz w:val="21"/>
                <w:szCs w:val="21"/>
              </w:rPr>
              <w:t>%</w:t>
            </w:r>
            <w:r>
              <w:rPr>
                <w:rFonts w:hint="eastAsia" w:ascii="方正书宋简体" w:eastAsia="方正书宋简体"/>
                <w:color w:val="auto"/>
                <w:sz w:val="21"/>
                <w:szCs w:val="21"/>
              </w:rPr>
              <w:t>）</w:t>
            </w:r>
          </w:p>
        </w:tc>
        <w:tc>
          <w:tcPr>
            <w:tcW w:w="1701" w:type="dxa"/>
            <w:vAlign w:val="center"/>
          </w:tcPr>
          <w:p>
            <w:pPr>
              <w:spacing w:line="300" w:lineRule="exact"/>
              <w:jc w:val="center"/>
              <w:rPr>
                <w:rFonts w:ascii="方正书宋简体" w:eastAsia="方正书宋简体"/>
                <w:color w:val="auto"/>
                <w:sz w:val="21"/>
                <w:szCs w:val="21"/>
              </w:rPr>
            </w:pPr>
            <w:r>
              <w:rPr>
                <w:rFonts w:ascii="方正书宋简体" w:eastAsia="方正书宋简体"/>
                <w:color w:val="auto"/>
                <w:sz w:val="21"/>
                <w:szCs w:val="21"/>
              </w:rPr>
              <w:t>-</w:t>
            </w:r>
          </w:p>
        </w:tc>
        <w:tc>
          <w:tcPr>
            <w:tcW w:w="708" w:type="dxa"/>
            <w:vAlign w:val="center"/>
          </w:tcPr>
          <w:p>
            <w:pPr>
              <w:spacing w:line="300" w:lineRule="exact"/>
              <w:jc w:val="center"/>
              <w:rPr>
                <w:rFonts w:ascii="方正书宋简体" w:eastAsia="方正书宋简体"/>
                <w:color w:val="auto"/>
                <w:sz w:val="21"/>
                <w:szCs w:val="21"/>
              </w:rPr>
            </w:pPr>
            <w:r>
              <w:rPr>
                <w:rFonts w:hint="eastAsia" w:ascii="方正书宋简体" w:eastAsia="方正书宋简体"/>
                <w:color w:val="auto"/>
                <w:sz w:val="21"/>
                <w:szCs w:val="21"/>
              </w:rPr>
              <w:t>市级下达</w:t>
            </w:r>
          </w:p>
        </w:tc>
        <w:tc>
          <w:tcPr>
            <w:tcW w:w="855" w:type="dxa"/>
            <w:vAlign w:val="center"/>
          </w:tcPr>
          <w:p>
            <w:pPr>
              <w:spacing w:line="300" w:lineRule="exact"/>
              <w:jc w:val="center"/>
              <w:rPr>
                <w:rFonts w:ascii="方正书宋简体" w:eastAsia="方正书宋简体"/>
                <w:color w:val="auto"/>
                <w:sz w:val="21"/>
                <w:szCs w:val="21"/>
              </w:rPr>
            </w:pPr>
            <w:r>
              <w:rPr>
                <w:rFonts w:hint="eastAsia" w:ascii="方正书宋简体" w:eastAsia="方正书宋简体"/>
                <w:color w:val="auto"/>
                <w:sz w:val="21"/>
                <w:szCs w:val="21"/>
              </w:rPr>
              <w:t>约束性</w:t>
            </w:r>
          </w:p>
        </w:tc>
        <w:tc>
          <w:tcPr>
            <w:tcW w:w="1634" w:type="dxa"/>
            <w:vAlign w:val="center"/>
          </w:tcPr>
          <w:p>
            <w:pPr>
              <w:spacing w:line="300" w:lineRule="exact"/>
              <w:jc w:val="center"/>
              <w:rPr>
                <w:rFonts w:ascii="方正书宋简体" w:eastAsia="方正书宋简体"/>
                <w:color w:val="auto"/>
                <w:sz w:val="21"/>
                <w:szCs w:val="21"/>
              </w:rPr>
            </w:pPr>
            <w:r>
              <w:rPr>
                <w:rFonts w:hint="eastAsia" w:ascii="方正书宋简体" w:eastAsia="方正书宋简体"/>
                <w:color w:val="auto"/>
                <w:sz w:val="21"/>
                <w:szCs w:val="21"/>
              </w:rPr>
              <w:t>区经济信息委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vMerge w:val="continue"/>
            <w:vAlign w:val="center"/>
          </w:tcPr>
          <w:p>
            <w:pPr>
              <w:spacing w:line="300" w:lineRule="exact"/>
              <w:rPr>
                <w:rFonts w:ascii="方正书宋简体" w:eastAsia="方正书宋简体"/>
                <w:color w:val="auto"/>
                <w:sz w:val="21"/>
                <w:szCs w:val="21"/>
              </w:rPr>
            </w:pPr>
          </w:p>
        </w:tc>
        <w:tc>
          <w:tcPr>
            <w:tcW w:w="709" w:type="dxa"/>
            <w:vAlign w:val="center"/>
          </w:tcPr>
          <w:p>
            <w:pPr>
              <w:spacing w:line="300" w:lineRule="exact"/>
              <w:jc w:val="center"/>
              <w:rPr>
                <w:rFonts w:ascii="方正书宋简体" w:eastAsia="方正书宋简体"/>
                <w:color w:val="auto"/>
                <w:sz w:val="21"/>
                <w:szCs w:val="21"/>
              </w:rPr>
            </w:pPr>
            <w:r>
              <w:rPr>
                <w:rFonts w:ascii="方正书宋简体" w:eastAsia="方正书宋简体"/>
                <w:color w:val="auto"/>
                <w:sz w:val="21"/>
                <w:szCs w:val="21"/>
              </w:rPr>
              <w:t>5</w:t>
            </w:r>
          </w:p>
        </w:tc>
        <w:tc>
          <w:tcPr>
            <w:tcW w:w="2421" w:type="dxa"/>
            <w:vAlign w:val="center"/>
          </w:tcPr>
          <w:p>
            <w:pPr>
              <w:spacing w:line="300" w:lineRule="exact"/>
              <w:rPr>
                <w:rFonts w:ascii="方正书宋简体" w:eastAsia="方正书宋简体"/>
                <w:color w:val="auto"/>
                <w:sz w:val="21"/>
                <w:szCs w:val="21"/>
              </w:rPr>
            </w:pPr>
            <w:r>
              <w:rPr>
                <w:rFonts w:hint="eastAsia" w:ascii="方正书宋简体" w:eastAsia="方正书宋简体"/>
                <w:color w:val="auto"/>
                <w:sz w:val="21"/>
                <w:szCs w:val="21"/>
              </w:rPr>
              <w:t>绿色建筑二星级以上面积（万平方米）</w:t>
            </w:r>
          </w:p>
        </w:tc>
        <w:tc>
          <w:tcPr>
            <w:tcW w:w="1701" w:type="dxa"/>
            <w:vAlign w:val="center"/>
          </w:tcPr>
          <w:p>
            <w:pPr>
              <w:spacing w:line="300" w:lineRule="exact"/>
              <w:jc w:val="center"/>
              <w:rPr>
                <w:rFonts w:ascii="方正书宋简体" w:eastAsia="方正书宋简体"/>
                <w:color w:val="auto"/>
                <w:sz w:val="21"/>
                <w:szCs w:val="21"/>
              </w:rPr>
            </w:pPr>
            <w:r>
              <w:rPr>
                <w:rFonts w:ascii="方正书宋简体" w:eastAsia="方正书宋简体"/>
                <w:color w:val="auto"/>
                <w:sz w:val="21"/>
                <w:szCs w:val="21"/>
              </w:rPr>
              <w:t>-</w:t>
            </w:r>
          </w:p>
        </w:tc>
        <w:tc>
          <w:tcPr>
            <w:tcW w:w="708" w:type="dxa"/>
            <w:vAlign w:val="center"/>
          </w:tcPr>
          <w:p>
            <w:pPr>
              <w:spacing w:line="300" w:lineRule="exact"/>
              <w:jc w:val="center"/>
              <w:rPr>
                <w:rFonts w:ascii="方正书宋简体" w:eastAsia="方正书宋简体"/>
                <w:color w:val="auto"/>
                <w:sz w:val="21"/>
                <w:szCs w:val="21"/>
              </w:rPr>
            </w:pPr>
            <w:r>
              <w:rPr>
                <w:rFonts w:hint="eastAsia" w:ascii="方正书宋简体" w:eastAsia="方正书宋简体"/>
                <w:color w:val="auto"/>
                <w:sz w:val="21"/>
                <w:szCs w:val="21"/>
              </w:rPr>
              <w:t>市级下达</w:t>
            </w:r>
          </w:p>
        </w:tc>
        <w:tc>
          <w:tcPr>
            <w:tcW w:w="855" w:type="dxa"/>
            <w:vAlign w:val="center"/>
          </w:tcPr>
          <w:p>
            <w:pPr>
              <w:spacing w:line="300" w:lineRule="exact"/>
              <w:jc w:val="center"/>
              <w:rPr>
                <w:rFonts w:ascii="方正书宋简体" w:eastAsia="方正书宋简体"/>
                <w:color w:val="auto"/>
                <w:sz w:val="21"/>
                <w:szCs w:val="21"/>
              </w:rPr>
            </w:pPr>
            <w:r>
              <w:rPr>
                <w:rFonts w:hint="eastAsia" w:ascii="方正书宋简体" w:eastAsia="方正书宋简体"/>
                <w:color w:val="auto"/>
                <w:sz w:val="21"/>
                <w:szCs w:val="21"/>
              </w:rPr>
              <w:t>约束性</w:t>
            </w:r>
          </w:p>
        </w:tc>
        <w:tc>
          <w:tcPr>
            <w:tcW w:w="1634" w:type="dxa"/>
            <w:vAlign w:val="center"/>
          </w:tcPr>
          <w:p>
            <w:pPr>
              <w:spacing w:line="300" w:lineRule="exact"/>
              <w:jc w:val="center"/>
              <w:rPr>
                <w:rFonts w:ascii="方正书宋简体" w:eastAsia="方正书宋简体"/>
                <w:color w:val="auto"/>
                <w:sz w:val="21"/>
                <w:szCs w:val="21"/>
              </w:rPr>
            </w:pPr>
            <w:r>
              <w:rPr>
                <w:rFonts w:hint="eastAsia" w:ascii="方正书宋简体" w:eastAsia="方正书宋简体"/>
                <w:color w:val="auto"/>
                <w:sz w:val="21"/>
                <w:szCs w:val="21"/>
              </w:rPr>
              <w:t>区住房城乡建委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vMerge w:val="continue"/>
            <w:vAlign w:val="center"/>
          </w:tcPr>
          <w:p>
            <w:pPr>
              <w:spacing w:line="300" w:lineRule="exact"/>
              <w:rPr>
                <w:rFonts w:ascii="方正书宋简体" w:eastAsia="方正书宋简体"/>
                <w:color w:val="auto"/>
                <w:sz w:val="21"/>
                <w:szCs w:val="21"/>
              </w:rPr>
            </w:pPr>
          </w:p>
        </w:tc>
        <w:tc>
          <w:tcPr>
            <w:tcW w:w="709" w:type="dxa"/>
            <w:vAlign w:val="center"/>
          </w:tcPr>
          <w:p>
            <w:pPr>
              <w:spacing w:line="300" w:lineRule="exact"/>
              <w:jc w:val="center"/>
              <w:rPr>
                <w:rFonts w:ascii="方正书宋简体" w:eastAsia="方正书宋简体"/>
                <w:color w:val="auto"/>
                <w:sz w:val="21"/>
                <w:szCs w:val="21"/>
              </w:rPr>
            </w:pPr>
            <w:r>
              <w:rPr>
                <w:rFonts w:ascii="方正书宋简体" w:eastAsia="方正书宋简体"/>
                <w:color w:val="auto"/>
                <w:sz w:val="21"/>
                <w:szCs w:val="21"/>
              </w:rPr>
              <w:t>6</w:t>
            </w:r>
          </w:p>
        </w:tc>
        <w:tc>
          <w:tcPr>
            <w:tcW w:w="2421" w:type="dxa"/>
            <w:vAlign w:val="center"/>
          </w:tcPr>
          <w:p>
            <w:pPr>
              <w:spacing w:line="300" w:lineRule="exact"/>
              <w:rPr>
                <w:rFonts w:ascii="方正书宋简体" w:eastAsia="方正书宋简体"/>
                <w:color w:val="auto"/>
                <w:sz w:val="21"/>
                <w:szCs w:val="21"/>
              </w:rPr>
            </w:pPr>
            <w:r>
              <w:rPr>
                <w:rFonts w:hint="eastAsia" w:ascii="方正书宋简体" w:eastAsia="方正书宋简体"/>
                <w:color w:val="auto"/>
                <w:sz w:val="21"/>
                <w:szCs w:val="21"/>
              </w:rPr>
              <w:t>城镇既有建筑节能改造累计（万平方米）</w:t>
            </w:r>
          </w:p>
        </w:tc>
        <w:tc>
          <w:tcPr>
            <w:tcW w:w="1701" w:type="dxa"/>
            <w:vAlign w:val="center"/>
          </w:tcPr>
          <w:p>
            <w:pPr>
              <w:spacing w:line="300" w:lineRule="exact"/>
              <w:jc w:val="center"/>
              <w:rPr>
                <w:rFonts w:ascii="方正书宋简体" w:eastAsia="方正书宋简体"/>
                <w:color w:val="auto"/>
                <w:sz w:val="21"/>
                <w:szCs w:val="21"/>
              </w:rPr>
            </w:pPr>
            <w:r>
              <w:rPr>
                <w:rFonts w:ascii="方正书宋简体" w:eastAsia="方正书宋简体"/>
                <w:color w:val="auto"/>
                <w:sz w:val="21"/>
                <w:szCs w:val="21"/>
              </w:rPr>
              <w:t>-</w:t>
            </w:r>
          </w:p>
        </w:tc>
        <w:tc>
          <w:tcPr>
            <w:tcW w:w="708" w:type="dxa"/>
            <w:vAlign w:val="center"/>
          </w:tcPr>
          <w:p>
            <w:pPr>
              <w:spacing w:line="300" w:lineRule="exact"/>
              <w:jc w:val="center"/>
              <w:rPr>
                <w:rFonts w:ascii="方正书宋简体" w:eastAsia="方正书宋简体"/>
                <w:color w:val="auto"/>
                <w:sz w:val="21"/>
                <w:szCs w:val="21"/>
              </w:rPr>
            </w:pPr>
            <w:r>
              <w:rPr>
                <w:rFonts w:hint="eastAsia" w:ascii="方正书宋简体" w:eastAsia="方正书宋简体"/>
                <w:color w:val="auto"/>
                <w:sz w:val="21"/>
                <w:szCs w:val="21"/>
              </w:rPr>
              <w:t>市级下达</w:t>
            </w:r>
          </w:p>
        </w:tc>
        <w:tc>
          <w:tcPr>
            <w:tcW w:w="855" w:type="dxa"/>
            <w:vAlign w:val="center"/>
          </w:tcPr>
          <w:p>
            <w:pPr>
              <w:spacing w:line="300" w:lineRule="exact"/>
              <w:jc w:val="center"/>
              <w:rPr>
                <w:rFonts w:ascii="方正书宋简体" w:eastAsia="方正书宋简体"/>
                <w:color w:val="auto"/>
                <w:sz w:val="21"/>
                <w:szCs w:val="21"/>
              </w:rPr>
            </w:pPr>
            <w:r>
              <w:rPr>
                <w:rFonts w:hint="eastAsia" w:ascii="方正书宋简体" w:eastAsia="方正书宋简体"/>
                <w:color w:val="auto"/>
                <w:sz w:val="21"/>
                <w:szCs w:val="21"/>
              </w:rPr>
              <w:t>约束性</w:t>
            </w:r>
          </w:p>
        </w:tc>
        <w:tc>
          <w:tcPr>
            <w:tcW w:w="1634" w:type="dxa"/>
            <w:vAlign w:val="center"/>
          </w:tcPr>
          <w:p>
            <w:pPr>
              <w:spacing w:line="300" w:lineRule="exact"/>
              <w:jc w:val="center"/>
              <w:rPr>
                <w:rFonts w:ascii="方正书宋简体" w:eastAsia="方正书宋简体"/>
                <w:color w:val="auto"/>
                <w:sz w:val="21"/>
                <w:szCs w:val="21"/>
              </w:rPr>
            </w:pPr>
            <w:r>
              <w:rPr>
                <w:rFonts w:hint="eastAsia" w:ascii="方正书宋简体" w:eastAsia="方正书宋简体"/>
                <w:color w:val="auto"/>
                <w:sz w:val="21"/>
                <w:szCs w:val="21"/>
              </w:rPr>
              <w:t>区住房城乡建委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93" w:type="dxa"/>
            <w:vMerge w:val="continue"/>
            <w:vAlign w:val="center"/>
          </w:tcPr>
          <w:p>
            <w:pPr>
              <w:spacing w:line="300" w:lineRule="exact"/>
              <w:rPr>
                <w:rFonts w:ascii="方正书宋简体" w:eastAsia="方正书宋简体"/>
                <w:color w:val="auto"/>
                <w:sz w:val="21"/>
                <w:szCs w:val="21"/>
              </w:rPr>
            </w:pPr>
          </w:p>
        </w:tc>
        <w:tc>
          <w:tcPr>
            <w:tcW w:w="709" w:type="dxa"/>
            <w:vAlign w:val="center"/>
          </w:tcPr>
          <w:p>
            <w:pPr>
              <w:spacing w:line="300" w:lineRule="exact"/>
              <w:jc w:val="center"/>
              <w:rPr>
                <w:rFonts w:ascii="方正书宋简体" w:eastAsia="方正书宋简体"/>
                <w:color w:val="auto"/>
                <w:sz w:val="21"/>
                <w:szCs w:val="21"/>
              </w:rPr>
            </w:pPr>
            <w:r>
              <w:rPr>
                <w:rFonts w:ascii="方正书宋简体" w:eastAsia="方正书宋简体"/>
                <w:color w:val="auto"/>
                <w:sz w:val="21"/>
                <w:szCs w:val="21"/>
              </w:rPr>
              <w:t>7</w:t>
            </w:r>
          </w:p>
        </w:tc>
        <w:tc>
          <w:tcPr>
            <w:tcW w:w="2421" w:type="dxa"/>
            <w:vAlign w:val="center"/>
          </w:tcPr>
          <w:p>
            <w:pPr>
              <w:spacing w:line="300" w:lineRule="exact"/>
              <w:rPr>
                <w:rFonts w:ascii="方正书宋简体" w:eastAsia="方正书宋简体"/>
                <w:color w:val="auto"/>
                <w:sz w:val="21"/>
                <w:szCs w:val="21"/>
              </w:rPr>
            </w:pPr>
            <w:r>
              <w:rPr>
                <w:rFonts w:hint="eastAsia" w:ascii="方正书宋简体" w:eastAsia="方正书宋简体"/>
                <w:color w:val="auto"/>
                <w:sz w:val="21"/>
                <w:szCs w:val="21"/>
              </w:rPr>
              <w:t>可再生能源建筑规模化应用（万平方米）</w:t>
            </w:r>
          </w:p>
        </w:tc>
        <w:tc>
          <w:tcPr>
            <w:tcW w:w="1701" w:type="dxa"/>
            <w:vAlign w:val="center"/>
          </w:tcPr>
          <w:p>
            <w:pPr>
              <w:spacing w:line="300" w:lineRule="exact"/>
              <w:jc w:val="center"/>
              <w:rPr>
                <w:rFonts w:ascii="方正书宋简体" w:eastAsia="方正书宋简体"/>
                <w:color w:val="auto"/>
                <w:sz w:val="21"/>
                <w:szCs w:val="21"/>
              </w:rPr>
            </w:pPr>
            <w:r>
              <w:rPr>
                <w:rFonts w:ascii="方正书宋简体" w:eastAsia="方正书宋简体"/>
                <w:color w:val="auto"/>
                <w:sz w:val="21"/>
                <w:szCs w:val="21"/>
              </w:rPr>
              <w:t>-</w:t>
            </w:r>
          </w:p>
        </w:tc>
        <w:tc>
          <w:tcPr>
            <w:tcW w:w="708" w:type="dxa"/>
            <w:vAlign w:val="center"/>
          </w:tcPr>
          <w:p>
            <w:pPr>
              <w:spacing w:line="300" w:lineRule="exact"/>
              <w:jc w:val="center"/>
              <w:rPr>
                <w:rFonts w:ascii="方正书宋简体" w:eastAsia="方正书宋简体"/>
                <w:color w:val="auto"/>
                <w:sz w:val="21"/>
                <w:szCs w:val="21"/>
              </w:rPr>
            </w:pPr>
            <w:r>
              <w:rPr>
                <w:rFonts w:hint="eastAsia" w:ascii="方正书宋简体" w:eastAsia="方正书宋简体"/>
                <w:color w:val="auto"/>
                <w:sz w:val="21"/>
                <w:szCs w:val="21"/>
              </w:rPr>
              <w:t>市级下达</w:t>
            </w:r>
          </w:p>
        </w:tc>
        <w:tc>
          <w:tcPr>
            <w:tcW w:w="855" w:type="dxa"/>
            <w:vAlign w:val="center"/>
          </w:tcPr>
          <w:p>
            <w:pPr>
              <w:spacing w:line="300" w:lineRule="exact"/>
              <w:jc w:val="center"/>
              <w:rPr>
                <w:rFonts w:ascii="方正书宋简体" w:eastAsia="方正书宋简体"/>
                <w:color w:val="auto"/>
                <w:sz w:val="21"/>
                <w:szCs w:val="21"/>
              </w:rPr>
            </w:pPr>
            <w:r>
              <w:rPr>
                <w:rFonts w:hint="eastAsia" w:ascii="方正书宋简体" w:eastAsia="方正书宋简体"/>
                <w:color w:val="auto"/>
                <w:sz w:val="21"/>
                <w:szCs w:val="21"/>
              </w:rPr>
              <w:t>预期性</w:t>
            </w:r>
          </w:p>
        </w:tc>
        <w:tc>
          <w:tcPr>
            <w:tcW w:w="1634" w:type="dxa"/>
            <w:vAlign w:val="center"/>
          </w:tcPr>
          <w:p>
            <w:pPr>
              <w:spacing w:line="300" w:lineRule="exact"/>
              <w:jc w:val="center"/>
              <w:rPr>
                <w:rFonts w:ascii="方正书宋简体" w:eastAsia="方正书宋简体"/>
                <w:color w:val="auto"/>
                <w:sz w:val="21"/>
                <w:szCs w:val="21"/>
              </w:rPr>
            </w:pPr>
            <w:r>
              <w:rPr>
                <w:rFonts w:hint="eastAsia" w:ascii="方正书宋简体" w:eastAsia="方正书宋简体"/>
                <w:color w:val="auto"/>
                <w:sz w:val="21"/>
                <w:szCs w:val="21"/>
              </w:rPr>
              <w:t>区住房城乡建委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vMerge w:val="continue"/>
            <w:vAlign w:val="center"/>
          </w:tcPr>
          <w:p>
            <w:pPr>
              <w:spacing w:line="300" w:lineRule="exact"/>
              <w:rPr>
                <w:rFonts w:ascii="方正书宋简体" w:eastAsia="方正书宋简体"/>
                <w:color w:val="auto"/>
                <w:sz w:val="21"/>
                <w:szCs w:val="21"/>
              </w:rPr>
            </w:pPr>
          </w:p>
        </w:tc>
        <w:tc>
          <w:tcPr>
            <w:tcW w:w="709" w:type="dxa"/>
            <w:vAlign w:val="center"/>
          </w:tcPr>
          <w:p>
            <w:pPr>
              <w:spacing w:line="300" w:lineRule="exact"/>
              <w:jc w:val="center"/>
              <w:rPr>
                <w:rFonts w:ascii="方正书宋简体" w:eastAsia="方正书宋简体"/>
                <w:color w:val="auto"/>
                <w:sz w:val="21"/>
                <w:szCs w:val="21"/>
              </w:rPr>
            </w:pPr>
            <w:r>
              <w:rPr>
                <w:rFonts w:ascii="方正书宋简体" w:eastAsia="方正书宋简体"/>
                <w:color w:val="auto"/>
                <w:sz w:val="21"/>
                <w:szCs w:val="21"/>
              </w:rPr>
              <w:t>8</w:t>
            </w:r>
          </w:p>
        </w:tc>
        <w:tc>
          <w:tcPr>
            <w:tcW w:w="2421" w:type="dxa"/>
            <w:vAlign w:val="center"/>
          </w:tcPr>
          <w:p>
            <w:pPr>
              <w:spacing w:line="300" w:lineRule="exact"/>
              <w:rPr>
                <w:rFonts w:ascii="方正书宋简体" w:eastAsia="方正书宋简体"/>
                <w:color w:val="auto"/>
                <w:sz w:val="21"/>
                <w:szCs w:val="21"/>
              </w:rPr>
            </w:pPr>
            <w:r>
              <w:rPr>
                <w:rFonts w:hint="eastAsia" w:ascii="方正书宋简体" w:eastAsia="方正书宋简体"/>
                <w:color w:val="auto"/>
                <w:sz w:val="21"/>
                <w:szCs w:val="21"/>
              </w:rPr>
              <w:t>城市公共交通出行分担率（</w:t>
            </w:r>
            <w:r>
              <w:rPr>
                <w:rFonts w:ascii="方正书宋简体" w:eastAsia="方正书宋简体"/>
                <w:color w:val="auto"/>
                <w:sz w:val="21"/>
                <w:szCs w:val="21"/>
              </w:rPr>
              <w:t>%</w:t>
            </w:r>
            <w:r>
              <w:rPr>
                <w:rFonts w:hint="eastAsia" w:ascii="方正书宋简体" w:eastAsia="方正书宋简体"/>
                <w:color w:val="auto"/>
                <w:sz w:val="21"/>
                <w:szCs w:val="21"/>
              </w:rPr>
              <w:t>）</w:t>
            </w:r>
          </w:p>
        </w:tc>
        <w:tc>
          <w:tcPr>
            <w:tcW w:w="1701" w:type="dxa"/>
            <w:vAlign w:val="center"/>
          </w:tcPr>
          <w:p>
            <w:pPr>
              <w:spacing w:line="300" w:lineRule="exact"/>
              <w:jc w:val="center"/>
              <w:rPr>
                <w:rFonts w:ascii="方正书宋简体" w:eastAsia="方正书宋简体"/>
                <w:color w:val="auto"/>
                <w:sz w:val="21"/>
                <w:szCs w:val="21"/>
              </w:rPr>
            </w:pPr>
            <w:r>
              <w:rPr>
                <w:rFonts w:ascii="方正书宋简体" w:eastAsia="方正书宋简体"/>
                <w:color w:val="auto"/>
                <w:sz w:val="21"/>
                <w:szCs w:val="21"/>
              </w:rPr>
              <w:t>-</w:t>
            </w:r>
          </w:p>
        </w:tc>
        <w:tc>
          <w:tcPr>
            <w:tcW w:w="708" w:type="dxa"/>
            <w:vAlign w:val="center"/>
          </w:tcPr>
          <w:p>
            <w:pPr>
              <w:spacing w:line="300" w:lineRule="exact"/>
              <w:jc w:val="center"/>
              <w:rPr>
                <w:rFonts w:ascii="方正书宋简体" w:eastAsia="方正书宋简体"/>
                <w:color w:val="auto"/>
                <w:sz w:val="21"/>
                <w:szCs w:val="21"/>
              </w:rPr>
            </w:pPr>
            <w:r>
              <w:rPr>
                <w:rFonts w:hint="eastAsia" w:ascii="方正书宋简体" w:eastAsia="方正书宋简体"/>
                <w:color w:val="auto"/>
                <w:sz w:val="21"/>
                <w:szCs w:val="21"/>
              </w:rPr>
              <w:t>＞</w:t>
            </w:r>
            <w:r>
              <w:rPr>
                <w:rFonts w:ascii="方正书宋简体" w:eastAsia="方正书宋简体"/>
                <w:color w:val="auto"/>
                <w:sz w:val="21"/>
                <w:szCs w:val="21"/>
              </w:rPr>
              <w:t>20</w:t>
            </w:r>
          </w:p>
        </w:tc>
        <w:tc>
          <w:tcPr>
            <w:tcW w:w="855" w:type="dxa"/>
            <w:vAlign w:val="center"/>
          </w:tcPr>
          <w:p>
            <w:pPr>
              <w:spacing w:line="300" w:lineRule="exact"/>
              <w:jc w:val="center"/>
              <w:rPr>
                <w:rFonts w:ascii="方正书宋简体" w:eastAsia="方正书宋简体"/>
                <w:color w:val="auto"/>
                <w:sz w:val="21"/>
                <w:szCs w:val="21"/>
              </w:rPr>
            </w:pPr>
            <w:r>
              <w:rPr>
                <w:rFonts w:hint="eastAsia" w:ascii="方正书宋简体" w:eastAsia="方正书宋简体"/>
                <w:color w:val="auto"/>
                <w:sz w:val="21"/>
                <w:szCs w:val="21"/>
              </w:rPr>
              <w:t>约束性</w:t>
            </w:r>
          </w:p>
        </w:tc>
        <w:tc>
          <w:tcPr>
            <w:tcW w:w="1634" w:type="dxa"/>
            <w:vAlign w:val="center"/>
          </w:tcPr>
          <w:p>
            <w:pPr>
              <w:spacing w:line="300" w:lineRule="exact"/>
              <w:jc w:val="center"/>
              <w:rPr>
                <w:rFonts w:ascii="方正书宋简体" w:eastAsia="方正书宋简体"/>
                <w:color w:val="auto"/>
                <w:sz w:val="21"/>
                <w:szCs w:val="21"/>
              </w:rPr>
            </w:pPr>
            <w:r>
              <w:rPr>
                <w:rFonts w:hint="eastAsia" w:ascii="方正书宋简体" w:eastAsia="方正书宋简体"/>
                <w:color w:val="auto"/>
                <w:sz w:val="21"/>
                <w:szCs w:val="21"/>
              </w:rPr>
              <w:t>区交通局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vMerge w:val="continue"/>
            <w:vAlign w:val="center"/>
          </w:tcPr>
          <w:p>
            <w:pPr>
              <w:spacing w:line="300" w:lineRule="exact"/>
              <w:rPr>
                <w:rFonts w:ascii="方正书宋简体" w:eastAsia="方正书宋简体"/>
                <w:color w:val="auto"/>
                <w:sz w:val="21"/>
                <w:szCs w:val="21"/>
              </w:rPr>
            </w:pPr>
          </w:p>
        </w:tc>
        <w:tc>
          <w:tcPr>
            <w:tcW w:w="709" w:type="dxa"/>
            <w:vAlign w:val="center"/>
          </w:tcPr>
          <w:p>
            <w:pPr>
              <w:spacing w:line="300" w:lineRule="exact"/>
              <w:jc w:val="center"/>
              <w:rPr>
                <w:rFonts w:ascii="方正书宋简体" w:eastAsia="方正书宋简体"/>
                <w:color w:val="auto"/>
                <w:sz w:val="21"/>
                <w:szCs w:val="21"/>
              </w:rPr>
            </w:pPr>
            <w:r>
              <w:rPr>
                <w:rFonts w:ascii="方正书宋简体" w:eastAsia="方正书宋简体"/>
                <w:color w:val="auto"/>
                <w:sz w:val="21"/>
                <w:szCs w:val="21"/>
              </w:rPr>
              <w:t>9</w:t>
            </w:r>
          </w:p>
        </w:tc>
        <w:tc>
          <w:tcPr>
            <w:tcW w:w="2421" w:type="dxa"/>
            <w:vAlign w:val="center"/>
          </w:tcPr>
          <w:p>
            <w:pPr>
              <w:spacing w:line="300" w:lineRule="exact"/>
              <w:rPr>
                <w:rFonts w:ascii="方正书宋简体" w:eastAsia="方正书宋简体"/>
                <w:color w:val="auto"/>
                <w:sz w:val="21"/>
                <w:szCs w:val="21"/>
              </w:rPr>
            </w:pPr>
            <w:r>
              <w:rPr>
                <w:rFonts w:hint="eastAsia" w:ascii="方正书宋简体" w:eastAsia="方正书宋简体"/>
                <w:color w:val="auto"/>
                <w:sz w:val="21"/>
                <w:szCs w:val="21"/>
              </w:rPr>
              <w:t>森林蓄积量（万立方米）</w:t>
            </w:r>
          </w:p>
        </w:tc>
        <w:tc>
          <w:tcPr>
            <w:tcW w:w="1701" w:type="dxa"/>
            <w:vAlign w:val="center"/>
          </w:tcPr>
          <w:p>
            <w:pPr>
              <w:spacing w:line="300" w:lineRule="exact"/>
              <w:jc w:val="center"/>
              <w:rPr>
                <w:rFonts w:ascii="方正书宋简体" w:eastAsia="方正书宋简体"/>
                <w:color w:val="auto"/>
                <w:sz w:val="21"/>
                <w:szCs w:val="21"/>
              </w:rPr>
            </w:pPr>
            <w:r>
              <w:rPr>
                <w:rFonts w:ascii="方正书宋简体" w:eastAsia="方正书宋简体"/>
                <w:color w:val="auto"/>
                <w:sz w:val="21"/>
                <w:szCs w:val="21"/>
              </w:rPr>
              <w:t>159</w:t>
            </w:r>
          </w:p>
        </w:tc>
        <w:tc>
          <w:tcPr>
            <w:tcW w:w="708" w:type="dxa"/>
            <w:vAlign w:val="center"/>
          </w:tcPr>
          <w:p>
            <w:pPr>
              <w:spacing w:line="300" w:lineRule="exact"/>
              <w:jc w:val="center"/>
              <w:rPr>
                <w:rFonts w:ascii="方正书宋简体" w:eastAsia="方正书宋简体"/>
                <w:color w:val="auto"/>
                <w:sz w:val="21"/>
                <w:szCs w:val="21"/>
              </w:rPr>
            </w:pPr>
            <w:r>
              <w:rPr>
                <w:rFonts w:ascii="方正书宋简体" w:eastAsia="方正书宋简体"/>
                <w:color w:val="auto"/>
                <w:sz w:val="21"/>
                <w:szCs w:val="21"/>
              </w:rPr>
              <w:t>160</w:t>
            </w:r>
          </w:p>
        </w:tc>
        <w:tc>
          <w:tcPr>
            <w:tcW w:w="855" w:type="dxa"/>
            <w:vAlign w:val="center"/>
          </w:tcPr>
          <w:p>
            <w:pPr>
              <w:spacing w:line="300" w:lineRule="exact"/>
              <w:jc w:val="center"/>
              <w:rPr>
                <w:rFonts w:ascii="方正书宋简体" w:eastAsia="方正书宋简体"/>
                <w:color w:val="auto"/>
                <w:sz w:val="21"/>
                <w:szCs w:val="21"/>
              </w:rPr>
            </w:pPr>
            <w:r>
              <w:rPr>
                <w:rFonts w:hint="eastAsia" w:ascii="方正书宋简体" w:eastAsia="方正书宋简体"/>
                <w:color w:val="auto"/>
                <w:sz w:val="21"/>
                <w:szCs w:val="21"/>
              </w:rPr>
              <w:t>约束性</w:t>
            </w:r>
          </w:p>
        </w:tc>
        <w:tc>
          <w:tcPr>
            <w:tcW w:w="1634" w:type="dxa"/>
            <w:vAlign w:val="center"/>
          </w:tcPr>
          <w:p>
            <w:pPr>
              <w:spacing w:line="300" w:lineRule="exact"/>
              <w:jc w:val="center"/>
              <w:rPr>
                <w:rFonts w:ascii="方正书宋简体" w:eastAsia="方正书宋简体"/>
                <w:color w:val="auto"/>
                <w:sz w:val="21"/>
                <w:szCs w:val="21"/>
              </w:rPr>
            </w:pPr>
            <w:r>
              <w:rPr>
                <w:rFonts w:hint="eastAsia" w:ascii="方正书宋简体" w:eastAsia="方正书宋简体"/>
                <w:color w:val="auto"/>
                <w:sz w:val="21"/>
                <w:szCs w:val="21"/>
              </w:rPr>
              <w:t>区林业局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vMerge w:val="continue"/>
            <w:vAlign w:val="center"/>
          </w:tcPr>
          <w:p>
            <w:pPr>
              <w:spacing w:line="300" w:lineRule="exact"/>
              <w:rPr>
                <w:rFonts w:ascii="方正书宋简体" w:eastAsia="方正书宋简体"/>
                <w:color w:val="auto"/>
                <w:sz w:val="21"/>
                <w:szCs w:val="21"/>
              </w:rPr>
            </w:pPr>
          </w:p>
        </w:tc>
        <w:tc>
          <w:tcPr>
            <w:tcW w:w="709" w:type="dxa"/>
            <w:vAlign w:val="center"/>
          </w:tcPr>
          <w:p>
            <w:pPr>
              <w:spacing w:line="300" w:lineRule="exact"/>
              <w:jc w:val="center"/>
              <w:rPr>
                <w:rFonts w:ascii="方正书宋简体" w:eastAsia="方正书宋简体"/>
                <w:color w:val="auto"/>
                <w:sz w:val="21"/>
                <w:szCs w:val="21"/>
              </w:rPr>
            </w:pPr>
            <w:r>
              <w:rPr>
                <w:rFonts w:hint="eastAsia" w:ascii="方正书宋简体" w:eastAsia="方正书宋简体"/>
                <w:color w:val="auto"/>
                <w:sz w:val="21"/>
                <w:szCs w:val="21"/>
              </w:rPr>
              <w:t>1</w:t>
            </w:r>
            <w:r>
              <w:rPr>
                <w:rFonts w:ascii="方正书宋简体" w:eastAsia="方正书宋简体"/>
                <w:color w:val="auto"/>
                <w:sz w:val="21"/>
                <w:szCs w:val="21"/>
              </w:rPr>
              <w:t>0</w:t>
            </w:r>
          </w:p>
        </w:tc>
        <w:tc>
          <w:tcPr>
            <w:tcW w:w="2421" w:type="dxa"/>
            <w:vAlign w:val="center"/>
          </w:tcPr>
          <w:p>
            <w:pPr>
              <w:spacing w:line="300" w:lineRule="exact"/>
              <w:rPr>
                <w:rFonts w:ascii="方正书宋简体" w:eastAsia="方正书宋简体"/>
                <w:color w:val="auto"/>
                <w:sz w:val="21"/>
                <w:szCs w:val="21"/>
              </w:rPr>
            </w:pPr>
            <w:r>
              <w:rPr>
                <w:rFonts w:hint="eastAsia" w:ascii="方正书宋简体" w:eastAsia="方正书宋简体"/>
                <w:color w:val="auto"/>
                <w:sz w:val="21"/>
                <w:szCs w:val="21"/>
              </w:rPr>
              <w:t>森林覆盖率（%）</w:t>
            </w:r>
          </w:p>
        </w:tc>
        <w:tc>
          <w:tcPr>
            <w:tcW w:w="1701" w:type="dxa"/>
            <w:vAlign w:val="center"/>
          </w:tcPr>
          <w:p>
            <w:pPr>
              <w:spacing w:line="300" w:lineRule="exact"/>
              <w:jc w:val="center"/>
              <w:rPr>
                <w:rFonts w:ascii="方正书宋简体" w:eastAsia="方正书宋简体"/>
                <w:color w:val="auto"/>
                <w:sz w:val="21"/>
                <w:szCs w:val="21"/>
              </w:rPr>
            </w:pPr>
            <w:r>
              <w:rPr>
                <w:rFonts w:ascii="方正书宋简体" w:eastAsia="方正书宋简体"/>
                <w:color w:val="auto"/>
                <w:sz w:val="21"/>
                <w:szCs w:val="21"/>
              </w:rPr>
              <w:t>47</w:t>
            </w:r>
          </w:p>
        </w:tc>
        <w:tc>
          <w:tcPr>
            <w:tcW w:w="708" w:type="dxa"/>
            <w:vAlign w:val="center"/>
          </w:tcPr>
          <w:p>
            <w:pPr>
              <w:spacing w:line="300" w:lineRule="exact"/>
              <w:jc w:val="center"/>
              <w:rPr>
                <w:rFonts w:ascii="方正书宋简体" w:eastAsia="方正书宋简体"/>
                <w:color w:val="auto"/>
                <w:sz w:val="21"/>
                <w:szCs w:val="21"/>
              </w:rPr>
            </w:pPr>
            <w:r>
              <w:rPr>
                <w:rFonts w:hint="eastAsia" w:ascii="方正书宋简体" w:eastAsia="方正书宋简体"/>
                <w:color w:val="auto"/>
                <w:sz w:val="21"/>
                <w:szCs w:val="21"/>
              </w:rPr>
              <w:t>5</w:t>
            </w:r>
            <w:r>
              <w:rPr>
                <w:rFonts w:ascii="方正书宋简体" w:eastAsia="方正书宋简体"/>
                <w:color w:val="auto"/>
                <w:sz w:val="21"/>
                <w:szCs w:val="21"/>
              </w:rPr>
              <w:t>0</w:t>
            </w:r>
          </w:p>
        </w:tc>
        <w:tc>
          <w:tcPr>
            <w:tcW w:w="855" w:type="dxa"/>
            <w:vAlign w:val="center"/>
          </w:tcPr>
          <w:p>
            <w:pPr>
              <w:spacing w:line="300" w:lineRule="exact"/>
              <w:jc w:val="center"/>
              <w:rPr>
                <w:rFonts w:ascii="方正书宋简体" w:eastAsia="方正书宋简体"/>
                <w:color w:val="auto"/>
                <w:sz w:val="21"/>
                <w:szCs w:val="21"/>
              </w:rPr>
            </w:pPr>
            <w:r>
              <w:rPr>
                <w:rFonts w:hint="eastAsia" w:ascii="方正书宋简体" w:eastAsia="方正书宋简体"/>
                <w:color w:val="auto"/>
                <w:sz w:val="21"/>
                <w:szCs w:val="21"/>
              </w:rPr>
              <w:t>约束性</w:t>
            </w:r>
          </w:p>
        </w:tc>
        <w:tc>
          <w:tcPr>
            <w:tcW w:w="1634" w:type="dxa"/>
            <w:vAlign w:val="center"/>
          </w:tcPr>
          <w:p>
            <w:pPr>
              <w:spacing w:line="300" w:lineRule="exact"/>
              <w:jc w:val="center"/>
              <w:rPr>
                <w:rFonts w:ascii="方正书宋简体" w:eastAsia="方正书宋简体"/>
                <w:color w:val="auto"/>
                <w:sz w:val="21"/>
                <w:szCs w:val="21"/>
              </w:rPr>
            </w:pPr>
            <w:r>
              <w:rPr>
                <w:rFonts w:hint="eastAsia" w:ascii="方正书宋简体" w:eastAsia="方正书宋简体"/>
                <w:color w:val="auto"/>
                <w:sz w:val="21"/>
                <w:szCs w:val="21"/>
              </w:rPr>
              <w:t>区林业局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93" w:type="dxa"/>
            <w:vMerge w:val="continue"/>
            <w:vAlign w:val="center"/>
          </w:tcPr>
          <w:p>
            <w:pPr>
              <w:spacing w:line="300" w:lineRule="exact"/>
              <w:rPr>
                <w:rFonts w:ascii="方正书宋简体" w:eastAsia="方正书宋简体"/>
                <w:color w:val="auto"/>
                <w:sz w:val="21"/>
                <w:szCs w:val="21"/>
              </w:rPr>
            </w:pPr>
          </w:p>
        </w:tc>
        <w:tc>
          <w:tcPr>
            <w:tcW w:w="709" w:type="dxa"/>
            <w:vAlign w:val="center"/>
          </w:tcPr>
          <w:p>
            <w:pPr>
              <w:spacing w:line="300" w:lineRule="exact"/>
              <w:jc w:val="center"/>
              <w:rPr>
                <w:rFonts w:ascii="方正书宋简体" w:eastAsia="方正书宋简体"/>
                <w:color w:val="auto"/>
                <w:sz w:val="21"/>
                <w:szCs w:val="21"/>
              </w:rPr>
            </w:pPr>
            <w:r>
              <w:rPr>
                <w:rFonts w:ascii="方正书宋简体" w:eastAsia="方正书宋简体"/>
                <w:color w:val="auto"/>
                <w:sz w:val="21"/>
                <w:szCs w:val="21"/>
              </w:rPr>
              <w:t>11</w:t>
            </w:r>
          </w:p>
        </w:tc>
        <w:tc>
          <w:tcPr>
            <w:tcW w:w="2421" w:type="dxa"/>
            <w:vAlign w:val="center"/>
          </w:tcPr>
          <w:p>
            <w:pPr>
              <w:spacing w:line="300" w:lineRule="exact"/>
              <w:rPr>
                <w:rFonts w:ascii="方正书宋简体" w:eastAsia="方正书宋简体"/>
                <w:color w:val="auto"/>
                <w:sz w:val="21"/>
                <w:szCs w:val="21"/>
              </w:rPr>
            </w:pPr>
            <w:r>
              <w:rPr>
                <w:rFonts w:hint="eastAsia" w:ascii="方正书宋简体" w:eastAsia="方正书宋简体"/>
                <w:color w:val="auto"/>
                <w:sz w:val="21"/>
                <w:szCs w:val="21"/>
              </w:rPr>
              <w:t>公共机构人均能耗下降（%）</w:t>
            </w:r>
          </w:p>
        </w:tc>
        <w:tc>
          <w:tcPr>
            <w:tcW w:w="1701" w:type="dxa"/>
            <w:vAlign w:val="center"/>
          </w:tcPr>
          <w:p>
            <w:pPr>
              <w:spacing w:line="300" w:lineRule="exact"/>
              <w:jc w:val="center"/>
              <w:rPr>
                <w:rFonts w:ascii="方正书宋简体" w:eastAsia="方正书宋简体"/>
                <w:color w:val="auto"/>
                <w:sz w:val="21"/>
                <w:szCs w:val="21"/>
              </w:rPr>
            </w:pPr>
            <w:r>
              <w:rPr>
                <w:rFonts w:ascii="方正书宋简体" w:eastAsia="方正书宋简体"/>
                <w:color w:val="auto"/>
                <w:sz w:val="21"/>
                <w:szCs w:val="21"/>
              </w:rPr>
              <w:t xml:space="preserve">179.93 </w:t>
            </w:r>
          </w:p>
          <w:p>
            <w:pPr>
              <w:spacing w:line="300" w:lineRule="exact"/>
              <w:jc w:val="center"/>
              <w:rPr>
                <w:rFonts w:ascii="方正书宋简体" w:eastAsia="方正书宋简体"/>
                <w:color w:val="auto"/>
                <w:sz w:val="21"/>
                <w:szCs w:val="21"/>
              </w:rPr>
            </w:pPr>
            <w:r>
              <w:rPr>
                <w:rFonts w:hint="eastAsia" w:ascii="方正书宋简体" w:eastAsia="方正书宋简体"/>
                <w:color w:val="auto"/>
                <w:sz w:val="21"/>
                <w:szCs w:val="21"/>
              </w:rPr>
              <w:t>（公共机构人均能耗值</w:t>
            </w:r>
            <w:r>
              <w:rPr>
                <w:rFonts w:ascii="方正书宋简体" w:eastAsia="方正书宋简体"/>
                <w:color w:val="auto"/>
                <w:sz w:val="21"/>
                <w:szCs w:val="21"/>
              </w:rPr>
              <w:t>kgce/</w:t>
            </w:r>
            <w:r>
              <w:rPr>
                <w:rFonts w:hint="eastAsia" w:ascii="方正书宋简体" w:eastAsia="方正书宋简体"/>
                <w:color w:val="auto"/>
                <w:sz w:val="21"/>
                <w:szCs w:val="21"/>
              </w:rPr>
              <w:t>人）</w:t>
            </w:r>
          </w:p>
        </w:tc>
        <w:tc>
          <w:tcPr>
            <w:tcW w:w="708" w:type="dxa"/>
            <w:vAlign w:val="center"/>
          </w:tcPr>
          <w:p>
            <w:pPr>
              <w:spacing w:line="300" w:lineRule="exact"/>
              <w:jc w:val="center"/>
              <w:rPr>
                <w:rFonts w:ascii="方正书宋简体" w:eastAsia="方正书宋简体"/>
                <w:color w:val="auto"/>
                <w:sz w:val="21"/>
                <w:szCs w:val="21"/>
              </w:rPr>
            </w:pPr>
            <w:r>
              <w:rPr>
                <w:rFonts w:ascii="方正书宋简体" w:eastAsia="方正书宋简体"/>
                <w:color w:val="auto"/>
                <w:sz w:val="21"/>
                <w:szCs w:val="21"/>
              </w:rPr>
              <w:t>[7]</w:t>
            </w:r>
          </w:p>
        </w:tc>
        <w:tc>
          <w:tcPr>
            <w:tcW w:w="855" w:type="dxa"/>
            <w:vAlign w:val="center"/>
          </w:tcPr>
          <w:p>
            <w:pPr>
              <w:spacing w:line="300" w:lineRule="exact"/>
              <w:jc w:val="center"/>
              <w:rPr>
                <w:rFonts w:ascii="方正书宋简体" w:eastAsia="方正书宋简体"/>
                <w:color w:val="auto"/>
                <w:sz w:val="21"/>
                <w:szCs w:val="21"/>
              </w:rPr>
            </w:pPr>
            <w:r>
              <w:rPr>
                <w:rFonts w:hint="eastAsia" w:ascii="方正书宋简体" w:eastAsia="方正书宋简体"/>
                <w:color w:val="auto"/>
                <w:sz w:val="21"/>
                <w:szCs w:val="21"/>
              </w:rPr>
              <w:t>预期性</w:t>
            </w:r>
          </w:p>
        </w:tc>
        <w:tc>
          <w:tcPr>
            <w:tcW w:w="1634" w:type="dxa"/>
            <w:vAlign w:val="center"/>
          </w:tcPr>
          <w:p>
            <w:pPr>
              <w:spacing w:line="300" w:lineRule="exact"/>
              <w:jc w:val="center"/>
              <w:rPr>
                <w:rFonts w:ascii="方正书宋简体" w:eastAsia="方正书宋简体"/>
                <w:color w:val="auto"/>
                <w:sz w:val="21"/>
                <w:szCs w:val="21"/>
              </w:rPr>
            </w:pPr>
            <w:r>
              <w:rPr>
                <w:rFonts w:hint="eastAsia" w:ascii="方正书宋简体" w:eastAsia="方正书宋简体"/>
                <w:color w:val="auto"/>
                <w:sz w:val="21"/>
                <w:szCs w:val="21"/>
              </w:rPr>
              <w:t>区机关事务局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vMerge w:val="continue"/>
            <w:vAlign w:val="center"/>
          </w:tcPr>
          <w:p>
            <w:pPr>
              <w:spacing w:line="300" w:lineRule="exact"/>
              <w:rPr>
                <w:rFonts w:ascii="方正书宋简体" w:eastAsia="方正书宋简体"/>
                <w:color w:val="auto"/>
                <w:sz w:val="21"/>
                <w:szCs w:val="21"/>
              </w:rPr>
            </w:pPr>
          </w:p>
        </w:tc>
        <w:tc>
          <w:tcPr>
            <w:tcW w:w="709" w:type="dxa"/>
            <w:vAlign w:val="center"/>
          </w:tcPr>
          <w:p>
            <w:pPr>
              <w:spacing w:line="300" w:lineRule="exact"/>
              <w:jc w:val="center"/>
              <w:rPr>
                <w:rFonts w:ascii="方正书宋简体" w:eastAsia="方正书宋简体"/>
                <w:color w:val="auto"/>
                <w:sz w:val="21"/>
                <w:szCs w:val="21"/>
              </w:rPr>
            </w:pPr>
            <w:r>
              <w:rPr>
                <w:rFonts w:ascii="方正书宋简体" w:eastAsia="方正书宋简体"/>
                <w:color w:val="auto"/>
                <w:sz w:val="21"/>
                <w:szCs w:val="21"/>
              </w:rPr>
              <w:t>12</w:t>
            </w:r>
          </w:p>
        </w:tc>
        <w:tc>
          <w:tcPr>
            <w:tcW w:w="2421" w:type="dxa"/>
            <w:vAlign w:val="center"/>
          </w:tcPr>
          <w:p>
            <w:pPr>
              <w:spacing w:line="300" w:lineRule="exact"/>
              <w:rPr>
                <w:rFonts w:ascii="方正书宋简体" w:eastAsia="方正书宋简体"/>
                <w:color w:val="auto"/>
                <w:sz w:val="21"/>
                <w:szCs w:val="21"/>
              </w:rPr>
            </w:pPr>
            <w:r>
              <w:rPr>
                <w:rFonts w:hint="eastAsia" w:ascii="方正书宋简体" w:eastAsia="方正书宋简体"/>
                <w:color w:val="auto"/>
                <w:sz w:val="21"/>
                <w:szCs w:val="21"/>
              </w:rPr>
              <w:t>公共机构单位建筑面积能耗下降（%）</w:t>
            </w:r>
          </w:p>
        </w:tc>
        <w:tc>
          <w:tcPr>
            <w:tcW w:w="1701" w:type="dxa"/>
            <w:vAlign w:val="center"/>
          </w:tcPr>
          <w:p>
            <w:pPr>
              <w:spacing w:line="300" w:lineRule="exact"/>
              <w:jc w:val="center"/>
              <w:rPr>
                <w:rFonts w:ascii="方正书宋简体" w:eastAsia="方正书宋简体"/>
                <w:color w:val="auto"/>
                <w:sz w:val="21"/>
                <w:szCs w:val="21"/>
              </w:rPr>
            </w:pPr>
            <w:r>
              <w:rPr>
                <w:rFonts w:ascii="方正书宋简体" w:eastAsia="方正书宋简体"/>
                <w:color w:val="auto"/>
                <w:sz w:val="21"/>
                <w:szCs w:val="21"/>
              </w:rPr>
              <w:t>10.77</w:t>
            </w:r>
          </w:p>
          <w:p>
            <w:pPr>
              <w:spacing w:line="300" w:lineRule="exact"/>
              <w:jc w:val="center"/>
              <w:rPr>
                <w:rFonts w:ascii="方正书宋简体" w:eastAsia="方正书宋简体"/>
                <w:color w:val="auto"/>
                <w:sz w:val="21"/>
                <w:szCs w:val="21"/>
              </w:rPr>
            </w:pPr>
            <w:r>
              <w:rPr>
                <w:rFonts w:hint="eastAsia" w:ascii="方正书宋简体" w:eastAsia="方正书宋简体"/>
                <w:color w:val="auto"/>
                <w:sz w:val="21"/>
                <w:szCs w:val="21"/>
              </w:rPr>
              <w:t>（公共机构建筑面积能耗值</w:t>
            </w:r>
            <w:r>
              <w:rPr>
                <w:rFonts w:ascii="方正书宋简体" w:eastAsia="方正书宋简体"/>
                <w:color w:val="auto"/>
                <w:sz w:val="21"/>
                <w:szCs w:val="21"/>
              </w:rPr>
              <w:t>kg/m2</w:t>
            </w:r>
            <w:r>
              <w:rPr>
                <w:rFonts w:hint="eastAsia" w:ascii="方正书宋简体" w:eastAsia="方正书宋简体"/>
                <w:color w:val="auto"/>
                <w:sz w:val="21"/>
                <w:szCs w:val="21"/>
              </w:rPr>
              <w:t>）</w:t>
            </w:r>
          </w:p>
        </w:tc>
        <w:tc>
          <w:tcPr>
            <w:tcW w:w="708" w:type="dxa"/>
            <w:vAlign w:val="center"/>
          </w:tcPr>
          <w:p>
            <w:pPr>
              <w:spacing w:line="300" w:lineRule="exact"/>
              <w:jc w:val="center"/>
              <w:rPr>
                <w:rFonts w:ascii="方正书宋简体" w:eastAsia="方正书宋简体"/>
                <w:color w:val="auto"/>
                <w:sz w:val="21"/>
                <w:szCs w:val="21"/>
              </w:rPr>
            </w:pPr>
            <w:r>
              <w:rPr>
                <w:rFonts w:ascii="方正书宋简体" w:eastAsia="方正书宋简体"/>
                <w:color w:val="auto"/>
                <w:sz w:val="21"/>
                <w:szCs w:val="21"/>
              </w:rPr>
              <w:t>[6]</w:t>
            </w:r>
          </w:p>
        </w:tc>
        <w:tc>
          <w:tcPr>
            <w:tcW w:w="855" w:type="dxa"/>
            <w:vAlign w:val="center"/>
          </w:tcPr>
          <w:p>
            <w:pPr>
              <w:spacing w:line="300" w:lineRule="exact"/>
              <w:jc w:val="center"/>
              <w:rPr>
                <w:rFonts w:ascii="方正书宋简体" w:eastAsia="方正书宋简体"/>
                <w:color w:val="auto"/>
                <w:sz w:val="21"/>
                <w:szCs w:val="21"/>
              </w:rPr>
            </w:pPr>
            <w:r>
              <w:rPr>
                <w:rFonts w:hint="eastAsia" w:ascii="方正书宋简体" w:eastAsia="方正书宋简体"/>
                <w:color w:val="auto"/>
                <w:sz w:val="21"/>
                <w:szCs w:val="21"/>
              </w:rPr>
              <w:t>预期性</w:t>
            </w:r>
          </w:p>
        </w:tc>
        <w:tc>
          <w:tcPr>
            <w:tcW w:w="1634" w:type="dxa"/>
            <w:vAlign w:val="center"/>
          </w:tcPr>
          <w:p>
            <w:pPr>
              <w:spacing w:line="300" w:lineRule="exact"/>
              <w:jc w:val="center"/>
              <w:rPr>
                <w:rFonts w:ascii="方正书宋简体" w:eastAsia="方正书宋简体"/>
                <w:color w:val="auto"/>
                <w:sz w:val="21"/>
                <w:szCs w:val="21"/>
              </w:rPr>
            </w:pPr>
            <w:r>
              <w:rPr>
                <w:rFonts w:hint="eastAsia" w:ascii="方正书宋简体" w:eastAsia="方正书宋简体"/>
                <w:color w:val="auto"/>
                <w:sz w:val="21"/>
                <w:szCs w:val="21"/>
              </w:rPr>
              <w:t>区机关事务局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vMerge w:val="restart"/>
            <w:vAlign w:val="center"/>
          </w:tcPr>
          <w:p>
            <w:pPr>
              <w:spacing w:line="300" w:lineRule="exact"/>
              <w:rPr>
                <w:rFonts w:ascii="方正书宋简体" w:eastAsia="方正书宋简体"/>
                <w:color w:val="auto"/>
                <w:sz w:val="21"/>
                <w:szCs w:val="21"/>
              </w:rPr>
            </w:pPr>
            <w:r>
              <w:rPr>
                <w:rFonts w:hint="eastAsia" w:ascii="方正书宋简体" w:eastAsia="方正书宋简体"/>
                <w:color w:val="auto"/>
                <w:sz w:val="21"/>
                <w:szCs w:val="21"/>
              </w:rPr>
              <w:t>气候适应性指标</w:t>
            </w:r>
          </w:p>
        </w:tc>
        <w:tc>
          <w:tcPr>
            <w:tcW w:w="709" w:type="dxa"/>
            <w:vAlign w:val="center"/>
          </w:tcPr>
          <w:p>
            <w:pPr>
              <w:spacing w:line="300" w:lineRule="exact"/>
              <w:jc w:val="center"/>
              <w:rPr>
                <w:rFonts w:ascii="方正书宋简体" w:eastAsia="方正书宋简体"/>
                <w:color w:val="auto"/>
                <w:sz w:val="21"/>
                <w:szCs w:val="21"/>
              </w:rPr>
            </w:pPr>
            <w:r>
              <w:rPr>
                <w:rFonts w:hint="eastAsia" w:ascii="方正书宋简体" w:eastAsia="方正书宋简体"/>
                <w:color w:val="auto"/>
                <w:sz w:val="21"/>
                <w:szCs w:val="21"/>
              </w:rPr>
              <w:t>1</w:t>
            </w:r>
            <w:r>
              <w:rPr>
                <w:rFonts w:ascii="方正书宋简体" w:eastAsia="方正书宋简体"/>
                <w:color w:val="auto"/>
                <w:sz w:val="21"/>
                <w:szCs w:val="21"/>
              </w:rPr>
              <w:t>3</w:t>
            </w:r>
          </w:p>
        </w:tc>
        <w:tc>
          <w:tcPr>
            <w:tcW w:w="2421" w:type="dxa"/>
            <w:vAlign w:val="center"/>
          </w:tcPr>
          <w:p>
            <w:pPr>
              <w:spacing w:line="300" w:lineRule="exact"/>
              <w:rPr>
                <w:rFonts w:ascii="方正书宋简体" w:eastAsia="方正书宋简体"/>
                <w:color w:val="auto"/>
                <w:sz w:val="21"/>
                <w:szCs w:val="21"/>
              </w:rPr>
            </w:pPr>
            <w:r>
              <w:rPr>
                <w:rFonts w:hint="eastAsia" w:ascii="方正书宋简体" w:eastAsia="方正书宋简体"/>
                <w:color w:val="auto"/>
                <w:sz w:val="21"/>
                <w:szCs w:val="21"/>
              </w:rPr>
              <w:t>农田灌溉水有效利用系数</w:t>
            </w:r>
          </w:p>
        </w:tc>
        <w:tc>
          <w:tcPr>
            <w:tcW w:w="1701" w:type="dxa"/>
            <w:vAlign w:val="center"/>
          </w:tcPr>
          <w:p>
            <w:pPr>
              <w:spacing w:line="300" w:lineRule="exact"/>
              <w:jc w:val="center"/>
              <w:rPr>
                <w:rFonts w:ascii="方正书宋简体" w:eastAsia="方正书宋简体"/>
                <w:color w:val="auto"/>
                <w:sz w:val="21"/>
                <w:szCs w:val="21"/>
              </w:rPr>
            </w:pPr>
            <w:r>
              <w:rPr>
                <w:rFonts w:ascii="方正书宋简体" w:eastAsia="方正书宋简体"/>
                <w:color w:val="auto"/>
                <w:sz w:val="21"/>
                <w:szCs w:val="21"/>
              </w:rPr>
              <w:t>0.5216</w:t>
            </w:r>
          </w:p>
        </w:tc>
        <w:tc>
          <w:tcPr>
            <w:tcW w:w="708" w:type="dxa"/>
            <w:vAlign w:val="center"/>
          </w:tcPr>
          <w:p>
            <w:pPr>
              <w:spacing w:line="300" w:lineRule="exact"/>
              <w:jc w:val="center"/>
              <w:rPr>
                <w:rFonts w:ascii="方正书宋简体" w:eastAsia="方正书宋简体"/>
                <w:color w:val="auto"/>
                <w:sz w:val="21"/>
                <w:szCs w:val="21"/>
              </w:rPr>
            </w:pPr>
            <w:r>
              <w:rPr>
                <w:rFonts w:ascii="方正书宋简体" w:eastAsia="方正书宋简体"/>
                <w:color w:val="auto"/>
                <w:sz w:val="21"/>
                <w:szCs w:val="21"/>
              </w:rPr>
              <w:t>0.5544</w:t>
            </w:r>
          </w:p>
        </w:tc>
        <w:tc>
          <w:tcPr>
            <w:tcW w:w="855" w:type="dxa"/>
            <w:vAlign w:val="center"/>
          </w:tcPr>
          <w:p>
            <w:pPr>
              <w:spacing w:line="300" w:lineRule="exact"/>
              <w:jc w:val="center"/>
              <w:rPr>
                <w:rFonts w:ascii="方正书宋简体" w:eastAsia="方正书宋简体"/>
                <w:color w:val="auto"/>
                <w:sz w:val="21"/>
                <w:szCs w:val="21"/>
              </w:rPr>
            </w:pPr>
            <w:r>
              <w:rPr>
                <w:rFonts w:hint="eastAsia" w:ascii="方正书宋简体" w:eastAsia="方正书宋简体"/>
                <w:color w:val="auto"/>
                <w:sz w:val="21"/>
                <w:szCs w:val="21"/>
              </w:rPr>
              <w:t>预期性</w:t>
            </w:r>
          </w:p>
        </w:tc>
        <w:tc>
          <w:tcPr>
            <w:tcW w:w="1634" w:type="dxa"/>
            <w:vAlign w:val="center"/>
          </w:tcPr>
          <w:p>
            <w:pPr>
              <w:spacing w:line="300" w:lineRule="exact"/>
              <w:jc w:val="center"/>
              <w:rPr>
                <w:rFonts w:ascii="方正书宋简体" w:eastAsia="方正书宋简体"/>
                <w:color w:val="auto"/>
                <w:sz w:val="21"/>
                <w:szCs w:val="21"/>
              </w:rPr>
            </w:pPr>
            <w:r>
              <w:rPr>
                <w:rFonts w:hint="eastAsia" w:ascii="方正书宋简体" w:eastAsia="方正书宋简体"/>
                <w:color w:val="auto"/>
                <w:sz w:val="21"/>
                <w:szCs w:val="21"/>
              </w:rPr>
              <w:t>区水利局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vMerge w:val="continue"/>
            <w:vAlign w:val="center"/>
          </w:tcPr>
          <w:p>
            <w:pPr>
              <w:spacing w:line="300" w:lineRule="exact"/>
              <w:rPr>
                <w:rFonts w:ascii="方正书宋简体" w:eastAsia="方正书宋简体"/>
                <w:color w:val="auto"/>
                <w:sz w:val="21"/>
                <w:szCs w:val="21"/>
              </w:rPr>
            </w:pPr>
          </w:p>
        </w:tc>
        <w:tc>
          <w:tcPr>
            <w:tcW w:w="709" w:type="dxa"/>
            <w:vAlign w:val="center"/>
          </w:tcPr>
          <w:p>
            <w:pPr>
              <w:spacing w:line="300" w:lineRule="exact"/>
              <w:jc w:val="center"/>
              <w:rPr>
                <w:rFonts w:ascii="方正书宋简体" w:eastAsia="方正书宋简体"/>
                <w:color w:val="auto"/>
                <w:sz w:val="21"/>
                <w:szCs w:val="21"/>
              </w:rPr>
            </w:pPr>
            <w:r>
              <w:rPr>
                <w:rFonts w:hint="eastAsia" w:ascii="方正书宋简体" w:eastAsia="方正书宋简体"/>
                <w:color w:val="auto"/>
                <w:sz w:val="21"/>
                <w:szCs w:val="21"/>
              </w:rPr>
              <w:t>1</w:t>
            </w:r>
            <w:r>
              <w:rPr>
                <w:rFonts w:ascii="方正书宋简体" w:eastAsia="方正书宋简体"/>
                <w:color w:val="auto"/>
                <w:sz w:val="21"/>
                <w:szCs w:val="21"/>
              </w:rPr>
              <w:t>4</w:t>
            </w:r>
          </w:p>
        </w:tc>
        <w:tc>
          <w:tcPr>
            <w:tcW w:w="2421" w:type="dxa"/>
            <w:vAlign w:val="center"/>
          </w:tcPr>
          <w:p>
            <w:pPr>
              <w:spacing w:line="300" w:lineRule="exact"/>
              <w:rPr>
                <w:rFonts w:ascii="方正书宋简体" w:eastAsia="方正书宋简体"/>
                <w:color w:val="auto"/>
                <w:sz w:val="21"/>
                <w:szCs w:val="21"/>
              </w:rPr>
            </w:pPr>
            <w:r>
              <w:rPr>
                <w:rFonts w:hint="eastAsia" w:ascii="方正书宋简体" w:eastAsia="方正书宋简体"/>
                <w:color w:val="auto"/>
                <w:sz w:val="21"/>
                <w:szCs w:val="21"/>
              </w:rPr>
              <w:t>水土流失治理面积（平方公里）</w:t>
            </w:r>
          </w:p>
        </w:tc>
        <w:tc>
          <w:tcPr>
            <w:tcW w:w="1701" w:type="dxa"/>
            <w:vAlign w:val="center"/>
          </w:tcPr>
          <w:p>
            <w:pPr>
              <w:spacing w:line="300" w:lineRule="exact"/>
              <w:jc w:val="center"/>
              <w:rPr>
                <w:rFonts w:ascii="方正书宋简体" w:eastAsia="方正书宋简体"/>
                <w:color w:val="auto"/>
                <w:sz w:val="21"/>
                <w:szCs w:val="21"/>
              </w:rPr>
            </w:pPr>
            <w:r>
              <w:rPr>
                <w:rFonts w:ascii="方正书宋简体" w:eastAsia="方正书宋简体"/>
                <w:color w:val="auto"/>
                <w:sz w:val="21"/>
                <w:szCs w:val="21"/>
              </w:rPr>
              <w:t>1.238</w:t>
            </w:r>
          </w:p>
        </w:tc>
        <w:tc>
          <w:tcPr>
            <w:tcW w:w="708" w:type="dxa"/>
            <w:vAlign w:val="center"/>
          </w:tcPr>
          <w:p>
            <w:pPr>
              <w:spacing w:line="300" w:lineRule="exact"/>
              <w:jc w:val="center"/>
              <w:rPr>
                <w:rFonts w:ascii="方正书宋简体" w:eastAsia="方正书宋简体"/>
                <w:color w:val="auto"/>
                <w:sz w:val="21"/>
                <w:szCs w:val="21"/>
              </w:rPr>
            </w:pPr>
            <w:r>
              <w:rPr>
                <w:rFonts w:hint="eastAsia" w:ascii="方正书宋简体" w:eastAsia="方正书宋简体"/>
                <w:color w:val="auto"/>
                <w:sz w:val="21"/>
                <w:szCs w:val="21"/>
              </w:rPr>
              <w:t>市级下达</w:t>
            </w:r>
          </w:p>
        </w:tc>
        <w:tc>
          <w:tcPr>
            <w:tcW w:w="855" w:type="dxa"/>
            <w:vAlign w:val="center"/>
          </w:tcPr>
          <w:p>
            <w:pPr>
              <w:spacing w:line="300" w:lineRule="exact"/>
              <w:jc w:val="center"/>
              <w:rPr>
                <w:rFonts w:ascii="方正书宋简体" w:eastAsia="方正书宋简体"/>
                <w:color w:val="auto"/>
                <w:sz w:val="21"/>
                <w:szCs w:val="21"/>
              </w:rPr>
            </w:pPr>
            <w:r>
              <w:rPr>
                <w:rFonts w:hint="eastAsia" w:ascii="方正书宋简体" w:eastAsia="方正书宋简体"/>
                <w:color w:val="auto"/>
                <w:sz w:val="21"/>
                <w:szCs w:val="21"/>
              </w:rPr>
              <w:t>预期性</w:t>
            </w:r>
          </w:p>
        </w:tc>
        <w:tc>
          <w:tcPr>
            <w:tcW w:w="1634" w:type="dxa"/>
            <w:vAlign w:val="center"/>
          </w:tcPr>
          <w:p>
            <w:pPr>
              <w:spacing w:line="300" w:lineRule="exact"/>
              <w:jc w:val="center"/>
              <w:rPr>
                <w:rFonts w:ascii="方正书宋简体" w:eastAsia="方正书宋简体"/>
                <w:color w:val="auto"/>
                <w:sz w:val="21"/>
                <w:szCs w:val="21"/>
              </w:rPr>
            </w:pPr>
            <w:r>
              <w:rPr>
                <w:rFonts w:hint="eastAsia" w:ascii="方正书宋简体" w:eastAsia="方正书宋简体"/>
                <w:color w:val="auto"/>
                <w:sz w:val="21"/>
                <w:szCs w:val="21"/>
              </w:rPr>
              <w:t>区水利局</w:t>
            </w:r>
          </w:p>
        </w:tc>
      </w:tr>
    </w:tbl>
    <w:p>
      <w:pPr>
        <w:spacing w:after="100" w:afterAutospacing="1" w:line="596" w:lineRule="exact"/>
        <w:jc w:val="left"/>
        <w:rPr>
          <w:rFonts w:ascii="方正仿宋_GBK" w:eastAsia="方正仿宋_GBK"/>
          <w:color w:val="auto"/>
        </w:rPr>
      </w:pPr>
      <w:r>
        <w:rPr>
          <w:rFonts w:hint="eastAsia" w:ascii="方正仿宋_GBK" w:eastAsia="方正仿宋_GBK"/>
          <w:color w:val="auto"/>
          <w:sz w:val="21"/>
          <w:szCs w:val="21"/>
        </w:rPr>
        <w:t>备注：</w:t>
      </w:r>
      <w:r>
        <w:rPr>
          <w:rFonts w:ascii="方正仿宋_GBK" w:eastAsia="方正仿宋_GBK"/>
          <w:color w:val="auto"/>
          <w:sz w:val="24"/>
          <w:szCs w:val="24"/>
        </w:rPr>
        <w:t>[]</w:t>
      </w:r>
      <w:r>
        <w:rPr>
          <w:rFonts w:hint="eastAsia" w:ascii="方正仿宋_GBK" w:eastAsia="方正仿宋_GBK"/>
          <w:color w:val="auto"/>
          <w:sz w:val="21"/>
          <w:szCs w:val="21"/>
        </w:rPr>
        <w:t>为“十四五”期间累计数；相关指标由市级下达的，以市级实际下达数为准。</w:t>
      </w:r>
    </w:p>
    <w:p>
      <w:pPr>
        <w:spacing w:before="289" w:beforeLines="50" w:after="289" w:afterLines="50" w:line="596" w:lineRule="exact"/>
        <w:jc w:val="center"/>
        <w:outlineLvl w:val="0"/>
        <w:rPr>
          <w:color w:val="auto"/>
        </w:rPr>
      </w:pPr>
      <w:bookmarkStart w:id="13" w:name="_Toc109898250"/>
      <w:r>
        <w:rPr>
          <w:rFonts w:hint="eastAsia" w:ascii="方正黑体_GBK" w:eastAsia="方正黑体_GBK"/>
          <w:color w:val="auto"/>
        </w:rPr>
        <w:t>第三章</w:t>
      </w:r>
      <w:r>
        <w:rPr>
          <w:rFonts w:ascii="方正黑体_GBK" w:eastAsia="方正黑体_GBK"/>
          <w:color w:val="auto"/>
        </w:rPr>
        <w:t xml:space="preserve"> </w:t>
      </w:r>
      <w:r>
        <w:rPr>
          <w:rFonts w:hint="eastAsia" w:ascii="方正黑体_GBK" w:eastAsia="方正黑体_GBK"/>
          <w:color w:val="auto"/>
        </w:rPr>
        <w:t>加快实施碳排放达峰行动</w:t>
      </w:r>
      <w:bookmarkEnd w:id="13"/>
    </w:p>
    <w:p>
      <w:pPr>
        <w:spacing w:line="596" w:lineRule="exact"/>
        <w:ind w:firstLine="624" w:firstLineChars="200"/>
        <w:rPr>
          <w:rFonts w:ascii="方正仿宋_GBK" w:eastAsia="方正仿宋_GBK"/>
          <w:color w:val="auto"/>
        </w:rPr>
      </w:pPr>
      <w:r>
        <w:rPr>
          <w:rFonts w:hint="eastAsia" w:ascii="方正仿宋_GBK" w:eastAsia="方正仿宋_GBK"/>
          <w:color w:val="auto"/>
        </w:rPr>
        <w:t>围绕碳达峰、碳中和“</w:t>
      </w:r>
      <w:r>
        <w:rPr>
          <w:rFonts w:eastAsia="方正仿宋_GBK" w:cs="Times New Roman"/>
          <w:color w:val="auto"/>
        </w:rPr>
        <w:t>30·60</w:t>
      </w:r>
      <w:r>
        <w:rPr>
          <w:rFonts w:hint="eastAsia" w:ascii="方正仿宋_GBK" w:eastAsia="方正仿宋_GBK"/>
          <w:color w:val="auto"/>
        </w:rPr>
        <w:t>”目标，实施碳排放达峰、碳中和行动，持续优化产业结构，提升战略性新兴产业、现代服务业比重，持续优化能源结构，提升能效利用效率，促进经济高质量发展，为全市实现碳达峰、碳中和贡献铜梁力量。</w:t>
      </w:r>
    </w:p>
    <w:p>
      <w:pPr>
        <w:spacing w:before="289" w:beforeLines="50" w:after="289" w:afterLines="50" w:line="596" w:lineRule="exact"/>
        <w:jc w:val="center"/>
        <w:outlineLvl w:val="1"/>
        <w:rPr>
          <w:rFonts w:ascii="方正楷体_GBK" w:eastAsia="方正楷体_GBK"/>
          <w:color w:val="auto"/>
        </w:rPr>
      </w:pPr>
      <w:bookmarkStart w:id="14" w:name="_Toc109898251"/>
      <w:r>
        <w:rPr>
          <w:rFonts w:hint="eastAsia" w:ascii="方正楷体_GBK" w:eastAsia="方正楷体_GBK"/>
          <w:color w:val="auto"/>
        </w:rPr>
        <w:t>第一节 明确碳排放达峰目标</w:t>
      </w:r>
      <w:bookmarkEnd w:id="14"/>
    </w:p>
    <w:p>
      <w:pPr>
        <w:spacing w:line="596" w:lineRule="exact"/>
        <w:ind w:firstLine="624" w:firstLineChars="200"/>
        <w:rPr>
          <w:rFonts w:ascii="方正仿宋_GBK" w:eastAsia="方正仿宋_GBK"/>
          <w:color w:val="auto"/>
        </w:rPr>
      </w:pPr>
      <w:r>
        <w:rPr>
          <w:rFonts w:hint="eastAsia" w:ascii="方正仿宋_GBK" w:eastAsia="方正仿宋_GBK"/>
          <w:b/>
          <w:bCs/>
          <w:color w:val="auto"/>
        </w:rPr>
        <w:t>研究制定二氧化碳排放达峰行动方案。</w:t>
      </w:r>
      <w:r>
        <w:rPr>
          <w:rFonts w:hint="eastAsia" w:ascii="方正仿宋_GBK" w:eastAsia="方正仿宋_GBK"/>
          <w:color w:val="auto"/>
        </w:rPr>
        <w:t>加强应对气候变化顶层设计，制定铜梁区碳排放达峰行动方案，完成市级下达的碳排放总量与强度控制任务。常态化开展温室气体清单编制工作，加强清单数据应用，针对性制定温室气体控制目标与措施。推动能源、工业、交通运输、城乡建设、农业农村、新基建等重点领域碳达峰行动。推动建材、化工、电力等重点行业碳排放率先达峰。</w:t>
      </w:r>
    </w:p>
    <w:p>
      <w:pPr>
        <w:spacing w:line="596" w:lineRule="exact"/>
        <w:ind w:firstLine="624" w:firstLineChars="200"/>
        <w:rPr>
          <w:rFonts w:ascii="方正仿宋_GBK" w:eastAsia="方正仿宋_GBK"/>
          <w:color w:val="auto"/>
        </w:rPr>
      </w:pPr>
      <w:r>
        <w:rPr>
          <w:rFonts w:hint="eastAsia" w:ascii="方正仿宋_GBK" w:eastAsia="方正仿宋_GBK"/>
          <w:b/>
          <w:bCs/>
          <w:color w:val="auto"/>
        </w:rPr>
        <w:t>推动重点领域（区域）二氧化碳排放达峰。</w:t>
      </w:r>
      <w:r>
        <w:rPr>
          <w:rFonts w:hint="eastAsia" w:ascii="方正仿宋_GBK" w:eastAsia="方正仿宋_GBK"/>
          <w:color w:val="auto"/>
        </w:rPr>
        <w:t>根据温室气体清单编制成果，识别全区“能源消耗”“工业生产过程”两类碳排放重点行业，差异化推进碳排放达峰行动。推动重点用能行业率先达标，到</w:t>
      </w:r>
      <w:r>
        <w:rPr>
          <w:rFonts w:eastAsia="方正仿宋_GBK" w:cs="Times New Roman"/>
          <w:color w:val="auto"/>
        </w:rPr>
        <w:t>2025</w:t>
      </w:r>
      <w:r>
        <w:rPr>
          <w:rFonts w:hint="eastAsia" w:ascii="方正仿宋_GBK" w:eastAsia="方正仿宋_GBK"/>
          <w:color w:val="auto"/>
        </w:rPr>
        <w:t>年，水泥产品单位熟料综合能耗水平降低</w:t>
      </w:r>
      <w:r>
        <w:rPr>
          <w:rFonts w:eastAsia="方正仿宋_GBK" w:cs="Times New Roman"/>
          <w:color w:val="auto"/>
        </w:rPr>
        <w:t>3%</w:t>
      </w:r>
      <w:r>
        <w:rPr>
          <w:rFonts w:hint="eastAsia" w:ascii="方正仿宋_GBK" w:eastAsia="方正仿宋_GBK"/>
          <w:color w:val="auto"/>
        </w:rPr>
        <w:t>以上，严格控制高碳排放产业新建、扩建产能。鼓励、指导全区高碳排放重点企业编制二氧化碳排放达峰行动实施方案。鼓励高新区推进低碳生产、开展低碳技术创新与应用、创新低碳管理、加强低碳基础设施建设。</w:t>
      </w:r>
    </w:p>
    <w:p>
      <w:pPr>
        <w:spacing w:before="289" w:beforeLines="50" w:after="289" w:afterLines="50" w:line="596" w:lineRule="exact"/>
        <w:jc w:val="center"/>
        <w:outlineLvl w:val="1"/>
        <w:rPr>
          <w:rFonts w:ascii="方正楷体_GBK" w:eastAsia="方正楷体_GBK"/>
          <w:color w:val="auto"/>
        </w:rPr>
      </w:pPr>
      <w:bookmarkStart w:id="15" w:name="_Toc109898252"/>
      <w:r>
        <w:rPr>
          <w:rFonts w:hint="eastAsia" w:ascii="方正楷体_GBK" w:eastAsia="方正楷体_GBK"/>
          <w:color w:val="auto"/>
        </w:rPr>
        <w:t>第二节 推动经济社会绿色低碳转型</w:t>
      </w:r>
      <w:bookmarkEnd w:id="15"/>
    </w:p>
    <w:p>
      <w:pPr>
        <w:spacing w:line="596" w:lineRule="exact"/>
        <w:ind w:firstLine="624" w:firstLineChars="200"/>
        <w:rPr>
          <w:rFonts w:ascii="方正仿宋_GBK" w:eastAsia="方正仿宋_GBK"/>
          <w:color w:val="auto"/>
        </w:rPr>
      </w:pPr>
      <w:r>
        <w:rPr>
          <w:rFonts w:hint="eastAsia" w:ascii="方正仿宋_GBK" w:eastAsia="方正仿宋_GBK"/>
          <w:b/>
          <w:bCs/>
          <w:color w:val="auto"/>
        </w:rPr>
        <w:t>推进经济体系数字化变革。</w:t>
      </w:r>
      <w:r>
        <w:rPr>
          <w:rFonts w:hint="eastAsia" w:ascii="方正仿宋_GBK" w:eastAsia="方正仿宋_GBK"/>
          <w:color w:val="auto"/>
        </w:rPr>
        <w:t>以供给侧结构性改革为主线，推动制造业数字产业化、产业数字化转型发展。主动融入国家数字经济创新发展试验区和国家新一代人工智能创新发展试验区建设，引入发展人工智能、大数据、云计算等数字产业，促进信息技术与传统工业、农业、建筑、交通、物流等行业与领域深度应用。筹建“重庆工业互联网学院”，打造一批数字化促进中心、工业互联网平台。到</w:t>
      </w:r>
      <w:r>
        <w:rPr>
          <w:rFonts w:eastAsia="方正仿宋_GBK" w:cs="Times New Roman"/>
          <w:color w:val="auto"/>
        </w:rPr>
        <w:t>2025</w:t>
      </w:r>
      <w:r>
        <w:rPr>
          <w:rFonts w:hint="eastAsia" w:ascii="方正仿宋_GBK" w:eastAsia="方正仿宋_GBK"/>
          <w:color w:val="auto"/>
        </w:rPr>
        <w:t>年，数字经济核心产业增加值占地区生产总值比重达到</w:t>
      </w:r>
      <w:r>
        <w:rPr>
          <w:rFonts w:eastAsia="方正仿宋_GBK" w:cs="Times New Roman"/>
          <w:color w:val="auto"/>
        </w:rPr>
        <w:t>15%</w:t>
      </w:r>
      <w:r>
        <w:rPr>
          <w:rFonts w:hint="eastAsia" w:ascii="方正仿宋_GBK" w:eastAsia="方正仿宋_GBK"/>
          <w:color w:val="auto"/>
        </w:rPr>
        <w:t>左右。</w:t>
      </w:r>
    </w:p>
    <w:p>
      <w:pPr>
        <w:spacing w:line="596" w:lineRule="exact"/>
        <w:ind w:firstLine="624" w:firstLineChars="200"/>
        <w:rPr>
          <w:rFonts w:ascii="方正仿宋_GBK" w:eastAsia="方正仿宋_GBK"/>
          <w:color w:val="auto"/>
        </w:rPr>
      </w:pPr>
      <w:r>
        <w:rPr>
          <w:rFonts w:hint="eastAsia" w:ascii="方正仿宋_GBK" w:eastAsia="方正仿宋_GBK"/>
          <w:b/>
          <w:bCs/>
          <w:color w:val="auto"/>
        </w:rPr>
        <w:t>发展战略性新兴产业。</w:t>
      </w:r>
      <w:r>
        <w:rPr>
          <w:rFonts w:hint="eastAsia" w:ascii="方正仿宋_GBK" w:eastAsia="方正仿宋_GBK"/>
          <w:color w:val="auto"/>
        </w:rPr>
        <w:t>积极培育新一代信息技术、生物技术、新能源、新材料、高端装备、新能源汽车等战略性新兴产业。积极布局新能源汽车动力电池、智能家居和智能可穿戴设备锂电池等新能源产业以及先进金属及其合金材料、复合材料、高性能玻璃、绿色建材等新材料产业。加快推动物联网、大数据、云计算、</w:t>
      </w:r>
      <w:r>
        <w:rPr>
          <w:rFonts w:eastAsia="方正仿宋_GBK" w:cs="Times New Roman"/>
          <w:color w:val="auto"/>
        </w:rPr>
        <w:t>5G</w:t>
      </w:r>
      <w:r>
        <w:rPr>
          <w:rFonts w:hint="eastAsia" w:ascii="方正仿宋_GBK" w:eastAsia="方正仿宋_GBK"/>
          <w:color w:val="auto"/>
        </w:rPr>
        <w:t>、人工智能等战略性新兴产业发展。到</w:t>
      </w:r>
      <w:r>
        <w:rPr>
          <w:rFonts w:eastAsia="方正仿宋_GBK" w:cs="Times New Roman"/>
          <w:color w:val="auto"/>
        </w:rPr>
        <w:t>2025</w:t>
      </w:r>
      <w:r>
        <w:rPr>
          <w:rFonts w:hint="eastAsia" w:ascii="方正仿宋_GBK" w:eastAsia="方正仿宋_GBK"/>
          <w:color w:val="auto"/>
        </w:rPr>
        <w:t>年，力争战略性新兴产业总产值达到</w:t>
      </w:r>
      <w:r>
        <w:rPr>
          <w:rFonts w:eastAsia="方正仿宋_GBK" w:cs="Times New Roman"/>
          <w:color w:val="auto"/>
        </w:rPr>
        <w:t>300</w:t>
      </w:r>
      <w:r>
        <w:rPr>
          <w:rFonts w:hint="eastAsia" w:ascii="方正仿宋_GBK" w:eastAsia="方正仿宋_GBK"/>
          <w:color w:val="auto"/>
        </w:rPr>
        <w:t>亿级。</w:t>
      </w:r>
    </w:p>
    <w:p>
      <w:pPr>
        <w:spacing w:line="596" w:lineRule="exact"/>
        <w:ind w:firstLine="624" w:firstLineChars="200"/>
        <w:rPr>
          <w:rFonts w:ascii="方正仿宋_GBK" w:eastAsia="方正仿宋_GBK"/>
          <w:color w:val="auto"/>
        </w:rPr>
      </w:pPr>
      <w:r>
        <w:rPr>
          <w:rFonts w:hint="eastAsia" w:ascii="方正仿宋_GBK" w:eastAsia="方正仿宋_GBK"/>
          <w:b/>
          <w:bCs/>
          <w:color w:val="auto"/>
        </w:rPr>
        <w:t>促进现代服务业提质增效。</w:t>
      </w:r>
      <w:r>
        <w:rPr>
          <w:rFonts w:hint="eastAsia" w:ascii="方正仿宋_GBK" w:eastAsia="方正仿宋_GBK"/>
          <w:color w:val="auto"/>
        </w:rPr>
        <w:t>推进现代服务业与先进制造业、现代农业深度融合发展。积极发展绿色商贸服务业、高端康养、现代物流、现代金融与专业服务等行业，不断完善吃住行游购娱功能配套。推动生活性服务业向高品质和多样化升级，深入挖掘龙文化内涵，推动文旅体行业融合发展，建设龙文化旅游名城。支持企业开展产品“碳标签”认证工作，鼓励商场引进具有“碳标签”的商品。</w:t>
      </w:r>
    </w:p>
    <w:p>
      <w:pPr>
        <w:spacing w:line="596" w:lineRule="exact"/>
        <w:ind w:firstLine="624" w:firstLineChars="200"/>
        <w:rPr>
          <w:rFonts w:ascii="方正仿宋_GBK" w:eastAsia="方正仿宋_GBK"/>
          <w:color w:val="auto"/>
        </w:rPr>
      </w:pPr>
      <w:r>
        <w:rPr>
          <w:rFonts w:hint="eastAsia" w:ascii="方正仿宋_GBK" w:eastAsia="方正仿宋_GBK"/>
          <w:b/>
          <w:bCs/>
          <w:color w:val="auto"/>
        </w:rPr>
        <w:t>做大做强节能环保产业。</w:t>
      </w:r>
      <w:r>
        <w:rPr>
          <w:rFonts w:hint="eastAsia" w:ascii="方正仿宋_GBK" w:eastAsia="方正仿宋_GBK"/>
          <w:color w:val="auto"/>
        </w:rPr>
        <w:t>落实各级扶持政策，培育壮大节能环保产业，努力将高新区打造成为创新生态典范区、产业融合先行示范区。开展工业园区清洁生产试点，鼓励企业开展节能环保和清洁生产技术改造。实施节能环保产业精准招商，将节能环保、清洁生产和清洁能源类项目作为招商重点，围绕环际低碳、龙浩节能、四通环保等纳入节能环保产业统计范畴的</w:t>
      </w:r>
      <w:r>
        <w:rPr>
          <w:rFonts w:eastAsia="方正仿宋_GBK" w:cs="Times New Roman"/>
          <w:color w:val="auto"/>
        </w:rPr>
        <w:t>17</w:t>
      </w:r>
      <w:r>
        <w:rPr>
          <w:rFonts w:hint="eastAsia" w:ascii="方正仿宋_GBK" w:eastAsia="方正仿宋_GBK"/>
          <w:color w:val="auto"/>
        </w:rPr>
        <w:t>家规模以上企业，拓展节能环保产业链，提升产业集中度。通过鼓励政策和试点形势，引进有资质的节能服务业企业，带动全区企业节能技术改革。</w:t>
      </w:r>
    </w:p>
    <w:p>
      <w:pPr>
        <w:spacing w:line="596" w:lineRule="exact"/>
        <w:ind w:firstLine="624" w:firstLineChars="200"/>
        <w:rPr>
          <w:rFonts w:ascii="方正仿宋_GBK" w:eastAsia="方正仿宋_GBK"/>
          <w:color w:val="auto"/>
        </w:rPr>
      </w:pPr>
      <w:r>
        <w:rPr>
          <w:rFonts w:hint="eastAsia" w:ascii="方正仿宋_GBK" w:eastAsia="方正仿宋_GBK"/>
          <w:b/>
          <w:bCs/>
          <w:color w:val="auto"/>
        </w:rPr>
        <w:t>打造一批低碳发展重要平台载体。</w:t>
      </w:r>
      <w:r>
        <w:rPr>
          <w:rFonts w:hint="eastAsia" w:ascii="方正仿宋_GBK" w:eastAsia="方正仿宋_GBK"/>
          <w:color w:val="auto"/>
        </w:rPr>
        <w:t>积极推进广铜（广州、铜梁）“一带一路”高新技术产业合作区、两江新区铜梁协作产业园建设。加快融入环大学城创新生态圈，高标准建设高新区科创中心。支持建设科技创新平台，促进高新技术产业基地、科技成果转化基地建设。</w:t>
      </w:r>
    </w:p>
    <w:p>
      <w:pPr>
        <w:spacing w:before="289" w:beforeLines="50" w:after="289" w:afterLines="50" w:line="596" w:lineRule="exact"/>
        <w:jc w:val="center"/>
        <w:outlineLvl w:val="1"/>
        <w:rPr>
          <w:rFonts w:ascii="方正楷体_GBK" w:eastAsia="方正楷体_GBK"/>
          <w:color w:val="auto"/>
        </w:rPr>
      </w:pPr>
      <w:bookmarkStart w:id="16" w:name="_Toc109898253"/>
      <w:r>
        <w:rPr>
          <w:rFonts w:hint="eastAsia" w:ascii="方正楷体_GBK" w:eastAsia="方正楷体_GBK"/>
          <w:color w:val="auto"/>
        </w:rPr>
        <w:t>第三节 以降碳引领能源结构调整</w:t>
      </w:r>
      <w:bookmarkEnd w:id="16"/>
    </w:p>
    <w:p>
      <w:pPr>
        <w:spacing w:line="596" w:lineRule="exact"/>
        <w:ind w:firstLine="624" w:firstLineChars="200"/>
        <w:rPr>
          <w:rFonts w:ascii="方正仿宋_GBK" w:eastAsia="方正仿宋_GBK"/>
          <w:color w:val="auto"/>
        </w:rPr>
      </w:pPr>
      <w:r>
        <w:rPr>
          <w:rFonts w:hint="eastAsia" w:ascii="方正仿宋_GBK" w:eastAsia="方正仿宋_GBK"/>
          <w:b/>
          <w:bCs/>
          <w:color w:val="auto"/>
        </w:rPr>
        <w:t>大力发展非化石能源。</w:t>
      </w:r>
      <w:r>
        <w:rPr>
          <w:rFonts w:hint="eastAsia" w:ascii="方正仿宋_GBK" w:eastAsia="方正仿宋_GBK"/>
          <w:color w:val="auto"/>
        </w:rPr>
        <w:t>加强城乡电网改造和智能电网建设，加快建设智慧能源系统。积极推进农村水电绿色发展，开展安居电站、高坑水电站绿色小水电创建任务。继续推进分布式光伏发电应用，推动符合条件的乡村振兴示范片、旅游景区等区域采用太阳能照明设施。稳定运行生活垃圾焚烧发电一期工程，建成炉渣场利用项目和餐厨垃圾处理项目。改造存在严重缺陷的变电设备和严重供电“瓶颈”的线路，推动川渝</w:t>
      </w:r>
      <w:r>
        <w:rPr>
          <w:rFonts w:eastAsia="方正仿宋_GBK" w:cs="Times New Roman"/>
          <w:color w:val="auto"/>
        </w:rPr>
        <w:t>1000</w:t>
      </w:r>
      <w:r>
        <w:rPr>
          <w:rFonts w:hint="eastAsia" w:ascii="方正仿宋_GBK" w:eastAsia="方正仿宋_GBK"/>
          <w:color w:val="auto"/>
        </w:rPr>
        <w:t>千伏特高压交流工程铜梁变电站及线路工程建设，提升电力在终端能源消费中的占比。</w:t>
      </w:r>
    </w:p>
    <w:p>
      <w:pPr>
        <w:spacing w:line="596" w:lineRule="exact"/>
        <w:ind w:firstLine="624" w:firstLineChars="200"/>
        <w:rPr>
          <w:rFonts w:ascii="方正仿宋_GBK" w:eastAsia="方正仿宋_GBK"/>
          <w:color w:val="auto"/>
        </w:rPr>
      </w:pPr>
      <w:r>
        <w:rPr>
          <w:rFonts w:hint="eastAsia" w:ascii="方正仿宋_GBK" w:eastAsia="方正仿宋_GBK"/>
          <w:b/>
          <w:bCs/>
          <w:color w:val="auto"/>
        </w:rPr>
        <w:t>清洁高效使用化石能源。</w:t>
      </w:r>
      <w:r>
        <w:rPr>
          <w:rFonts w:hint="eastAsia" w:ascii="方正仿宋_GBK" w:eastAsia="方正仿宋_GBK"/>
          <w:color w:val="auto"/>
        </w:rPr>
        <w:t>强化煤炭总量控制，实行煤炭消费等量或减量替代。鼓励用煤大户使用洁净煤、高热值煤。持续实施煤改气工程、燃气锅炉低氮燃烧改造。提高天然气消费比重，推动铜梁天然气燃机发电项目建设。利用新能源产业园分布式能源装备制造优势，推进辖区内医院、学校等单位发展天然气分布式能源。加快引进</w:t>
      </w:r>
      <w:r>
        <w:rPr>
          <w:rFonts w:eastAsia="方正仿宋_GBK" w:cs="Times New Roman"/>
          <w:color w:val="auto"/>
        </w:rPr>
        <w:t>LNG</w:t>
      </w:r>
      <w:r>
        <w:rPr>
          <w:rFonts w:hint="eastAsia" w:ascii="方正仿宋_GBK" w:eastAsia="方正仿宋_GBK"/>
          <w:color w:val="auto"/>
        </w:rPr>
        <w:t>加工企业，新建分布式能源项目等方式实现页岩气就地转化利用。结合高新区装备制造产业，支持鼓励相关企业建立页岩气研发中心、装备制造基地及生产配套基地，形成产研配套一体化产业模式。</w:t>
      </w:r>
    </w:p>
    <w:p>
      <w:pPr>
        <w:spacing w:line="596" w:lineRule="exact"/>
        <w:ind w:firstLine="624" w:firstLineChars="200"/>
        <w:rPr>
          <w:rFonts w:ascii="方正仿宋_GBK" w:eastAsia="方正仿宋_GBK"/>
          <w:color w:val="auto"/>
        </w:rPr>
      </w:pPr>
      <w:r>
        <w:rPr>
          <w:rFonts w:hint="eastAsia" w:ascii="方正仿宋_GBK" w:eastAsia="方正仿宋_GBK"/>
          <w:b/>
          <w:bCs/>
          <w:color w:val="auto"/>
        </w:rPr>
        <w:t>着力推进能效提升。</w:t>
      </w:r>
      <w:r>
        <w:rPr>
          <w:rFonts w:hint="eastAsia" w:ascii="方正仿宋_GBK" w:eastAsia="方正仿宋_GBK"/>
          <w:color w:val="auto"/>
        </w:rPr>
        <w:t>严格执行能源消费总量和强度“双控”制度，完成市级下达的任务目标。推进重点用能单位能源管理体系建设，开展能源管理体系建设效果评价，鼓励重点用能单位建设能源管理中心，数据纳入全区能源数据中心。推进铜梁能源数据中心建设与更新完善。鼓励企业参与年度重点行业市级能效领跑者遴选，推动高耗能企业加大节能改造力度。鼓励有条件的企业通过物联网、大数据、云计算和先进过程控制技术实施能源数字化和精细化管理。</w:t>
      </w:r>
    </w:p>
    <w:p>
      <w:pPr>
        <w:spacing w:before="289" w:beforeLines="50" w:after="289" w:afterLines="50" w:line="596" w:lineRule="exact"/>
        <w:jc w:val="center"/>
        <w:outlineLvl w:val="0"/>
        <w:rPr>
          <w:rFonts w:ascii="方正黑体_GBK" w:eastAsia="方正黑体_GBK"/>
          <w:color w:val="auto"/>
        </w:rPr>
      </w:pPr>
      <w:bookmarkStart w:id="17" w:name="_Toc109898254"/>
      <w:r>
        <w:rPr>
          <w:rFonts w:hint="eastAsia" w:ascii="方正黑体_GBK" w:eastAsia="方正黑体_GBK"/>
          <w:color w:val="auto"/>
        </w:rPr>
        <w:t>第四章</w:t>
      </w:r>
      <w:r>
        <w:rPr>
          <w:rFonts w:ascii="方正黑体_GBK" w:eastAsia="方正黑体_GBK"/>
          <w:color w:val="auto"/>
        </w:rPr>
        <w:t xml:space="preserve"> </w:t>
      </w:r>
      <w:r>
        <w:rPr>
          <w:rFonts w:hint="eastAsia" w:ascii="方正黑体_GBK" w:eastAsia="方正黑体_GBK"/>
          <w:color w:val="auto"/>
        </w:rPr>
        <w:t>控制重点领域温室气体排放</w:t>
      </w:r>
      <w:bookmarkEnd w:id="17"/>
    </w:p>
    <w:p>
      <w:pPr>
        <w:spacing w:line="596" w:lineRule="exact"/>
        <w:ind w:firstLine="624" w:firstLineChars="200"/>
        <w:rPr>
          <w:rFonts w:ascii="方正仿宋_GBK" w:eastAsia="方正仿宋_GBK"/>
          <w:color w:val="auto"/>
        </w:rPr>
      </w:pPr>
      <w:r>
        <w:rPr>
          <w:rFonts w:hint="eastAsia" w:ascii="方正仿宋_GBK" w:eastAsia="方正仿宋_GBK"/>
          <w:color w:val="auto"/>
        </w:rPr>
        <w:t>实施能源、工业、建筑、交通等领域的温室气体减排工程，有效控制废弃物处理处置领域非二氧化碳温室气体排放，着力增加林业、湿地、农业等方面碳汇，构建全区低碳生活方式，实现经济高质量低碳发展。</w:t>
      </w:r>
    </w:p>
    <w:p>
      <w:pPr>
        <w:spacing w:before="289" w:beforeLines="50" w:after="289" w:afterLines="50" w:line="596" w:lineRule="exact"/>
        <w:jc w:val="center"/>
        <w:outlineLvl w:val="1"/>
        <w:rPr>
          <w:rFonts w:ascii="方正楷体_GBK" w:eastAsia="方正楷体_GBK"/>
          <w:color w:val="auto"/>
        </w:rPr>
      </w:pPr>
      <w:bookmarkStart w:id="18" w:name="_Toc109898255"/>
      <w:r>
        <w:rPr>
          <w:rFonts w:hint="eastAsia" w:ascii="方正楷体_GBK" w:eastAsia="方正楷体_GBK"/>
          <w:color w:val="auto"/>
        </w:rPr>
        <w:t>第一节 控制工业领域温室气体排放</w:t>
      </w:r>
      <w:bookmarkEnd w:id="18"/>
    </w:p>
    <w:p>
      <w:pPr>
        <w:spacing w:line="596" w:lineRule="exact"/>
        <w:ind w:firstLine="624" w:firstLineChars="200"/>
        <w:rPr>
          <w:rFonts w:ascii="方正仿宋_GBK" w:eastAsia="方正仿宋_GBK"/>
          <w:color w:val="auto"/>
        </w:rPr>
      </w:pPr>
      <w:bookmarkStart w:id="19" w:name="_Hlk102743028"/>
      <w:r>
        <w:rPr>
          <w:rFonts w:hint="eastAsia" w:ascii="方正仿宋_GBK" w:eastAsia="方正仿宋_GBK"/>
          <w:b/>
          <w:bCs/>
          <w:color w:val="auto"/>
        </w:rPr>
        <w:t>抑制高碳排放行业过快增长。</w:t>
      </w:r>
      <w:bookmarkEnd w:id="19"/>
      <w:r>
        <w:rPr>
          <w:rFonts w:hint="eastAsia" w:ascii="方正仿宋_GBK" w:eastAsia="方正仿宋_GBK"/>
          <w:color w:val="auto"/>
        </w:rPr>
        <w:t>制定工业领域碳达峰行动方案。严格落实“三线一单”，坚决遏制“两高”和产能过剩项目建设，限制高碳排放行业规模加快增长。发挥环境影响评价制度源头防控作用，在产业园区规划环境影响评价中规范开展碳排放影响评价，电力、建材、化工等重点行业开展碳排放环境影响评价。持续开展利用综合标准依法依规淘汰落后产能工作。</w:t>
      </w:r>
    </w:p>
    <w:p>
      <w:pPr>
        <w:spacing w:line="596" w:lineRule="exact"/>
        <w:ind w:firstLine="624" w:firstLineChars="200"/>
        <w:rPr>
          <w:rFonts w:ascii="方正仿宋_GBK" w:eastAsia="方正仿宋_GBK"/>
          <w:color w:val="auto"/>
        </w:rPr>
      </w:pPr>
      <w:r>
        <w:rPr>
          <w:rFonts w:hint="eastAsia" w:ascii="方正仿宋_GBK" w:eastAsia="方正仿宋_GBK"/>
          <w:b/>
          <w:bCs/>
          <w:color w:val="auto"/>
        </w:rPr>
        <w:t>推动传统产业低碳发展。</w:t>
      </w:r>
      <w:r>
        <w:rPr>
          <w:rFonts w:hint="eastAsia" w:ascii="方正仿宋_GBK" w:eastAsia="方正仿宋_GBK"/>
          <w:color w:val="auto"/>
        </w:rPr>
        <w:t>积极培育战略性新兴产业，利用全区数字经济发展契机，支持传统行业龙头企业开展数字化、网络化、智能化创新与改造，打造一批具有先进水平的智能工厂、数字化车间。利用国家和行业节能低碳标准、重点技术目录等政策，加强电力、建材、化工等重点行业能效管理，水泥等主要产品单位能耗应当优于国家能耗限额标准。鼓励企业积极开展低碳技术的开发和示范工作。</w:t>
      </w:r>
    </w:p>
    <w:p>
      <w:pPr>
        <w:spacing w:line="596" w:lineRule="exact"/>
        <w:ind w:firstLine="624" w:firstLineChars="200"/>
        <w:rPr>
          <w:rFonts w:ascii="方正仿宋_GBK" w:eastAsia="方正仿宋_GBK"/>
          <w:color w:val="auto"/>
        </w:rPr>
      </w:pPr>
      <w:r>
        <w:rPr>
          <w:rFonts w:hint="eastAsia" w:ascii="方正仿宋_GBK" w:eastAsia="方正仿宋_GBK"/>
          <w:b/>
          <w:bCs/>
          <w:color w:val="auto"/>
        </w:rPr>
        <w:t>推进工业绿色循环发展。</w:t>
      </w:r>
      <w:r>
        <w:rPr>
          <w:rFonts w:hint="eastAsia" w:ascii="方正仿宋_GBK" w:eastAsia="方正仿宋_GBK"/>
          <w:color w:val="auto"/>
        </w:rPr>
        <w:t>围绕高新区重点支撑项目及产业链，以装备制造、电子信息、新材料、生物医疗为重点，构建循环首尾相连、环环相扣的闭合循环产业链。鼓励企业建立以资源节约、环境友好为导向的全过程生产体系，推动上下游企业共同提升资源利用率，构建循环产业体系，促进工业产品实现低碳或零碳。全面开展清洁生产审核和评价认证，推动建材、化工等传统产业清洁生产改造、能源利用高效低碳化改造。支持企业开展绿色工厂创建，深化国家级循环化改造试点园区建设工作。</w:t>
      </w:r>
    </w:p>
    <w:p>
      <w:pPr>
        <w:spacing w:before="289" w:beforeLines="50" w:after="289" w:afterLines="50" w:line="596" w:lineRule="exact"/>
        <w:jc w:val="center"/>
        <w:outlineLvl w:val="1"/>
        <w:rPr>
          <w:rFonts w:ascii="方正楷体_GBK" w:eastAsia="方正楷体_GBK"/>
          <w:color w:val="auto"/>
        </w:rPr>
      </w:pPr>
      <w:bookmarkStart w:id="20" w:name="_Toc109898256"/>
      <w:r>
        <w:rPr>
          <w:rFonts w:hint="eastAsia" w:ascii="方正楷体_GBK" w:eastAsia="方正楷体_GBK"/>
          <w:color w:val="auto"/>
        </w:rPr>
        <w:t>第二节 控制建筑领域温室气体排放</w:t>
      </w:r>
      <w:bookmarkEnd w:id="20"/>
    </w:p>
    <w:p>
      <w:pPr>
        <w:spacing w:line="596" w:lineRule="exact"/>
        <w:ind w:firstLine="624" w:firstLineChars="200"/>
        <w:rPr>
          <w:rFonts w:ascii="方正仿宋_GBK" w:eastAsia="方正仿宋_GBK"/>
          <w:color w:val="auto"/>
        </w:rPr>
      </w:pPr>
      <w:r>
        <w:rPr>
          <w:rFonts w:hint="eastAsia" w:ascii="方正仿宋_GBK" w:eastAsia="方正仿宋_GBK"/>
          <w:b/>
          <w:bCs/>
          <w:color w:val="auto"/>
        </w:rPr>
        <w:t>全面实施新建建筑绿色设计。</w:t>
      </w:r>
      <w:r>
        <w:rPr>
          <w:rFonts w:hint="eastAsia" w:ascii="方正仿宋_GBK" w:eastAsia="方正仿宋_GBK"/>
          <w:color w:val="auto"/>
        </w:rPr>
        <w:t>严格落实绿色建筑相关标准，推动星级绿色建筑、绿色生态住宅小区建设，到</w:t>
      </w:r>
      <w:r>
        <w:rPr>
          <w:rFonts w:eastAsia="方正仿宋_GBK" w:cs="Times New Roman"/>
          <w:color w:val="auto"/>
        </w:rPr>
        <w:t>2025</w:t>
      </w:r>
      <w:r>
        <w:rPr>
          <w:rFonts w:hint="eastAsia" w:ascii="方正仿宋_GBK" w:eastAsia="方正仿宋_GBK"/>
          <w:color w:val="auto"/>
        </w:rPr>
        <w:t>年，城镇绿色建筑占新建建筑比重达</w:t>
      </w:r>
      <w:r>
        <w:rPr>
          <w:rFonts w:eastAsia="方正仿宋_GBK" w:cs="Times New Roman"/>
          <w:color w:val="auto"/>
        </w:rPr>
        <w:t>100%</w:t>
      </w:r>
      <w:r>
        <w:rPr>
          <w:rFonts w:hint="eastAsia" w:ascii="方正仿宋_GBK" w:eastAsia="方正仿宋_GBK"/>
          <w:color w:val="auto"/>
        </w:rPr>
        <w:t>。鼓励政府投资公益性建筑、大型公共建筑、核心商圈以及其他具备条件的建筑提高绿色等级。积极发展装配式建筑，大力发展装配式混凝土结构、钢结构及现代木结构建筑，因地制宜积极引导农村居民采用轻钢结构建造装配式住宅。优化淮远新区绿色建筑星级空间布局、制定绿色低碳关键技术指标，打造高质量绿色低碳示范区。</w:t>
      </w:r>
    </w:p>
    <w:p>
      <w:pPr>
        <w:spacing w:line="596" w:lineRule="exact"/>
        <w:ind w:firstLine="624" w:firstLineChars="200"/>
        <w:rPr>
          <w:rFonts w:ascii="方正仿宋_GBK" w:eastAsia="方正仿宋_GBK"/>
          <w:color w:val="auto"/>
        </w:rPr>
      </w:pPr>
      <w:r>
        <w:rPr>
          <w:rFonts w:hint="eastAsia" w:ascii="方正仿宋_GBK" w:eastAsia="方正仿宋_GBK"/>
          <w:b/>
          <w:bCs/>
          <w:color w:val="auto"/>
        </w:rPr>
        <w:t>着力推进既有建筑节能改造。</w:t>
      </w:r>
      <w:r>
        <w:rPr>
          <w:rFonts w:hint="eastAsia" w:ascii="方正仿宋_GBK" w:eastAsia="方正仿宋_GBK"/>
          <w:color w:val="auto"/>
        </w:rPr>
        <w:t>以商场、医院、学校、酒店和机关办公建筑为重点，推动既有公共建筑由单一型的节能改造向综合型的绿色化改造转变，力争在“十四五”期间完成既有公共建筑节能改造面积</w:t>
      </w:r>
      <w:r>
        <w:rPr>
          <w:rFonts w:eastAsia="方正仿宋_GBK" w:cs="Times New Roman"/>
          <w:color w:val="auto"/>
        </w:rPr>
        <w:t>2</w:t>
      </w:r>
      <w:r>
        <w:rPr>
          <w:rFonts w:hint="eastAsia" w:ascii="方正仿宋_GBK" w:eastAsia="方正仿宋_GBK"/>
          <w:color w:val="auto"/>
        </w:rPr>
        <w:t>万平方米。结合老旧小区改造、棚户区改造工作，开展外墙保温等节能改造，推动节能改造与小区公共环境整治、基础设施和建筑使用功能提升改造统筹推进的节能宜居综合改造模式。</w:t>
      </w:r>
    </w:p>
    <w:p>
      <w:pPr>
        <w:spacing w:line="596" w:lineRule="exact"/>
        <w:ind w:firstLine="624" w:firstLineChars="200"/>
        <w:rPr>
          <w:rFonts w:ascii="方正仿宋_GBK" w:eastAsia="方正仿宋_GBK"/>
          <w:color w:val="auto"/>
        </w:rPr>
      </w:pPr>
      <w:r>
        <w:rPr>
          <w:rFonts w:hint="eastAsia" w:ascii="方正仿宋_GBK" w:eastAsia="方正仿宋_GBK"/>
          <w:b/>
          <w:bCs/>
          <w:color w:val="auto"/>
        </w:rPr>
        <w:t>强化建筑领域低碳管理。</w:t>
      </w:r>
      <w:r>
        <w:rPr>
          <w:rFonts w:hint="eastAsia" w:ascii="方正仿宋_GBK" w:eastAsia="方正仿宋_GBK"/>
          <w:color w:val="auto"/>
        </w:rPr>
        <w:t>加强可再生能源、分布式能源在建筑领域的应用。持续推动合同能源管理模式，推动机关办公建筑和大型公共建筑能耗监测系统建设和运行的监督管理。加大绿色建材应用力度，推广绿色建材，持续提升新建建筑中绿色建材应用比例。开展绿色建筑与建筑节能专项培训，提升全区建筑行业技术管理人员业务技能水平。</w:t>
      </w:r>
    </w:p>
    <w:p>
      <w:pPr>
        <w:spacing w:before="289" w:beforeLines="50" w:after="289" w:afterLines="50" w:line="596" w:lineRule="exact"/>
        <w:jc w:val="center"/>
        <w:outlineLvl w:val="1"/>
        <w:rPr>
          <w:rFonts w:ascii="方正楷体_GBK" w:eastAsia="方正楷体_GBK"/>
          <w:color w:val="auto"/>
        </w:rPr>
      </w:pPr>
      <w:bookmarkStart w:id="21" w:name="_Toc109898257"/>
      <w:r>
        <w:rPr>
          <w:rFonts w:hint="eastAsia" w:ascii="方正楷体_GBK" w:eastAsia="方正楷体_GBK"/>
          <w:color w:val="auto"/>
        </w:rPr>
        <w:t>第三节 控制交通领域温室气体排放</w:t>
      </w:r>
      <w:bookmarkEnd w:id="21"/>
    </w:p>
    <w:p>
      <w:pPr>
        <w:spacing w:line="596" w:lineRule="exact"/>
        <w:ind w:firstLine="624" w:firstLineChars="200"/>
        <w:rPr>
          <w:rFonts w:ascii="方正仿宋_GBK" w:eastAsia="方正仿宋_GBK"/>
          <w:color w:val="auto"/>
        </w:rPr>
      </w:pPr>
      <w:r>
        <w:rPr>
          <w:rFonts w:hint="eastAsia" w:ascii="方正仿宋_GBK" w:eastAsia="方正仿宋_GBK"/>
          <w:b/>
          <w:bCs/>
          <w:color w:val="auto"/>
        </w:rPr>
        <w:t>推进交通运输结构调整。</w:t>
      </w:r>
      <w:r>
        <w:rPr>
          <w:rFonts w:hint="eastAsia" w:ascii="方正仿宋_GBK" w:eastAsia="方正仿宋_GBK"/>
          <w:color w:val="auto"/>
        </w:rPr>
        <w:t>推动成渝中线高铁、渝遂绵（兰渝）高铁建设，建成铁路二环线、团结村至铜梁至成都铁路，推进大宗货物“公转铁”。推动主城都市区同城化发展，加快建设市域快线璧铜线、铜安、合璧津等高速，推进璧铜线延伸段铜梁至潼南等道路快线研究与建设，实现“半小时直达中心”。加快实施主城—铜梁—遂宁物流通道、安居至少云高铁站等快速路、辖区内国省道以及农村公路建设，完善铜梁公路骨架，实现区内高效通达。</w:t>
      </w:r>
    </w:p>
    <w:p>
      <w:pPr>
        <w:spacing w:line="596" w:lineRule="exact"/>
        <w:ind w:firstLine="624" w:firstLineChars="200"/>
        <w:rPr>
          <w:rFonts w:ascii="方正仿宋_GBK" w:eastAsia="方正仿宋_GBK"/>
          <w:color w:val="auto"/>
        </w:rPr>
      </w:pPr>
      <w:r>
        <w:rPr>
          <w:rFonts w:hint="eastAsia" w:ascii="方正仿宋_GBK" w:eastAsia="方正仿宋_GBK"/>
          <w:b/>
          <w:bCs/>
          <w:color w:val="auto"/>
        </w:rPr>
        <w:t>构建绿色低碳交通体系。</w:t>
      </w:r>
      <w:r>
        <w:rPr>
          <w:rFonts w:hint="eastAsia" w:ascii="方正仿宋_GBK" w:eastAsia="方正仿宋_GBK"/>
          <w:color w:val="auto"/>
        </w:rPr>
        <w:t>全面落实公交优先战略，加快推进铜梁区城市交通卡与周边区县互联互通，到</w:t>
      </w:r>
      <w:r>
        <w:rPr>
          <w:rFonts w:eastAsia="方正仿宋_GBK" w:cs="Times New Roman"/>
          <w:color w:val="auto"/>
        </w:rPr>
        <w:t>2025</w:t>
      </w:r>
      <w:r>
        <w:rPr>
          <w:rFonts w:hint="eastAsia" w:ascii="方正仿宋_GBK" w:eastAsia="方正仿宋_GBK"/>
          <w:color w:val="auto"/>
        </w:rPr>
        <w:t>年，全区城市公共交通出行分担率达到</w:t>
      </w:r>
      <w:r>
        <w:rPr>
          <w:rFonts w:eastAsia="方正仿宋_GBK" w:cs="Times New Roman"/>
          <w:color w:val="auto"/>
        </w:rPr>
        <w:t>20%</w:t>
      </w:r>
      <w:r>
        <w:rPr>
          <w:rFonts w:hint="eastAsia" w:ascii="方正仿宋_GBK" w:eastAsia="方正仿宋_GBK"/>
          <w:color w:val="auto"/>
        </w:rPr>
        <w:t>及以上。鼓励企业用好综合货运枢纽多式联运换装设施与集疏运体系，优化运输方案，发展绿色货运和现代物流。建设智慧铜梁汽车站，探索应用“电子客票”和“无纸化乘车”，打造“无人”值守的“无纸化、自动化、自助化”的智慧车站。持续开展高排放营运车辆退出，严格落实汽车尾气排放检验与维护制度。</w:t>
      </w:r>
    </w:p>
    <w:p>
      <w:pPr>
        <w:spacing w:line="596" w:lineRule="exact"/>
        <w:ind w:firstLine="624" w:firstLineChars="200"/>
        <w:rPr>
          <w:rFonts w:ascii="方正仿宋_GBK" w:eastAsia="方正仿宋_GBK"/>
          <w:color w:val="auto"/>
        </w:rPr>
      </w:pPr>
      <w:r>
        <w:rPr>
          <w:rFonts w:hint="eastAsia" w:ascii="方正仿宋_GBK" w:eastAsia="方正仿宋_GBK"/>
          <w:b/>
          <w:bCs/>
          <w:color w:val="auto"/>
        </w:rPr>
        <w:t>优化交通运输能源结构。</w:t>
      </w:r>
      <w:r>
        <w:rPr>
          <w:rFonts w:hint="eastAsia" w:ascii="方正仿宋_GBK" w:eastAsia="方正仿宋_GBK"/>
          <w:color w:val="auto"/>
        </w:rPr>
        <w:t>推进新能源或清洁能源汽车使用，城市建成区新增和更新的环卫、邮政、出租、通勤、轻型物流配送车辆使用新能源或清洁能源汽车。提高燃油车船能效标准，加快淘汰高耗能高排放老旧营运车船。加快发展电动船舶，推进船舶受电设施改造。加大充电桩建设力度，在景区、车站、城市交通要道、乡镇供电所所在地、工业园区和教育园区等地，以少桩、多布点的方式，建设新充电站和扩容旧充电站。积极推广液化天然气</w:t>
      </w:r>
      <w:r>
        <w:rPr>
          <w:rFonts w:hint="eastAsia" w:eastAsia="方正仿宋_GBK" w:cs="Times New Roman"/>
          <w:color w:val="auto"/>
        </w:rPr>
        <w:t>（</w:t>
      </w:r>
      <w:r>
        <w:rPr>
          <w:rFonts w:eastAsia="方正仿宋_GBK" w:cs="Times New Roman"/>
          <w:color w:val="auto"/>
        </w:rPr>
        <w:t>LNG</w:t>
      </w:r>
      <w:r>
        <w:rPr>
          <w:rFonts w:hint="eastAsia" w:eastAsia="方正仿宋_GBK" w:cs="Times New Roman"/>
          <w:color w:val="auto"/>
        </w:rPr>
        <w:t>）</w:t>
      </w:r>
      <w:r>
        <w:rPr>
          <w:rFonts w:hint="eastAsia" w:ascii="方正仿宋_GBK" w:eastAsia="方正仿宋_GBK"/>
          <w:color w:val="auto"/>
        </w:rPr>
        <w:t>重卡，稳步推进换电模式和氢燃料电池在重型卡车、营运大客车领域的试点应用。</w:t>
      </w:r>
    </w:p>
    <w:p>
      <w:pPr>
        <w:spacing w:before="289" w:beforeLines="50" w:after="289" w:afterLines="50" w:line="596" w:lineRule="exact"/>
        <w:jc w:val="center"/>
        <w:outlineLvl w:val="1"/>
        <w:rPr>
          <w:rFonts w:ascii="方正楷体_GBK" w:eastAsia="方正楷体_GBK"/>
          <w:color w:val="auto"/>
        </w:rPr>
      </w:pPr>
      <w:bookmarkStart w:id="22" w:name="_Toc109898258"/>
      <w:r>
        <w:rPr>
          <w:rFonts w:hint="eastAsia" w:ascii="方正楷体_GBK" w:eastAsia="方正楷体_GBK"/>
          <w:color w:val="auto"/>
        </w:rPr>
        <w:t>第四节</w:t>
      </w:r>
      <w:r>
        <w:rPr>
          <w:rFonts w:ascii="方正楷体_GBK" w:eastAsia="方正楷体_GBK"/>
          <w:color w:val="auto"/>
        </w:rPr>
        <w:t xml:space="preserve"> </w:t>
      </w:r>
      <w:r>
        <w:rPr>
          <w:rFonts w:hint="eastAsia" w:ascii="方正楷体_GBK" w:eastAsia="方正楷体_GBK"/>
          <w:color w:val="auto"/>
        </w:rPr>
        <w:t>控制新基建领域温室气体排放</w:t>
      </w:r>
      <w:bookmarkEnd w:id="22"/>
    </w:p>
    <w:p>
      <w:pPr>
        <w:spacing w:line="596" w:lineRule="exact"/>
        <w:ind w:firstLine="624" w:firstLineChars="200"/>
        <w:rPr>
          <w:rFonts w:ascii="方正仿宋_GBK" w:eastAsia="方正仿宋_GBK"/>
          <w:color w:val="auto"/>
        </w:rPr>
      </w:pPr>
      <w:r>
        <w:rPr>
          <w:rFonts w:hint="eastAsia" w:ascii="方正仿宋_GBK" w:eastAsia="方正仿宋_GBK"/>
          <w:color w:val="auto"/>
        </w:rPr>
        <w:t>加快布局物联网、大数据、云计算、</w:t>
      </w:r>
      <w:r>
        <w:rPr>
          <w:rFonts w:eastAsia="方正仿宋_GBK" w:cs="Times New Roman"/>
          <w:color w:val="auto"/>
        </w:rPr>
        <w:t>5G</w:t>
      </w:r>
      <w:r>
        <w:rPr>
          <w:rFonts w:hint="eastAsia" w:ascii="方正仿宋_GBK" w:eastAsia="方正仿宋_GBK"/>
          <w:color w:val="auto"/>
        </w:rPr>
        <w:t>、人工智能等战略新兴产业与培育发展，高效推进数字新基建领域节能降碳工作。实施数字基础设施绿色低碳改造，推广使用高效制冷、先进通风、余热利用、智能用能控制等低碳技术。积极鼓励能源管理领域</w:t>
      </w:r>
      <w:r>
        <w:rPr>
          <w:rFonts w:eastAsia="方正仿宋_GBK" w:cs="Times New Roman"/>
          <w:color w:val="auto"/>
        </w:rPr>
        <w:t>5G</w:t>
      </w:r>
      <w:r>
        <w:rPr>
          <w:rFonts w:hint="eastAsia" w:ascii="方正仿宋_GBK" w:eastAsia="方正仿宋_GBK"/>
          <w:color w:val="auto"/>
        </w:rPr>
        <w:t>、物联网等数智技术的应用。鼓励新基建领域加强技术创新，进一步降低设备能耗。优化新型基础设施用能结构，鼓励采用直流供电、“光伏</w:t>
      </w:r>
      <w:r>
        <w:rPr>
          <w:rFonts w:ascii="方正仿宋_GBK" w:eastAsia="方正仿宋_GBK"/>
          <w:color w:val="auto"/>
        </w:rPr>
        <w:t>+</w:t>
      </w:r>
      <w:r>
        <w:rPr>
          <w:rFonts w:hint="eastAsia" w:ascii="方正仿宋_GBK" w:eastAsia="方正仿宋_GBK"/>
          <w:color w:val="auto"/>
        </w:rPr>
        <w:t>储能”等模式，积极引入新能源绿电，探索多样化能源供应途径。推动提升铜梁区能源数据中心能源使用效率。</w:t>
      </w:r>
    </w:p>
    <w:p>
      <w:pPr>
        <w:spacing w:before="289" w:beforeLines="50" w:after="289" w:afterLines="50" w:line="596" w:lineRule="exact"/>
        <w:jc w:val="center"/>
        <w:outlineLvl w:val="1"/>
        <w:rPr>
          <w:rFonts w:ascii="方正楷体_GBK" w:eastAsia="方正楷体_GBK"/>
          <w:color w:val="auto"/>
        </w:rPr>
      </w:pPr>
      <w:bookmarkStart w:id="23" w:name="_Toc109898259"/>
      <w:r>
        <w:rPr>
          <w:rFonts w:hint="eastAsia" w:ascii="方正楷体_GBK" w:eastAsia="方正楷体_GBK"/>
          <w:color w:val="auto"/>
        </w:rPr>
        <w:t>第五节 控制非二氧化碳温室气体排放</w:t>
      </w:r>
      <w:bookmarkEnd w:id="23"/>
    </w:p>
    <w:p>
      <w:pPr>
        <w:spacing w:line="596" w:lineRule="exact"/>
        <w:ind w:firstLine="624" w:firstLineChars="200"/>
        <w:rPr>
          <w:rFonts w:ascii="方正仿宋_GBK" w:eastAsia="方正仿宋_GBK"/>
          <w:color w:val="auto"/>
        </w:rPr>
      </w:pPr>
      <w:r>
        <w:rPr>
          <w:rFonts w:hint="eastAsia" w:ascii="方正仿宋_GBK" w:eastAsia="方正仿宋_GBK"/>
          <w:b/>
          <w:bCs/>
          <w:color w:val="auto"/>
        </w:rPr>
        <w:t>控制农业活动甲烷和氧化亚氮排放。</w:t>
      </w:r>
      <w:r>
        <w:rPr>
          <w:rFonts w:hint="eastAsia" w:ascii="方正仿宋_GBK" w:eastAsia="方正仿宋_GBK"/>
          <w:color w:val="auto"/>
        </w:rPr>
        <w:t>持续实施化肥零增长行动，推动测土配方施肥，探索开展土壤使用硝化抑制剂环境影响评价，减少农田土壤甲烷、氧化亚氮排放。实施畜禽养殖种养结合模式，推广秸秆青贮与氨化，提高畜禽废弃物资源化利用水平，减少畜禽养殖生产过程厌氧条件，减少畜禽养殖甲烷产生量。</w:t>
      </w:r>
    </w:p>
    <w:p>
      <w:pPr>
        <w:spacing w:line="596" w:lineRule="exact"/>
        <w:ind w:firstLine="624" w:firstLineChars="200"/>
        <w:rPr>
          <w:rFonts w:ascii="方正仿宋_GBK" w:eastAsia="方正仿宋_GBK"/>
          <w:color w:val="auto"/>
        </w:rPr>
      </w:pPr>
      <w:r>
        <w:rPr>
          <w:rFonts w:hint="eastAsia" w:ascii="方正仿宋_GBK" w:eastAsia="方正仿宋_GBK"/>
          <w:b/>
          <w:bCs/>
          <w:color w:val="auto"/>
        </w:rPr>
        <w:t>控制废弃物处理甲烷和氧化亚氮排放。</w:t>
      </w:r>
      <w:r>
        <w:rPr>
          <w:rFonts w:hint="eastAsia" w:ascii="方正仿宋_GBK" w:eastAsia="方正仿宋_GBK"/>
          <w:color w:val="auto"/>
        </w:rPr>
        <w:t>全面推进铜梁区“无废城市”建设，推进生活垃圾、工业垃圾、建筑垃圾等各类固废分类处理，加强废弃物资源化利用和低碳化处置。构建以焚烧为主、填埋为辅的生活垃圾处理处置体系，实施生活垃圾填埋场封场及生态修复工作，开展甲烷发电等规模化垃圾填埋气回收利用。</w:t>
      </w:r>
    </w:p>
    <w:p>
      <w:pPr>
        <w:spacing w:line="596" w:lineRule="exact"/>
        <w:ind w:firstLine="624" w:firstLineChars="200"/>
        <w:rPr>
          <w:rFonts w:ascii="方正仿宋_GBK" w:eastAsia="方正仿宋_GBK"/>
          <w:color w:val="auto"/>
        </w:rPr>
      </w:pPr>
      <w:r>
        <w:rPr>
          <w:rFonts w:hint="eastAsia" w:ascii="方正仿宋_GBK" w:eastAsia="方正仿宋_GBK"/>
          <w:b/>
          <w:bCs/>
          <w:color w:val="auto"/>
        </w:rPr>
        <w:t>控制其他领域非二氧化碳温室气体排放。</w:t>
      </w:r>
      <w:r>
        <w:rPr>
          <w:rFonts w:hint="eastAsia" w:ascii="方正仿宋_GBK" w:eastAsia="方正仿宋_GBK"/>
          <w:color w:val="auto"/>
        </w:rPr>
        <w:t>按照市级要求，开展非二氧化碳温室气体统计核算。加强电力设备六氟化硫回收处理和再利用。控制半导体生产过程中含氟</w:t>
      </w:r>
      <w:r>
        <w:rPr>
          <w:rFonts w:hint="eastAsia" w:ascii="方正仿宋_GBK" w:eastAsia="方正仿宋_GBK"/>
          <w:color w:val="auto"/>
          <w:lang w:val="en-US" w:eastAsia="zh-CN"/>
        </w:rPr>
        <w:t>废气</w:t>
      </w:r>
      <w:r>
        <w:rPr>
          <w:rFonts w:hint="eastAsia" w:ascii="方正仿宋_GBK" w:eastAsia="方正仿宋_GBK"/>
          <w:color w:val="auto"/>
        </w:rPr>
        <w:t>排放。推动页岩气开发利用，控制油气系统挥发性有机物和甲烷排放。探索开展页岩气等重点行业甲烷排放监测。</w:t>
      </w:r>
    </w:p>
    <w:p>
      <w:pPr>
        <w:spacing w:before="289" w:beforeLines="50" w:after="289" w:afterLines="50" w:line="596" w:lineRule="exact"/>
        <w:jc w:val="center"/>
        <w:outlineLvl w:val="1"/>
        <w:rPr>
          <w:rFonts w:ascii="方正楷体_GBK" w:eastAsia="方正楷体_GBK"/>
          <w:color w:val="auto"/>
        </w:rPr>
      </w:pPr>
      <w:bookmarkStart w:id="24" w:name="_Toc109898260"/>
      <w:r>
        <w:rPr>
          <w:rFonts w:hint="eastAsia" w:ascii="方正楷体_GBK" w:eastAsia="方正楷体_GBK"/>
          <w:color w:val="auto"/>
        </w:rPr>
        <w:t>第六节 增加生态系统碳汇能力</w:t>
      </w:r>
      <w:bookmarkEnd w:id="24"/>
    </w:p>
    <w:p>
      <w:pPr>
        <w:spacing w:line="596" w:lineRule="exact"/>
        <w:ind w:firstLine="624" w:firstLineChars="200"/>
        <w:rPr>
          <w:rFonts w:ascii="方正仿宋_GBK" w:eastAsia="方正仿宋_GBK"/>
          <w:b/>
          <w:bCs/>
          <w:color w:val="auto"/>
        </w:rPr>
      </w:pPr>
      <w:bookmarkStart w:id="25" w:name="_Hlk102825141"/>
      <w:r>
        <w:rPr>
          <w:rFonts w:hint="eastAsia" w:ascii="方正仿宋_GBK" w:eastAsia="方正仿宋_GBK"/>
          <w:b/>
          <w:bCs/>
          <w:color w:val="auto"/>
        </w:rPr>
        <w:t>提升林业碳汇能力</w:t>
      </w:r>
      <w:bookmarkEnd w:id="25"/>
      <w:r>
        <w:rPr>
          <w:rFonts w:hint="eastAsia" w:ascii="方正仿宋_GBK" w:eastAsia="方正仿宋_GBK"/>
          <w:b/>
          <w:bCs/>
          <w:color w:val="auto"/>
        </w:rPr>
        <w:t>。</w:t>
      </w:r>
      <w:r>
        <w:rPr>
          <w:rFonts w:hint="eastAsia" w:ascii="方正仿宋_GBK" w:eastAsia="方正仿宋_GBK"/>
          <w:color w:val="auto"/>
        </w:rPr>
        <w:t>围绕“一区、三廊、五区、多点”森林城市总体布局，统筹推进森林城市建设，着力提升林业碳汇。推动植树造林工作由成片规模造林向零星空地造林、数量扩张向数量与质量并重转变。巩固国土绿化提升行动实施成果，统筹谋划好涪江两岸生态修复和保护，实施好“两岸青山、千里林带”生态工程。强化森林质量提升工作，实施森林抚育、低效林改造、封山育林等工程。到</w:t>
      </w:r>
      <w:r>
        <w:rPr>
          <w:rFonts w:eastAsia="方正仿宋_GBK" w:cs="Times New Roman"/>
          <w:color w:val="auto"/>
        </w:rPr>
        <w:t>2025</w:t>
      </w:r>
      <w:r>
        <w:rPr>
          <w:rFonts w:hint="eastAsia" w:ascii="方正仿宋_GBK" w:eastAsia="方正仿宋_GBK"/>
          <w:color w:val="auto"/>
        </w:rPr>
        <w:t>年，全区森林蓄积量不低于</w:t>
      </w:r>
      <w:r>
        <w:rPr>
          <w:rFonts w:eastAsia="方正仿宋_GBK" w:cs="Times New Roman"/>
          <w:color w:val="auto"/>
        </w:rPr>
        <w:t>160</w:t>
      </w:r>
      <w:r>
        <w:rPr>
          <w:rFonts w:hint="eastAsia" w:ascii="方正仿宋_GBK" w:eastAsia="方正仿宋_GBK"/>
          <w:color w:val="auto"/>
        </w:rPr>
        <w:t>万立方米，森林覆盖率达到</w:t>
      </w:r>
      <w:r>
        <w:rPr>
          <w:rFonts w:eastAsia="方正仿宋_GBK" w:cs="Times New Roman"/>
          <w:color w:val="auto"/>
        </w:rPr>
        <w:t>50%</w:t>
      </w:r>
      <w:r>
        <w:rPr>
          <w:rFonts w:hint="eastAsia" w:ascii="方正仿宋_GBK" w:eastAsia="方正仿宋_GBK"/>
          <w:color w:val="auto"/>
        </w:rPr>
        <w:t>。</w:t>
      </w:r>
    </w:p>
    <w:p>
      <w:pPr>
        <w:spacing w:line="596" w:lineRule="exact"/>
        <w:ind w:firstLine="624" w:firstLineChars="200"/>
        <w:rPr>
          <w:rFonts w:ascii="方正仿宋_GBK" w:eastAsia="方正仿宋_GBK"/>
          <w:color w:val="auto"/>
        </w:rPr>
      </w:pPr>
      <w:r>
        <w:rPr>
          <w:rFonts w:hint="eastAsia" w:ascii="方正仿宋_GBK" w:eastAsia="方正仿宋_GBK"/>
          <w:b/>
          <w:bCs/>
          <w:color w:val="auto"/>
        </w:rPr>
        <w:t>提升湿地碳汇能力。</w:t>
      </w:r>
      <w:r>
        <w:rPr>
          <w:rFonts w:hint="eastAsia" w:ascii="方正仿宋_GBK" w:eastAsia="方正仿宋_GBK"/>
          <w:color w:val="auto"/>
        </w:rPr>
        <w:t>加强湿地生态系统保护与修复，加强安居国家湿地公园管理，增强小北海、玄天湖、荷和原乡等湿地蓄水补水能力，到</w:t>
      </w:r>
      <w:r>
        <w:rPr>
          <w:rFonts w:eastAsia="方正仿宋_GBK" w:cs="Times New Roman"/>
          <w:color w:val="auto"/>
        </w:rPr>
        <w:t>2025</w:t>
      </w:r>
      <w:r>
        <w:rPr>
          <w:rFonts w:hint="eastAsia" w:ascii="方正仿宋_GBK" w:eastAsia="方正仿宋_GBK"/>
          <w:color w:val="auto"/>
        </w:rPr>
        <w:t>年，重要湿地保护率不低于</w:t>
      </w:r>
      <w:r>
        <w:rPr>
          <w:rFonts w:eastAsia="方正仿宋_GBK" w:cs="Times New Roman"/>
          <w:color w:val="auto"/>
        </w:rPr>
        <w:t>50%</w:t>
      </w:r>
      <w:r>
        <w:rPr>
          <w:rFonts w:hint="eastAsia" w:ascii="方正仿宋_GBK" w:eastAsia="方正仿宋_GBK"/>
          <w:color w:val="auto"/>
        </w:rPr>
        <w:t>。加强湿地型自然公园、城市公园建设，建设小微湿地群落示范点。以琼江、涪江“两江六岸”为重点，实施重要水系两侧绿化带建设，加强巴川河、小安溪、淮远河等河流湿地保护与修复，有效连接生态保护红线、森林公园等生态功能区，形成森林湿地群。</w:t>
      </w:r>
    </w:p>
    <w:p>
      <w:pPr>
        <w:spacing w:before="289" w:beforeLines="50" w:after="289" w:afterLines="50" w:line="596" w:lineRule="exact"/>
        <w:jc w:val="center"/>
        <w:outlineLvl w:val="0"/>
        <w:rPr>
          <w:rFonts w:ascii="方正黑体_GBK" w:eastAsia="方正黑体_GBK"/>
          <w:color w:val="auto"/>
        </w:rPr>
      </w:pPr>
      <w:bookmarkStart w:id="26" w:name="_Toc109898261"/>
      <w:r>
        <w:rPr>
          <w:rFonts w:hint="eastAsia" w:ascii="方正黑体_GBK" w:eastAsia="方正黑体_GBK"/>
          <w:color w:val="auto"/>
        </w:rPr>
        <w:t>第五章 加强主动适应气候变化能力</w:t>
      </w:r>
      <w:bookmarkEnd w:id="26"/>
    </w:p>
    <w:p>
      <w:pPr>
        <w:spacing w:line="596" w:lineRule="exact"/>
        <w:ind w:firstLine="624" w:firstLineChars="200"/>
        <w:rPr>
          <w:rFonts w:ascii="方正仿宋_GBK" w:eastAsia="方正仿宋_GBK"/>
          <w:color w:val="auto"/>
        </w:rPr>
      </w:pPr>
      <w:r>
        <w:rPr>
          <w:rFonts w:hint="eastAsia" w:ascii="方正仿宋_GBK" w:eastAsia="方正仿宋_GBK"/>
          <w:color w:val="auto"/>
        </w:rPr>
        <w:t>提升市政基础设施、交通基础设施、水利基础设施应对气候变化能力，推进城市绿色更新，加强对林业等重点领域以及水土流失重点区域应对气候变化能力。强化铜梁智慧气象体系建设，提升极端气候事件的预警预报以及减灾防灾体系，增强经济社会发展的可持续性。</w:t>
      </w:r>
    </w:p>
    <w:p>
      <w:pPr>
        <w:spacing w:before="289" w:beforeLines="50" w:after="289" w:afterLines="50" w:line="596" w:lineRule="exact"/>
        <w:jc w:val="center"/>
        <w:outlineLvl w:val="1"/>
        <w:rPr>
          <w:rFonts w:ascii="方正楷体_GBK" w:eastAsia="方正楷体_GBK"/>
          <w:color w:val="auto"/>
        </w:rPr>
      </w:pPr>
      <w:bookmarkStart w:id="27" w:name="_Toc109898262"/>
      <w:r>
        <w:rPr>
          <w:rFonts w:hint="eastAsia" w:ascii="方正楷体_GBK" w:eastAsia="方正楷体_GBK"/>
          <w:color w:val="auto"/>
        </w:rPr>
        <w:t>第一节</w:t>
      </w:r>
      <w:r>
        <w:rPr>
          <w:rFonts w:ascii="方正楷体_GBK" w:eastAsia="方正楷体_GBK"/>
          <w:color w:val="auto"/>
        </w:rPr>
        <w:t xml:space="preserve"> </w:t>
      </w:r>
      <w:r>
        <w:rPr>
          <w:rFonts w:hint="eastAsia" w:ascii="方正楷体_GBK" w:eastAsia="方正楷体_GBK"/>
          <w:color w:val="auto"/>
        </w:rPr>
        <w:t>基于自然解决方案推动城市绿色更新</w:t>
      </w:r>
      <w:bookmarkEnd w:id="27"/>
    </w:p>
    <w:p>
      <w:pPr>
        <w:spacing w:line="596" w:lineRule="exact"/>
        <w:ind w:firstLine="624" w:firstLineChars="200"/>
        <w:rPr>
          <w:rFonts w:ascii="方正仿宋_GBK" w:eastAsia="方正仿宋_GBK"/>
          <w:color w:val="auto"/>
        </w:rPr>
      </w:pPr>
      <w:r>
        <w:rPr>
          <w:rFonts w:hint="eastAsia" w:ascii="方正仿宋_GBK" w:eastAsia="方正仿宋_GBK"/>
          <w:b/>
          <w:bCs/>
          <w:color w:val="auto"/>
        </w:rPr>
        <w:t>推动国土空间低碳化布局。</w:t>
      </w:r>
      <w:r>
        <w:rPr>
          <w:rFonts w:hint="eastAsia" w:ascii="方正仿宋_GBK" w:eastAsia="方正仿宋_GBK"/>
          <w:color w:val="auto"/>
        </w:rPr>
        <w:t>注重城市低碳发展规划，优化全区功能布局，提高土地利用率，提质城市基础设施，提高建成区基础设施使用效率。强化“三线一单”生态环境分区管控体系，从空间布局约束、污染物排放控制、环境风险管控和资源利用效率等方面，强化</w:t>
      </w:r>
      <w:r>
        <w:rPr>
          <w:rFonts w:eastAsia="方正仿宋_GBK" w:cs="Times New Roman"/>
          <w:color w:val="auto"/>
        </w:rPr>
        <w:t>17</w:t>
      </w:r>
      <w:r>
        <w:rPr>
          <w:rFonts w:hint="eastAsia" w:ascii="方正仿宋_GBK" w:eastAsia="方正仿宋_GBK"/>
          <w:color w:val="auto"/>
        </w:rPr>
        <w:t>个环境管控单元的管控要求。发挥铜梁高新区作为全国首批规划环评碳排放评价试点园区的带动作用，为碳排放评价纳入环评体系提供工作基础。</w:t>
      </w:r>
    </w:p>
    <w:p>
      <w:pPr>
        <w:spacing w:line="596" w:lineRule="exact"/>
        <w:ind w:firstLine="624" w:firstLineChars="200"/>
        <w:rPr>
          <w:rFonts w:ascii="方正仿宋_GBK" w:eastAsia="方正仿宋_GBK"/>
          <w:color w:val="auto"/>
        </w:rPr>
      </w:pPr>
      <w:r>
        <w:rPr>
          <w:rFonts w:hint="eastAsia" w:ascii="方正仿宋_GBK" w:eastAsia="方正仿宋_GBK"/>
          <w:b/>
          <w:bCs/>
          <w:color w:val="auto"/>
        </w:rPr>
        <w:t>将适应气候变化融入城市空间布局。</w:t>
      </w:r>
      <w:r>
        <w:rPr>
          <w:rFonts w:hint="eastAsia" w:ascii="方正仿宋_GBK" w:eastAsia="方正仿宋_GBK"/>
          <w:color w:val="auto"/>
        </w:rPr>
        <w:t>按照市级要求，开展城市气候变化影响和脆弱性评估。优化城市空间布局，处理好城市景观点、线、面的关系，遵循自然地理格局，促进人与自然和谐共生。突出国土空间规划“三线”管控作用，强化重要自然保护地、城市生态空间保护。积极顺应城市发展趋势，深化大城智管、大城细管、大城众管，促进城市品质提升。</w:t>
      </w:r>
    </w:p>
    <w:p>
      <w:pPr>
        <w:spacing w:line="596" w:lineRule="exact"/>
        <w:ind w:firstLine="624" w:firstLineChars="200"/>
        <w:rPr>
          <w:rFonts w:ascii="方正仿宋_GBK" w:eastAsia="方正仿宋_GBK"/>
          <w:color w:val="auto"/>
        </w:rPr>
      </w:pPr>
      <w:r>
        <w:rPr>
          <w:rFonts w:hint="eastAsia" w:ascii="方正仿宋_GBK" w:eastAsia="方正仿宋_GBK"/>
          <w:b/>
          <w:bCs/>
          <w:color w:val="auto"/>
        </w:rPr>
        <w:t>引入韧性理念推动生态化改造。</w:t>
      </w:r>
      <w:r>
        <w:rPr>
          <w:rFonts w:hint="eastAsia" w:ascii="方正仿宋_GBK" w:eastAsia="方正仿宋_GBK"/>
          <w:color w:val="auto"/>
        </w:rPr>
        <w:t>准确把握海绵城市建设内涵，系统化推进海绵城市建设，发挥建筑、道路、绿地、水系等对雨水的吸纳和缓释作用，统筹老城区海绵化改造和新城区海绵城市新建，提升雨、洪消纳能力。将公园建设作为缓冲城市中人与自然关系的重要方式，维护好原乡中央公园等</w:t>
      </w:r>
      <w:r>
        <w:rPr>
          <w:rFonts w:hint="eastAsia" w:ascii="方正仿宋_GBK" w:hAnsi="Arial" w:eastAsia="方正仿宋_GBK" w:cs="Arial"/>
          <w:color w:val="auto"/>
          <w:shd w:val="clear" w:color="auto" w:fill="FFFFFF"/>
        </w:rPr>
        <w:t>城市生态滨河公园，</w:t>
      </w:r>
      <w:r>
        <w:rPr>
          <w:rFonts w:hint="eastAsia" w:ascii="方正仿宋_GBK" w:eastAsia="方正仿宋_GBK"/>
          <w:color w:val="auto"/>
        </w:rPr>
        <w:t>结合淮远新区、蒲吕新城等城市建设</w:t>
      </w:r>
      <w:r>
        <w:rPr>
          <w:rFonts w:ascii="方正仿宋_GBK" w:eastAsia="方正仿宋_GBK"/>
          <w:color w:val="auto"/>
        </w:rPr>
        <w:t xml:space="preserve">, </w:t>
      </w:r>
      <w:r>
        <w:rPr>
          <w:rFonts w:hint="eastAsia" w:ascii="方正仿宋_GBK" w:eastAsia="方正仿宋_GBK"/>
          <w:color w:val="auto"/>
        </w:rPr>
        <w:t>开展滨河公园、跨河景观廊桥、市政设施等建设。</w:t>
      </w:r>
    </w:p>
    <w:p>
      <w:pPr>
        <w:spacing w:line="596" w:lineRule="exact"/>
        <w:ind w:firstLine="624" w:firstLineChars="200"/>
        <w:rPr>
          <w:rFonts w:ascii="方正仿宋_GBK" w:eastAsia="方正仿宋_GBK"/>
          <w:color w:val="auto"/>
        </w:rPr>
      </w:pPr>
      <w:r>
        <w:rPr>
          <w:rFonts w:hint="eastAsia" w:ascii="方正仿宋_GBK" w:eastAsia="方正仿宋_GBK"/>
          <w:b/>
          <w:bCs/>
          <w:color w:val="auto"/>
        </w:rPr>
        <w:t>基于自然开展生态修复。</w:t>
      </w:r>
      <w:r>
        <w:rPr>
          <w:rFonts w:hint="eastAsia" w:ascii="方正仿宋_GBK" w:eastAsia="方正仿宋_GBK"/>
          <w:color w:val="auto"/>
        </w:rPr>
        <w:t>多举措推进城市绿色更新，将自然的理念落实到城市绿色更新和建设中，以区域相连山脉、水系为骨干，以山水林田湖草为要素，加强生态空间管控，保证生态网络连通性。推进城市“微更新”，采取灰色基础设施改造、绿色空间拓展、空间阻隔消除等措施，营造支流水系与生态绿廊交织的蓝绿轴线。</w:t>
      </w:r>
    </w:p>
    <w:p>
      <w:pPr>
        <w:spacing w:before="289" w:beforeLines="50" w:after="289" w:afterLines="50" w:line="596" w:lineRule="exact"/>
        <w:jc w:val="center"/>
        <w:outlineLvl w:val="1"/>
        <w:rPr>
          <w:rFonts w:ascii="方正楷体_GBK" w:eastAsia="方正楷体_GBK"/>
          <w:color w:val="auto"/>
        </w:rPr>
      </w:pPr>
      <w:bookmarkStart w:id="28" w:name="_Toc109898263"/>
      <w:r>
        <w:rPr>
          <w:rFonts w:hint="eastAsia" w:ascii="方正楷体_GBK" w:eastAsia="方正楷体_GBK"/>
          <w:color w:val="auto"/>
        </w:rPr>
        <w:t>第二节 强化基础设施气候适应能力</w:t>
      </w:r>
      <w:bookmarkEnd w:id="28"/>
    </w:p>
    <w:p>
      <w:pPr>
        <w:spacing w:line="596" w:lineRule="exact"/>
        <w:ind w:firstLine="624" w:firstLineChars="200"/>
        <w:rPr>
          <w:rFonts w:ascii="方正仿宋_GBK" w:eastAsia="方正仿宋_GBK"/>
          <w:color w:val="auto"/>
        </w:rPr>
      </w:pPr>
      <w:r>
        <w:rPr>
          <w:rFonts w:hint="eastAsia" w:ascii="方正仿宋_GBK" w:eastAsia="方正仿宋_GBK"/>
          <w:b/>
          <w:bCs/>
          <w:color w:val="auto"/>
        </w:rPr>
        <w:t>提升市政基础设施适应能力。</w:t>
      </w:r>
      <w:r>
        <w:rPr>
          <w:rFonts w:hint="eastAsia" w:ascii="方正仿宋_GBK" w:eastAsia="方正仿宋_GBK"/>
          <w:color w:val="auto"/>
        </w:rPr>
        <w:t>城乡规划、重点领域或者区域发展建设规划应当充分考虑气候因素，合理利用空气污染物扩散气象条件，科学设置、调整城市、城镇通风通道。逐步提升供电、排水、燃气、通信等城市生命线系统建设运行标准。实施“物联网</w:t>
      </w:r>
      <w:r>
        <w:rPr>
          <w:rFonts w:ascii="方正仿宋_GBK" w:eastAsia="方正仿宋_GBK"/>
          <w:color w:val="auto"/>
        </w:rPr>
        <w:t>+</w:t>
      </w:r>
      <w:r>
        <w:rPr>
          <w:rFonts w:hint="eastAsia" w:ascii="方正仿宋_GBK" w:eastAsia="方正仿宋_GBK"/>
          <w:color w:val="auto"/>
        </w:rPr>
        <w:t>智慧排水”计划，建设全区排水系统管理服务信息化平台和大数据中心。增强雨洪调蓄能力，到</w:t>
      </w:r>
      <w:r>
        <w:rPr>
          <w:rFonts w:eastAsia="方正仿宋_GBK" w:cs="Times New Roman"/>
          <w:color w:val="auto"/>
        </w:rPr>
        <w:t>2025</w:t>
      </w:r>
      <w:r>
        <w:rPr>
          <w:rFonts w:hint="eastAsia" w:ascii="方正仿宋_GBK" w:eastAsia="方正仿宋_GBK"/>
          <w:color w:val="auto"/>
        </w:rPr>
        <w:t>年，全区城市建成区</w:t>
      </w:r>
      <w:r>
        <w:rPr>
          <w:rFonts w:eastAsia="方正仿宋_GBK" w:cs="Times New Roman"/>
          <w:color w:val="auto"/>
        </w:rPr>
        <w:t>50%</w:t>
      </w:r>
      <w:r>
        <w:rPr>
          <w:rFonts w:hint="eastAsia" w:ascii="方正仿宋_GBK" w:eastAsia="方正仿宋_GBK"/>
          <w:color w:val="auto"/>
        </w:rPr>
        <w:t>以上的面积达到海绵城市建设目标要求。</w:t>
      </w:r>
    </w:p>
    <w:p>
      <w:pPr>
        <w:spacing w:line="596" w:lineRule="exact"/>
        <w:ind w:firstLine="624" w:firstLineChars="200"/>
        <w:rPr>
          <w:rFonts w:ascii="方正仿宋_GBK" w:eastAsia="方正仿宋_GBK"/>
          <w:color w:val="auto"/>
        </w:rPr>
      </w:pPr>
      <w:r>
        <w:rPr>
          <w:rFonts w:hint="eastAsia" w:ascii="方正仿宋_GBK" w:eastAsia="方正仿宋_GBK"/>
          <w:b/>
          <w:bCs/>
          <w:color w:val="auto"/>
        </w:rPr>
        <w:t>提升水利基础设施适应能力。</w:t>
      </w:r>
      <w:r>
        <w:rPr>
          <w:rFonts w:hint="eastAsia" w:ascii="方正仿宋_GBK" w:eastAsia="方正仿宋_GBK"/>
          <w:color w:val="auto"/>
        </w:rPr>
        <w:t>深入推进同心桥水库等重大水利工程以及城镇建成区、工业园区、人口聚集区的防洪护岸综合治理，提升辖区防洪能力。实施好大江大河及重要河流水量分配，完善中小河流水量分配方案，提高水资源调控水平和保障能力。健全洪水灾害防御物资储备机制，加强专业型、专用型防洪物资储备，提升防灾物资保障能力。整合水文、水资源、防汛、水库监测、河道生态监测在线监测系统，建设铜梁水利信息中心。</w:t>
      </w:r>
    </w:p>
    <w:p>
      <w:pPr>
        <w:spacing w:before="289" w:beforeLines="50" w:after="289" w:afterLines="50" w:line="596" w:lineRule="exact"/>
        <w:jc w:val="center"/>
        <w:outlineLvl w:val="1"/>
        <w:rPr>
          <w:rFonts w:ascii="方正楷体_GBK" w:eastAsia="方正楷体_GBK"/>
          <w:color w:val="auto"/>
        </w:rPr>
      </w:pPr>
      <w:bookmarkStart w:id="29" w:name="_Toc109898264"/>
      <w:r>
        <w:rPr>
          <w:rFonts w:hint="eastAsia" w:ascii="方正楷体_GBK" w:eastAsia="方正楷体_GBK"/>
          <w:color w:val="auto"/>
        </w:rPr>
        <w:t>第三节 提升重点领域气候适应水平</w:t>
      </w:r>
      <w:bookmarkEnd w:id="29"/>
    </w:p>
    <w:p>
      <w:pPr>
        <w:spacing w:line="596" w:lineRule="exact"/>
        <w:ind w:firstLine="624" w:firstLineChars="200"/>
        <w:rPr>
          <w:rFonts w:ascii="方正仿宋_GBK" w:eastAsia="方正仿宋_GBK"/>
          <w:color w:val="auto"/>
        </w:rPr>
      </w:pPr>
      <w:r>
        <w:rPr>
          <w:rFonts w:hint="eastAsia" w:ascii="方正仿宋_GBK" w:eastAsia="方正仿宋_GBK"/>
          <w:b/>
          <w:bCs/>
          <w:color w:val="auto"/>
        </w:rPr>
        <w:t>提升林业系统气候适应能力。</w:t>
      </w:r>
      <w:r>
        <w:rPr>
          <w:rFonts w:hint="eastAsia" w:ascii="方正仿宋_GBK" w:eastAsia="方正仿宋_GBK"/>
          <w:color w:val="auto"/>
        </w:rPr>
        <w:t>加大森林及天然林资源保护力度，加强清明、春节等重点时节森林防火管控工作，提升森林火灾和林业有害生物预测预报和发现能力，到</w:t>
      </w:r>
      <w:r>
        <w:rPr>
          <w:rFonts w:eastAsia="方正仿宋_GBK" w:cs="Times New Roman"/>
          <w:color w:val="auto"/>
        </w:rPr>
        <w:t>2025</w:t>
      </w:r>
      <w:r>
        <w:rPr>
          <w:rFonts w:hint="eastAsia" w:ascii="方正仿宋_GBK" w:eastAsia="方正仿宋_GBK"/>
          <w:color w:val="auto"/>
        </w:rPr>
        <w:t>年，全区森林火灾受害率稳定控制在</w:t>
      </w:r>
      <w:r>
        <w:rPr>
          <w:rFonts w:eastAsia="方正仿宋_GBK" w:cs="Times New Roman"/>
          <w:color w:val="auto"/>
        </w:rPr>
        <w:t>0.3</w:t>
      </w:r>
      <w:r>
        <w:rPr>
          <w:rFonts w:hint="eastAsia" w:eastAsia="方正仿宋_GBK" w:cs="Times New Roman"/>
          <w:color w:val="auto"/>
        </w:rPr>
        <w:t>‰</w:t>
      </w:r>
      <w:r>
        <w:rPr>
          <w:rFonts w:hint="eastAsia" w:ascii="方正仿宋_GBK" w:eastAsia="方正仿宋_GBK"/>
          <w:color w:val="auto"/>
        </w:rPr>
        <w:t>以内。充分发挥铜梁作为国家级林业有害生物中心测报点的骨干作用，加强林业有害生物预测预报，加强与周边区县林业有害生物联防联治，到</w:t>
      </w:r>
      <w:r>
        <w:rPr>
          <w:rFonts w:eastAsia="方正仿宋_GBK" w:cs="Times New Roman"/>
          <w:color w:val="auto"/>
        </w:rPr>
        <w:t>2025</w:t>
      </w:r>
      <w:r>
        <w:rPr>
          <w:rFonts w:hint="eastAsia" w:ascii="方正仿宋_GBK" w:eastAsia="方正仿宋_GBK"/>
          <w:color w:val="auto"/>
        </w:rPr>
        <w:t>年，全区林业有害生物成灾率控制在</w:t>
      </w:r>
      <w:r>
        <w:rPr>
          <w:rFonts w:eastAsia="方正仿宋_GBK" w:cs="Times New Roman"/>
          <w:color w:val="auto"/>
        </w:rPr>
        <w:t>9</w:t>
      </w:r>
      <w:r>
        <w:rPr>
          <w:rFonts w:hint="eastAsia" w:eastAsia="方正仿宋_GBK" w:cs="Times New Roman"/>
          <w:color w:val="auto"/>
        </w:rPr>
        <w:t>‰</w:t>
      </w:r>
      <w:r>
        <w:rPr>
          <w:rFonts w:hint="eastAsia" w:ascii="方正仿宋_GBK" w:eastAsia="方正仿宋_GBK"/>
          <w:color w:val="auto"/>
        </w:rPr>
        <w:t>以下。</w:t>
      </w:r>
    </w:p>
    <w:p>
      <w:pPr>
        <w:spacing w:line="596" w:lineRule="exact"/>
        <w:ind w:firstLine="624" w:firstLineChars="200"/>
        <w:rPr>
          <w:rFonts w:ascii="方正仿宋_GBK" w:eastAsia="方正仿宋_GBK"/>
          <w:color w:val="auto"/>
        </w:rPr>
      </w:pPr>
      <w:r>
        <w:rPr>
          <w:rFonts w:hint="eastAsia" w:ascii="方正仿宋_GBK" w:eastAsia="方正仿宋_GBK"/>
          <w:b/>
          <w:bCs/>
          <w:color w:val="auto"/>
        </w:rPr>
        <w:t>提升农业系统气候适应能力。</w:t>
      </w:r>
      <w:r>
        <w:rPr>
          <w:rFonts w:hint="eastAsia" w:ascii="方正仿宋_GBK" w:eastAsia="方正仿宋_GBK"/>
          <w:color w:val="auto"/>
        </w:rPr>
        <w:t>加强农业水利基础设施建设，完善灌溉体系，增大渠系水利用系数和水资源利用率。总结干旱、洪涝等气象灾害的发生规律，增强作物抗旱、抗涝能力。继续开展农业保险试点工作。落实“智慧农业·数字乡村”建设工程，建设</w:t>
      </w:r>
      <w:r>
        <w:rPr>
          <w:rFonts w:eastAsia="方正仿宋_GBK" w:cs="Times New Roman"/>
          <w:color w:val="auto"/>
        </w:rPr>
        <w:t>3-5</w:t>
      </w:r>
      <w:r>
        <w:rPr>
          <w:rFonts w:hint="eastAsia" w:ascii="方正仿宋_GBK" w:eastAsia="方正仿宋_GBK"/>
          <w:color w:val="auto"/>
        </w:rPr>
        <w:t>个标准化农田气象观测站点，打造</w:t>
      </w:r>
      <w:r>
        <w:rPr>
          <w:rFonts w:eastAsia="方正仿宋_GBK" w:cs="Times New Roman"/>
          <w:color w:val="auto"/>
        </w:rPr>
        <w:t>2-3</w:t>
      </w:r>
      <w:r>
        <w:rPr>
          <w:rFonts w:hint="eastAsia" w:ascii="方正仿宋_GBK" w:eastAsia="方正仿宋_GBK"/>
          <w:color w:val="auto"/>
        </w:rPr>
        <w:t>个铜梁特色花卉苗木果蔬精细化农业气象服务示范基地，到</w:t>
      </w:r>
      <w:r>
        <w:rPr>
          <w:rFonts w:eastAsia="方正仿宋_GBK" w:cs="Times New Roman"/>
          <w:color w:val="auto"/>
        </w:rPr>
        <w:t>2025</w:t>
      </w:r>
      <w:r>
        <w:rPr>
          <w:rFonts w:hint="eastAsia" w:ascii="方正仿宋_GBK" w:eastAsia="方正仿宋_GBK"/>
          <w:color w:val="auto"/>
        </w:rPr>
        <w:t>年，全区“直通式”农业气象服务覆盖</w:t>
      </w:r>
      <w:r>
        <w:rPr>
          <w:rFonts w:eastAsia="方正仿宋_GBK" w:cs="Times New Roman"/>
          <w:color w:val="auto"/>
        </w:rPr>
        <w:t>80%</w:t>
      </w:r>
      <w:r>
        <w:rPr>
          <w:rFonts w:hint="eastAsia" w:ascii="方正仿宋_GBK" w:eastAsia="方正仿宋_GBK"/>
          <w:color w:val="auto"/>
        </w:rPr>
        <w:t>以上新型农业经营主体。</w:t>
      </w:r>
    </w:p>
    <w:p>
      <w:pPr>
        <w:spacing w:before="289" w:beforeLines="50" w:after="289" w:afterLines="50" w:line="596" w:lineRule="exact"/>
        <w:jc w:val="center"/>
        <w:outlineLvl w:val="1"/>
        <w:rPr>
          <w:rFonts w:ascii="方正楷体_GBK" w:eastAsia="方正楷体_GBK"/>
          <w:color w:val="auto"/>
        </w:rPr>
      </w:pPr>
      <w:bookmarkStart w:id="30" w:name="_Toc109898265"/>
      <w:r>
        <w:rPr>
          <w:rFonts w:hint="eastAsia" w:ascii="方正楷体_GBK" w:eastAsia="方正楷体_GBK"/>
          <w:color w:val="auto"/>
        </w:rPr>
        <w:t>第四节 推动重点区域适应气候变化</w:t>
      </w:r>
      <w:bookmarkEnd w:id="30"/>
    </w:p>
    <w:p>
      <w:pPr>
        <w:spacing w:line="596" w:lineRule="exact"/>
        <w:ind w:firstLine="624" w:firstLineChars="200"/>
        <w:rPr>
          <w:rFonts w:ascii="方正仿宋_GBK" w:eastAsia="方正仿宋_GBK"/>
          <w:color w:val="auto"/>
        </w:rPr>
      </w:pPr>
      <w:r>
        <w:rPr>
          <w:rFonts w:hint="eastAsia" w:ascii="方正仿宋_GBK" w:eastAsia="方正仿宋_GBK"/>
          <w:color w:val="auto"/>
        </w:rPr>
        <w:t>全面落实水土保持“三同时”制度，推进生产建设项目水土保持信用监管。严格遏制人为水土流失，实行遥感监管全覆盖。优化水土保持监测站点布局，开展水土流失动态监测，推进水土保持重要监测点升级改造，提升自动化观测和信息传输能力。加强水土流失治理，实施涪江流域水土流失综合治理，完成市级下达水土流失治理任务。建立健全水土流失水灾害等监测预警体系建设，编制重要江河（水库）预警断面洪水预报及调度方案、重要中小河流洪水风险图、超标准洪水监测预警方案。开展重点城镇山洪灾害调查评价，完善群测群防体系建设。</w:t>
      </w:r>
    </w:p>
    <w:p>
      <w:pPr>
        <w:spacing w:before="289" w:beforeLines="50" w:after="289" w:afterLines="50" w:line="596" w:lineRule="exact"/>
        <w:jc w:val="center"/>
        <w:outlineLvl w:val="1"/>
        <w:rPr>
          <w:rFonts w:ascii="方正楷体_GBK" w:eastAsia="方正楷体_GBK"/>
          <w:color w:val="auto"/>
        </w:rPr>
      </w:pPr>
      <w:bookmarkStart w:id="31" w:name="_Toc109898266"/>
      <w:r>
        <w:rPr>
          <w:rFonts w:hint="eastAsia" w:ascii="方正楷体_GBK" w:eastAsia="方正楷体_GBK"/>
          <w:color w:val="auto"/>
        </w:rPr>
        <w:t>第五节 建立健全气候防灾减灾体系</w:t>
      </w:r>
      <w:bookmarkEnd w:id="31"/>
    </w:p>
    <w:p>
      <w:pPr>
        <w:spacing w:line="596" w:lineRule="exact"/>
        <w:ind w:firstLine="624" w:firstLineChars="200"/>
        <w:rPr>
          <w:rFonts w:ascii="方正仿宋_GBK" w:eastAsia="方正仿宋_GBK"/>
          <w:color w:val="auto"/>
        </w:rPr>
      </w:pPr>
      <w:r>
        <w:rPr>
          <w:rFonts w:hint="eastAsia" w:ascii="方正仿宋_GBK" w:eastAsia="方正仿宋_GBK"/>
          <w:b/>
          <w:bCs/>
          <w:color w:val="auto"/>
        </w:rPr>
        <w:t>建设铜梁智慧气象体系。</w:t>
      </w:r>
      <w:r>
        <w:rPr>
          <w:rFonts w:hint="eastAsia" w:ascii="方正仿宋_GBK" w:eastAsia="方正仿宋_GBK"/>
          <w:color w:val="auto"/>
        </w:rPr>
        <w:t>依托重庆智慧气象“四天”系统在铜梁落地实施，构建“一平台</w:t>
      </w:r>
      <w:r>
        <w:rPr>
          <w:rFonts w:ascii="方正仿宋_GBK" w:eastAsia="方正仿宋_GBK"/>
          <w:color w:val="auto"/>
        </w:rPr>
        <w:t>+</w:t>
      </w:r>
      <w:r>
        <w:rPr>
          <w:rFonts w:hint="eastAsia" w:ascii="方正仿宋_GBK" w:eastAsia="方正仿宋_GBK"/>
          <w:color w:val="auto"/>
        </w:rPr>
        <w:t>三系统”铜梁智慧气象体系。加强各行业主管部门衔接，构建铜梁智慧生态宜居及防灾减灾大数据平台。绘制城市精细化管理气象风险地图，构建铜梁智慧城市气象服务系统。开展铜梁涪江、琼江等流域洪涝灾害风险评估业务研究，建设智慧水文气象服务系统。实施辖区内主要经济作物网格化管理，建设铜梁智慧农业气象服务系统。</w:t>
      </w:r>
    </w:p>
    <w:p>
      <w:pPr>
        <w:spacing w:line="596" w:lineRule="exact"/>
        <w:ind w:firstLine="624" w:firstLineChars="200"/>
        <w:rPr>
          <w:rFonts w:ascii="方正仿宋_GBK" w:eastAsia="方正仿宋_GBK"/>
          <w:color w:val="auto"/>
        </w:rPr>
      </w:pPr>
      <w:r>
        <w:rPr>
          <w:rFonts w:hint="eastAsia" w:ascii="方正仿宋_GBK" w:eastAsia="方正仿宋_GBK"/>
          <w:b/>
          <w:bCs/>
          <w:color w:val="auto"/>
        </w:rPr>
        <w:t>加强气候灾害监测评估和预测预警。</w:t>
      </w:r>
      <w:r>
        <w:rPr>
          <w:rFonts w:hint="eastAsia" w:ascii="方正仿宋_GBK" w:eastAsia="方正仿宋_GBK"/>
          <w:color w:val="auto"/>
        </w:rPr>
        <w:t>强化山洪地质灾害隐患点、城区内涝易发区域、暴雨灾害高风险区等重点区域气象监测预警，推进重点区域基础监测设施建设与升级改造，积极争取相控阵天气雷达落户铜梁。完善气候灾害预警信息智能发布系统，实现预警信息精准靶向快速推送。加大重点区域、重要农事季节的人工影响天气增雨抗旱、防雹减灾作业力度。</w:t>
      </w:r>
    </w:p>
    <w:p>
      <w:pPr>
        <w:spacing w:line="596" w:lineRule="exact"/>
        <w:ind w:firstLine="624" w:firstLineChars="200"/>
        <w:rPr>
          <w:rFonts w:ascii="方正仿宋_GBK" w:eastAsia="方正仿宋_GBK"/>
          <w:color w:val="auto"/>
        </w:rPr>
      </w:pPr>
      <w:r>
        <w:rPr>
          <w:rFonts w:hint="eastAsia" w:ascii="方正仿宋_GBK" w:eastAsia="方正仿宋_GBK"/>
          <w:b/>
          <w:bCs/>
          <w:color w:val="auto"/>
        </w:rPr>
        <w:t>完善气候灾害应急预案体系。</w:t>
      </w:r>
      <w:r>
        <w:rPr>
          <w:rFonts w:hint="eastAsia" w:ascii="方正仿宋_GBK" w:eastAsia="方正仿宋_GBK"/>
          <w:color w:val="auto"/>
        </w:rPr>
        <w:t>落实《重庆市铜梁区突发气象灾害应急预案》（铜府办发</w:t>
      </w:r>
      <w:r>
        <w:rPr>
          <w:rFonts w:hint="eastAsia" w:eastAsia="方正仿宋_GBK" w:cs="Times New Roman"/>
          <w:color w:val="auto"/>
        </w:rPr>
        <w:t>〔</w:t>
      </w:r>
      <w:r>
        <w:rPr>
          <w:rFonts w:eastAsia="方正仿宋_GBK" w:cs="Times New Roman"/>
          <w:color w:val="auto"/>
        </w:rPr>
        <w:t>2021</w:t>
      </w:r>
      <w:r>
        <w:rPr>
          <w:rFonts w:hint="eastAsia" w:eastAsia="方正仿宋_GBK" w:cs="Times New Roman"/>
          <w:color w:val="auto"/>
        </w:rPr>
        <w:t>〕</w:t>
      </w:r>
      <w:r>
        <w:rPr>
          <w:rFonts w:eastAsia="方正仿宋_GBK" w:cs="Times New Roman"/>
          <w:color w:val="auto"/>
        </w:rPr>
        <w:t>30</w:t>
      </w:r>
      <w:r>
        <w:rPr>
          <w:rFonts w:hint="eastAsia" w:ascii="方正仿宋_GBK" w:eastAsia="方正仿宋_GBK"/>
          <w:color w:val="auto"/>
        </w:rPr>
        <w:t>号）。开展气象灾害风险精细化普查，实施差异化气象灾害风险防范措施。建立气象灾害预警分级响应机制，提高救援响应速度、应急救援覆盖率。充分利用铜梁作为国家气象科普基地契机，升级改造人工影响天气作业（科普）基地。</w:t>
      </w:r>
    </w:p>
    <w:p>
      <w:pPr>
        <w:spacing w:before="289" w:beforeLines="50" w:after="289" w:afterLines="50" w:line="596" w:lineRule="exact"/>
        <w:ind w:firstLine="624" w:firstLineChars="200"/>
        <w:jc w:val="center"/>
        <w:outlineLvl w:val="0"/>
        <w:rPr>
          <w:rFonts w:ascii="方正黑体_GBK" w:eastAsia="方正黑体_GBK"/>
          <w:color w:val="auto"/>
        </w:rPr>
      </w:pPr>
      <w:bookmarkStart w:id="32" w:name="_Toc109898267"/>
      <w:r>
        <w:rPr>
          <w:rFonts w:hint="eastAsia" w:ascii="方正黑体_GBK" w:eastAsia="方正黑体_GBK"/>
          <w:color w:val="auto"/>
        </w:rPr>
        <w:t>第六章 推进应对气候变化治理体系和治理能力现代化</w:t>
      </w:r>
      <w:bookmarkEnd w:id="32"/>
    </w:p>
    <w:p>
      <w:pPr>
        <w:spacing w:line="596" w:lineRule="exact"/>
        <w:ind w:firstLine="624" w:firstLineChars="200"/>
        <w:rPr>
          <w:rFonts w:ascii="方正仿宋_GBK" w:eastAsia="方正仿宋_GBK"/>
          <w:color w:val="auto"/>
        </w:rPr>
      </w:pPr>
      <w:r>
        <w:rPr>
          <w:rFonts w:hint="eastAsia" w:ascii="方正仿宋_GBK" w:eastAsia="方正仿宋_GBK"/>
          <w:color w:val="auto"/>
        </w:rPr>
        <w:t>坚持应对气候变化能力建设整体与系统观念，围绕应对气候变化治理、提升科技创新水平、完善气候变化市场机制、建立应对气候变化人才队伍体系等，推进应对气候变化治理体系和治理能力现代化建设。</w:t>
      </w:r>
    </w:p>
    <w:p>
      <w:pPr>
        <w:spacing w:before="289" w:beforeLines="50" w:after="289" w:afterLines="50" w:line="596" w:lineRule="exact"/>
        <w:jc w:val="center"/>
        <w:outlineLvl w:val="1"/>
        <w:rPr>
          <w:rFonts w:ascii="方正楷体_GBK" w:eastAsia="方正楷体_GBK"/>
          <w:color w:val="auto"/>
        </w:rPr>
      </w:pPr>
      <w:bookmarkStart w:id="33" w:name="_Toc109898268"/>
      <w:r>
        <w:rPr>
          <w:rFonts w:hint="eastAsia" w:ascii="方正楷体_GBK" w:eastAsia="方正楷体_GBK"/>
          <w:color w:val="auto"/>
        </w:rPr>
        <w:t>第一节 建立健全应对气候变化制度</w:t>
      </w:r>
      <w:bookmarkEnd w:id="33"/>
    </w:p>
    <w:p>
      <w:pPr>
        <w:spacing w:line="596" w:lineRule="exact"/>
        <w:ind w:firstLine="624" w:firstLineChars="200"/>
        <w:rPr>
          <w:rFonts w:ascii="方正仿宋_GBK" w:eastAsia="方正仿宋_GBK"/>
          <w:color w:val="auto"/>
        </w:rPr>
      </w:pPr>
      <w:r>
        <w:rPr>
          <w:rFonts w:hint="eastAsia" w:ascii="方正仿宋_GBK" w:eastAsia="方正仿宋_GBK"/>
          <w:b/>
          <w:bCs/>
          <w:color w:val="auto"/>
        </w:rPr>
        <w:t>完善碳排放目标控制制度</w:t>
      </w:r>
      <w:r>
        <w:rPr>
          <w:rFonts w:hint="eastAsia" w:ascii="方正仿宋_GBK" w:eastAsia="方正仿宋_GBK"/>
          <w:color w:val="auto"/>
        </w:rPr>
        <w:t>。将降低二氧化碳排放强度目标纳入经济社会发展规划、年度计划，制定目标责任评价考核办法，定期对目标完成情况和措施落实情况进行监督。充分结合辖区经济水平、产业结构、能源消费总量、重大基础设施项目，实施碳排放总量削减工作任务。</w:t>
      </w:r>
    </w:p>
    <w:p>
      <w:pPr>
        <w:spacing w:line="596" w:lineRule="exact"/>
        <w:ind w:firstLine="624" w:firstLineChars="200"/>
        <w:rPr>
          <w:rFonts w:ascii="方正仿宋_GBK" w:eastAsia="方正仿宋_GBK"/>
          <w:color w:val="auto"/>
        </w:rPr>
      </w:pPr>
      <w:r>
        <w:rPr>
          <w:rFonts w:hint="eastAsia" w:ascii="方正仿宋_GBK" w:eastAsia="方正仿宋_GBK"/>
          <w:b/>
          <w:bCs/>
          <w:color w:val="auto"/>
        </w:rPr>
        <w:t>深化应对气候变化统计制度</w:t>
      </w:r>
      <w:r>
        <w:rPr>
          <w:rFonts w:hint="eastAsia" w:ascii="方正仿宋_GBK" w:eastAsia="方正仿宋_GBK"/>
          <w:color w:val="auto"/>
        </w:rPr>
        <w:t>。常态化编制温室气体清单，加强清单数据核对。推动将温室气体排放基础统计指标纳入政府统计指标体系。探索开展能源平衡表和化石能源碳排放核算，制定化石能源二氧化碳排放年度核算报告。探索建立重点企事业碳排放报告制度，指导重点排放单位健全能源消费和碳排放台账记录。探索开展可再生能源统计核算。</w:t>
      </w:r>
    </w:p>
    <w:p>
      <w:pPr>
        <w:spacing w:line="596" w:lineRule="exact"/>
        <w:ind w:firstLine="624" w:firstLineChars="200"/>
        <w:rPr>
          <w:rFonts w:ascii="方正仿宋_GBK" w:eastAsia="方正仿宋_GBK"/>
          <w:color w:val="auto"/>
        </w:rPr>
      </w:pPr>
      <w:r>
        <w:rPr>
          <w:rFonts w:hint="eastAsia" w:ascii="方正仿宋_GBK" w:eastAsia="方正仿宋_GBK"/>
          <w:b/>
          <w:bCs/>
          <w:color w:val="auto"/>
        </w:rPr>
        <w:t>探索开展温室气体监测。</w:t>
      </w:r>
      <w:r>
        <w:rPr>
          <w:rFonts w:hint="eastAsia" w:ascii="方正仿宋_GBK" w:eastAsia="方正仿宋_GBK"/>
          <w:color w:val="auto"/>
        </w:rPr>
        <w:t>按照市级部署，开展二氧化碳、甲烷等温室气体浓度监测试点。鼓励水泥等重点行业有条件的企业，开展能源和工业过程温室气体集中排放监测。</w:t>
      </w:r>
    </w:p>
    <w:p>
      <w:pPr>
        <w:spacing w:line="596" w:lineRule="exact"/>
        <w:ind w:firstLine="624" w:firstLineChars="200"/>
        <w:rPr>
          <w:rFonts w:ascii="方正仿宋_GBK" w:eastAsia="方正仿宋_GBK"/>
          <w:color w:val="auto"/>
        </w:rPr>
      </w:pPr>
      <w:r>
        <w:rPr>
          <w:rFonts w:hint="eastAsia" w:ascii="方正仿宋_GBK" w:eastAsia="方正仿宋_GBK"/>
          <w:b/>
          <w:bCs/>
          <w:color w:val="auto"/>
        </w:rPr>
        <w:t>加强温室气体排放数据管理。</w:t>
      </w:r>
      <w:r>
        <w:rPr>
          <w:rFonts w:hint="eastAsia" w:ascii="方正仿宋_GBK" w:eastAsia="方正仿宋_GBK"/>
          <w:color w:val="auto"/>
        </w:rPr>
        <w:t>按照市级要求，协同污染源普查制度，开展碳排放普查工作。推动将全区温室气体清单、碳排放普查、重点企业碳排放和环境统计等多维度数据接入全市温室气体数据云平台。</w:t>
      </w:r>
    </w:p>
    <w:p>
      <w:pPr>
        <w:spacing w:line="596" w:lineRule="exact"/>
        <w:ind w:firstLine="624" w:firstLineChars="200"/>
        <w:rPr>
          <w:rFonts w:ascii="方正仿宋_GBK" w:eastAsia="方正仿宋_GBK"/>
          <w:color w:val="auto"/>
        </w:rPr>
      </w:pPr>
      <w:r>
        <w:rPr>
          <w:rFonts w:hint="eastAsia" w:ascii="方正仿宋_GBK" w:eastAsia="方正仿宋_GBK"/>
          <w:b/>
          <w:bCs/>
          <w:color w:val="auto"/>
        </w:rPr>
        <w:t>健全应对气候变化信用体系。</w:t>
      </w:r>
      <w:r>
        <w:rPr>
          <w:rFonts w:hint="eastAsia" w:ascii="方正仿宋_GBK" w:eastAsia="方正仿宋_GBK"/>
          <w:color w:val="auto"/>
        </w:rPr>
        <w:t>对从事各类经营活动的重点排放单位、碳排放三方核查机构及金融机构开展应对气候变化信用评价，及时认定和记录失信行为，并将其纳入社会信用体系。严格执行《重庆市企业环境信用评价办法》，对未按照规定履行碳排放配额清缴义务的企业给予扣分处理。探索建立温室气体排放信息披露制度，鼓励企业和个人主动参与碳中和，开展碳排放信息披露。</w:t>
      </w:r>
    </w:p>
    <w:p>
      <w:pPr>
        <w:spacing w:line="596" w:lineRule="exact"/>
        <w:ind w:firstLine="624" w:firstLineChars="200"/>
        <w:rPr>
          <w:rFonts w:ascii="方正仿宋_GBK" w:eastAsia="方正仿宋_GBK"/>
          <w:color w:val="auto"/>
        </w:rPr>
      </w:pPr>
      <w:r>
        <w:rPr>
          <w:rFonts w:hint="eastAsia" w:ascii="方正仿宋_GBK" w:eastAsia="方正仿宋_GBK"/>
          <w:b/>
          <w:bCs/>
          <w:color w:val="auto"/>
        </w:rPr>
        <w:t>构建减污降碳协同治理机制。</w:t>
      </w:r>
      <w:r>
        <w:rPr>
          <w:rFonts w:hint="eastAsia" w:ascii="方正仿宋_GBK" w:eastAsia="方正仿宋_GBK"/>
          <w:color w:val="auto"/>
        </w:rPr>
        <w:t>加强多部门协同联动减排，督促各部门、单位落实应对气候变化及相关工作职能职责。加强碳排放达峰与环境质量改善协同，探索开展碳排放和污染物协同减排。在绿色基础设施、森林生态系统保护和可持续管理、可持续农业和粮食系统等领域协同开展适应气候变化和生态保护和修复行动。</w:t>
      </w:r>
    </w:p>
    <w:p>
      <w:pPr>
        <w:spacing w:before="289" w:beforeLines="50" w:after="289" w:afterLines="50" w:line="596" w:lineRule="exact"/>
        <w:jc w:val="center"/>
        <w:outlineLvl w:val="1"/>
        <w:rPr>
          <w:rFonts w:ascii="方正楷体_GBK" w:eastAsia="方正楷体_GBK"/>
          <w:color w:val="auto"/>
        </w:rPr>
      </w:pPr>
      <w:bookmarkStart w:id="34" w:name="_Toc109898269"/>
      <w:r>
        <w:rPr>
          <w:rFonts w:hint="eastAsia" w:ascii="方正楷体_GBK" w:eastAsia="方正楷体_GBK"/>
          <w:color w:val="auto"/>
        </w:rPr>
        <w:t>第二节 强化气候领域科技创新水平</w:t>
      </w:r>
      <w:bookmarkEnd w:id="34"/>
    </w:p>
    <w:p>
      <w:pPr>
        <w:spacing w:line="596" w:lineRule="exact"/>
        <w:ind w:firstLine="624" w:firstLineChars="200"/>
        <w:rPr>
          <w:rFonts w:ascii="方正仿宋_GBK" w:eastAsia="方正仿宋_GBK"/>
          <w:color w:val="auto"/>
        </w:rPr>
      </w:pPr>
      <w:r>
        <w:rPr>
          <w:rFonts w:hint="eastAsia" w:ascii="方正仿宋_GBK" w:eastAsia="方正仿宋_GBK"/>
          <w:b/>
          <w:bCs/>
          <w:color w:val="auto"/>
        </w:rPr>
        <w:t>组织开展重点领域技术攻关</w:t>
      </w:r>
      <w:r>
        <w:rPr>
          <w:rFonts w:hint="eastAsia" w:ascii="方正仿宋_GBK" w:eastAsia="方正仿宋_GBK"/>
          <w:color w:val="auto"/>
        </w:rPr>
        <w:t>。依托网格化智能预报手段，开展致洪暴雨、强高温事件和持续性干旱等影响生态系统的气象条件和极端气候事件预测研究。做好应对气候变化的支撑和服务工作，将铜梁建成全市智慧气象服务示范区、气象灾害防御示范区、数字乡村气象为农服务示范区。支持重点行业节能及余热深度高效利用技术创新。探索气候可行性论证工作。</w:t>
      </w:r>
    </w:p>
    <w:p>
      <w:pPr>
        <w:spacing w:line="596" w:lineRule="exact"/>
        <w:ind w:firstLine="624" w:firstLineChars="200"/>
        <w:rPr>
          <w:rFonts w:ascii="方正仿宋_GBK" w:eastAsia="方正仿宋_GBK"/>
          <w:color w:val="auto"/>
        </w:rPr>
      </w:pPr>
      <w:r>
        <w:rPr>
          <w:rFonts w:hint="eastAsia" w:ascii="方正仿宋_GBK" w:hAnsi="方正仿宋_GBK" w:eastAsia="方正仿宋_GBK"/>
          <w:b/>
          <w:bCs/>
          <w:snapToGrid w:val="0"/>
          <w:color w:val="auto"/>
        </w:rPr>
        <w:t>建立低碳技术推广机制。</w:t>
      </w:r>
      <w:r>
        <w:rPr>
          <w:rFonts w:hint="eastAsia" w:ascii="方正仿宋_GBK" w:eastAsia="方正仿宋_GBK"/>
          <w:color w:val="auto"/>
        </w:rPr>
        <w:t>支持行业龙头企业开展低碳技术研发和成果落地转化，积极参加重点节能低碳技术遴选工作。鼓励用能单位、节能服务公司在实施合同能源管理项目过程中采用重点节能低碳技术，采用先进适用的节能新装备、新工艺。支持企业申报清洁能源相关的区级、市级科技项目、科研平台等，鼓励国家高新技术企业开展气候友好型技术创新项目、产品创新。</w:t>
      </w:r>
    </w:p>
    <w:p>
      <w:pPr>
        <w:spacing w:line="596" w:lineRule="exact"/>
        <w:ind w:firstLine="624" w:firstLineChars="200"/>
        <w:rPr>
          <w:rFonts w:ascii="方正仿宋_GBK" w:eastAsia="方正仿宋_GBK"/>
          <w:color w:val="auto"/>
        </w:rPr>
      </w:pPr>
      <w:r>
        <w:rPr>
          <w:rFonts w:hint="eastAsia" w:ascii="方正仿宋_GBK" w:hAnsi="方正仿宋_GBK" w:eastAsia="方正仿宋_GBK"/>
          <w:b/>
          <w:bCs/>
          <w:snapToGrid w:val="0"/>
          <w:color w:val="auto"/>
        </w:rPr>
        <w:t>加强关键技术示范应用。</w:t>
      </w:r>
      <w:r>
        <w:rPr>
          <w:rFonts w:hint="eastAsia" w:ascii="方正仿宋_GBK" w:eastAsia="方正仿宋_GBK"/>
          <w:color w:val="auto"/>
        </w:rPr>
        <w:t>充分发挥环际低碳为龙头的创新技术研发与转化落地的引领作用，加强打造以环际低碳为核心的绿色低碳产业园。积极引导科技型企业与重庆大学等知名高校开展校企合作，支持创办国家级、市级工程技术研究中心、协同创新中心和重点实验室等研发机构，推动科技成果在铜梁区内转移转化。</w:t>
      </w:r>
    </w:p>
    <w:p>
      <w:pPr>
        <w:spacing w:before="289" w:beforeLines="50" w:after="289" w:afterLines="50" w:line="596" w:lineRule="exact"/>
        <w:jc w:val="center"/>
        <w:outlineLvl w:val="1"/>
        <w:rPr>
          <w:rFonts w:ascii="方正楷体_GBK" w:eastAsia="方正楷体_GBK"/>
          <w:color w:val="auto"/>
        </w:rPr>
      </w:pPr>
      <w:bookmarkStart w:id="35" w:name="_Toc109898270"/>
      <w:r>
        <w:rPr>
          <w:rFonts w:hint="eastAsia" w:ascii="方正楷体_GBK" w:eastAsia="方正楷体_GBK"/>
          <w:color w:val="auto"/>
        </w:rPr>
        <w:t>第三节 建立气候领域人才队伍体系</w:t>
      </w:r>
      <w:bookmarkEnd w:id="35"/>
    </w:p>
    <w:p>
      <w:pPr>
        <w:spacing w:line="596" w:lineRule="exact"/>
        <w:ind w:firstLine="624" w:firstLineChars="200"/>
        <w:rPr>
          <w:rFonts w:ascii="方正仿宋_GBK" w:eastAsia="方正仿宋_GBK"/>
          <w:color w:val="auto"/>
        </w:rPr>
      </w:pPr>
      <w:r>
        <w:rPr>
          <w:rFonts w:hint="eastAsia" w:ascii="方正仿宋_GBK" w:eastAsia="方正仿宋_GBK"/>
          <w:b/>
          <w:bCs/>
          <w:color w:val="auto"/>
        </w:rPr>
        <w:t>加强应对气候变化队伍建设。</w:t>
      </w:r>
      <w:r>
        <w:rPr>
          <w:rFonts w:hint="eastAsia" w:ascii="方正仿宋_GBK" w:eastAsia="方正仿宋_GBK"/>
          <w:color w:val="auto"/>
        </w:rPr>
        <w:t>建立和完善应对气候变化人才培养激励机制，加强气候变化人才培养，强化参与全国、全市科学评估的人才储备。加大高端人才引进力度，加快碳排放和碳资产管理专业人才培养，加强统计核算、新闻宣传、战略与政策应对气候变化队伍建设。经信、住建、交通等行业主管部门加强节能技术专业人员培养。完善气象人才政策和人才培养机制，加强气象灾害防御队伍建设。引导、支持第三方服务机构和市场中介组织，参与碳达峰、碳中和行动，协助开展规划编制、调整和修订。</w:t>
      </w:r>
    </w:p>
    <w:p>
      <w:pPr>
        <w:spacing w:line="596" w:lineRule="exact"/>
        <w:ind w:firstLine="624" w:firstLineChars="200"/>
        <w:rPr>
          <w:rFonts w:ascii="方正仿宋_GBK" w:eastAsia="方正仿宋_GBK"/>
          <w:color w:val="auto"/>
        </w:rPr>
      </w:pPr>
      <w:r>
        <w:rPr>
          <w:rFonts w:hint="eastAsia" w:ascii="方正仿宋_GBK" w:eastAsia="方正仿宋_GBK"/>
          <w:b/>
          <w:bCs/>
          <w:color w:val="auto"/>
        </w:rPr>
        <w:t>发挥智力支撑作用。</w:t>
      </w:r>
      <w:r>
        <w:rPr>
          <w:rFonts w:hint="eastAsia" w:ascii="方正仿宋_GBK" w:eastAsia="方正仿宋_GBK"/>
          <w:b w:val="0"/>
          <w:bCs w:val="0"/>
          <w:color w:val="auto"/>
        </w:rPr>
        <w:t>各行业主管部门（单位）积极参加</w:t>
      </w:r>
      <w:r>
        <w:rPr>
          <w:rFonts w:hint="eastAsia" w:ascii="方正仿宋_GBK" w:eastAsia="方正仿宋_GBK"/>
          <w:color w:val="auto"/>
        </w:rPr>
        <w:t>重庆市企业低碳管理能力建设、重庆市低碳发展论坛、企业碳排放核算与核查等交流学习会。加强对企业管理者等培训，增强企业家的低碳战略决策能力。壮大高新区企业家顾问委员会力量，为企业低碳发展、产学研用合作对接提供决策服务支持。鼓励各企业积极培养企业节能、低碳发展专业人才。</w:t>
      </w:r>
    </w:p>
    <w:p>
      <w:pPr>
        <w:spacing w:before="289" w:beforeLines="50" w:after="289" w:afterLines="50" w:line="596" w:lineRule="exact"/>
        <w:ind w:firstLine="624" w:firstLineChars="200"/>
        <w:jc w:val="center"/>
        <w:outlineLvl w:val="0"/>
        <w:rPr>
          <w:rFonts w:ascii="方正黑体_GBK" w:eastAsia="方正黑体_GBK"/>
          <w:color w:val="auto"/>
        </w:rPr>
      </w:pPr>
      <w:bookmarkStart w:id="36" w:name="_Toc109898271"/>
      <w:r>
        <w:rPr>
          <w:rFonts w:hint="eastAsia" w:ascii="方正黑体_GBK" w:eastAsia="方正黑体_GBK"/>
          <w:color w:val="auto"/>
        </w:rPr>
        <w:t>第七章</w:t>
      </w:r>
      <w:r>
        <w:rPr>
          <w:rFonts w:ascii="方正黑体_GBK" w:eastAsia="方正黑体_GBK"/>
          <w:color w:val="auto"/>
        </w:rPr>
        <w:t xml:space="preserve"> </w:t>
      </w:r>
      <w:r>
        <w:rPr>
          <w:rFonts w:hint="eastAsia" w:ascii="方正黑体_GBK" w:eastAsia="方正黑体_GBK"/>
          <w:color w:val="auto"/>
        </w:rPr>
        <w:t>建立健全应对气候变化激励约束机制</w:t>
      </w:r>
      <w:bookmarkEnd w:id="36"/>
    </w:p>
    <w:p>
      <w:pPr>
        <w:spacing w:line="596" w:lineRule="exact"/>
        <w:ind w:firstLine="624" w:firstLineChars="200"/>
        <w:rPr>
          <w:rFonts w:ascii="方正仿宋_GBK" w:hAnsi="Times New Roman" w:eastAsia="方正仿宋_GBK" w:cstheme="minorBidi"/>
          <w:color w:val="auto"/>
          <w:shd w:val="clear" w:color="auto" w:fill="auto"/>
        </w:rPr>
      </w:pPr>
      <w:r>
        <w:rPr>
          <w:rFonts w:hint="eastAsia" w:ascii="方正仿宋_GBK" w:hAnsi="Times New Roman" w:eastAsia="方正仿宋_GBK" w:cstheme="minorBidi"/>
          <w:color w:val="auto"/>
          <w:shd w:val="clear" w:color="auto" w:fill="auto"/>
        </w:rPr>
        <w:t>加大财政资金对应对气候变化各领域的支持力度，完善促进绿色发展价格机制，充分利用全市“碳汇通”平台，鼓励社会各领域参与应对气候变化工作，充分发挥政府主导作用，进一步激发市场潜力，引导和撬动更多社会资金进入铜梁应对气候变化领域。</w:t>
      </w:r>
    </w:p>
    <w:p>
      <w:pPr>
        <w:spacing w:before="289" w:beforeLines="50" w:after="289" w:afterLines="50" w:line="596" w:lineRule="exact"/>
        <w:jc w:val="center"/>
        <w:outlineLvl w:val="1"/>
        <w:rPr>
          <w:rFonts w:ascii="方正楷体_GBK" w:eastAsia="方正楷体_GBK"/>
          <w:color w:val="auto"/>
        </w:rPr>
      </w:pPr>
      <w:bookmarkStart w:id="37" w:name="_Toc109898272"/>
      <w:r>
        <w:rPr>
          <w:rFonts w:hint="eastAsia" w:ascii="方正楷体_GBK" w:eastAsia="方正楷体_GBK"/>
          <w:color w:val="auto"/>
        </w:rPr>
        <w:t>第一节 完善经济政策</w:t>
      </w:r>
      <w:bookmarkEnd w:id="37"/>
    </w:p>
    <w:p>
      <w:pPr>
        <w:spacing w:line="596" w:lineRule="exact"/>
        <w:ind w:firstLine="624" w:firstLineChars="200"/>
        <w:rPr>
          <w:rFonts w:ascii="方正仿宋_GBK" w:hAnsi="Times New Roman" w:eastAsia="方正仿宋_GBK" w:cstheme="minorBidi"/>
          <w:color w:val="auto"/>
          <w:shd w:val="clear" w:color="auto" w:fill="auto"/>
        </w:rPr>
      </w:pPr>
      <w:r>
        <w:rPr>
          <w:rFonts w:hint="eastAsia" w:ascii="方正仿宋_GBK" w:hAnsi="Arial" w:eastAsia="方正仿宋_GBK" w:cs="Arial"/>
          <w:b/>
          <w:bCs/>
          <w:color w:val="auto"/>
          <w:shd w:val="clear" w:color="auto" w:fill="FFFFFF"/>
        </w:rPr>
        <w:t>完善应对气候变化领域财税政策。</w:t>
      </w:r>
      <w:r>
        <w:rPr>
          <w:rFonts w:hint="eastAsia" w:ascii="方正仿宋_GBK" w:hAnsi="Times New Roman" w:eastAsia="方正仿宋_GBK" w:cstheme="minorBidi"/>
          <w:color w:val="auto"/>
          <w:shd w:val="clear" w:color="auto" w:fill="auto"/>
        </w:rPr>
        <w:t>加大对应对气候变化财政投入力度，积极支持绿色环保产业发展、能源高效利用、资源循环利用等气候友好型项目。建立多元化投资机制，探索开展气候投融资试点，创新金融产品和投融资模式，引导更多社会资金投向应对气候变化领域。严格落实《环境保护税法》，落实对符合条件的节能、降碳、环保、生态建设、绿色建筑、战略性新兴产业等领域的税收优惠政策。进一步完善能源价格政策，严格实施差别电价、惩罚性电价、峰谷电价、阶梯气价等。探索建立基于单位产值能耗、污染物排放的差别化电价政策。</w:t>
      </w:r>
    </w:p>
    <w:p>
      <w:pPr>
        <w:spacing w:line="596" w:lineRule="exact"/>
        <w:ind w:firstLine="624" w:firstLineChars="200"/>
        <w:rPr>
          <w:rFonts w:ascii="方正仿宋_GBK" w:hAnsi="Times New Roman" w:eastAsia="方正仿宋_GBK" w:cstheme="minorBidi"/>
          <w:color w:val="auto"/>
          <w:shd w:val="clear" w:color="auto" w:fill="auto"/>
        </w:rPr>
      </w:pPr>
      <w:r>
        <w:rPr>
          <w:rFonts w:hint="eastAsia" w:ascii="方正仿宋_GBK" w:eastAsia="方正仿宋_GBK"/>
          <w:b/>
          <w:bCs/>
          <w:color w:val="auto"/>
        </w:rPr>
        <w:t>增加绿色低碳产品采购。</w:t>
      </w:r>
      <w:r>
        <w:rPr>
          <w:rFonts w:hint="eastAsia" w:ascii="方正仿宋_GBK" w:hAnsi="Times New Roman" w:eastAsia="方正仿宋_GBK" w:cstheme="minorBidi"/>
          <w:color w:val="auto"/>
          <w:shd w:val="clear" w:color="auto" w:fill="auto"/>
        </w:rPr>
        <w:t>完善政府绿色采购体系，建立健全绿色供应商、绿色产品管理名录库，依据品目清单和认证证书进行优先采购。对于未列入品目清单的产品类别，引导采购人在采购需求中提出生态环境保护要求。加强对企业和居民采购绿色产品的引导，鼓励大型商超优先引入绿色低碳产品，设立绿色产品销售专区。</w:t>
      </w:r>
    </w:p>
    <w:p>
      <w:pPr>
        <w:spacing w:before="289" w:beforeLines="50" w:after="289" w:afterLines="50" w:line="596" w:lineRule="exact"/>
        <w:jc w:val="center"/>
        <w:outlineLvl w:val="1"/>
        <w:rPr>
          <w:rFonts w:ascii="方正楷体_GBK" w:eastAsia="方正楷体_GBK"/>
          <w:color w:val="auto"/>
        </w:rPr>
      </w:pPr>
      <w:bookmarkStart w:id="38" w:name="_Toc109898273"/>
      <w:r>
        <w:rPr>
          <w:rFonts w:hint="eastAsia" w:ascii="方正楷体_GBK" w:eastAsia="方正楷体_GBK"/>
          <w:color w:val="auto"/>
        </w:rPr>
        <w:t>第二节 完善市场机制</w:t>
      </w:r>
      <w:bookmarkEnd w:id="38"/>
    </w:p>
    <w:p>
      <w:pPr>
        <w:spacing w:line="596" w:lineRule="exact"/>
        <w:ind w:firstLine="624" w:firstLineChars="200"/>
        <w:rPr>
          <w:rFonts w:ascii="方正仿宋_GBK" w:eastAsia="方正仿宋_GBK"/>
          <w:color w:val="auto"/>
        </w:rPr>
      </w:pPr>
      <w:r>
        <w:rPr>
          <w:rFonts w:hint="eastAsia" w:ascii="方正仿宋_GBK" w:eastAsia="方正仿宋_GBK"/>
          <w:b/>
          <w:bCs/>
          <w:color w:val="auto"/>
        </w:rPr>
        <w:t>夯实碳交易工作基础。</w:t>
      </w:r>
      <w:r>
        <w:rPr>
          <w:rFonts w:hint="eastAsia" w:ascii="方正仿宋_GBK" w:eastAsia="方正仿宋_GBK"/>
          <w:color w:val="auto"/>
        </w:rPr>
        <w:t>做好项目储备，落实《温室气体自愿减排交易管理暂行办法》（发改气候</w:t>
      </w:r>
      <w:r>
        <w:rPr>
          <w:rFonts w:hint="eastAsia" w:eastAsia="方正仿宋_GBK" w:cs="Times New Roman"/>
          <w:color w:val="auto"/>
        </w:rPr>
        <w:t>〔</w:t>
      </w:r>
      <w:r>
        <w:rPr>
          <w:rFonts w:eastAsia="方正仿宋_GBK" w:cs="Times New Roman"/>
          <w:color w:val="auto"/>
        </w:rPr>
        <w:t>2012</w:t>
      </w:r>
      <w:r>
        <w:rPr>
          <w:rFonts w:hint="eastAsia" w:eastAsia="方正仿宋_GBK" w:cs="Times New Roman"/>
          <w:color w:val="auto"/>
        </w:rPr>
        <w:t>〕</w:t>
      </w:r>
      <w:r>
        <w:rPr>
          <w:rFonts w:eastAsia="方正仿宋_GBK" w:cs="Times New Roman"/>
          <w:color w:val="auto"/>
        </w:rPr>
        <w:t>1668</w:t>
      </w:r>
      <w:r>
        <w:rPr>
          <w:rFonts w:hint="eastAsia" w:ascii="方正仿宋_GBK" w:eastAsia="方正仿宋_GBK"/>
          <w:color w:val="auto"/>
        </w:rPr>
        <w:t>号），鼓励机构、企业、团体和个人开发温室气体自愿减排项目并参与温室气体自愿减排量交易。督促企业完善碳报告制度，健全企业内碳排放监测、报告、核查、复查工作体系，引导企业逐步建立碳排放台账制度。以辖区内环保服务类型企业为重点，支持企业安排人员开展碳排放管理员培训、考核。</w:t>
      </w:r>
    </w:p>
    <w:p>
      <w:pPr>
        <w:spacing w:line="596" w:lineRule="exact"/>
        <w:ind w:firstLine="624" w:firstLineChars="200"/>
        <w:rPr>
          <w:rFonts w:ascii="方正仿宋_GBK" w:eastAsia="方正仿宋_GBK"/>
          <w:color w:val="auto"/>
        </w:rPr>
      </w:pPr>
      <w:r>
        <w:rPr>
          <w:rFonts w:hint="eastAsia" w:ascii="方正仿宋_GBK" w:eastAsia="方正仿宋_GBK"/>
          <w:b/>
          <w:bCs/>
          <w:color w:val="auto"/>
        </w:rPr>
        <w:t>积极参与碳市场建设。</w:t>
      </w:r>
      <w:r>
        <w:rPr>
          <w:rFonts w:hint="eastAsia" w:ascii="方正仿宋_GBK" w:eastAsia="方正仿宋_GBK"/>
          <w:color w:val="auto"/>
        </w:rPr>
        <w:t>严格落实《重庆市碳排放权交易管理暂行办法》，落实重庆市碳排放配额分配管理机制，积极参与重庆市碳排放权交易。加强辖区内温室气体排放报告及核查、碳排放配额清缴等相关活动监督管理。积极组织重点排放单位开展自查，健全定期核实和随机抽查工作机制，加强企业碳排放数据质量的监督管理。强化排放单位温室气体排放报告核查结果运用，采取“双随机、一公开”方式，确定监督检查重点和频次。</w:t>
      </w:r>
    </w:p>
    <w:p>
      <w:pPr>
        <w:spacing w:line="596" w:lineRule="exact"/>
        <w:ind w:firstLine="624" w:firstLineChars="200"/>
        <w:rPr>
          <w:rFonts w:ascii="方正仿宋_GBK" w:eastAsia="方正仿宋_GBK"/>
          <w:color w:val="auto"/>
        </w:rPr>
      </w:pPr>
      <w:r>
        <w:rPr>
          <w:rFonts w:hint="eastAsia" w:ascii="方正仿宋_GBK" w:eastAsia="方正仿宋_GBK"/>
          <w:b/>
          <w:bCs/>
          <w:color w:val="auto"/>
        </w:rPr>
        <w:t>落实“碳惠通”生态产品价值实现机制。</w:t>
      </w:r>
      <w:r>
        <w:rPr>
          <w:rFonts w:hint="eastAsia" w:ascii="方正仿宋_GBK" w:eastAsia="方正仿宋_GBK"/>
          <w:color w:val="auto"/>
        </w:rPr>
        <w:t>严格执行《重庆市“碳惠通”生态产品价值实现平台管理办法（试行）》，鼓励辖区内满足条件的非水可再生能源、绿色建筑、交通领域的碳减排，森林碳汇、农林领域的甲烷减少及利用，垃圾填埋处理及污水处理等方式的甲烷利用等申请“碳惠通”项目。鼓励企事业单位、团体、协会等社会组织按照评价规范要求参与“碳惠通”低碳场景创建工作，推动居民购买“碳惠通”产品，以碳积分形式，享受平台上合作商家的商品、服务优惠等。</w:t>
      </w:r>
    </w:p>
    <w:p>
      <w:pPr>
        <w:spacing w:before="289" w:beforeLines="50" w:after="289" w:afterLines="50" w:line="596" w:lineRule="exact"/>
        <w:jc w:val="center"/>
        <w:outlineLvl w:val="1"/>
        <w:rPr>
          <w:rFonts w:ascii="方正楷体_GBK" w:eastAsia="方正楷体_GBK"/>
          <w:color w:val="auto"/>
        </w:rPr>
      </w:pPr>
      <w:bookmarkStart w:id="39" w:name="_Toc109898274"/>
      <w:r>
        <w:rPr>
          <w:rFonts w:hint="eastAsia" w:ascii="方正楷体_GBK" w:eastAsia="方正楷体_GBK"/>
          <w:color w:val="auto"/>
        </w:rPr>
        <w:t>第三节 推进气候投融资工作</w:t>
      </w:r>
      <w:bookmarkEnd w:id="39"/>
    </w:p>
    <w:p>
      <w:pPr>
        <w:spacing w:line="596" w:lineRule="exact"/>
        <w:ind w:firstLine="624" w:firstLineChars="200"/>
        <w:rPr>
          <w:rFonts w:ascii="方正仿宋_GBK" w:eastAsia="方正仿宋_GBK" w:cs="Times New Roman"/>
          <w:color w:val="auto"/>
        </w:rPr>
      </w:pPr>
      <w:r>
        <w:rPr>
          <w:rFonts w:hint="eastAsia" w:ascii="方正仿宋_GBK" w:eastAsia="方正仿宋_GBK" w:cs="Times New Roman"/>
          <w:color w:val="auto"/>
        </w:rPr>
        <w:t>推动金融市场发展，支持和激励各类金融机构开发气候友好型的绿色金融产品。以碳金融创新为核心，积极开发绿色信贷、绿色债券、绿色基金、绿色保险等各类绿色金融工具，探索开发一批可持续、可推广的气候投融资模式，引导金融资本投入试点项目建设。规范运用政府和社会资本合作</w:t>
      </w:r>
      <w:r>
        <w:rPr>
          <w:rFonts w:hint="eastAsia" w:eastAsia="方正仿宋_GBK" w:cs="Times New Roman"/>
          <w:color w:val="auto"/>
        </w:rPr>
        <w:t>（</w:t>
      </w:r>
      <w:r>
        <w:rPr>
          <w:rFonts w:eastAsia="方正仿宋_GBK" w:cs="Times New Roman"/>
          <w:color w:val="auto"/>
        </w:rPr>
        <w:t>PPP</w:t>
      </w:r>
      <w:r>
        <w:rPr>
          <w:rFonts w:hint="eastAsia" w:eastAsia="方正仿宋_GBK" w:cs="Times New Roman"/>
          <w:color w:val="auto"/>
        </w:rPr>
        <w:t>）</w:t>
      </w:r>
      <w:r>
        <w:rPr>
          <w:rFonts w:hint="eastAsia" w:ascii="方正仿宋_GBK" w:eastAsia="方正仿宋_GBK" w:cs="Times New Roman"/>
          <w:color w:val="auto"/>
        </w:rPr>
        <w:t>模式等项目投资、建设、运营机制，充分发挥政府资金杠杆作用，带动社会资本投入。支持符合条件的气候友好型企业通过资本市场进行融资和再融资。鼓励通过市场化方式推动小微企业和社会公众参与应对气候变化行动。</w:t>
      </w:r>
    </w:p>
    <w:p>
      <w:pPr>
        <w:spacing w:before="289" w:beforeLines="50" w:after="289" w:afterLines="50" w:line="596" w:lineRule="exact"/>
        <w:jc w:val="center"/>
        <w:outlineLvl w:val="0"/>
        <w:rPr>
          <w:rFonts w:ascii="方正黑体_GBK" w:eastAsia="方正黑体_GBK"/>
          <w:color w:val="auto"/>
        </w:rPr>
      </w:pPr>
      <w:bookmarkStart w:id="40" w:name="_Toc109898275"/>
      <w:r>
        <w:rPr>
          <w:rFonts w:hint="eastAsia" w:ascii="方正黑体_GBK" w:eastAsia="方正黑体_GBK"/>
          <w:color w:val="auto"/>
        </w:rPr>
        <w:t>第八章 开展应对气候变化试点示范</w:t>
      </w:r>
      <w:bookmarkEnd w:id="40"/>
    </w:p>
    <w:p>
      <w:pPr>
        <w:spacing w:line="596" w:lineRule="exact"/>
        <w:ind w:firstLine="624" w:firstLineChars="200"/>
        <w:rPr>
          <w:rFonts w:ascii="方正仿宋_GBK" w:eastAsia="方正仿宋_GBK" w:cs="Times New Roman"/>
          <w:color w:val="auto"/>
        </w:rPr>
      </w:pPr>
      <w:r>
        <w:rPr>
          <w:rFonts w:hint="eastAsia" w:ascii="方正仿宋_GBK" w:eastAsia="方正仿宋_GBK" w:cs="Times New Roman"/>
          <w:color w:val="auto"/>
        </w:rPr>
        <w:t>推动城市建设各方面、各领域融入绿色低碳理念，全面开展各类近零碳试点示范工程，实施园区、工业企业、学校、饭店、商贸等领域低碳、零碳示范创建，积极探索绿色低碳发展新路径，有效总结示范创建的成功经验，有效带动全区各行各业低碳发展。</w:t>
      </w:r>
    </w:p>
    <w:p>
      <w:pPr>
        <w:spacing w:before="289" w:beforeLines="50" w:after="289" w:afterLines="50" w:line="596" w:lineRule="exact"/>
        <w:jc w:val="center"/>
        <w:outlineLvl w:val="1"/>
        <w:rPr>
          <w:rFonts w:ascii="方正楷体_GBK" w:eastAsia="方正楷体_GBK"/>
          <w:color w:val="auto"/>
        </w:rPr>
      </w:pPr>
      <w:bookmarkStart w:id="41" w:name="_Toc109898276"/>
      <w:r>
        <w:rPr>
          <w:rFonts w:hint="eastAsia" w:ascii="方正楷体_GBK" w:eastAsia="方正楷体_GBK"/>
          <w:color w:val="auto"/>
        </w:rPr>
        <w:t>第一节 探索开展气候适应型城市建设</w:t>
      </w:r>
      <w:bookmarkEnd w:id="41"/>
    </w:p>
    <w:p>
      <w:pPr>
        <w:spacing w:line="596" w:lineRule="exact"/>
        <w:ind w:firstLine="624" w:firstLineChars="200"/>
        <w:rPr>
          <w:rFonts w:ascii="方正仿宋_GBK" w:eastAsia="方正仿宋_GBK"/>
          <w:color w:val="auto"/>
        </w:rPr>
      </w:pPr>
      <w:r>
        <w:rPr>
          <w:rFonts w:hint="eastAsia" w:ascii="方正仿宋_GBK" w:eastAsia="方正仿宋_GBK"/>
          <w:color w:val="auto"/>
        </w:rPr>
        <w:t>探索推进低碳城市建设工作，科学制定城市规划，运用</w:t>
      </w:r>
      <w:r>
        <w:rPr>
          <w:rFonts w:eastAsia="方正仿宋_GBK" w:cs="Times New Roman"/>
          <w:color w:val="auto"/>
        </w:rPr>
        <w:t>NBS</w:t>
      </w:r>
      <w:r>
        <w:rPr>
          <w:rFonts w:hint="eastAsia" w:ascii="方正仿宋_GBK" w:eastAsia="方正仿宋_GBK"/>
          <w:color w:val="auto"/>
        </w:rPr>
        <w:t>、</w:t>
      </w:r>
      <w:r>
        <w:rPr>
          <w:rFonts w:eastAsia="方正仿宋_GBK" w:cs="Times New Roman"/>
          <w:color w:val="auto"/>
        </w:rPr>
        <w:t>EOD</w:t>
      </w:r>
      <w:r>
        <w:rPr>
          <w:rFonts w:hint="eastAsia" w:ascii="方正仿宋_GBK" w:eastAsia="方正仿宋_GBK"/>
          <w:color w:val="auto"/>
        </w:rPr>
        <w:t>等模式手段，增强城市气候韧性。将低碳发展纳入本地区国民经济和社会发展年度计划和政府重点工作，将低碳理念纳入至全区城市交通、能源、供排水、污水、垃圾处理等基础设施建设以及经济社会、资源环境等多个领域总体规划和专项规划中，加快构建以低碳为特征的工业、能源、建筑、交通等产业体系和低碳生活方式。结合铜梁受气候变化影响和适应气候变化工作特点，探索开展气候适应型城市试点工作。</w:t>
      </w:r>
    </w:p>
    <w:p>
      <w:pPr>
        <w:spacing w:before="289" w:beforeLines="50" w:after="289" w:afterLines="50" w:line="596" w:lineRule="exact"/>
        <w:jc w:val="center"/>
        <w:outlineLvl w:val="1"/>
        <w:rPr>
          <w:rFonts w:ascii="方正楷体_GBK" w:eastAsia="方正楷体_GBK"/>
          <w:color w:val="auto"/>
        </w:rPr>
      </w:pPr>
      <w:bookmarkStart w:id="42" w:name="_Toc109898277"/>
      <w:r>
        <w:rPr>
          <w:rFonts w:hint="eastAsia" w:ascii="方正楷体_GBK" w:eastAsia="方正楷体_GBK"/>
          <w:color w:val="auto"/>
        </w:rPr>
        <w:t>第二节 建设“近零碳”排放示范工程</w:t>
      </w:r>
      <w:bookmarkEnd w:id="42"/>
    </w:p>
    <w:p>
      <w:pPr>
        <w:spacing w:line="596" w:lineRule="exact"/>
        <w:ind w:firstLine="624" w:firstLineChars="200"/>
        <w:rPr>
          <w:rFonts w:ascii="方正仿宋_GBK" w:eastAsia="方正仿宋_GBK"/>
          <w:color w:val="auto"/>
        </w:rPr>
      </w:pPr>
      <w:r>
        <w:rPr>
          <w:rFonts w:hint="eastAsia" w:ascii="方正仿宋_GBK" w:eastAsia="方正仿宋_GBK"/>
          <w:b/>
          <w:bCs/>
          <w:color w:val="auto"/>
        </w:rPr>
        <w:t>实施低碳园区建设。</w:t>
      </w:r>
      <w:r>
        <w:rPr>
          <w:rFonts w:hint="eastAsia" w:ascii="方正仿宋_GBK" w:eastAsia="方正仿宋_GBK"/>
          <w:color w:val="auto"/>
        </w:rPr>
        <w:t>依托铜梁高新区作为全国循环化改造重点支持园区优势，开展低碳园区建设，优化园区空间布局、严格实行低碳门槛管理、构建循环经济产业链及合理控制工业过程排放，推进减碳治污协同增效。新建建筑</w:t>
      </w:r>
      <w:r>
        <w:rPr>
          <w:rFonts w:eastAsia="方正仿宋_GBK" w:cs="Times New Roman"/>
          <w:color w:val="auto"/>
        </w:rPr>
        <w:t>100%</w:t>
      </w:r>
      <w:r>
        <w:rPr>
          <w:rFonts w:hint="eastAsia" w:ascii="方正仿宋_GBK" w:eastAsia="方正仿宋_GBK"/>
          <w:color w:val="auto"/>
        </w:rPr>
        <w:t>执行绿色建筑标准，大型公共建筑须执行二星以上绿色建筑标准。加强光伏技术研发应用，提高园区新能源应用比例等。鼓励重庆铜梁西南水泥有限公司开展低成本、规模适度的</w:t>
      </w:r>
      <w:r>
        <w:rPr>
          <w:rFonts w:eastAsia="方正仿宋_GBK" w:cs="Times New Roman"/>
          <w:color w:val="auto"/>
        </w:rPr>
        <w:t>CCUS</w:t>
      </w:r>
      <w:r>
        <w:rPr>
          <w:rFonts w:hint="eastAsia" w:ascii="方正仿宋_GBK" w:eastAsia="方正仿宋_GBK"/>
          <w:color w:val="auto"/>
        </w:rPr>
        <w:t>试点示范</w:t>
      </w:r>
      <w:r>
        <w:rPr>
          <w:rStyle w:val="20"/>
          <w:rFonts w:eastAsia="方正仿宋_GBK" w:cs="Times New Roman"/>
          <w:color w:val="auto"/>
        </w:rPr>
        <w:footnoteReference w:id="0"/>
      </w:r>
      <w:r>
        <w:rPr>
          <w:rFonts w:hint="eastAsia" w:ascii="方正仿宋_GBK" w:eastAsia="方正仿宋_GBK"/>
          <w:color w:val="auto"/>
        </w:rPr>
        <w:t>。</w:t>
      </w:r>
    </w:p>
    <w:p>
      <w:pPr>
        <w:spacing w:line="596" w:lineRule="exact"/>
        <w:ind w:firstLine="624" w:firstLineChars="200"/>
        <w:rPr>
          <w:rFonts w:ascii="方正仿宋_GBK" w:eastAsia="方正仿宋_GBK"/>
          <w:color w:val="auto"/>
        </w:rPr>
      </w:pPr>
      <w:r>
        <w:rPr>
          <w:rFonts w:hint="eastAsia" w:ascii="方正仿宋_GBK" w:eastAsia="方正仿宋_GBK"/>
          <w:b/>
          <w:bCs/>
          <w:color w:val="auto"/>
        </w:rPr>
        <w:t>实施“零碳细胞”工程。</w:t>
      </w:r>
      <w:r>
        <w:rPr>
          <w:rFonts w:hint="eastAsia" w:ascii="方正仿宋_GBK" w:eastAsia="方正仿宋_GBK"/>
          <w:color w:val="auto"/>
        </w:rPr>
        <w:t>优先选择若干代表性城镇、社区、校园、商业等领域、场所，组织开展首批示范工程项目建设。推动在生态文明建设示范镇中优选</w:t>
      </w:r>
      <w:r>
        <w:rPr>
          <w:rFonts w:eastAsia="方正仿宋_GBK" w:cs="Times New Roman"/>
          <w:color w:val="auto"/>
        </w:rPr>
        <w:t>1-2</w:t>
      </w:r>
      <w:r>
        <w:rPr>
          <w:rFonts w:hint="eastAsia" w:ascii="方正仿宋_GBK" w:eastAsia="方正仿宋_GBK"/>
          <w:color w:val="auto"/>
        </w:rPr>
        <w:t>个城镇开展近零碳排放试点，在乡村振兴示范村等生态文明示范村中优选</w:t>
      </w:r>
      <w:r>
        <w:rPr>
          <w:rFonts w:eastAsia="方正仿宋_GBK" w:cs="Times New Roman"/>
          <w:color w:val="auto"/>
        </w:rPr>
        <w:t>1-2</w:t>
      </w:r>
      <w:r>
        <w:rPr>
          <w:rFonts w:hint="eastAsia" w:ascii="方正仿宋_GBK" w:eastAsia="方正仿宋_GBK"/>
          <w:color w:val="auto"/>
        </w:rPr>
        <w:t>个社区开展近零碳试点，在绿色学校中优选</w:t>
      </w:r>
      <w:r>
        <w:rPr>
          <w:rFonts w:eastAsia="方正仿宋_GBK" w:cs="Times New Roman"/>
          <w:color w:val="auto"/>
        </w:rPr>
        <w:t>1-2</w:t>
      </w:r>
      <w:r>
        <w:rPr>
          <w:rFonts w:hint="eastAsia" w:ascii="方正仿宋_GBK" w:eastAsia="方正仿宋_GBK"/>
          <w:color w:val="auto"/>
        </w:rPr>
        <w:t>个开展近零碳排放区示范工程建设，在绿色商场、绿色饭店、</w:t>
      </w:r>
      <w:r>
        <w:rPr>
          <w:rFonts w:eastAsia="方正仿宋_GBK" w:cs="Times New Roman"/>
          <w:color w:val="auto"/>
        </w:rPr>
        <w:t>4A</w:t>
      </w:r>
      <w:r>
        <w:rPr>
          <w:rFonts w:hint="eastAsia" w:ascii="方正仿宋_GBK" w:eastAsia="方正仿宋_GBK"/>
          <w:color w:val="auto"/>
        </w:rPr>
        <w:t>级旅游景区中优选</w:t>
      </w:r>
      <w:r>
        <w:rPr>
          <w:rFonts w:eastAsia="方正仿宋_GBK" w:cs="Times New Roman"/>
          <w:color w:val="auto"/>
        </w:rPr>
        <w:t>1-2</w:t>
      </w:r>
      <w:r>
        <w:rPr>
          <w:rFonts w:hint="eastAsia" w:ascii="方正仿宋_GBK" w:eastAsia="方正仿宋_GBK"/>
          <w:color w:val="auto"/>
        </w:rPr>
        <w:t>个开展近零碳试点。</w:t>
      </w:r>
    </w:p>
    <w:p>
      <w:pPr>
        <w:spacing w:line="596" w:lineRule="exact"/>
        <w:ind w:firstLine="624" w:firstLineChars="200"/>
        <w:rPr>
          <w:rFonts w:ascii="方正仿宋_GBK" w:eastAsia="方正仿宋_GBK"/>
          <w:color w:val="auto"/>
        </w:rPr>
      </w:pPr>
      <w:r>
        <w:rPr>
          <w:rFonts w:hint="eastAsia" w:ascii="方正仿宋_GBK" w:eastAsia="方正仿宋_GBK"/>
          <w:b/>
          <w:bCs/>
          <w:color w:val="auto"/>
        </w:rPr>
        <w:t>开展大型活动碳中和试点。</w:t>
      </w:r>
      <w:r>
        <w:rPr>
          <w:rFonts w:hint="eastAsia" w:ascii="方正仿宋_GBK" w:eastAsia="方正仿宋_GBK"/>
          <w:color w:val="auto"/>
        </w:rPr>
        <w:t>鼓励在铜举行的演出、赛事、会议、论坛、展览等大型活动在筹备阶段制订碳中和实施计划，提出减排措施，组织开展减排行动，通过购买碳配额、碳信用的方式或通过新建林业项目产生碳汇量的方式抵消大型活动实际产生的温室气体排放量，实现大型活动碳中和。</w:t>
      </w:r>
    </w:p>
    <w:p>
      <w:pPr>
        <w:spacing w:before="289" w:beforeLines="50" w:after="289" w:afterLines="50" w:line="596" w:lineRule="exact"/>
        <w:jc w:val="center"/>
        <w:outlineLvl w:val="0"/>
        <w:rPr>
          <w:rFonts w:ascii="方正黑体_GBK" w:eastAsia="方正黑体_GBK"/>
          <w:color w:val="auto"/>
        </w:rPr>
      </w:pPr>
      <w:bookmarkStart w:id="43" w:name="_Toc109898278"/>
      <w:r>
        <w:rPr>
          <w:rFonts w:hint="eastAsia" w:ascii="方正黑体_GBK" w:eastAsia="方正黑体_GBK"/>
          <w:color w:val="auto"/>
        </w:rPr>
        <w:t>第九章 强化规划系统衔接和组织实施</w:t>
      </w:r>
      <w:bookmarkEnd w:id="43"/>
    </w:p>
    <w:p>
      <w:pPr>
        <w:spacing w:before="289" w:beforeLines="50" w:after="289" w:afterLines="50" w:line="596" w:lineRule="exact"/>
        <w:jc w:val="center"/>
        <w:outlineLvl w:val="1"/>
        <w:rPr>
          <w:rFonts w:ascii="方正楷体_GBK" w:eastAsia="方正楷体_GBK"/>
          <w:color w:val="auto"/>
        </w:rPr>
      </w:pPr>
      <w:bookmarkStart w:id="44" w:name="_Toc109898279"/>
      <w:r>
        <w:rPr>
          <w:rFonts w:hint="eastAsia" w:ascii="方正楷体_GBK" w:eastAsia="方正楷体_GBK"/>
          <w:color w:val="auto"/>
        </w:rPr>
        <w:t>第一节 做好规划衔接</w:t>
      </w:r>
      <w:bookmarkEnd w:id="44"/>
    </w:p>
    <w:p>
      <w:pPr>
        <w:spacing w:line="596" w:lineRule="exact"/>
        <w:ind w:firstLine="624" w:firstLineChars="200"/>
        <w:rPr>
          <w:rFonts w:ascii="方正仿宋_GBK" w:eastAsia="方正仿宋_GBK"/>
          <w:color w:val="auto"/>
        </w:rPr>
      </w:pPr>
      <w:r>
        <w:rPr>
          <w:rFonts w:hint="eastAsia" w:ascii="方正仿宋_GBK" w:eastAsia="方正仿宋_GBK"/>
          <w:color w:val="auto"/>
        </w:rPr>
        <w:t>加强产业发展、城乡建设、土地利用、生态建设与环境保护等相关规划与本规划的衔接，做好本规划与市级有关专项规划之间的衔接，确保各相关规划目标一致、各有侧重、协调互补。</w:t>
      </w:r>
    </w:p>
    <w:p>
      <w:pPr>
        <w:spacing w:before="289" w:beforeLines="50" w:after="289" w:afterLines="50" w:line="596" w:lineRule="exact"/>
        <w:jc w:val="center"/>
        <w:outlineLvl w:val="1"/>
        <w:rPr>
          <w:rFonts w:ascii="方正楷体_GBK" w:eastAsia="方正楷体_GBK"/>
          <w:color w:val="auto"/>
        </w:rPr>
      </w:pPr>
      <w:bookmarkStart w:id="45" w:name="_Toc109898280"/>
      <w:r>
        <w:rPr>
          <w:rFonts w:hint="eastAsia" w:ascii="方正楷体_GBK" w:eastAsia="方正楷体_GBK"/>
          <w:color w:val="auto"/>
        </w:rPr>
        <w:t>第二节 明确责任分工</w:t>
      </w:r>
      <w:bookmarkEnd w:id="45"/>
    </w:p>
    <w:p>
      <w:pPr>
        <w:spacing w:line="596" w:lineRule="exact"/>
        <w:ind w:firstLine="624" w:firstLineChars="200"/>
        <w:rPr>
          <w:rFonts w:ascii="方正仿宋_GBK" w:eastAsia="方正仿宋_GBK"/>
          <w:color w:val="auto"/>
        </w:rPr>
      </w:pPr>
      <w:r>
        <w:rPr>
          <w:rFonts w:hint="eastAsia" w:ascii="方正仿宋_GBK" w:eastAsia="方正仿宋_GBK"/>
          <w:color w:val="auto"/>
        </w:rPr>
        <w:t>充分发挥组织领导作用，各行业主管部门（单位）明确职责分工，强化归口管理，压紧压实责任。建立健全应对气候变化工作推进机制，搭建工作专班，统筹谋划、系统部署，建立任务清单和台账管理机制，确保政策措施和目标任务落到实处。</w:t>
      </w:r>
    </w:p>
    <w:p>
      <w:pPr>
        <w:spacing w:before="289" w:beforeLines="50" w:after="289" w:afterLines="50" w:line="596" w:lineRule="exact"/>
        <w:jc w:val="center"/>
        <w:outlineLvl w:val="1"/>
        <w:rPr>
          <w:rFonts w:ascii="方正楷体_GBK" w:eastAsia="方正楷体_GBK"/>
          <w:color w:val="auto"/>
        </w:rPr>
      </w:pPr>
      <w:bookmarkStart w:id="46" w:name="_Toc109898281"/>
      <w:r>
        <w:rPr>
          <w:rFonts w:hint="eastAsia" w:ascii="方正楷体_GBK" w:eastAsia="方正楷体_GBK"/>
          <w:color w:val="auto"/>
        </w:rPr>
        <w:t>第三节 强化统筹协调</w:t>
      </w:r>
      <w:bookmarkEnd w:id="46"/>
    </w:p>
    <w:p>
      <w:pPr>
        <w:spacing w:line="596" w:lineRule="exact"/>
        <w:ind w:firstLine="624" w:firstLineChars="200"/>
        <w:rPr>
          <w:rFonts w:ascii="方正仿宋_GBK" w:eastAsia="方正仿宋_GBK"/>
          <w:color w:val="auto"/>
        </w:rPr>
      </w:pPr>
      <w:r>
        <w:rPr>
          <w:rFonts w:hint="eastAsia" w:ascii="方正仿宋_GBK" w:eastAsia="方正仿宋_GBK"/>
          <w:color w:val="auto"/>
        </w:rPr>
        <w:t>加强对应对气候变化重大事项的动态跟踪和定期协调推进，建立跨部门工作推进机制，推动各领域资源整合利用和信息数据共享。推动将“十四五”碳强度下降目标纳入经济社会发展规划，明确工作路线图、任务书和时间表。</w:t>
      </w:r>
    </w:p>
    <w:p>
      <w:pPr>
        <w:spacing w:before="289" w:beforeLines="50" w:after="289" w:afterLines="50" w:line="596" w:lineRule="exact"/>
        <w:jc w:val="center"/>
        <w:outlineLvl w:val="1"/>
        <w:rPr>
          <w:rFonts w:ascii="方正楷体_GBK" w:eastAsia="方正楷体_GBK"/>
          <w:color w:val="auto"/>
        </w:rPr>
      </w:pPr>
      <w:bookmarkStart w:id="47" w:name="_Toc109898282"/>
      <w:r>
        <w:rPr>
          <w:rFonts w:hint="eastAsia" w:ascii="方正楷体_GBK" w:eastAsia="方正楷体_GBK"/>
          <w:color w:val="auto"/>
        </w:rPr>
        <w:t>第四节 严格考核监管</w:t>
      </w:r>
      <w:bookmarkEnd w:id="47"/>
    </w:p>
    <w:p>
      <w:pPr>
        <w:spacing w:line="596" w:lineRule="exact"/>
        <w:ind w:firstLine="624" w:firstLineChars="200"/>
        <w:rPr>
          <w:rFonts w:ascii="方正仿宋_GBK" w:eastAsia="方正仿宋_GBK"/>
          <w:color w:val="auto"/>
        </w:rPr>
      </w:pPr>
      <w:r>
        <w:rPr>
          <w:rFonts w:hint="eastAsia" w:ascii="方正仿宋_GBK" w:eastAsia="方正仿宋_GBK"/>
          <w:color w:val="auto"/>
        </w:rPr>
        <w:t>建立健全应对气候变化“十四五”目标责任考核机制，定期总结行业主管部门应对气候变化目标和任务实施情况，及时掌握规划实施进展，确保规划目标和任务全面完成。</w:t>
      </w:r>
    </w:p>
    <w:p>
      <w:pPr>
        <w:spacing w:before="289" w:beforeLines="50" w:after="289" w:afterLines="50" w:line="596" w:lineRule="exact"/>
        <w:jc w:val="center"/>
        <w:outlineLvl w:val="1"/>
        <w:rPr>
          <w:rFonts w:ascii="方正楷体_GBK" w:eastAsia="方正楷体_GBK"/>
          <w:color w:val="auto"/>
        </w:rPr>
      </w:pPr>
      <w:bookmarkStart w:id="48" w:name="_Toc109898283"/>
      <w:r>
        <w:rPr>
          <w:rFonts w:hint="eastAsia" w:ascii="方正楷体_GBK" w:eastAsia="方正楷体_GBK"/>
          <w:color w:val="auto"/>
        </w:rPr>
        <w:t>第五节 加大财政支持</w:t>
      </w:r>
      <w:bookmarkEnd w:id="48"/>
    </w:p>
    <w:p>
      <w:pPr>
        <w:spacing w:line="596" w:lineRule="exact"/>
        <w:ind w:firstLine="624" w:firstLineChars="200"/>
        <w:rPr>
          <w:rFonts w:ascii="方正仿宋_GBK" w:eastAsia="方正仿宋_GBK"/>
          <w:color w:val="auto"/>
        </w:rPr>
      </w:pPr>
      <w:r>
        <w:rPr>
          <w:rFonts w:hint="eastAsia" w:ascii="方正仿宋_GBK" w:eastAsia="方正仿宋_GBK"/>
          <w:color w:val="auto"/>
        </w:rPr>
        <w:t>各行业主管部门应积极争取国家、市级各类有关碳达峰、碳中和、应对气候变化等相关资金，统筹融合各类有关应对气候变化资金。切实加大对碳排放量总量、强度控制资金的财政资金投入力度。支持低碳建设、碳排放控制、能力建设等项目建设。探索政府和社会资本合作</w:t>
      </w:r>
      <w:r>
        <w:rPr>
          <w:rFonts w:hint="eastAsia" w:eastAsia="方正仿宋_GBK" w:cs="Times New Roman"/>
          <w:color w:val="auto"/>
        </w:rPr>
        <w:t>（</w:t>
      </w:r>
      <w:r>
        <w:rPr>
          <w:rFonts w:eastAsia="方正仿宋_GBK" w:cs="Times New Roman"/>
          <w:color w:val="auto"/>
        </w:rPr>
        <w:t>PPP</w:t>
      </w:r>
      <w:r>
        <w:rPr>
          <w:rFonts w:hint="eastAsia" w:eastAsia="方正仿宋_GBK" w:cs="Times New Roman"/>
          <w:color w:val="auto"/>
        </w:rPr>
        <w:t>）</w:t>
      </w:r>
      <w:r>
        <w:rPr>
          <w:rFonts w:hint="eastAsia" w:ascii="方正仿宋_GBK" w:eastAsia="方正仿宋_GBK"/>
          <w:color w:val="auto"/>
        </w:rPr>
        <w:t>等创新投融资模式在低碳领域项目建设运营中的应用。</w:t>
      </w:r>
    </w:p>
    <w:p>
      <w:pPr>
        <w:spacing w:before="289" w:beforeLines="50" w:after="289" w:afterLines="50" w:line="596" w:lineRule="exact"/>
        <w:jc w:val="center"/>
        <w:outlineLvl w:val="1"/>
        <w:rPr>
          <w:rFonts w:ascii="方正楷体_GBK" w:eastAsia="方正楷体_GBK"/>
          <w:color w:val="auto"/>
        </w:rPr>
      </w:pPr>
      <w:bookmarkStart w:id="49" w:name="_Toc109898284"/>
      <w:r>
        <w:rPr>
          <w:rFonts w:hint="eastAsia" w:ascii="方正楷体_GBK" w:eastAsia="方正楷体_GBK"/>
          <w:color w:val="auto"/>
        </w:rPr>
        <w:t>第六节 注重低碳宣传</w:t>
      </w:r>
      <w:bookmarkEnd w:id="49"/>
    </w:p>
    <w:p>
      <w:pPr>
        <w:spacing w:line="596" w:lineRule="exact"/>
        <w:ind w:firstLine="624" w:firstLineChars="200"/>
        <w:rPr>
          <w:rFonts w:ascii="方正仿宋_GBK" w:eastAsia="方正仿宋_GBK"/>
          <w:color w:val="auto"/>
        </w:rPr>
        <w:sectPr>
          <w:footerReference r:id="rId6" w:type="default"/>
          <w:pgSz w:w="11906" w:h="16838"/>
          <w:pgMar w:top="2098" w:right="1474" w:bottom="1985" w:left="1588" w:header="851" w:footer="992" w:gutter="113"/>
          <w:pgNumType w:fmt="numberInDash"/>
          <w:cols w:space="425" w:num="1"/>
          <w:docGrid w:type="linesAndChars" w:linePitch="579" w:charSpace="-1675"/>
        </w:sectPr>
      </w:pPr>
      <w:r>
        <w:rPr>
          <w:rFonts w:hint="eastAsia" w:ascii="方正仿宋_GBK" w:eastAsia="方正仿宋_GBK"/>
          <w:color w:val="auto"/>
        </w:rPr>
        <w:t>各行业主管部门（单位）提高政治站位、扛起政治责任，切实把思想和行动统一到</w:t>
      </w:r>
      <w:r>
        <w:rPr>
          <w:rFonts w:hint="eastAsia" w:ascii="方正仿宋_GBK" w:eastAsia="方正仿宋_GBK"/>
          <w:color w:val="auto"/>
          <w:lang w:eastAsia="zh-CN"/>
        </w:rPr>
        <w:t>党</w:t>
      </w:r>
      <w:r>
        <w:rPr>
          <w:rFonts w:hint="eastAsia" w:ascii="方正仿宋_GBK" w:eastAsia="方正仿宋_GBK"/>
          <w:color w:val="auto"/>
        </w:rPr>
        <w:t>中央决策部署和市委市政府具体要求上来，全力以赴抓好碳达峰、碳中和科普宣传工作。做好联合国环境日、六五环境日、全国低碳日、节能宣传周等宣传活动，营造良好的社会舆论环境。</w:t>
      </w:r>
      <w:r>
        <w:rPr>
          <w:rFonts w:ascii="方正仿宋_GBK" w:eastAsia="方正仿宋_GBK"/>
          <w:color w:val="auto"/>
        </w:rPr>
        <w:br w:type="page"/>
      </w:r>
    </w:p>
    <w:p>
      <w:pPr>
        <w:spacing w:line="596" w:lineRule="exact"/>
        <w:ind w:firstLine="0" w:firstLineChars="0"/>
        <w:jc w:val="left"/>
        <w:outlineLvl w:val="0"/>
        <w:rPr>
          <w:rFonts w:hint="eastAsia" w:ascii="方正黑体_GBK" w:eastAsia="方正黑体_GBK"/>
          <w:color w:val="auto"/>
        </w:rPr>
      </w:pPr>
      <w:bookmarkStart w:id="50" w:name="_Toc109898285"/>
      <w:r>
        <w:rPr>
          <w:rFonts w:hint="eastAsia" w:ascii="方正黑体_GBK" w:eastAsia="方正黑体_GBK"/>
          <w:color w:val="auto"/>
        </w:rPr>
        <w:t xml:space="preserve">附表1 </w:t>
      </w:r>
    </w:p>
    <w:p>
      <w:pPr>
        <w:spacing w:line="596" w:lineRule="exact"/>
        <w:ind w:firstLine="0" w:firstLineChars="0"/>
        <w:jc w:val="center"/>
        <w:outlineLvl w:val="0"/>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规划重点项目储备库</w:t>
      </w:r>
      <w:bookmarkEnd w:id="50"/>
    </w:p>
    <w:tbl>
      <w:tblPr>
        <w:tblStyle w:val="14"/>
        <w:tblW w:w="129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1424"/>
        <w:gridCol w:w="5853"/>
        <w:gridCol w:w="1583"/>
        <w:gridCol w:w="1422"/>
        <w:gridCol w:w="1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91" w:type="dxa"/>
            <w:vAlign w:val="center"/>
          </w:tcPr>
          <w:p>
            <w:pPr>
              <w:spacing w:line="300" w:lineRule="exact"/>
              <w:jc w:val="center"/>
              <w:rPr>
                <w:rFonts w:hint="eastAsia" w:ascii="方正黑体_GBK" w:hAnsi="方正黑体_GBK" w:eastAsia="方正黑体_GBK" w:cs="方正黑体_GBK"/>
                <w:color w:val="auto"/>
                <w:sz w:val="24"/>
                <w:szCs w:val="24"/>
              </w:rPr>
            </w:pPr>
            <w:r>
              <w:rPr>
                <w:rFonts w:hint="eastAsia" w:ascii="方正黑体_GBK" w:hAnsi="方正黑体_GBK" w:eastAsia="方正黑体_GBK" w:cs="方正黑体_GBK"/>
                <w:color w:val="auto"/>
                <w:sz w:val="24"/>
                <w:szCs w:val="24"/>
              </w:rPr>
              <w:t>序号</w:t>
            </w:r>
          </w:p>
        </w:tc>
        <w:tc>
          <w:tcPr>
            <w:tcW w:w="1424" w:type="dxa"/>
            <w:vAlign w:val="center"/>
          </w:tcPr>
          <w:p>
            <w:pPr>
              <w:spacing w:line="300" w:lineRule="exact"/>
              <w:jc w:val="center"/>
              <w:rPr>
                <w:rFonts w:hint="eastAsia" w:ascii="方正黑体_GBK" w:hAnsi="方正黑体_GBK" w:eastAsia="方正黑体_GBK" w:cs="方正黑体_GBK"/>
                <w:color w:val="auto"/>
                <w:sz w:val="24"/>
                <w:szCs w:val="24"/>
              </w:rPr>
            </w:pPr>
            <w:r>
              <w:rPr>
                <w:rFonts w:hint="eastAsia" w:ascii="方正黑体_GBK" w:hAnsi="方正黑体_GBK" w:eastAsia="方正黑体_GBK" w:cs="方正黑体_GBK"/>
                <w:color w:val="auto"/>
                <w:sz w:val="24"/>
                <w:szCs w:val="24"/>
              </w:rPr>
              <w:t>项目名称</w:t>
            </w:r>
          </w:p>
        </w:tc>
        <w:tc>
          <w:tcPr>
            <w:tcW w:w="5853" w:type="dxa"/>
            <w:vAlign w:val="center"/>
          </w:tcPr>
          <w:p>
            <w:pPr>
              <w:spacing w:line="300" w:lineRule="exact"/>
              <w:jc w:val="center"/>
              <w:rPr>
                <w:rFonts w:hint="eastAsia" w:ascii="方正黑体_GBK" w:hAnsi="方正黑体_GBK" w:eastAsia="方正黑体_GBK" w:cs="方正黑体_GBK"/>
                <w:color w:val="auto"/>
                <w:sz w:val="24"/>
                <w:szCs w:val="24"/>
              </w:rPr>
            </w:pPr>
            <w:r>
              <w:rPr>
                <w:rFonts w:hint="eastAsia" w:ascii="方正黑体_GBK" w:hAnsi="方正黑体_GBK" w:eastAsia="方正黑体_GBK" w:cs="方正黑体_GBK"/>
                <w:color w:val="auto"/>
                <w:sz w:val="24"/>
                <w:szCs w:val="24"/>
              </w:rPr>
              <w:t>项目内容</w:t>
            </w:r>
          </w:p>
        </w:tc>
        <w:tc>
          <w:tcPr>
            <w:tcW w:w="1583" w:type="dxa"/>
            <w:vAlign w:val="center"/>
          </w:tcPr>
          <w:p>
            <w:pPr>
              <w:spacing w:line="300" w:lineRule="exact"/>
              <w:jc w:val="center"/>
              <w:rPr>
                <w:rFonts w:hint="eastAsia" w:ascii="方正黑体_GBK" w:hAnsi="方正黑体_GBK" w:eastAsia="方正黑体_GBK" w:cs="方正黑体_GBK"/>
                <w:color w:val="auto"/>
                <w:sz w:val="24"/>
                <w:szCs w:val="24"/>
              </w:rPr>
            </w:pPr>
            <w:r>
              <w:rPr>
                <w:rFonts w:hint="eastAsia" w:ascii="方正黑体_GBK" w:hAnsi="方正黑体_GBK" w:eastAsia="方正黑体_GBK" w:cs="方正黑体_GBK"/>
                <w:color w:val="auto"/>
                <w:sz w:val="24"/>
                <w:szCs w:val="24"/>
              </w:rPr>
              <w:t>完成时限</w:t>
            </w:r>
          </w:p>
        </w:tc>
        <w:tc>
          <w:tcPr>
            <w:tcW w:w="1422" w:type="dxa"/>
            <w:vAlign w:val="center"/>
          </w:tcPr>
          <w:p>
            <w:pPr>
              <w:spacing w:line="300" w:lineRule="exact"/>
              <w:jc w:val="center"/>
              <w:rPr>
                <w:rFonts w:hint="eastAsia" w:ascii="方正黑体_GBK" w:hAnsi="方正黑体_GBK" w:eastAsia="方正黑体_GBK" w:cs="方正黑体_GBK"/>
                <w:color w:val="auto"/>
                <w:sz w:val="24"/>
                <w:szCs w:val="24"/>
              </w:rPr>
            </w:pPr>
            <w:r>
              <w:rPr>
                <w:rFonts w:hint="eastAsia" w:ascii="方正黑体_GBK" w:hAnsi="方正黑体_GBK" w:eastAsia="方正黑体_GBK" w:cs="方正黑体_GBK"/>
                <w:color w:val="auto"/>
                <w:sz w:val="24"/>
                <w:szCs w:val="24"/>
              </w:rPr>
              <w:t>总投资</w:t>
            </w:r>
          </w:p>
          <w:p>
            <w:pPr>
              <w:spacing w:line="300" w:lineRule="exact"/>
              <w:jc w:val="center"/>
              <w:rPr>
                <w:rFonts w:hint="eastAsia" w:ascii="方正黑体_GBK" w:hAnsi="方正黑体_GBK" w:eastAsia="方正黑体_GBK" w:cs="方正黑体_GBK"/>
                <w:color w:val="auto"/>
                <w:sz w:val="24"/>
                <w:szCs w:val="24"/>
              </w:rPr>
            </w:pPr>
            <w:r>
              <w:rPr>
                <w:rFonts w:hint="eastAsia" w:ascii="方正黑体_GBK" w:hAnsi="方正黑体_GBK" w:eastAsia="方正黑体_GBK" w:cs="方正黑体_GBK"/>
                <w:color w:val="auto"/>
                <w:sz w:val="24"/>
                <w:szCs w:val="24"/>
              </w:rPr>
              <w:t>（万元）</w:t>
            </w:r>
          </w:p>
        </w:tc>
        <w:tc>
          <w:tcPr>
            <w:tcW w:w="1899" w:type="dxa"/>
            <w:vAlign w:val="center"/>
          </w:tcPr>
          <w:p>
            <w:pPr>
              <w:spacing w:line="300" w:lineRule="exact"/>
              <w:jc w:val="center"/>
              <w:rPr>
                <w:rFonts w:hint="eastAsia" w:ascii="方正黑体_GBK" w:hAnsi="方正黑体_GBK" w:eastAsia="方正黑体_GBK" w:cs="方正黑体_GBK"/>
                <w:color w:val="auto"/>
                <w:sz w:val="24"/>
                <w:szCs w:val="24"/>
              </w:rPr>
            </w:pPr>
            <w:r>
              <w:rPr>
                <w:rFonts w:hint="eastAsia" w:ascii="方正黑体_GBK" w:hAnsi="方正黑体_GBK" w:eastAsia="方正黑体_GBK" w:cs="方正黑体_GBK"/>
                <w:color w:val="auto"/>
                <w:sz w:val="24"/>
                <w:szCs w:val="24"/>
              </w:rPr>
              <w:t>牵头单位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1" w:type="dxa"/>
            <w:gridSpan w:val="4"/>
            <w:vAlign w:val="center"/>
          </w:tcPr>
          <w:p>
            <w:pPr>
              <w:widowControl/>
              <w:spacing w:line="300" w:lineRule="exact"/>
              <w:jc w:val="center"/>
              <w:rPr>
                <w:rFonts w:ascii="方正书宋简体" w:eastAsia="方正书宋简体" w:cs="Times New Roman"/>
                <w:b/>
                <w:bCs/>
                <w:color w:val="auto"/>
                <w:kern w:val="0"/>
                <w:sz w:val="22"/>
              </w:rPr>
            </w:pPr>
            <w:r>
              <w:rPr>
                <w:rFonts w:hint="eastAsia" w:ascii="方正书宋简体" w:eastAsia="方正书宋简体" w:cs="Times New Roman"/>
                <w:b/>
                <w:bCs/>
                <w:color w:val="auto"/>
                <w:kern w:val="0"/>
                <w:sz w:val="22"/>
              </w:rPr>
              <w:t>一、温室气体排放控制</w:t>
            </w:r>
          </w:p>
        </w:tc>
        <w:tc>
          <w:tcPr>
            <w:tcW w:w="1422" w:type="dxa"/>
            <w:vAlign w:val="center"/>
          </w:tcPr>
          <w:p>
            <w:pPr>
              <w:widowControl/>
              <w:spacing w:line="300" w:lineRule="exact"/>
              <w:jc w:val="center"/>
              <w:rPr>
                <w:rFonts w:ascii="方正书宋简体" w:eastAsia="方正书宋简体" w:cs="Times New Roman"/>
                <w:b/>
                <w:bCs/>
                <w:color w:val="auto"/>
                <w:kern w:val="0"/>
                <w:sz w:val="22"/>
              </w:rPr>
            </w:pPr>
            <w:r>
              <w:rPr>
                <w:rFonts w:ascii="方正书宋简体" w:eastAsia="方正书宋简体" w:cs="Times New Roman"/>
                <w:b/>
                <w:bCs/>
                <w:color w:val="auto"/>
                <w:kern w:val="0"/>
                <w:sz w:val="22"/>
              </w:rPr>
              <w:t>2</w:t>
            </w:r>
            <w:r>
              <w:rPr>
                <w:rFonts w:hint="eastAsia" w:ascii="方正书宋简体" w:eastAsia="方正书宋简体" w:cs="Times New Roman"/>
                <w:b/>
                <w:bCs/>
                <w:color w:val="auto"/>
                <w:kern w:val="0"/>
                <w:sz w:val="22"/>
              </w:rPr>
              <w:t>1</w:t>
            </w:r>
            <w:r>
              <w:rPr>
                <w:rFonts w:ascii="方正书宋简体" w:eastAsia="方正书宋简体" w:cs="Times New Roman"/>
                <w:b/>
                <w:bCs/>
                <w:color w:val="auto"/>
                <w:kern w:val="0"/>
                <w:sz w:val="22"/>
              </w:rPr>
              <w:t>1164</w:t>
            </w:r>
          </w:p>
        </w:tc>
        <w:tc>
          <w:tcPr>
            <w:tcW w:w="1899" w:type="dxa"/>
            <w:vAlign w:val="center"/>
          </w:tcPr>
          <w:p>
            <w:pPr>
              <w:widowControl/>
              <w:spacing w:line="300" w:lineRule="exact"/>
              <w:jc w:val="center"/>
              <w:rPr>
                <w:rFonts w:ascii="方正书宋简体" w:eastAsia="方正书宋简体" w:cs="Times New Roman"/>
                <w:b/>
                <w:bCs/>
                <w:color w:val="auto"/>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pPr>
              <w:widowControl/>
              <w:spacing w:line="300" w:lineRule="exact"/>
              <w:jc w:val="left"/>
              <w:rPr>
                <w:rFonts w:ascii="方正书宋简体" w:eastAsia="方正书宋简体" w:cs="Times New Roman"/>
                <w:color w:val="auto"/>
                <w:kern w:val="0"/>
                <w:sz w:val="24"/>
                <w:szCs w:val="24"/>
              </w:rPr>
            </w:pPr>
            <w:r>
              <w:rPr>
                <w:rFonts w:ascii="方正书宋简体" w:eastAsia="方正书宋简体" w:cs="Times New Roman"/>
                <w:color w:val="auto"/>
                <w:kern w:val="0"/>
                <w:sz w:val="22"/>
              </w:rPr>
              <w:t>1</w:t>
            </w:r>
          </w:p>
        </w:tc>
        <w:tc>
          <w:tcPr>
            <w:tcW w:w="1424" w:type="dxa"/>
            <w:vMerge w:val="restart"/>
            <w:vAlign w:val="center"/>
          </w:tcPr>
          <w:p>
            <w:pPr>
              <w:widowControl/>
              <w:spacing w:line="300" w:lineRule="exact"/>
              <w:jc w:val="left"/>
              <w:rPr>
                <w:rFonts w:ascii="方正书宋简体" w:hAnsi="等线" w:eastAsia="方正书宋简体" w:cs="宋体"/>
                <w:color w:val="auto"/>
                <w:kern w:val="0"/>
                <w:sz w:val="24"/>
                <w:szCs w:val="24"/>
              </w:rPr>
            </w:pPr>
            <w:r>
              <w:rPr>
                <w:rFonts w:hint="eastAsia" w:ascii="方正书宋简体" w:hAnsi="等线" w:eastAsia="方正书宋简体" w:cs="宋体"/>
                <w:color w:val="auto"/>
                <w:kern w:val="0"/>
                <w:sz w:val="24"/>
                <w:szCs w:val="24"/>
              </w:rPr>
              <w:t>能源基础设施建设</w:t>
            </w:r>
          </w:p>
        </w:tc>
        <w:tc>
          <w:tcPr>
            <w:tcW w:w="5853" w:type="dxa"/>
            <w:vAlign w:val="center"/>
          </w:tcPr>
          <w:p>
            <w:pPr>
              <w:widowControl/>
              <w:spacing w:line="300" w:lineRule="exact"/>
              <w:jc w:val="left"/>
              <w:rPr>
                <w:rFonts w:ascii="方正书宋简体" w:hAnsi="等线" w:eastAsia="方正书宋简体" w:cs="宋体"/>
                <w:color w:val="auto"/>
                <w:kern w:val="0"/>
                <w:sz w:val="24"/>
                <w:szCs w:val="24"/>
              </w:rPr>
            </w:pPr>
            <w:r>
              <w:rPr>
                <w:rFonts w:hint="eastAsia" w:ascii="方正书宋简体" w:hAnsi="等线" w:eastAsia="方正书宋简体" w:cs="宋体"/>
                <w:color w:val="auto"/>
                <w:kern w:val="0"/>
                <w:sz w:val="24"/>
                <w:szCs w:val="24"/>
              </w:rPr>
              <w:t>铜梁</w:t>
            </w:r>
            <w:r>
              <w:rPr>
                <w:rFonts w:ascii="方正书宋简体" w:hAnsi="等线" w:eastAsia="方正书宋简体" w:cs="宋体"/>
                <w:color w:val="auto"/>
                <w:kern w:val="0"/>
                <w:sz w:val="24"/>
                <w:szCs w:val="24"/>
              </w:rPr>
              <w:t>65万方/日页岩气液化储备调峰及综合利用项目。</w:t>
            </w:r>
          </w:p>
        </w:tc>
        <w:tc>
          <w:tcPr>
            <w:tcW w:w="1583" w:type="dxa"/>
            <w:vAlign w:val="center"/>
          </w:tcPr>
          <w:p>
            <w:pPr>
              <w:widowControl/>
              <w:spacing w:line="300" w:lineRule="exact"/>
              <w:jc w:val="left"/>
              <w:rPr>
                <w:rFonts w:ascii="方正书宋简体" w:eastAsia="方正书宋简体" w:cs="Times New Roman"/>
                <w:color w:val="auto"/>
                <w:kern w:val="0"/>
                <w:sz w:val="24"/>
                <w:szCs w:val="24"/>
              </w:rPr>
            </w:pPr>
            <w:r>
              <w:rPr>
                <w:rFonts w:ascii="方正书宋简体" w:eastAsia="方正书宋简体" w:cs="Times New Roman"/>
                <w:color w:val="auto"/>
                <w:kern w:val="0"/>
                <w:sz w:val="24"/>
                <w:szCs w:val="24"/>
              </w:rPr>
              <w:t>2021-2022</w:t>
            </w:r>
          </w:p>
        </w:tc>
        <w:tc>
          <w:tcPr>
            <w:tcW w:w="1422" w:type="dxa"/>
            <w:vAlign w:val="center"/>
          </w:tcPr>
          <w:p>
            <w:pPr>
              <w:widowControl/>
              <w:spacing w:line="300" w:lineRule="exact"/>
              <w:jc w:val="left"/>
              <w:rPr>
                <w:rFonts w:ascii="方正书宋简体" w:eastAsia="方正书宋简体" w:cs="Times New Roman"/>
                <w:color w:val="auto"/>
                <w:kern w:val="0"/>
                <w:sz w:val="24"/>
                <w:szCs w:val="24"/>
              </w:rPr>
            </w:pPr>
            <w:r>
              <w:rPr>
                <w:rFonts w:ascii="方正书宋简体" w:eastAsia="方正书宋简体" w:cs="Times New Roman"/>
                <w:color w:val="auto"/>
                <w:kern w:val="0"/>
                <w:sz w:val="24"/>
                <w:szCs w:val="24"/>
              </w:rPr>
              <w:t>30000</w:t>
            </w:r>
          </w:p>
        </w:tc>
        <w:tc>
          <w:tcPr>
            <w:tcW w:w="1899" w:type="dxa"/>
            <w:vAlign w:val="center"/>
          </w:tcPr>
          <w:p>
            <w:pPr>
              <w:widowControl/>
              <w:spacing w:line="300" w:lineRule="exact"/>
              <w:jc w:val="left"/>
              <w:rPr>
                <w:rFonts w:ascii="方正书宋简体" w:hAnsi="等线" w:eastAsia="方正书宋简体" w:cs="宋体"/>
                <w:color w:val="auto"/>
                <w:kern w:val="0"/>
                <w:sz w:val="24"/>
                <w:szCs w:val="24"/>
              </w:rPr>
            </w:pPr>
            <w:r>
              <w:rPr>
                <w:rFonts w:hint="eastAsia" w:ascii="方正书宋简体" w:hAnsi="等线" w:eastAsia="方正书宋简体" w:cs="宋体"/>
                <w:color w:val="auto"/>
                <w:kern w:val="0"/>
                <w:sz w:val="24"/>
                <w:szCs w:val="24"/>
              </w:rPr>
              <w:t>区经济信息委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91" w:type="dxa"/>
            <w:vAlign w:val="center"/>
          </w:tcPr>
          <w:p>
            <w:pPr>
              <w:widowControl/>
              <w:spacing w:line="300" w:lineRule="exact"/>
              <w:jc w:val="left"/>
              <w:rPr>
                <w:rFonts w:ascii="方正书宋简体" w:eastAsia="方正书宋简体" w:cs="Times New Roman"/>
                <w:color w:val="auto"/>
                <w:kern w:val="0"/>
                <w:sz w:val="22"/>
              </w:rPr>
            </w:pPr>
            <w:r>
              <w:rPr>
                <w:rFonts w:hint="eastAsia" w:ascii="方正书宋简体" w:eastAsia="方正书宋简体" w:cs="Times New Roman"/>
                <w:color w:val="auto"/>
                <w:kern w:val="0"/>
                <w:sz w:val="24"/>
                <w:szCs w:val="24"/>
              </w:rPr>
              <w:t>2</w:t>
            </w:r>
          </w:p>
        </w:tc>
        <w:tc>
          <w:tcPr>
            <w:tcW w:w="1424" w:type="dxa"/>
            <w:vMerge w:val="continue"/>
            <w:vAlign w:val="center"/>
          </w:tcPr>
          <w:p>
            <w:pPr>
              <w:widowControl/>
              <w:spacing w:line="300" w:lineRule="exact"/>
              <w:jc w:val="left"/>
              <w:rPr>
                <w:rFonts w:ascii="方正书宋简体" w:hAnsi="等线" w:eastAsia="方正书宋简体" w:cs="宋体"/>
                <w:color w:val="auto"/>
                <w:kern w:val="0"/>
                <w:sz w:val="24"/>
                <w:szCs w:val="24"/>
              </w:rPr>
            </w:pPr>
          </w:p>
        </w:tc>
        <w:tc>
          <w:tcPr>
            <w:tcW w:w="5853" w:type="dxa"/>
            <w:vAlign w:val="center"/>
          </w:tcPr>
          <w:p>
            <w:pPr>
              <w:widowControl/>
              <w:spacing w:line="300" w:lineRule="exact"/>
              <w:jc w:val="left"/>
              <w:rPr>
                <w:rFonts w:ascii="方正书宋简体" w:hAnsi="等线" w:eastAsia="方正书宋简体" w:cs="宋体"/>
                <w:color w:val="auto"/>
                <w:kern w:val="0"/>
                <w:sz w:val="24"/>
                <w:szCs w:val="24"/>
              </w:rPr>
            </w:pPr>
            <w:r>
              <w:rPr>
                <w:rFonts w:hint="eastAsia" w:ascii="方正书宋简体" w:hAnsi="等线" w:eastAsia="方正书宋简体" w:cs="宋体"/>
                <w:color w:val="auto"/>
                <w:kern w:val="0"/>
                <w:sz w:val="24"/>
                <w:szCs w:val="24"/>
              </w:rPr>
              <w:t>在重点小区、景区、加油站等重点区域停车场新建新能源汽车充电站或配套建设充电桩。在铜梁中心城市公共区域、医院学校、行政事业单位停车场及各场镇的建设新能源汽车公用充电桩</w:t>
            </w:r>
            <w:r>
              <w:rPr>
                <w:rFonts w:ascii="方正书宋简体" w:hAnsi="等线" w:eastAsia="方正书宋简体" w:cs="宋体"/>
                <w:color w:val="auto"/>
                <w:kern w:val="0"/>
                <w:sz w:val="24"/>
                <w:szCs w:val="24"/>
              </w:rPr>
              <w:t>2000个。</w:t>
            </w:r>
          </w:p>
        </w:tc>
        <w:tc>
          <w:tcPr>
            <w:tcW w:w="1583" w:type="dxa"/>
            <w:vAlign w:val="center"/>
          </w:tcPr>
          <w:p>
            <w:pPr>
              <w:widowControl/>
              <w:spacing w:line="300" w:lineRule="exact"/>
              <w:jc w:val="left"/>
              <w:rPr>
                <w:rFonts w:ascii="方正书宋简体" w:eastAsia="方正书宋简体" w:cs="Times New Roman"/>
                <w:color w:val="auto"/>
                <w:kern w:val="0"/>
                <w:sz w:val="24"/>
                <w:szCs w:val="24"/>
              </w:rPr>
            </w:pPr>
            <w:r>
              <w:rPr>
                <w:rFonts w:ascii="方正书宋简体" w:eastAsia="方正书宋简体" w:cs="Times New Roman"/>
                <w:color w:val="auto"/>
                <w:kern w:val="0"/>
                <w:sz w:val="24"/>
                <w:szCs w:val="24"/>
              </w:rPr>
              <w:t>2021-2024</w:t>
            </w:r>
          </w:p>
        </w:tc>
        <w:tc>
          <w:tcPr>
            <w:tcW w:w="1422" w:type="dxa"/>
            <w:vAlign w:val="center"/>
          </w:tcPr>
          <w:p>
            <w:pPr>
              <w:widowControl/>
              <w:spacing w:line="300" w:lineRule="exact"/>
              <w:jc w:val="left"/>
              <w:rPr>
                <w:rFonts w:ascii="方正书宋简体" w:eastAsia="方正书宋简体" w:cs="Times New Roman"/>
                <w:color w:val="auto"/>
                <w:kern w:val="0"/>
                <w:sz w:val="24"/>
                <w:szCs w:val="24"/>
              </w:rPr>
            </w:pPr>
            <w:r>
              <w:rPr>
                <w:rFonts w:ascii="方正书宋简体" w:eastAsia="方正书宋简体" w:cs="Times New Roman"/>
                <w:color w:val="auto"/>
                <w:kern w:val="0"/>
                <w:sz w:val="24"/>
                <w:szCs w:val="24"/>
              </w:rPr>
              <w:t>27390</w:t>
            </w:r>
          </w:p>
        </w:tc>
        <w:tc>
          <w:tcPr>
            <w:tcW w:w="1899" w:type="dxa"/>
            <w:vAlign w:val="center"/>
          </w:tcPr>
          <w:p>
            <w:pPr>
              <w:widowControl/>
              <w:spacing w:line="300" w:lineRule="exact"/>
              <w:jc w:val="left"/>
              <w:rPr>
                <w:rFonts w:ascii="方正书宋简体" w:hAnsi="等线" w:eastAsia="方正书宋简体" w:cs="宋体"/>
                <w:color w:val="auto"/>
                <w:kern w:val="0"/>
                <w:sz w:val="24"/>
                <w:szCs w:val="24"/>
              </w:rPr>
            </w:pPr>
            <w:r>
              <w:rPr>
                <w:rFonts w:hint="eastAsia" w:ascii="方正书宋简体" w:hAnsi="等线" w:eastAsia="方正书宋简体" w:cs="宋体"/>
                <w:color w:val="auto"/>
                <w:kern w:val="0"/>
                <w:sz w:val="24"/>
                <w:szCs w:val="24"/>
              </w:rPr>
              <w:t>区经济信息委、金龙城建公司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pPr>
              <w:widowControl/>
              <w:spacing w:line="300" w:lineRule="exact"/>
              <w:jc w:val="left"/>
              <w:rPr>
                <w:rFonts w:ascii="方正书宋简体" w:eastAsia="方正书宋简体" w:cs="Times New Roman"/>
                <w:color w:val="auto"/>
                <w:kern w:val="0"/>
                <w:sz w:val="24"/>
                <w:szCs w:val="24"/>
              </w:rPr>
            </w:pPr>
            <w:r>
              <w:rPr>
                <w:rFonts w:ascii="方正书宋简体" w:eastAsia="方正书宋简体" w:cs="Times New Roman"/>
                <w:color w:val="auto"/>
                <w:kern w:val="0"/>
                <w:sz w:val="22"/>
              </w:rPr>
              <w:t>3</w:t>
            </w:r>
          </w:p>
        </w:tc>
        <w:tc>
          <w:tcPr>
            <w:tcW w:w="1424" w:type="dxa"/>
            <w:vMerge w:val="continue"/>
            <w:vAlign w:val="center"/>
          </w:tcPr>
          <w:p>
            <w:pPr>
              <w:widowControl/>
              <w:spacing w:line="300" w:lineRule="exact"/>
              <w:jc w:val="left"/>
              <w:rPr>
                <w:rFonts w:ascii="方正书宋简体" w:hAnsi="等线" w:eastAsia="方正书宋简体" w:cs="宋体"/>
                <w:color w:val="auto"/>
                <w:kern w:val="0"/>
                <w:sz w:val="24"/>
                <w:szCs w:val="24"/>
              </w:rPr>
            </w:pPr>
          </w:p>
        </w:tc>
        <w:tc>
          <w:tcPr>
            <w:tcW w:w="5853" w:type="dxa"/>
            <w:vAlign w:val="center"/>
          </w:tcPr>
          <w:p>
            <w:pPr>
              <w:widowControl/>
              <w:spacing w:line="300" w:lineRule="exact"/>
              <w:jc w:val="lef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完成城镇天然气管网向农村延伸</w:t>
            </w:r>
            <w:r>
              <w:rPr>
                <w:rFonts w:ascii="方正书宋简体" w:eastAsia="方正书宋简体" w:cs="Times New Roman"/>
                <w:color w:val="auto"/>
                <w:kern w:val="0"/>
                <w:sz w:val="24"/>
                <w:szCs w:val="24"/>
              </w:rPr>
              <w:t>1200km</w:t>
            </w:r>
            <w:r>
              <w:rPr>
                <w:rFonts w:hint="eastAsia" w:ascii="方正书宋简体" w:eastAsia="方正书宋简体" w:cs="Times New Roman"/>
                <w:color w:val="auto"/>
                <w:kern w:val="0"/>
                <w:sz w:val="24"/>
                <w:szCs w:val="24"/>
              </w:rPr>
              <w:t>。</w:t>
            </w:r>
          </w:p>
        </w:tc>
        <w:tc>
          <w:tcPr>
            <w:tcW w:w="1583" w:type="dxa"/>
            <w:vAlign w:val="center"/>
          </w:tcPr>
          <w:p>
            <w:pPr>
              <w:widowControl/>
              <w:spacing w:line="300" w:lineRule="exact"/>
              <w:jc w:val="left"/>
              <w:rPr>
                <w:rFonts w:ascii="方正书宋简体" w:eastAsia="方正书宋简体" w:cs="Times New Roman"/>
                <w:color w:val="auto"/>
                <w:kern w:val="0"/>
                <w:sz w:val="24"/>
                <w:szCs w:val="24"/>
              </w:rPr>
            </w:pPr>
            <w:r>
              <w:rPr>
                <w:rFonts w:ascii="方正书宋简体" w:eastAsia="方正书宋简体" w:cs="Times New Roman"/>
                <w:color w:val="auto"/>
                <w:kern w:val="0"/>
                <w:sz w:val="24"/>
                <w:szCs w:val="24"/>
              </w:rPr>
              <w:t>2021-2025</w:t>
            </w:r>
          </w:p>
        </w:tc>
        <w:tc>
          <w:tcPr>
            <w:tcW w:w="1422" w:type="dxa"/>
            <w:vAlign w:val="center"/>
          </w:tcPr>
          <w:p>
            <w:pPr>
              <w:widowControl/>
              <w:spacing w:line="300" w:lineRule="exact"/>
              <w:jc w:val="left"/>
              <w:rPr>
                <w:rFonts w:ascii="方正书宋简体" w:eastAsia="方正书宋简体" w:cs="Times New Roman"/>
                <w:color w:val="auto"/>
                <w:kern w:val="0"/>
                <w:sz w:val="24"/>
                <w:szCs w:val="24"/>
              </w:rPr>
            </w:pPr>
            <w:r>
              <w:rPr>
                <w:rFonts w:ascii="方正书宋简体" w:eastAsia="方正书宋简体" w:cs="Times New Roman"/>
                <w:color w:val="auto"/>
                <w:kern w:val="0"/>
                <w:sz w:val="24"/>
                <w:szCs w:val="24"/>
              </w:rPr>
              <w:t>9600</w:t>
            </w:r>
          </w:p>
        </w:tc>
        <w:tc>
          <w:tcPr>
            <w:tcW w:w="1899" w:type="dxa"/>
            <w:vAlign w:val="center"/>
          </w:tcPr>
          <w:p>
            <w:pPr>
              <w:widowControl/>
              <w:spacing w:line="300" w:lineRule="exact"/>
              <w:jc w:val="left"/>
              <w:rPr>
                <w:rFonts w:ascii="方正书宋简体" w:hAnsi="等线" w:eastAsia="方正书宋简体" w:cs="宋体"/>
                <w:color w:val="auto"/>
                <w:kern w:val="0"/>
                <w:sz w:val="24"/>
                <w:szCs w:val="24"/>
              </w:rPr>
            </w:pPr>
            <w:r>
              <w:rPr>
                <w:rFonts w:hint="eastAsia" w:ascii="方正书宋简体" w:hAnsi="等线" w:eastAsia="方正书宋简体" w:cs="宋体"/>
                <w:color w:val="auto"/>
                <w:kern w:val="0"/>
                <w:sz w:val="24"/>
                <w:szCs w:val="24"/>
              </w:rPr>
              <w:t>区经济信息委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pPr>
              <w:widowControl/>
              <w:spacing w:line="300" w:lineRule="exact"/>
              <w:jc w:val="left"/>
              <w:rPr>
                <w:rFonts w:ascii="方正书宋简体" w:eastAsia="方正书宋简体" w:cs="Times New Roman"/>
                <w:color w:val="auto"/>
                <w:kern w:val="0"/>
                <w:sz w:val="24"/>
                <w:szCs w:val="24"/>
              </w:rPr>
            </w:pPr>
            <w:r>
              <w:rPr>
                <w:rFonts w:ascii="方正书宋简体" w:eastAsia="方正书宋简体" w:cs="Times New Roman"/>
                <w:color w:val="auto"/>
                <w:kern w:val="0"/>
                <w:sz w:val="22"/>
              </w:rPr>
              <w:t>4</w:t>
            </w:r>
          </w:p>
        </w:tc>
        <w:tc>
          <w:tcPr>
            <w:tcW w:w="1424" w:type="dxa"/>
            <w:vAlign w:val="center"/>
          </w:tcPr>
          <w:p>
            <w:pPr>
              <w:widowControl/>
              <w:spacing w:line="300" w:lineRule="exact"/>
              <w:jc w:val="left"/>
              <w:rPr>
                <w:rFonts w:ascii="方正书宋简体" w:hAnsi="等线" w:eastAsia="方正书宋简体" w:cs="宋体"/>
                <w:color w:val="auto"/>
                <w:kern w:val="0"/>
                <w:sz w:val="24"/>
                <w:szCs w:val="24"/>
              </w:rPr>
            </w:pPr>
            <w:r>
              <w:rPr>
                <w:rFonts w:hint="eastAsia" w:ascii="方正书宋简体" w:hAnsi="等线" w:eastAsia="方正书宋简体" w:cs="宋体"/>
                <w:color w:val="auto"/>
                <w:kern w:val="0"/>
                <w:sz w:val="24"/>
                <w:szCs w:val="24"/>
              </w:rPr>
              <w:t>建筑节能</w:t>
            </w:r>
          </w:p>
        </w:tc>
        <w:tc>
          <w:tcPr>
            <w:tcW w:w="5853" w:type="dxa"/>
            <w:vAlign w:val="center"/>
          </w:tcPr>
          <w:p>
            <w:pPr>
              <w:widowControl/>
              <w:spacing w:line="300" w:lineRule="exact"/>
              <w:jc w:val="left"/>
              <w:rPr>
                <w:rFonts w:ascii="方正书宋简体" w:hAnsi="等线" w:eastAsia="方正书宋简体" w:cs="宋体"/>
                <w:color w:val="auto"/>
                <w:kern w:val="0"/>
                <w:sz w:val="24"/>
                <w:szCs w:val="24"/>
              </w:rPr>
            </w:pPr>
            <w:r>
              <w:rPr>
                <w:rFonts w:hint="eastAsia" w:ascii="方正书宋简体" w:hAnsi="等线" w:eastAsia="方正书宋简体" w:cs="宋体"/>
                <w:color w:val="auto"/>
                <w:kern w:val="0"/>
                <w:sz w:val="24"/>
                <w:szCs w:val="24"/>
              </w:rPr>
              <w:t>既有公共建筑节能改造面积</w:t>
            </w:r>
            <w:r>
              <w:rPr>
                <w:rFonts w:ascii="方正书宋简体" w:hAnsi="等线" w:eastAsia="方正书宋简体" w:cs="宋体"/>
                <w:color w:val="auto"/>
                <w:kern w:val="0"/>
                <w:sz w:val="24"/>
                <w:szCs w:val="24"/>
              </w:rPr>
              <w:t>2</w:t>
            </w:r>
            <w:r>
              <w:rPr>
                <w:rFonts w:hint="eastAsia" w:ascii="方正书宋简体" w:hAnsi="等线" w:eastAsia="方正书宋简体" w:cs="宋体"/>
                <w:color w:val="auto"/>
                <w:kern w:val="0"/>
                <w:sz w:val="24"/>
                <w:szCs w:val="24"/>
              </w:rPr>
              <w:t>万平方米。</w:t>
            </w:r>
          </w:p>
        </w:tc>
        <w:tc>
          <w:tcPr>
            <w:tcW w:w="1583" w:type="dxa"/>
            <w:vAlign w:val="center"/>
          </w:tcPr>
          <w:p>
            <w:pPr>
              <w:widowControl/>
              <w:spacing w:line="300" w:lineRule="exact"/>
              <w:jc w:val="left"/>
              <w:rPr>
                <w:rFonts w:ascii="方正书宋简体" w:eastAsia="方正书宋简体" w:cs="Times New Roman"/>
                <w:color w:val="auto"/>
                <w:kern w:val="0"/>
                <w:sz w:val="24"/>
                <w:szCs w:val="24"/>
              </w:rPr>
            </w:pPr>
            <w:r>
              <w:rPr>
                <w:rFonts w:ascii="方正书宋简体" w:eastAsia="方正书宋简体" w:cs="Times New Roman"/>
                <w:color w:val="auto"/>
                <w:kern w:val="0"/>
                <w:sz w:val="24"/>
                <w:szCs w:val="24"/>
              </w:rPr>
              <w:t>2021-2025</w:t>
            </w:r>
          </w:p>
        </w:tc>
        <w:tc>
          <w:tcPr>
            <w:tcW w:w="1422" w:type="dxa"/>
            <w:vAlign w:val="center"/>
          </w:tcPr>
          <w:p>
            <w:pPr>
              <w:widowControl/>
              <w:spacing w:line="300" w:lineRule="exact"/>
              <w:jc w:val="left"/>
              <w:rPr>
                <w:rFonts w:ascii="方正书宋简体" w:eastAsia="方正书宋简体" w:cs="Times New Roman"/>
                <w:color w:val="auto"/>
                <w:kern w:val="0"/>
                <w:sz w:val="24"/>
                <w:szCs w:val="24"/>
              </w:rPr>
            </w:pPr>
            <w:r>
              <w:rPr>
                <w:rFonts w:ascii="方正书宋简体" w:eastAsia="方正书宋简体" w:cs="Times New Roman"/>
                <w:color w:val="auto"/>
                <w:kern w:val="0"/>
                <w:sz w:val="24"/>
                <w:szCs w:val="24"/>
              </w:rPr>
              <w:t>1000</w:t>
            </w:r>
          </w:p>
        </w:tc>
        <w:tc>
          <w:tcPr>
            <w:tcW w:w="1899" w:type="dxa"/>
            <w:vAlign w:val="center"/>
          </w:tcPr>
          <w:p>
            <w:pPr>
              <w:widowControl/>
              <w:spacing w:line="300" w:lineRule="exact"/>
              <w:jc w:val="left"/>
              <w:rPr>
                <w:rFonts w:ascii="方正书宋简体" w:hAnsi="等线" w:eastAsia="方正书宋简体" w:cs="宋体"/>
                <w:color w:val="auto"/>
                <w:kern w:val="0"/>
                <w:sz w:val="24"/>
                <w:szCs w:val="24"/>
              </w:rPr>
            </w:pPr>
            <w:r>
              <w:rPr>
                <w:rFonts w:hint="eastAsia" w:ascii="方正书宋简体" w:hAnsi="等线" w:eastAsia="方正书宋简体" w:cs="宋体"/>
                <w:color w:val="auto"/>
                <w:kern w:val="0"/>
                <w:sz w:val="24"/>
                <w:szCs w:val="24"/>
              </w:rPr>
              <w:t>区住房城乡建委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pPr>
              <w:widowControl/>
              <w:spacing w:line="300" w:lineRule="exact"/>
              <w:jc w:val="left"/>
              <w:rPr>
                <w:rFonts w:ascii="方正书宋简体" w:eastAsia="方正书宋简体" w:cs="Times New Roman"/>
                <w:color w:val="auto"/>
                <w:kern w:val="0"/>
                <w:sz w:val="24"/>
                <w:szCs w:val="24"/>
              </w:rPr>
            </w:pPr>
            <w:r>
              <w:rPr>
                <w:rFonts w:ascii="方正书宋简体" w:eastAsia="方正书宋简体" w:cs="Times New Roman"/>
                <w:color w:val="auto"/>
                <w:kern w:val="0"/>
                <w:sz w:val="22"/>
              </w:rPr>
              <w:t>5</w:t>
            </w:r>
          </w:p>
        </w:tc>
        <w:tc>
          <w:tcPr>
            <w:tcW w:w="1424" w:type="dxa"/>
            <w:vMerge w:val="restart"/>
            <w:vAlign w:val="center"/>
          </w:tcPr>
          <w:p>
            <w:pPr>
              <w:widowControl/>
              <w:spacing w:line="300" w:lineRule="exact"/>
              <w:jc w:val="left"/>
              <w:rPr>
                <w:rFonts w:ascii="方正书宋简体" w:hAnsi="等线" w:eastAsia="方正书宋简体" w:cs="宋体"/>
                <w:color w:val="auto"/>
                <w:kern w:val="0"/>
                <w:sz w:val="24"/>
                <w:szCs w:val="24"/>
              </w:rPr>
            </w:pPr>
            <w:r>
              <w:rPr>
                <w:rFonts w:hint="eastAsia" w:ascii="方正书宋简体" w:hAnsi="等线" w:eastAsia="方正书宋简体" w:cs="宋体"/>
                <w:color w:val="auto"/>
                <w:kern w:val="0"/>
                <w:sz w:val="24"/>
                <w:szCs w:val="24"/>
              </w:rPr>
              <w:t>低碳交通体系建设</w:t>
            </w:r>
          </w:p>
        </w:tc>
        <w:tc>
          <w:tcPr>
            <w:tcW w:w="5853" w:type="dxa"/>
            <w:vAlign w:val="center"/>
          </w:tcPr>
          <w:p>
            <w:pPr>
              <w:widowControl/>
              <w:spacing w:line="300" w:lineRule="exact"/>
              <w:jc w:val="left"/>
              <w:rPr>
                <w:rFonts w:ascii="方正书宋简体" w:hAnsi="等线" w:eastAsia="方正书宋简体" w:cs="宋体"/>
                <w:color w:val="auto"/>
                <w:kern w:val="0"/>
                <w:sz w:val="24"/>
                <w:szCs w:val="24"/>
              </w:rPr>
            </w:pPr>
            <w:r>
              <w:rPr>
                <w:rFonts w:hint="eastAsia" w:ascii="方正书宋简体" w:hAnsi="等线" w:eastAsia="方正书宋简体" w:cs="宋体"/>
                <w:color w:val="auto"/>
                <w:kern w:val="0"/>
                <w:sz w:val="24"/>
                <w:szCs w:val="24"/>
              </w:rPr>
              <w:t>改造铜梁至虎峰镇、土桥镇农村客车</w:t>
            </w:r>
            <w:r>
              <w:rPr>
                <w:rFonts w:ascii="方正书宋简体" w:hAnsi="等线" w:eastAsia="方正书宋简体" w:cs="宋体"/>
                <w:color w:val="auto"/>
                <w:kern w:val="0"/>
                <w:sz w:val="24"/>
                <w:szCs w:val="24"/>
              </w:rPr>
              <w:t>34台为新能源。</w:t>
            </w:r>
          </w:p>
        </w:tc>
        <w:tc>
          <w:tcPr>
            <w:tcW w:w="1583" w:type="dxa"/>
            <w:vAlign w:val="center"/>
          </w:tcPr>
          <w:p>
            <w:pPr>
              <w:widowControl/>
              <w:spacing w:line="300" w:lineRule="exact"/>
              <w:jc w:val="left"/>
              <w:rPr>
                <w:rFonts w:ascii="方正书宋简体" w:eastAsia="方正书宋简体" w:cs="Times New Roman"/>
                <w:color w:val="auto"/>
                <w:kern w:val="0"/>
                <w:sz w:val="24"/>
                <w:szCs w:val="24"/>
              </w:rPr>
            </w:pPr>
            <w:r>
              <w:rPr>
                <w:rFonts w:ascii="方正书宋简体" w:eastAsia="方正书宋简体" w:cs="Times New Roman"/>
                <w:color w:val="auto"/>
                <w:kern w:val="0"/>
                <w:sz w:val="24"/>
                <w:szCs w:val="24"/>
              </w:rPr>
              <w:t>2021-2025</w:t>
            </w:r>
          </w:p>
        </w:tc>
        <w:tc>
          <w:tcPr>
            <w:tcW w:w="1422" w:type="dxa"/>
            <w:vAlign w:val="center"/>
          </w:tcPr>
          <w:p>
            <w:pPr>
              <w:widowControl/>
              <w:spacing w:line="300" w:lineRule="exact"/>
              <w:jc w:val="left"/>
              <w:rPr>
                <w:rFonts w:ascii="方正书宋简体" w:eastAsia="方正书宋简体" w:cs="Times New Roman"/>
                <w:color w:val="auto"/>
                <w:kern w:val="0"/>
                <w:sz w:val="24"/>
                <w:szCs w:val="24"/>
              </w:rPr>
            </w:pPr>
            <w:r>
              <w:rPr>
                <w:rFonts w:ascii="方正书宋简体" w:eastAsia="方正书宋简体" w:cs="Times New Roman"/>
                <w:color w:val="auto"/>
                <w:kern w:val="0"/>
                <w:sz w:val="24"/>
                <w:szCs w:val="24"/>
              </w:rPr>
              <w:t>1100</w:t>
            </w:r>
          </w:p>
        </w:tc>
        <w:tc>
          <w:tcPr>
            <w:tcW w:w="1899" w:type="dxa"/>
            <w:vAlign w:val="center"/>
          </w:tcPr>
          <w:p>
            <w:pPr>
              <w:widowControl/>
              <w:spacing w:line="300" w:lineRule="exact"/>
              <w:jc w:val="left"/>
              <w:rPr>
                <w:rFonts w:ascii="方正书宋简体" w:hAnsi="等线" w:eastAsia="方正书宋简体" w:cs="宋体"/>
                <w:color w:val="auto"/>
                <w:kern w:val="0"/>
                <w:sz w:val="24"/>
                <w:szCs w:val="24"/>
              </w:rPr>
            </w:pPr>
            <w:r>
              <w:rPr>
                <w:rFonts w:hint="eastAsia" w:ascii="方正书宋简体" w:hAnsi="等线" w:eastAsia="方正书宋简体" w:cs="宋体"/>
                <w:color w:val="auto"/>
                <w:kern w:val="0"/>
                <w:sz w:val="24"/>
                <w:szCs w:val="24"/>
              </w:rPr>
              <w:t>区交通局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91" w:type="dxa"/>
            <w:vAlign w:val="center"/>
          </w:tcPr>
          <w:p>
            <w:pPr>
              <w:widowControl/>
              <w:spacing w:line="300" w:lineRule="exact"/>
              <w:jc w:val="left"/>
              <w:rPr>
                <w:rFonts w:ascii="方正书宋简体" w:eastAsia="方正书宋简体" w:cs="Times New Roman"/>
                <w:color w:val="auto"/>
                <w:kern w:val="0"/>
                <w:sz w:val="24"/>
                <w:szCs w:val="24"/>
              </w:rPr>
            </w:pPr>
            <w:r>
              <w:rPr>
                <w:rFonts w:ascii="方正书宋简体" w:eastAsia="方正书宋简体" w:cs="Times New Roman"/>
                <w:color w:val="auto"/>
                <w:kern w:val="0"/>
                <w:sz w:val="22"/>
              </w:rPr>
              <w:t>6</w:t>
            </w:r>
          </w:p>
        </w:tc>
        <w:tc>
          <w:tcPr>
            <w:tcW w:w="1424" w:type="dxa"/>
            <w:vMerge w:val="continue"/>
            <w:vAlign w:val="center"/>
          </w:tcPr>
          <w:p>
            <w:pPr>
              <w:spacing w:line="300" w:lineRule="exact"/>
              <w:jc w:val="left"/>
              <w:rPr>
                <w:rFonts w:ascii="方正书宋简体" w:hAnsi="等线" w:eastAsia="方正书宋简体" w:cs="宋体"/>
                <w:color w:val="auto"/>
                <w:kern w:val="0"/>
                <w:sz w:val="24"/>
                <w:szCs w:val="24"/>
              </w:rPr>
            </w:pPr>
          </w:p>
        </w:tc>
        <w:tc>
          <w:tcPr>
            <w:tcW w:w="5853" w:type="dxa"/>
            <w:vAlign w:val="center"/>
          </w:tcPr>
          <w:p>
            <w:pPr>
              <w:widowControl/>
              <w:spacing w:line="300" w:lineRule="exact"/>
              <w:jc w:val="left"/>
              <w:rPr>
                <w:rFonts w:ascii="方正书宋简体" w:hAnsi="等线" w:eastAsia="方正书宋简体" w:cs="宋体"/>
                <w:color w:val="auto"/>
                <w:kern w:val="0"/>
                <w:sz w:val="24"/>
                <w:szCs w:val="24"/>
              </w:rPr>
            </w:pPr>
            <w:r>
              <w:rPr>
                <w:rFonts w:hint="eastAsia" w:ascii="方正书宋简体" w:hAnsi="等线" w:eastAsia="方正书宋简体" w:cs="宋体"/>
                <w:color w:val="auto"/>
                <w:kern w:val="0"/>
                <w:sz w:val="24"/>
                <w:szCs w:val="24"/>
              </w:rPr>
              <w:t>建设智慧铜梁汽车站，探索应用“电子客票”和“无纸化乘车”，打造“无人”值守的“无纸化、自动化、自助化”的智慧车站。</w:t>
            </w:r>
          </w:p>
        </w:tc>
        <w:tc>
          <w:tcPr>
            <w:tcW w:w="1583" w:type="dxa"/>
            <w:vAlign w:val="center"/>
          </w:tcPr>
          <w:p>
            <w:pPr>
              <w:widowControl/>
              <w:spacing w:line="300" w:lineRule="exact"/>
              <w:jc w:val="left"/>
              <w:rPr>
                <w:rFonts w:ascii="方正书宋简体" w:eastAsia="方正书宋简体" w:cs="Times New Roman"/>
                <w:color w:val="auto"/>
                <w:kern w:val="0"/>
                <w:sz w:val="24"/>
                <w:szCs w:val="24"/>
              </w:rPr>
            </w:pPr>
            <w:r>
              <w:rPr>
                <w:rFonts w:ascii="方正书宋简体" w:eastAsia="方正书宋简体" w:cs="Times New Roman"/>
                <w:color w:val="auto"/>
                <w:kern w:val="0"/>
                <w:sz w:val="24"/>
                <w:szCs w:val="24"/>
              </w:rPr>
              <w:t>2021-2025</w:t>
            </w:r>
          </w:p>
        </w:tc>
        <w:tc>
          <w:tcPr>
            <w:tcW w:w="1422" w:type="dxa"/>
            <w:vAlign w:val="center"/>
          </w:tcPr>
          <w:p>
            <w:pPr>
              <w:widowControl/>
              <w:spacing w:line="300" w:lineRule="exact"/>
              <w:jc w:val="left"/>
              <w:rPr>
                <w:rFonts w:ascii="方正书宋简体" w:eastAsia="方正书宋简体" w:cs="Times New Roman"/>
                <w:color w:val="auto"/>
                <w:kern w:val="0"/>
                <w:sz w:val="24"/>
                <w:szCs w:val="24"/>
              </w:rPr>
            </w:pPr>
            <w:r>
              <w:rPr>
                <w:rFonts w:ascii="方正书宋简体" w:eastAsia="方正书宋简体" w:cs="Times New Roman"/>
                <w:color w:val="auto"/>
                <w:kern w:val="0"/>
                <w:sz w:val="24"/>
                <w:szCs w:val="24"/>
              </w:rPr>
              <w:t>400</w:t>
            </w:r>
          </w:p>
        </w:tc>
        <w:tc>
          <w:tcPr>
            <w:tcW w:w="1899" w:type="dxa"/>
            <w:vAlign w:val="center"/>
          </w:tcPr>
          <w:p>
            <w:pPr>
              <w:widowControl/>
              <w:spacing w:line="300" w:lineRule="exact"/>
              <w:jc w:val="left"/>
              <w:rPr>
                <w:rFonts w:ascii="方正书宋简体" w:hAnsi="等线" w:eastAsia="方正书宋简体" w:cs="宋体"/>
                <w:color w:val="auto"/>
                <w:kern w:val="0"/>
                <w:sz w:val="24"/>
                <w:szCs w:val="24"/>
              </w:rPr>
            </w:pPr>
            <w:r>
              <w:rPr>
                <w:rFonts w:hint="eastAsia" w:ascii="方正书宋简体" w:hAnsi="等线" w:eastAsia="方正书宋简体" w:cs="宋体"/>
                <w:color w:val="auto"/>
                <w:kern w:val="0"/>
                <w:sz w:val="24"/>
                <w:szCs w:val="24"/>
              </w:rPr>
              <w:t>区交通局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pPr>
              <w:widowControl/>
              <w:spacing w:line="300" w:lineRule="exact"/>
              <w:jc w:val="left"/>
              <w:rPr>
                <w:rFonts w:ascii="方正书宋简体" w:eastAsia="方正书宋简体" w:cs="Times New Roman"/>
                <w:color w:val="auto"/>
                <w:kern w:val="0"/>
                <w:sz w:val="24"/>
                <w:szCs w:val="24"/>
              </w:rPr>
            </w:pPr>
            <w:r>
              <w:rPr>
                <w:rFonts w:ascii="方正书宋简体" w:eastAsia="方正书宋简体" w:cs="Times New Roman"/>
                <w:color w:val="auto"/>
                <w:kern w:val="0"/>
                <w:sz w:val="22"/>
              </w:rPr>
              <w:t>7</w:t>
            </w:r>
          </w:p>
        </w:tc>
        <w:tc>
          <w:tcPr>
            <w:tcW w:w="1424" w:type="dxa"/>
            <w:vMerge w:val="continue"/>
            <w:vAlign w:val="center"/>
          </w:tcPr>
          <w:p>
            <w:pPr>
              <w:widowControl/>
              <w:spacing w:line="300" w:lineRule="exact"/>
              <w:jc w:val="left"/>
              <w:rPr>
                <w:rFonts w:ascii="方正书宋简体" w:hAnsi="等线" w:eastAsia="方正书宋简体" w:cs="宋体"/>
                <w:color w:val="auto"/>
                <w:kern w:val="0"/>
                <w:sz w:val="24"/>
                <w:szCs w:val="24"/>
              </w:rPr>
            </w:pPr>
          </w:p>
        </w:tc>
        <w:tc>
          <w:tcPr>
            <w:tcW w:w="5853" w:type="dxa"/>
            <w:vAlign w:val="center"/>
          </w:tcPr>
          <w:p>
            <w:pPr>
              <w:widowControl/>
              <w:spacing w:line="300" w:lineRule="exact"/>
              <w:jc w:val="left"/>
              <w:rPr>
                <w:rFonts w:ascii="方正书宋简体" w:hAnsi="等线" w:eastAsia="方正书宋简体" w:cs="宋体"/>
                <w:color w:val="auto"/>
                <w:kern w:val="0"/>
                <w:sz w:val="24"/>
                <w:szCs w:val="24"/>
              </w:rPr>
            </w:pPr>
            <w:r>
              <w:rPr>
                <w:rFonts w:hint="eastAsia" w:ascii="方正书宋简体" w:hAnsi="等线" w:eastAsia="方正书宋简体" w:cs="宋体"/>
                <w:color w:val="auto"/>
                <w:kern w:val="0"/>
                <w:sz w:val="24"/>
                <w:szCs w:val="24"/>
              </w:rPr>
              <w:t>推动全区新增和更换的公交车等实现纯电动化，推广使用纯电动公交车</w:t>
            </w:r>
            <w:r>
              <w:rPr>
                <w:rFonts w:ascii="方正书宋简体" w:hAnsi="等线" w:eastAsia="方正书宋简体" w:cs="宋体"/>
                <w:color w:val="auto"/>
                <w:kern w:val="0"/>
                <w:sz w:val="24"/>
                <w:szCs w:val="24"/>
              </w:rPr>
              <w:t>75台，更新出租车245台。</w:t>
            </w:r>
          </w:p>
        </w:tc>
        <w:tc>
          <w:tcPr>
            <w:tcW w:w="1583" w:type="dxa"/>
            <w:vAlign w:val="center"/>
          </w:tcPr>
          <w:p>
            <w:pPr>
              <w:widowControl/>
              <w:spacing w:line="300" w:lineRule="exact"/>
              <w:jc w:val="left"/>
              <w:rPr>
                <w:rFonts w:ascii="方正书宋简体" w:eastAsia="方正书宋简体" w:cs="Times New Roman"/>
                <w:color w:val="auto"/>
                <w:kern w:val="0"/>
                <w:sz w:val="24"/>
                <w:szCs w:val="24"/>
              </w:rPr>
            </w:pPr>
            <w:r>
              <w:rPr>
                <w:rFonts w:ascii="方正书宋简体" w:eastAsia="方正书宋简体" w:cs="Times New Roman"/>
                <w:color w:val="auto"/>
                <w:kern w:val="0"/>
                <w:sz w:val="24"/>
                <w:szCs w:val="24"/>
              </w:rPr>
              <w:t>2021-2025</w:t>
            </w:r>
          </w:p>
        </w:tc>
        <w:tc>
          <w:tcPr>
            <w:tcW w:w="1422" w:type="dxa"/>
            <w:vAlign w:val="center"/>
          </w:tcPr>
          <w:p>
            <w:pPr>
              <w:widowControl/>
              <w:spacing w:line="300" w:lineRule="exact"/>
              <w:jc w:val="left"/>
              <w:rPr>
                <w:rFonts w:ascii="方正书宋简体" w:eastAsia="方正书宋简体" w:cs="Times New Roman"/>
                <w:color w:val="auto"/>
                <w:kern w:val="0"/>
                <w:sz w:val="24"/>
                <w:szCs w:val="24"/>
              </w:rPr>
            </w:pPr>
            <w:r>
              <w:rPr>
                <w:rFonts w:ascii="方正书宋简体" w:eastAsia="方正书宋简体" w:cs="Times New Roman"/>
                <w:color w:val="auto"/>
                <w:kern w:val="0"/>
                <w:sz w:val="24"/>
                <w:szCs w:val="24"/>
              </w:rPr>
              <w:t>6800</w:t>
            </w:r>
          </w:p>
        </w:tc>
        <w:tc>
          <w:tcPr>
            <w:tcW w:w="1899" w:type="dxa"/>
            <w:vAlign w:val="center"/>
          </w:tcPr>
          <w:p>
            <w:pPr>
              <w:widowControl/>
              <w:spacing w:line="300" w:lineRule="exact"/>
              <w:jc w:val="left"/>
              <w:rPr>
                <w:rFonts w:ascii="方正书宋简体" w:hAnsi="等线" w:eastAsia="方正书宋简体" w:cs="宋体"/>
                <w:color w:val="auto"/>
                <w:kern w:val="0"/>
                <w:sz w:val="24"/>
                <w:szCs w:val="24"/>
              </w:rPr>
            </w:pPr>
            <w:r>
              <w:rPr>
                <w:rFonts w:hint="eastAsia" w:ascii="方正书宋简体" w:hAnsi="等线" w:eastAsia="方正书宋简体" w:cs="宋体"/>
                <w:color w:val="auto"/>
                <w:kern w:val="0"/>
                <w:sz w:val="24"/>
                <w:szCs w:val="24"/>
              </w:rPr>
              <w:t>区交通局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pPr>
              <w:widowControl/>
              <w:spacing w:line="300" w:lineRule="exact"/>
              <w:jc w:val="left"/>
              <w:rPr>
                <w:rFonts w:ascii="方正书宋简体" w:eastAsia="方正书宋简体" w:cs="Times New Roman"/>
                <w:color w:val="auto"/>
                <w:kern w:val="0"/>
                <w:sz w:val="24"/>
                <w:szCs w:val="24"/>
              </w:rPr>
            </w:pPr>
            <w:r>
              <w:rPr>
                <w:rFonts w:ascii="方正书宋简体" w:eastAsia="方正书宋简体" w:cs="Times New Roman"/>
                <w:color w:val="auto"/>
                <w:kern w:val="0"/>
                <w:sz w:val="22"/>
              </w:rPr>
              <w:t>8</w:t>
            </w:r>
          </w:p>
        </w:tc>
        <w:tc>
          <w:tcPr>
            <w:tcW w:w="1424" w:type="dxa"/>
            <w:vMerge w:val="restart"/>
            <w:vAlign w:val="center"/>
          </w:tcPr>
          <w:p>
            <w:pPr>
              <w:widowControl/>
              <w:spacing w:line="300" w:lineRule="exact"/>
              <w:jc w:val="left"/>
              <w:rPr>
                <w:rFonts w:ascii="方正书宋简体" w:hAnsi="等线" w:eastAsia="方正书宋简体" w:cs="宋体"/>
                <w:color w:val="auto"/>
                <w:kern w:val="0"/>
                <w:sz w:val="24"/>
                <w:szCs w:val="24"/>
              </w:rPr>
            </w:pPr>
            <w:r>
              <w:rPr>
                <w:rFonts w:hint="eastAsia" w:ascii="方正书宋简体" w:hAnsi="等线" w:eastAsia="方正书宋简体" w:cs="宋体"/>
                <w:color w:val="auto"/>
                <w:kern w:val="0"/>
                <w:sz w:val="24"/>
                <w:szCs w:val="24"/>
              </w:rPr>
              <w:t>生态碳汇能力建设</w:t>
            </w:r>
          </w:p>
        </w:tc>
        <w:tc>
          <w:tcPr>
            <w:tcW w:w="5853" w:type="dxa"/>
            <w:vAlign w:val="center"/>
          </w:tcPr>
          <w:p>
            <w:pPr>
              <w:widowControl/>
              <w:spacing w:line="300" w:lineRule="exact"/>
              <w:jc w:val="left"/>
              <w:rPr>
                <w:rFonts w:ascii="方正书宋简体" w:hAnsi="等线" w:eastAsia="方正书宋简体" w:cs="宋体"/>
                <w:color w:val="auto"/>
                <w:kern w:val="0"/>
                <w:sz w:val="24"/>
                <w:szCs w:val="24"/>
              </w:rPr>
            </w:pPr>
            <w:r>
              <w:rPr>
                <w:rFonts w:hint="eastAsia" w:ascii="方正书宋简体" w:hAnsi="等线" w:eastAsia="方正书宋简体" w:cs="宋体"/>
                <w:color w:val="auto"/>
                <w:kern w:val="0"/>
                <w:sz w:val="24"/>
                <w:szCs w:val="24"/>
              </w:rPr>
              <w:t>森林数量提升</w:t>
            </w:r>
            <w:r>
              <w:rPr>
                <w:rFonts w:ascii="方正书宋简体" w:hAnsi="等线" w:eastAsia="方正书宋简体" w:cs="宋体"/>
                <w:color w:val="auto"/>
                <w:kern w:val="0"/>
                <w:sz w:val="24"/>
                <w:szCs w:val="24"/>
              </w:rPr>
              <w:t>0.7万亩，森林质量提升1.7万亩。</w:t>
            </w:r>
          </w:p>
        </w:tc>
        <w:tc>
          <w:tcPr>
            <w:tcW w:w="1583" w:type="dxa"/>
            <w:vAlign w:val="center"/>
          </w:tcPr>
          <w:p>
            <w:pPr>
              <w:widowControl/>
              <w:spacing w:line="300" w:lineRule="exact"/>
              <w:jc w:val="left"/>
              <w:rPr>
                <w:rFonts w:ascii="方正书宋简体" w:eastAsia="方正书宋简体" w:cs="Times New Roman"/>
                <w:color w:val="auto"/>
                <w:kern w:val="0"/>
                <w:sz w:val="24"/>
                <w:szCs w:val="24"/>
              </w:rPr>
            </w:pPr>
            <w:r>
              <w:rPr>
                <w:rFonts w:ascii="方正书宋简体" w:eastAsia="方正书宋简体" w:cs="Times New Roman"/>
                <w:color w:val="auto"/>
                <w:kern w:val="0"/>
                <w:sz w:val="24"/>
                <w:szCs w:val="24"/>
              </w:rPr>
              <w:t>2021-2025</w:t>
            </w:r>
          </w:p>
        </w:tc>
        <w:tc>
          <w:tcPr>
            <w:tcW w:w="1422" w:type="dxa"/>
            <w:vAlign w:val="center"/>
          </w:tcPr>
          <w:p>
            <w:pPr>
              <w:widowControl/>
              <w:spacing w:line="300" w:lineRule="exact"/>
              <w:jc w:val="left"/>
              <w:rPr>
                <w:rFonts w:ascii="方正书宋简体" w:eastAsia="方正书宋简体" w:cs="Times New Roman"/>
                <w:color w:val="auto"/>
                <w:kern w:val="0"/>
                <w:sz w:val="24"/>
                <w:szCs w:val="24"/>
              </w:rPr>
            </w:pPr>
            <w:r>
              <w:rPr>
                <w:rFonts w:ascii="方正书宋简体" w:eastAsia="方正书宋简体" w:cs="Times New Roman"/>
                <w:color w:val="auto"/>
                <w:kern w:val="0"/>
                <w:sz w:val="24"/>
                <w:szCs w:val="24"/>
              </w:rPr>
              <w:t>1858</w:t>
            </w:r>
          </w:p>
        </w:tc>
        <w:tc>
          <w:tcPr>
            <w:tcW w:w="1899" w:type="dxa"/>
            <w:vAlign w:val="center"/>
          </w:tcPr>
          <w:p>
            <w:pPr>
              <w:widowControl/>
              <w:spacing w:line="300" w:lineRule="exact"/>
              <w:jc w:val="left"/>
              <w:rPr>
                <w:rFonts w:ascii="方正书宋简体" w:hAnsi="等线" w:eastAsia="方正书宋简体" w:cs="宋体"/>
                <w:color w:val="auto"/>
                <w:kern w:val="0"/>
                <w:sz w:val="24"/>
                <w:szCs w:val="24"/>
              </w:rPr>
            </w:pPr>
            <w:r>
              <w:rPr>
                <w:rFonts w:hint="eastAsia" w:ascii="方正书宋简体" w:hAnsi="等线" w:eastAsia="方正书宋简体" w:cs="宋体"/>
                <w:color w:val="auto"/>
                <w:kern w:val="0"/>
                <w:sz w:val="24"/>
                <w:szCs w:val="24"/>
              </w:rPr>
              <w:t>区林业局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pPr>
              <w:widowControl/>
              <w:spacing w:line="300" w:lineRule="exact"/>
              <w:jc w:val="left"/>
              <w:rPr>
                <w:rFonts w:ascii="方正书宋简体" w:eastAsia="方正书宋简体" w:cs="Times New Roman"/>
                <w:color w:val="auto"/>
                <w:kern w:val="0"/>
                <w:sz w:val="24"/>
                <w:szCs w:val="24"/>
              </w:rPr>
            </w:pPr>
            <w:r>
              <w:rPr>
                <w:rFonts w:ascii="方正书宋简体" w:eastAsia="方正书宋简体" w:cs="Times New Roman"/>
                <w:color w:val="auto"/>
                <w:kern w:val="0"/>
                <w:sz w:val="22"/>
              </w:rPr>
              <w:t>9</w:t>
            </w:r>
          </w:p>
        </w:tc>
        <w:tc>
          <w:tcPr>
            <w:tcW w:w="1424" w:type="dxa"/>
            <w:vMerge w:val="continue"/>
            <w:vAlign w:val="center"/>
          </w:tcPr>
          <w:p>
            <w:pPr>
              <w:spacing w:line="300" w:lineRule="exact"/>
              <w:jc w:val="left"/>
              <w:rPr>
                <w:rFonts w:ascii="方正书宋简体" w:hAnsi="等线" w:eastAsia="方正书宋简体" w:cs="宋体"/>
                <w:color w:val="auto"/>
                <w:kern w:val="0"/>
                <w:sz w:val="24"/>
                <w:szCs w:val="24"/>
              </w:rPr>
            </w:pPr>
          </w:p>
        </w:tc>
        <w:tc>
          <w:tcPr>
            <w:tcW w:w="5853" w:type="dxa"/>
            <w:vAlign w:val="center"/>
          </w:tcPr>
          <w:p>
            <w:pPr>
              <w:widowControl/>
              <w:spacing w:line="300" w:lineRule="exact"/>
              <w:jc w:val="left"/>
              <w:rPr>
                <w:rFonts w:ascii="方正书宋简体" w:hAnsi="等线" w:eastAsia="方正书宋简体" w:cs="宋体"/>
                <w:color w:val="auto"/>
                <w:kern w:val="0"/>
                <w:sz w:val="24"/>
                <w:szCs w:val="24"/>
              </w:rPr>
            </w:pPr>
            <w:r>
              <w:rPr>
                <w:rFonts w:hint="eastAsia" w:ascii="方正书宋简体" w:hAnsi="等线" w:eastAsia="方正书宋简体" w:cs="宋体"/>
                <w:color w:val="auto"/>
                <w:kern w:val="0"/>
                <w:sz w:val="24"/>
                <w:szCs w:val="24"/>
              </w:rPr>
              <w:t>铜梁区森林火灾防治基础设施工程：重点实施巴岳山、毓青山森林防灭火通道、防火阻隔带、消防水池和森林检查站点建设。继续实施森林火灾智能监控系统建设，基本实现巴岳山，毓青山火灾智能监控全覆盖。</w:t>
            </w:r>
          </w:p>
        </w:tc>
        <w:tc>
          <w:tcPr>
            <w:tcW w:w="1583" w:type="dxa"/>
            <w:vAlign w:val="center"/>
          </w:tcPr>
          <w:p>
            <w:pPr>
              <w:widowControl/>
              <w:spacing w:line="300" w:lineRule="exact"/>
              <w:jc w:val="left"/>
              <w:rPr>
                <w:rFonts w:ascii="方正书宋简体" w:eastAsia="方正书宋简体" w:cs="Times New Roman"/>
                <w:color w:val="auto"/>
                <w:kern w:val="0"/>
                <w:sz w:val="24"/>
                <w:szCs w:val="24"/>
              </w:rPr>
            </w:pPr>
            <w:r>
              <w:rPr>
                <w:rFonts w:ascii="方正书宋简体" w:eastAsia="方正书宋简体" w:cs="Times New Roman"/>
                <w:color w:val="auto"/>
                <w:kern w:val="0"/>
                <w:sz w:val="24"/>
                <w:szCs w:val="24"/>
              </w:rPr>
              <w:t>2021-2025</w:t>
            </w:r>
          </w:p>
        </w:tc>
        <w:tc>
          <w:tcPr>
            <w:tcW w:w="1422" w:type="dxa"/>
            <w:vAlign w:val="center"/>
          </w:tcPr>
          <w:p>
            <w:pPr>
              <w:widowControl/>
              <w:spacing w:line="300" w:lineRule="exact"/>
              <w:jc w:val="left"/>
              <w:rPr>
                <w:rFonts w:ascii="方正书宋简体" w:eastAsia="方正书宋简体" w:cs="Times New Roman"/>
                <w:color w:val="auto"/>
                <w:kern w:val="0"/>
                <w:sz w:val="24"/>
                <w:szCs w:val="24"/>
              </w:rPr>
            </w:pPr>
            <w:r>
              <w:rPr>
                <w:rFonts w:ascii="方正书宋简体" w:eastAsia="方正书宋简体" w:cs="Times New Roman"/>
                <w:color w:val="auto"/>
                <w:kern w:val="0"/>
                <w:sz w:val="24"/>
                <w:szCs w:val="24"/>
              </w:rPr>
              <w:t>6000</w:t>
            </w:r>
          </w:p>
        </w:tc>
        <w:tc>
          <w:tcPr>
            <w:tcW w:w="1899" w:type="dxa"/>
            <w:vAlign w:val="center"/>
          </w:tcPr>
          <w:p>
            <w:pPr>
              <w:widowControl/>
              <w:spacing w:line="300" w:lineRule="exact"/>
              <w:jc w:val="left"/>
              <w:rPr>
                <w:rFonts w:ascii="方正书宋简体" w:hAnsi="等线" w:eastAsia="方正书宋简体" w:cs="宋体"/>
                <w:color w:val="auto"/>
                <w:kern w:val="0"/>
                <w:sz w:val="24"/>
                <w:szCs w:val="24"/>
              </w:rPr>
            </w:pPr>
            <w:r>
              <w:rPr>
                <w:rFonts w:hint="eastAsia" w:ascii="方正书宋简体" w:hAnsi="等线" w:eastAsia="方正书宋简体" w:cs="宋体"/>
                <w:color w:val="auto"/>
                <w:kern w:val="0"/>
                <w:sz w:val="24"/>
                <w:szCs w:val="24"/>
              </w:rPr>
              <w:t>区林业局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91" w:type="dxa"/>
            <w:vAlign w:val="center"/>
          </w:tcPr>
          <w:p>
            <w:pPr>
              <w:widowControl/>
              <w:spacing w:line="300" w:lineRule="exact"/>
              <w:jc w:val="left"/>
              <w:rPr>
                <w:rFonts w:ascii="方正书宋简体" w:eastAsia="方正书宋简体" w:cs="Times New Roman"/>
                <w:color w:val="auto"/>
                <w:kern w:val="0"/>
                <w:sz w:val="24"/>
                <w:szCs w:val="24"/>
              </w:rPr>
            </w:pPr>
            <w:r>
              <w:rPr>
                <w:rFonts w:ascii="方正书宋简体" w:eastAsia="方正书宋简体" w:cs="Times New Roman"/>
                <w:color w:val="auto"/>
                <w:kern w:val="0"/>
                <w:sz w:val="22"/>
              </w:rPr>
              <w:t>10</w:t>
            </w:r>
          </w:p>
        </w:tc>
        <w:tc>
          <w:tcPr>
            <w:tcW w:w="1424" w:type="dxa"/>
            <w:vMerge w:val="continue"/>
            <w:vAlign w:val="center"/>
          </w:tcPr>
          <w:p>
            <w:pPr>
              <w:spacing w:line="300" w:lineRule="exact"/>
              <w:jc w:val="left"/>
              <w:rPr>
                <w:rFonts w:ascii="方正书宋简体" w:hAnsi="等线" w:eastAsia="方正书宋简体" w:cs="宋体"/>
                <w:color w:val="auto"/>
                <w:kern w:val="0"/>
                <w:sz w:val="24"/>
                <w:szCs w:val="24"/>
              </w:rPr>
            </w:pPr>
          </w:p>
        </w:tc>
        <w:tc>
          <w:tcPr>
            <w:tcW w:w="5853" w:type="dxa"/>
            <w:vAlign w:val="center"/>
          </w:tcPr>
          <w:p>
            <w:pPr>
              <w:widowControl/>
              <w:spacing w:line="300" w:lineRule="exact"/>
              <w:jc w:val="left"/>
              <w:rPr>
                <w:rFonts w:ascii="方正书宋简体" w:hAnsi="等线" w:eastAsia="方正书宋简体" w:cs="宋体"/>
                <w:color w:val="auto"/>
                <w:kern w:val="0"/>
                <w:sz w:val="24"/>
                <w:szCs w:val="24"/>
              </w:rPr>
            </w:pPr>
            <w:r>
              <w:rPr>
                <w:rFonts w:hint="eastAsia" w:ascii="方正书宋简体" w:hAnsi="等线" w:eastAsia="方正书宋简体" w:cs="宋体"/>
                <w:color w:val="auto"/>
                <w:kern w:val="0"/>
                <w:sz w:val="24"/>
                <w:szCs w:val="24"/>
              </w:rPr>
              <w:t>集中式饮用水水源地水生态修复，在少云镇、巴川街道建设，共建设生态湿地</w:t>
            </w:r>
            <w:r>
              <w:rPr>
                <w:rFonts w:ascii="方正书宋简体" w:hAnsi="等线" w:eastAsia="方正书宋简体" w:cs="宋体"/>
                <w:color w:val="auto"/>
                <w:kern w:val="0"/>
                <w:sz w:val="24"/>
                <w:szCs w:val="24"/>
              </w:rPr>
              <w:t>9200平方米，隔离防护网3030米，生态涵养林5000平方米，</w:t>
            </w:r>
            <w:r>
              <w:rPr>
                <w:rFonts w:hint="eastAsia" w:ascii="方正书宋简体" w:hAnsi="等线" w:eastAsia="方正书宋简体" w:cs="宋体"/>
                <w:color w:val="auto"/>
                <w:kern w:val="0"/>
                <w:sz w:val="24"/>
                <w:szCs w:val="24"/>
              </w:rPr>
              <w:t>生态截滤沟</w:t>
            </w:r>
            <w:r>
              <w:rPr>
                <w:rFonts w:ascii="方正书宋简体" w:hAnsi="等线" w:eastAsia="方正书宋简体" w:cs="宋体"/>
                <w:color w:val="auto"/>
                <w:kern w:val="0"/>
                <w:sz w:val="24"/>
                <w:szCs w:val="24"/>
              </w:rPr>
              <w:t>2200米</w:t>
            </w:r>
          </w:p>
        </w:tc>
        <w:tc>
          <w:tcPr>
            <w:tcW w:w="1583" w:type="dxa"/>
            <w:vAlign w:val="center"/>
          </w:tcPr>
          <w:p>
            <w:pPr>
              <w:widowControl/>
              <w:spacing w:line="300" w:lineRule="exact"/>
              <w:jc w:val="left"/>
              <w:rPr>
                <w:rFonts w:ascii="方正书宋简体" w:eastAsia="方正书宋简体" w:cs="Times New Roman"/>
                <w:color w:val="auto"/>
                <w:kern w:val="0"/>
                <w:sz w:val="24"/>
                <w:szCs w:val="24"/>
              </w:rPr>
            </w:pPr>
            <w:r>
              <w:rPr>
                <w:rFonts w:ascii="方正书宋简体" w:eastAsia="方正书宋简体" w:cs="Times New Roman"/>
                <w:color w:val="auto"/>
                <w:kern w:val="0"/>
                <w:sz w:val="24"/>
                <w:szCs w:val="24"/>
              </w:rPr>
              <w:t>2022-2024</w:t>
            </w:r>
          </w:p>
        </w:tc>
        <w:tc>
          <w:tcPr>
            <w:tcW w:w="1422" w:type="dxa"/>
            <w:vAlign w:val="center"/>
          </w:tcPr>
          <w:p>
            <w:pPr>
              <w:widowControl/>
              <w:spacing w:line="300" w:lineRule="exact"/>
              <w:jc w:val="left"/>
              <w:rPr>
                <w:rFonts w:ascii="方正书宋简体" w:eastAsia="方正书宋简体" w:cs="Times New Roman"/>
                <w:color w:val="auto"/>
                <w:kern w:val="0"/>
                <w:sz w:val="24"/>
                <w:szCs w:val="24"/>
              </w:rPr>
            </w:pPr>
            <w:r>
              <w:rPr>
                <w:rFonts w:ascii="方正书宋简体" w:eastAsia="方正书宋简体" w:cs="Times New Roman"/>
                <w:color w:val="auto"/>
                <w:kern w:val="0"/>
                <w:sz w:val="24"/>
                <w:szCs w:val="24"/>
              </w:rPr>
              <w:t>754</w:t>
            </w:r>
          </w:p>
        </w:tc>
        <w:tc>
          <w:tcPr>
            <w:tcW w:w="1899" w:type="dxa"/>
            <w:vAlign w:val="center"/>
          </w:tcPr>
          <w:p>
            <w:pPr>
              <w:widowControl/>
              <w:spacing w:line="300" w:lineRule="exact"/>
              <w:jc w:val="left"/>
              <w:rPr>
                <w:rFonts w:ascii="方正书宋简体" w:hAnsi="等线" w:eastAsia="方正书宋简体" w:cs="宋体"/>
                <w:color w:val="auto"/>
                <w:kern w:val="0"/>
                <w:sz w:val="24"/>
                <w:szCs w:val="24"/>
              </w:rPr>
            </w:pPr>
            <w:r>
              <w:rPr>
                <w:rFonts w:hint="eastAsia" w:ascii="方正书宋简体" w:hAnsi="等线" w:eastAsia="方正书宋简体" w:cs="宋体"/>
                <w:color w:val="auto"/>
                <w:kern w:val="0"/>
                <w:sz w:val="24"/>
                <w:szCs w:val="24"/>
              </w:rPr>
              <w:t>区生态环境局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pPr>
              <w:widowControl/>
              <w:spacing w:line="300" w:lineRule="exact"/>
              <w:jc w:val="left"/>
              <w:rPr>
                <w:rFonts w:ascii="方正书宋简体" w:eastAsia="方正书宋简体" w:cs="Times New Roman"/>
                <w:color w:val="auto"/>
                <w:kern w:val="0"/>
                <w:sz w:val="24"/>
                <w:szCs w:val="24"/>
              </w:rPr>
            </w:pPr>
            <w:r>
              <w:rPr>
                <w:rFonts w:ascii="方正书宋简体" w:eastAsia="方正书宋简体" w:cs="Times New Roman"/>
                <w:color w:val="auto"/>
                <w:kern w:val="0"/>
                <w:sz w:val="22"/>
              </w:rPr>
              <w:t>11</w:t>
            </w:r>
          </w:p>
        </w:tc>
        <w:tc>
          <w:tcPr>
            <w:tcW w:w="1424" w:type="dxa"/>
            <w:vMerge w:val="continue"/>
            <w:vAlign w:val="center"/>
          </w:tcPr>
          <w:p>
            <w:pPr>
              <w:spacing w:line="300" w:lineRule="exact"/>
              <w:jc w:val="left"/>
              <w:rPr>
                <w:rFonts w:ascii="方正书宋简体" w:hAnsi="等线" w:eastAsia="方正书宋简体" w:cs="宋体"/>
                <w:color w:val="auto"/>
                <w:kern w:val="0"/>
                <w:sz w:val="24"/>
                <w:szCs w:val="24"/>
              </w:rPr>
            </w:pPr>
          </w:p>
        </w:tc>
        <w:tc>
          <w:tcPr>
            <w:tcW w:w="5853" w:type="dxa"/>
            <w:vAlign w:val="center"/>
          </w:tcPr>
          <w:p>
            <w:pPr>
              <w:widowControl/>
              <w:spacing w:line="300" w:lineRule="exact"/>
              <w:jc w:val="left"/>
              <w:rPr>
                <w:rFonts w:ascii="方正书宋简体" w:hAnsi="等线" w:eastAsia="方正书宋简体" w:cs="宋体"/>
                <w:color w:val="auto"/>
                <w:kern w:val="0"/>
                <w:sz w:val="24"/>
                <w:szCs w:val="24"/>
              </w:rPr>
            </w:pPr>
            <w:r>
              <w:rPr>
                <w:rFonts w:hint="eastAsia" w:ascii="方正书宋简体" w:hAnsi="等线" w:eastAsia="方正书宋简体" w:cs="宋体"/>
                <w:color w:val="auto"/>
                <w:kern w:val="0"/>
                <w:sz w:val="24"/>
                <w:szCs w:val="24"/>
              </w:rPr>
              <w:t>水口镇白羊河流域生态修复，大滩水库库滨植物带</w:t>
            </w:r>
            <w:r>
              <w:rPr>
                <w:rFonts w:ascii="方正书宋简体" w:hAnsi="等线" w:eastAsia="方正书宋简体" w:cs="宋体"/>
                <w:color w:val="auto"/>
                <w:kern w:val="0"/>
                <w:sz w:val="24"/>
                <w:szCs w:val="24"/>
              </w:rPr>
              <w:t xml:space="preserve">95000平方米，库湾湿地19300 </w:t>
            </w:r>
            <w:r>
              <w:rPr>
                <w:rFonts w:hint="eastAsia" w:ascii="方正书宋简体" w:hAnsi="等线" w:eastAsia="方正书宋简体" w:cs="宋体"/>
                <w:color w:val="auto"/>
                <w:kern w:val="0"/>
                <w:sz w:val="24"/>
                <w:szCs w:val="24"/>
              </w:rPr>
              <w:t>平方米；白羊河大滩、天寨、树荫村河段河滨植物带</w:t>
            </w:r>
            <w:r>
              <w:rPr>
                <w:rFonts w:ascii="方正书宋简体" w:hAnsi="等线" w:eastAsia="方正书宋简体" w:cs="宋体"/>
                <w:color w:val="auto"/>
                <w:kern w:val="0"/>
                <w:sz w:val="24"/>
                <w:szCs w:val="24"/>
              </w:rPr>
              <w:t>24000平方米。</w:t>
            </w:r>
          </w:p>
        </w:tc>
        <w:tc>
          <w:tcPr>
            <w:tcW w:w="1583" w:type="dxa"/>
            <w:vAlign w:val="center"/>
          </w:tcPr>
          <w:p>
            <w:pPr>
              <w:widowControl/>
              <w:spacing w:line="300" w:lineRule="exact"/>
              <w:jc w:val="left"/>
              <w:rPr>
                <w:rFonts w:ascii="方正书宋简体" w:eastAsia="方正书宋简体" w:cs="Times New Roman"/>
                <w:color w:val="auto"/>
                <w:kern w:val="0"/>
                <w:sz w:val="24"/>
                <w:szCs w:val="24"/>
              </w:rPr>
            </w:pPr>
            <w:r>
              <w:rPr>
                <w:rFonts w:ascii="方正书宋简体" w:eastAsia="方正书宋简体" w:cs="Times New Roman"/>
                <w:color w:val="auto"/>
                <w:kern w:val="0"/>
                <w:sz w:val="24"/>
                <w:szCs w:val="24"/>
              </w:rPr>
              <w:t>2022-2024</w:t>
            </w:r>
          </w:p>
        </w:tc>
        <w:tc>
          <w:tcPr>
            <w:tcW w:w="1422" w:type="dxa"/>
            <w:vAlign w:val="center"/>
          </w:tcPr>
          <w:p>
            <w:pPr>
              <w:widowControl/>
              <w:spacing w:line="300" w:lineRule="exact"/>
              <w:jc w:val="left"/>
              <w:rPr>
                <w:rFonts w:ascii="方正书宋简体" w:eastAsia="方正书宋简体" w:cs="Times New Roman"/>
                <w:color w:val="auto"/>
                <w:kern w:val="0"/>
                <w:sz w:val="24"/>
                <w:szCs w:val="24"/>
              </w:rPr>
            </w:pPr>
            <w:r>
              <w:rPr>
                <w:rFonts w:ascii="方正书宋简体" w:eastAsia="方正书宋简体" w:cs="Times New Roman"/>
                <w:color w:val="auto"/>
                <w:kern w:val="0"/>
                <w:sz w:val="24"/>
                <w:szCs w:val="24"/>
              </w:rPr>
              <w:t>2897</w:t>
            </w:r>
          </w:p>
        </w:tc>
        <w:tc>
          <w:tcPr>
            <w:tcW w:w="1899" w:type="dxa"/>
            <w:vAlign w:val="center"/>
          </w:tcPr>
          <w:p>
            <w:pPr>
              <w:widowControl/>
              <w:spacing w:line="300" w:lineRule="exact"/>
              <w:jc w:val="left"/>
              <w:rPr>
                <w:rFonts w:ascii="方正书宋简体" w:hAnsi="等线" w:eastAsia="方正书宋简体" w:cs="宋体"/>
                <w:color w:val="auto"/>
                <w:kern w:val="0"/>
                <w:sz w:val="24"/>
                <w:szCs w:val="24"/>
              </w:rPr>
            </w:pPr>
            <w:r>
              <w:rPr>
                <w:rFonts w:hint="eastAsia" w:ascii="方正书宋简体" w:hAnsi="等线" w:eastAsia="方正书宋简体" w:cs="宋体"/>
                <w:color w:val="auto"/>
                <w:kern w:val="0"/>
                <w:sz w:val="24"/>
                <w:szCs w:val="24"/>
              </w:rPr>
              <w:t>区生态环境局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pPr>
              <w:widowControl/>
              <w:spacing w:line="300" w:lineRule="exact"/>
              <w:jc w:val="left"/>
              <w:rPr>
                <w:rFonts w:ascii="方正书宋简体" w:eastAsia="方正书宋简体" w:cs="Times New Roman"/>
                <w:color w:val="auto"/>
                <w:kern w:val="0"/>
                <w:sz w:val="24"/>
                <w:szCs w:val="24"/>
              </w:rPr>
            </w:pPr>
            <w:r>
              <w:rPr>
                <w:rFonts w:ascii="方正书宋简体" w:eastAsia="方正书宋简体" w:cs="Times New Roman"/>
                <w:color w:val="auto"/>
                <w:kern w:val="0"/>
                <w:sz w:val="22"/>
              </w:rPr>
              <w:t>12</w:t>
            </w:r>
          </w:p>
        </w:tc>
        <w:tc>
          <w:tcPr>
            <w:tcW w:w="1424" w:type="dxa"/>
            <w:vMerge w:val="continue"/>
            <w:vAlign w:val="center"/>
          </w:tcPr>
          <w:p>
            <w:pPr>
              <w:spacing w:line="300" w:lineRule="exact"/>
              <w:jc w:val="left"/>
              <w:rPr>
                <w:rFonts w:ascii="方正书宋简体" w:hAnsi="等线" w:eastAsia="方正书宋简体" w:cs="宋体"/>
                <w:color w:val="auto"/>
                <w:kern w:val="0"/>
                <w:sz w:val="24"/>
                <w:szCs w:val="24"/>
              </w:rPr>
            </w:pPr>
          </w:p>
        </w:tc>
        <w:tc>
          <w:tcPr>
            <w:tcW w:w="5853" w:type="dxa"/>
            <w:vAlign w:val="center"/>
          </w:tcPr>
          <w:p>
            <w:pPr>
              <w:widowControl/>
              <w:spacing w:line="300" w:lineRule="exact"/>
              <w:jc w:val="left"/>
              <w:rPr>
                <w:rFonts w:ascii="方正书宋简体" w:hAnsi="等线" w:eastAsia="方正书宋简体" w:cs="宋体"/>
                <w:color w:val="auto"/>
                <w:kern w:val="0"/>
                <w:sz w:val="24"/>
                <w:szCs w:val="24"/>
              </w:rPr>
            </w:pPr>
            <w:r>
              <w:rPr>
                <w:rFonts w:hint="eastAsia" w:ascii="方正书宋简体" w:hAnsi="等线" w:eastAsia="方正书宋简体" w:cs="宋体"/>
                <w:color w:val="auto"/>
                <w:kern w:val="0"/>
                <w:sz w:val="24"/>
                <w:szCs w:val="24"/>
              </w:rPr>
              <w:t>蒲吕街道康龙溪流域生态修复工程，康龙溪人和村、康济村河段构筑生态石笼</w:t>
            </w:r>
            <w:r>
              <w:rPr>
                <w:rFonts w:ascii="方正书宋简体" w:hAnsi="等线" w:eastAsia="方正书宋简体" w:cs="宋体"/>
                <w:color w:val="auto"/>
                <w:kern w:val="0"/>
                <w:sz w:val="24"/>
                <w:szCs w:val="24"/>
              </w:rPr>
              <w:t>11200平方米，生态缓冲</w:t>
            </w:r>
            <w:r>
              <w:rPr>
                <w:rFonts w:hint="eastAsia" w:ascii="方正书宋简体" w:hAnsi="等线" w:eastAsia="方正书宋简体" w:cs="宋体"/>
                <w:color w:val="auto"/>
                <w:kern w:val="0"/>
                <w:sz w:val="24"/>
                <w:szCs w:val="24"/>
              </w:rPr>
              <w:t>带面积</w:t>
            </w:r>
            <w:r>
              <w:rPr>
                <w:rFonts w:ascii="方正书宋简体" w:hAnsi="等线" w:eastAsia="方正书宋简体" w:cs="宋体"/>
                <w:color w:val="auto"/>
                <w:kern w:val="0"/>
                <w:sz w:val="24"/>
                <w:szCs w:val="24"/>
              </w:rPr>
              <w:t>16800平方米，水生植物2800平方米。</w:t>
            </w:r>
          </w:p>
        </w:tc>
        <w:tc>
          <w:tcPr>
            <w:tcW w:w="1583" w:type="dxa"/>
            <w:vAlign w:val="center"/>
          </w:tcPr>
          <w:p>
            <w:pPr>
              <w:widowControl/>
              <w:spacing w:line="300" w:lineRule="exact"/>
              <w:jc w:val="left"/>
              <w:rPr>
                <w:rFonts w:ascii="方正书宋简体" w:eastAsia="方正书宋简体" w:cs="Times New Roman"/>
                <w:color w:val="auto"/>
                <w:kern w:val="0"/>
                <w:sz w:val="24"/>
                <w:szCs w:val="24"/>
              </w:rPr>
            </w:pPr>
            <w:r>
              <w:rPr>
                <w:rFonts w:ascii="方正书宋简体" w:eastAsia="方正书宋简体" w:cs="Times New Roman"/>
                <w:color w:val="auto"/>
                <w:kern w:val="0"/>
                <w:sz w:val="24"/>
                <w:szCs w:val="24"/>
              </w:rPr>
              <w:t>2022-2024</w:t>
            </w:r>
          </w:p>
        </w:tc>
        <w:tc>
          <w:tcPr>
            <w:tcW w:w="1422" w:type="dxa"/>
            <w:vAlign w:val="center"/>
          </w:tcPr>
          <w:p>
            <w:pPr>
              <w:widowControl/>
              <w:spacing w:line="300" w:lineRule="exact"/>
              <w:jc w:val="left"/>
              <w:rPr>
                <w:rFonts w:ascii="方正书宋简体" w:eastAsia="方正书宋简体" w:cs="Times New Roman"/>
                <w:color w:val="auto"/>
                <w:kern w:val="0"/>
                <w:sz w:val="24"/>
                <w:szCs w:val="24"/>
              </w:rPr>
            </w:pPr>
            <w:r>
              <w:rPr>
                <w:rFonts w:ascii="方正书宋简体" w:eastAsia="方正书宋简体" w:cs="Times New Roman"/>
                <w:color w:val="auto"/>
                <w:kern w:val="0"/>
                <w:sz w:val="24"/>
                <w:szCs w:val="24"/>
              </w:rPr>
              <w:t>918</w:t>
            </w:r>
          </w:p>
        </w:tc>
        <w:tc>
          <w:tcPr>
            <w:tcW w:w="1899" w:type="dxa"/>
            <w:vAlign w:val="center"/>
          </w:tcPr>
          <w:p>
            <w:pPr>
              <w:widowControl/>
              <w:spacing w:line="300" w:lineRule="exact"/>
              <w:jc w:val="left"/>
              <w:rPr>
                <w:rFonts w:ascii="方正书宋简体" w:hAnsi="等线" w:eastAsia="方正书宋简体" w:cs="宋体"/>
                <w:color w:val="auto"/>
                <w:kern w:val="0"/>
                <w:sz w:val="24"/>
                <w:szCs w:val="24"/>
              </w:rPr>
            </w:pPr>
            <w:r>
              <w:rPr>
                <w:rFonts w:hint="eastAsia" w:ascii="方正书宋简体" w:hAnsi="等线" w:eastAsia="方正书宋简体" w:cs="宋体"/>
                <w:color w:val="auto"/>
                <w:kern w:val="0"/>
                <w:sz w:val="24"/>
                <w:szCs w:val="24"/>
              </w:rPr>
              <w:t>区生态环境局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pPr>
              <w:widowControl/>
              <w:spacing w:line="300" w:lineRule="exact"/>
              <w:jc w:val="left"/>
              <w:rPr>
                <w:rFonts w:ascii="方正书宋简体" w:eastAsia="方正书宋简体" w:cs="Times New Roman"/>
                <w:color w:val="auto"/>
                <w:kern w:val="0"/>
                <w:sz w:val="24"/>
                <w:szCs w:val="24"/>
              </w:rPr>
            </w:pPr>
            <w:r>
              <w:rPr>
                <w:rFonts w:ascii="方正书宋简体" w:eastAsia="方正书宋简体" w:cs="Times New Roman"/>
                <w:color w:val="auto"/>
                <w:kern w:val="0"/>
                <w:sz w:val="22"/>
              </w:rPr>
              <w:t>13</w:t>
            </w:r>
          </w:p>
        </w:tc>
        <w:tc>
          <w:tcPr>
            <w:tcW w:w="1424" w:type="dxa"/>
            <w:vMerge w:val="continue"/>
            <w:vAlign w:val="center"/>
          </w:tcPr>
          <w:p>
            <w:pPr>
              <w:spacing w:line="300" w:lineRule="exact"/>
              <w:jc w:val="left"/>
              <w:rPr>
                <w:rFonts w:ascii="方正书宋简体" w:hAnsi="等线" w:eastAsia="方正书宋简体" w:cs="宋体"/>
                <w:color w:val="auto"/>
                <w:kern w:val="0"/>
                <w:sz w:val="24"/>
                <w:szCs w:val="24"/>
              </w:rPr>
            </w:pPr>
          </w:p>
        </w:tc>
        <w:tc>
          <w:tcPr>
            <w:tcW w:w="5853" w:type="dxa"/>
            <w:vAlign w:val="center"/>
          </w:tcPr>
          <w:p>
            <w:pPr>
              <w:widowControl/>
              <w:spacing w:line="300" w:lineRule="exact"/>
              <w:jc w:val="left"/>
              <w:rPr>
                <w:rFonts w:ascii="方正书宋简体" w:hAnsi="等线" w:eastAsia="方正书宋简体" w:cs="宋体"/>
                <w:color w:val="auto"/>
                <w:kern w:val="0"/>
                <w:sz w:val="24"/>
                <w:szCs w:val="24"/>
              </w:rPr>
            </w:pPr>
            <w:r>
              <w:rPr>
                <w:rFonts w:hint="eastAsia" w:ascii="方正书宋简体" w:hAnsi="等线" w:eastAsia="方正书宋简体" w:cs="宋体"/>
                <w:color w:val="auto"/>
                <w:kern w:val="0"/>
                <w:sz w:val="24"/>
                <w:szCs w:val="24"/>
              </w:rPr>
              <w:t>实施污水处理设施尾水湿地工程，土桥镇污水处理厂尾水湿地建设</w:t>
            </w:r>
            <w:r>
              <w:rPr>
                <w:rFonts w:ascii="方正书宋简体" w:hAnsi="等线" w:eastAsia="方正书宋简体" w:cs="宋体"/>
                <w:color w:val="auto"/>
                <w:kern w:val="0"/>
                <w:sz w:val="24"/>
                <w:szCs w:val="24"/>
              </w:rPr>
              <w:t>1200平方米、铜梁污水处理厂尾水湿地建设50000平方米、铜梁区新东城污水处理厂尾水湿地建设20000平方米。</w:t>
            </w:r>
            <w:r>
              <w:rPr>
                <w:rFonts w:hint="eastAsia" w:ascii="方正书宋简体" w:hAnsi="等线" w:eastAsia="方正书宋简体" w:cs="宋体"/>
                <w:color w:val="auto"/>
                <w:kern w:val="0"/>
                <w:sz w:val="24"/>
                <w:szCs w:val="24"/>
              </w:rPr>
              <w:t>小安溪流域（铜梁区段）沿岸西河镇等</w:t>
            </w:r>
            <w:r>
              <w:rPr>
                <w:rFonts w:ascii="方正书宋简体" w:hAnsi="等线" w:eastAsia="方正书宋简体" w:cs="宋体"/>
                <w:color w:val="auto"/>
                <w:kern w:val="0"/>
                <w:sz w:val="24"/>
                <w:szCs w:val="24"/>
              </w:rPr>
              <w:t>11个污水处理厂尾水湿地建设14800平方米。</w:t>
            </w:r>
            <w:r>
              <w:rPr>
                <w:rFonts w:hint="eastAsia" w:ascii="方正书宋简体" w:hAnsi="等线" w:eastAsia="方正书宋简体" w:cs="宋体"/>
                <w:color w:val="auto"/>
                <w:kern w:val="0"/>
                <w:sz w:val="24"/>
                <w:szCs w:val="24"/>
              </w:rPr>
              <w:t>琼江流域污水处理厂尾水湿地</w:t>
            </w:r>
            <w:r>
              <w:rPr>
                <w:rFonts w:ascii="方正书宋简体" w:hAnsi="等线" w:eastAsia="方正书宋简体" w:cs="宋体"/>
                <w:color w:val="auto"/>
                <w:kern w:val="0"/>
                <w:sz w:val="24"/>
                <w:szCs w:val="24"/>
              </w:rPr>
              <w:t>6座，共计8800平方米。涪江流域污水集中处理设施配套尾水湿地5座，共计7400平方米。</w:t>
            </w:r>
          </w:p>
        </w:tc>
        <w:tc>
          <w:tcPr>
            <w:tcW w:w="1583" w:type="dxa"/>
            <w:vAlign w:val="center"/>
          </w:tcPr>
          <w:p>
            <w:pPr>
              <w:widowControl/>
              <w:spacing w:line="300" w:lineRule="exact"/>
              <w:jc w:val="left"/>
              <w:rPr>
                <w:rFonts w:ascii="方正书宋简体" w:eastAsia="方正书宋简体" w:cs="Times New Roman"/>
                <w:color w:val="auto"/>
                <w:kern w:val="0"/>
                <w:sz w:val="24"/>
                <w:szCs w:val="24"/>
              </w:rPr>
            </w:pPr>
            <w:r>
              <w:rPr>
                <w:rFonts w:ascii="方正书宋简体" w:eastAsia="方正书宋简体" w:cs="Times New Roman"/>
                <w:color w:val="auto"/>
                <w:kern w:val="0"/>
                <w:sz w:val="24"/>
                <w:szCs w:val="24"/>
              </w:rPr>
              <w:t>2022-2024</w:t>
            </w:r>
          </w:p>
        </w:tc>
        <w:tc>
          <w:tcPr>
            <w:tcW w:w="1422" w:type="dxa"/>
            <w:vAlign w:val="center"/>
          </w:tcPr>
          <w:p>
            <w:pPr>
              <w:widowControl/>
              <w:spacing w:line="300" w:lineRule="exact"/>
              <w:jc w:val="left"/>
              <w:rPr>
                <w:rFonts w:ascii="方正书宋简体" w:eastAsia="方正书宋简体" w:cs="Times New Roman"/>
                <w:color w:val="auto"/>
                <w:kern w:val="0"/>
                <w:sz w:val="24"/>
                <w:szCs w:val="24"/>
              </w:rPr>
            </w:pPr>
            <w:r>
              <w:rPr>
                <w:rFonts w:ascii="方正书宋简体" w:eastAsia="方正书宋简体" w:cs="Times New Roman"/>
                <w:color w:val="auto"/>
                <w:kern w:val="0"/>
                <w:sz w:val="24"/>
                <w:szCs w:val="24"/>
              </w:rPr>
              <w:t>8328</w:t>
            </w:r>
          </w:p>
        </w:tc>
        <w:tc>
          <w:tcPr>
            <w:tcW w:w="1899" w:type="dxa"/>
            <w:vAlign w:val="center"/>
          </w:tcPr>
          <w:p>
            <w:pPr>
              <w:widowControl/>
              <w:spacing w:line="300" w:lineRule="exact"/>
              <w:jc w:val="left"/>
              <w:rPr>
                <w:rFonts w:ascii="方正书宋简体" w:hAnsi="等线" w:eastAsia="方正书宋简体" w:cs="宋体"/>
                <w:color w:val="auto"/>
                <w:kern w:val="0"/>
                <w:sz w:val="24"/>
                <w:szCs w:val="24"/>
              </w:rPr>
            </w:pPr>
            <w:r>
              <w:rPr>
                <w:rFonts w:hint="eastAsia" w:ascii="方正书宋简体" w:hAnsi="等线" w:eastAsia="方正书宋简体" w:cs="宋体"/>
                <w:color w:val="auto"/>
                <w:kern w:val="0"/>
                <w:sz w:val="24"/>
                <w:szCs w:val="24"/>
              </w:rPr>
              <w:t>区生态环境局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91" w:type="dxa"/>
            <w:vAlign w:val="center"/>
          </w:tcPr>
          <w:p>
            <w:pPr>
              <w:widowControl/>
              <w:spacing w:line="300" w:lineRule="exact"/>
              <w:jc w:val="left"/>
              <w:rPr>
                <w:rFonts w:ascii="方正书宋简体" w:eastAsia="方正书宋简体" w:cs="Times New Roman"/>
                <w:color w:val="auto"/>
                <w:kern w:val="0"/>
                <w:sz w:val="24"/>
                <w:szCs w:val="24"/>
              </w:rPr>
            </w:pPr>
            <w:r>
              <w:rPr>
                <w:rFonts w:ascii="方正书宋简体" w:eastAsia="方正书宋简体" w:cs="Times New Roman"/>
                <w:color w:val="auto"/>
                <w:kern w:val="0"/>
                <w:sz w:val="22"/>
              </w:rPr>
              <w:t>14</w:t>
            </w:r>
          </w:p>
        </w:tc>
        <w:tc>
          <w:tcPr>
            <w:tcW w:w="1424" w:type="dxa"/>
            <w:vMerge w:val="continue"/>
            <w:vAlign w:val="center"/>
          </w:tcPr>
          <w:p>
            <w:pPr>
              <w:widowControl/>
              <w:spacing w:line="300" w:lineRule="exact"/>
              <w:jc w:val="left"/>
              <w:rPr>
                <w:rFonts w:ascii="方正书宋简体" w:hAnsi="等线" w:eastAsia="方正书宋简体" w:cs="宋体"/>
                <w:color w:val="auto"/>
                <w:kern w:val="0"/>
                <w:sz w:val="24"/>
                <w:szCs w:val="24"/>
              </w:rPr>
            </w:pPr>
          </w:p>
        </w:tc>
        <w:tc>
          <w:tcPr>
            <w:tcW w:w="5853" w:type="dxa"/>
            <w:vAlign w:val="center"/>
          </w:tcPr>
          <w:p>
            <w:pPr>
              <w:widowControl/>
              <w:spacing w:line="300" w:lineRule="exact"/>
              <w:jc w:val="left"/>
              <w:rPr>
                <w:rFonts w:ascii="方正书宋简体" w:hAnsi="等线" w:eastAsia="方正书宋简体" w:cs="宋体"/>
                <w:color w:val="auto"/>
                <w:kern w:val="0"/>
                <w:sz w:val="24"/>
                <w:szCs w:val="24"/>
              </w:rPr>
            </w:pPr>
            <w:r>
              <w:rPr>
                <w:rFonts w:hint="eastAsia" w:ascii="方正书宋简体" w:hAnsi="等线" w:eastAsia="方正书宋简体" w:cs="宋体"/>
                <w:color w:val="auto"/>
                <w:kern w:val="0"/>
                <w:sz w:val="24"/>
                <w:szCs w:val="24"/>
              </w:rPr>
              <w:t>对城市待建地、闲置地、管护范围内的裸露地面等进行绿化治理，消除城市裸土；结合坡地堡坎崖壁绿化美化工作要求，选择在城区斜坡、堡坎等区域进行栽种绿色植物；完成铜梁区景观提升，提升绿化美化亮化景观水平，塑造铜梁城市良好形象。</w:t>
            </w:r>
          </w:p>
        </w:tc>
        <w:tc>
          <w:tcPr>
            <w:tcW w:w="1583" w:type="dxa"/>
            <w:vAlign w:val="center"/>
          </w:tcPr>
          <w:p>
            <w:pPr>
              <w:widowControl/>
              <w:spacing w:line="300" w:lineRule="exact"/>
              <w:jc w:val="left"/>
              <w:rPr>
                <w:rFonts w:ascii="方正书宋简体" w:eastAsia="方正书宋简体" w:cs="Times New Roman"/>
                <w:color w:val="auto"/>
                <w:kern w:val="0"/>
                <w:sz w:val="24"/>
                <w:szCs w:val="24"/>
              </w:rPr>
            </w:pPr>
            <w:r>
              <w:rPr>
                <w:rFonts w:ascii="方正书宋简体" w:eastAsia="方正书宋简体" w:cs="Times New Roman"/>
                <w:color w:val="auto"/>
                <w:kern w:val="0"/>
                <w:sz w:val="24"/>
                <w:szCs w:val="24"/>
              </w:rPr>
              <w:t>2021-2025</w:t>
            </w:r>
          </w:p>
        </w:tc>
        <w:tc>
          <w:tcPr>
            <w:tcW w:w="1422" w:type="dxa"/>
            <w:vAlign w:val="center"/>
          </w:tcPr>
          <w:p>
            <w:pPr>
              <w:widowControl/>
              <w:spacing w:line="300" w:lineRule="exact"/>
              <w:jc w:val="left"/>
              <w:rPr>
                <w:rFonts w:ascii="方正书宋简体" w:eastAsia="方正书宋简体" w:cs="Times New Roman"/>
                <w:color w:val="auto"/>
                <w:kern w:val="0"/>
                <w:sz w:val="24"/>
                <w:szCs w:val="24"/>
              </w:rPr>
            </w:pPr>
            <w:r>
              <w:rPr>
                <w:rFonts w:ascii="方正书宋简体" w:eastAsia="方正书宋简体" w:cs="Times New Roman"/>
                <w:color w:val="auto"/>
                <w:kern w:val="0"/>
                <w:sz w:val="24"/>
                <w:szCs w:val="24"/>
              </w:rPr>
              <w:t>2500</w:t>
            </w:r>
          </w:p>
        </w:tc>
        <w:tc>
          <w:tcPr>
            <w:tcW w:w="1899" w:type="dxa"/>
            <w:vAlign w:val="center"/>
          </w:tcPr>
          <w:p>
            <w:pPr>
              <w:widowControl/>
              <w:spacing w:line="300" w:lineRule="exact"/>
              <w:jc w:val="left"/>
              <w:rPr>
                <w:rFonts w:ascii="方正书宋简体" w:hAnsi="等线" w:eastAsia="方正书宋简体" w:cs="宋体"/>
                <w:color w:val="auto"/>
                <w:kern w:val="0"/>
                <w:sz w:val="24"/>
                <w:szCs w:val="24"/>
              </w:rPr>
            </w:pPr>
            <w:r>
              <w:rPr>
                <w:rFonts w:hint="eastAsia" w:ascii="方正书宋简体" w:hAnsi="等线" w:eastAsia="方正书宋简体" w:cs="宋体"/>
                <w:color w:val="auto"/>
                <w:kern w:val="0"/>
                <w:sz w:val="24"/>
                <w:szCs w:val="24"/>
              </w:rPr>
              <w:t>区城市管理局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pPr>
              <w:widowControl/>
              <w:spacing w:line="300" w:lineRule="exact"/>
              <w:jc w:val="left"/>
              <w:rPr>
                <w:rFonts w:ascii="方正书宋简体" w:eastAsia="方正书宋简体" w:cs="Times New Roman"/>
                <w:color w:val="auto"/>
                <w:kern w:val="0"/>
                <w:sz w:val="24"/>
                <w:szCs w:val="24"/>
              </w:rPr>
            </w:pPr>
            <w:r>
              <w:rPr>
                <w:rFonts w:ascii="方正书宋简体" w:eastAsia="方正书宋简体" w:cs="Times New Roman"/>
                <w:color w:val="auto"/>
                <w:kern w:val="0"/>
                <w:sz w:val="22"/>
              </w:rPr>
              <w:t>15</w:t>
            </w:r>
          </w:p>
        </w:tc>
        <w:tc>
          <w:tcPr>
            <w:tcW w:w="1424" w:type="dxa"/>
            <w:vAlign w:val="center"/>
          </w:tcPr>
          <w:p>
            <w:pPr>
              <w:widowControl/>
              <w:spacing w:line="300" w:lineRule="exact"/>
              <w:jc w:val="left"/>
              <w:rPr>
                <w:rFonts w:ascii="方正书宋简体" w:hAnsi="等线" w:eastAsia="方正书宋简体" w:cs="宋体"/>
                <w:color w:val="auto"/>
                <w:kern w:val="0"/>
                <w:sz w:val="24"/>
                <w:szCs w:val="24"/>
              </w:rPr>
            </w:pPr>
            <w:r>
              <w:rPr>
                <w:rFonts w:hint="eastAsia" w:ascii="方正书宋简体" w:hAnsi="等线" w:eastAsia="方正书宋简体" w:cs="宋体"/>
                <w:color w:val="auto"/>
                <w:kern w:val="0"/>
                <w:sz w:val="24"/>
                <w:szCs w:val="24"/>
              </w:rPr>
              <w:t>大气污染治理</w:t>
            </w:r>
          </w:p>
        </w:tc>
        <w:tc>
          <w:tcPr>
            <w:tcW w:w="5853" w:type="dxa"/>
            <w:vAlign w:val="center"/>
          </w:tcPr>
          <w:p>
            <w:pPr>
              <w:widowControl/>
              <w:spacing w:line="300" w:lineRule="exact"/>
              <w:jc w:val="left"/>
              <w:rPr>
                <w:rFonts w:ascii="方正书宋简体" w:hAnsi="等线" w:eastAsia="方正书宋简体" w:cs="宋体"/>
                <w:color w:val="auto"/>
                <w:kern w:val="0"/>
                <w:sz w:val="24"/>
                <w:szCs w:val="24"/>
              </w:rPr>
            </w:pPr>
            <w:r>
              <w:rPr>
                <w:rFonts w:hint="eastAsia" w:ascii="方正书宋简体" w:hAnsi="等线" w:eastAsia="方正书宋简体" w:cs="宋体"/>
                <w:color w:val="auto"/>
                <w:kern w:val="0"/>
                <w:sz w:val="24"/>
                <w:szCs w:val="24"/>
              </w:rPr>
              <w:t>完成燃气锅炉低氮燃烧改造</w:t>
            </w:r>
            <w:r>
              <w:rPr>
                <w:rFonts w:ascii="方正书宋简体" w:hAnsi="等线" w:eastAsia="方正书宋简体" w:cs="宋体"/>
                <w:color w:val="auto"/>
                <w:kern w:val="0"/>
                <w:sz w:val="24"/>
                <w:szCs w:val="24"/>
              </w:rPr>
              <w:t>9台。完成15家企业VOCs综合整治。</w:t>
            </w:r>
          </w:p>
        </w:tc>
        <w:tc>
          <w:tcPr>
            <w:tcW w:w="1583" w:type="dxa"/>
            <w:vAlign w:val="center"/>
          </w:tcPr>
          <w:p>
            <w:pPr>
              <w:widowControl/>
              <w:spacing w:line="300" w:lineRule="exact"/>
              <w:jc w:val="left"/>
              <w:rPr>
                <w:rFonts w:ascii="方正书宋简体" w:eastAsia="方正书宋简体" w:cs="Times New Roman"/>
                <w:color w:val="auto"/>
                <w:kern w:val="0"/>
                <w:sz w:val="24"/>
                <w:szCs w:val="24"/>
              </w:rPr>
            </w:pPr>
            <w:r>
              <w:rPr>
                <w:rFonts w:ascii="方正书宋简体" w:eastAsia="方正书宋简体" w:cs="Times New Roman"/>
                <w:color w:val="auto"/>
                <w:kern w:val="0"/>
                <w:sz w:val="24"/>
                <w:szCs w:val="24"/>
              </w:rPr>
              <w:t>2021-2025</w:t>
            </w:r>
          </w:p>
        </w:tc>
        <w:tc>
          <w:tcPr>
            <w:tcW w:w="1422" w:type="dxa"/>
            <w:vAlign w:val="center"/>
          </w:tcPr>
          <w:p>
            <w:pPr>
              <w:widowControl/>
              <w:spacing w:line="300" w:lineRule="exact"/>
              <w:jc w:val="left"/>
              <w:rPr>
                <w:rFonts w:ascii="方正书宋简体" w:eastAsia="方正书宋简体" w:cs="Times New Roman"/>
                <w:color w:val="auto"/>
                <w:kern w:val="0"/>
                <w:sz w:val="24"/>
                <w:szCs w:val="24"/>
              </w:rPr>
            </w:pPr>
            <w:r>
              <w:rPr>
                <w:rFonts w:ascii="方正书宋简体" w:eastAsia="方正书宋简体" w:cs="Times New Roman"/>
                <w:color w:val="auto"/>
                <w:kern w:val="0"/>
                <w:sz w:val="24"/>
                <w:szCs w:val="24"/>
              </w:rPr>
              <w:t>1500</w:t>
            </w:r>
          </w:p>
        </w:tc>
        <w:tc>
          <w:tcPr>
            <w:tcW w:w="1899" w:type="dxa"/>
            <w:vAlign w:val="center"/>
          </w:tcPr>
          <w:p>
            <w:pPr>
              <w:widowControl/>
              <w:spacing w:line="300" w:lineRule="exact"/>
              <w:jc w:val="left"/>
              <w:rPr>
                <w:rFonts w:ascii="方正书宋简体" w:hAnsi="等线" w:eastAsia="方正书宋简体" w:cs="宋体"/>
                <w:color w:val="auto"/>
                <w:kern w:val="0"/>
                <w:sz w:val="24"/>
                <w:szCs w:val="24"/>
              </w:rPr>
            </w:pPr>
            <w:r>
              <w:rPr>
                <w:rFonts w:hint="eastAsia" w:ascii="方正书宋简体" w:hAnsi="等线" w:eastAsia="方正书宋简体" w:cs="宋体"/>
                <w:color w:val="auto"/>
                <w:kern w:val="0"/>
                <w:sz w:val="24"/>
                <w:szCs w:val="24"/>
              </w:rPr>
              <w:t>区生态环境局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pPr>
              <w:widowControl/>
              <w:spacing w:line="300" w:lineRule="exact"/>
              <w:jc w:val="left"/>
              <w:rPr>
                <w:rFonts w:ascii="方正书宋简体" w:eastAsia="方正书宋简体" w:cs="Times New Roman"/>
                <w:color w:val="auto"/>
                <w:kern w:val="0"/>
                <w:sz w:val="24"/>
                <w:szCs w:val="24"/>
              </w:rPr>
            </w:pPr>
            <w:r>
              <w:rPr>
                <w:rFonts w:ascii="方正书宋简体" w:eastAsia="方正书宋简体" w:cs="Times New Roman"/>
                <w:color w:val="auto"/>
                <w:kern w:val="0"/>
                <w:sz w:val="22"/>
              </w:rPr>
              <w:t>16</w:t>
            </w:r>
          </w:p>
        </w:tc>
        <w:tc>
          <w:tcPr>
            <w:tcW w:w="1424" w:type="dxa"/>
            <w:vMerge w:val="restart"/>
            <w:vAlign w:val="center"/>
          </w:tcPr>
          <w:p>
            <w:pPr>
              <w:widowControl/>
              <w:spacing w:line="300" w:lineRule="exact"/>
              <w:jc w:val="left"/>
              <w:rPr>
                <w:rFonts w:ascii="方正书宋简体" w:hAnsi="等线" w:eastAsia="方正书宋简体" w:cs="宋体"/>
                <w:color w:val="auto"/>
                <w:kern w:val="0"/>
                <w:sz w:val="24"/>
                <w:szCs w:val="24"/>
              </w:rPr>
            </w:pPr>
            <w:r>
              <w:rPr>
                <w:rFonts w:hint="eastAsia" w:ascii="方正书宋简体" w:hAnsi="等线" w:eastAsia="方正书宋简体" w:cs="宋体"/>
                <w:color w:val="auto"/>
                <w:kern w:val="0"/>
                <w:sz w:val="24"/>
                <w:szCs w:val="24"/>
                <w:lang w:eastAsia="zh-CN"/>
              </w:rPr>
              <w:t>“</w:t>
            </w:r>
            <w:r>
              <w:rPr>
                <w:rFonts w:hint="eastAsia" w:ascii="方正书宋简体" w:hAnsi="等线" w:eastAsia="方正书宋简体" w:cs="宋体"/>
                <w:color w:val="auto"/>
                <w:kern w:val="0"/>
                <w:sz w:val="24"/>
                <w:szCs w:val="24"/>
              </w:rPr>
              <w:t>无废城市</w:t>
            </w:r>
            <w:r>
              <w:rPr>
                <w:rFonts w:hint="eastAsia" w:ascii="方正书宋简体" w:hAnsi="等线" w:eastAsia="方正书宋简体" w:cs="宋体"/>
                <w:color w:val="auto"/>
                <w:kern w:val="0"/>
                <w:sz w:val="24"/>
                <w:szCs w:val="24"/>
                <w:lang w:eastAsia="zh-CN"/>
              </w:rPr>
              <w:t>”</w:t>
            </w:r>
            <w:r>
              <w:rPr>
                <w:rFonts w:hint="eastAsia" w:ascii="方正书宋简体" w:hAnsi="等线" w:eastAsia="方正书宋简体" w:cs="宋体"/>
                <w:color w:val="auto"/>
                <w:kern w:val="0"/>
                <w:sz w:val="24"/>
                <w:szCs w:val="24"/>
              </w:rPr>
              <w:t>建设</w:t>
            </w:r>
          </w:p>
        </w:tc>
        <w:tc>
          <w:tcPr>
            <w:tcW w:w="5853" w:type="dxa"/>
            <w:vAlign w:val="center"/>
          </w:tcPr>
          <w:p>
            <w:pPr>
              <w:widowControl/>
              <w:spacing w:line="300" w:lineRule="exact"/>
              <w:jc w:val="left"/>
              <w:rPr>
                <w:rFonts w:ascii="方正书宋简体" w:hAnsi="等线" w:eastAsia="方正书宋简体" w:cs="宋体"/>
                <w:color w:val="auto"/>
                <w:kern w:val="0"/>
                <w:sz w:val="24"/>
                <w:szCs w:val="24"/>
              </w:rPr>
            </w:pPr>
            <w:r>
              <w:rPr>
                <w:rFonts w:hint="eastAsia" w:ascii="方正书宋简体" w:hAnsi="等线" w:eastAsia="方正书宋简体" w:cs="宋体"/>
                <w:color w:val="auto"/>
                <w:kern w:val="0"/>
                <w:sz w:val="24"/>
                <w:szCs w:val="24"/>
              </w:rPr>
              <w:t>生活垃圾分类收集与处理处置能力建设工程：进一步完善垃圾收集点、转运车、垃圾桶等城市生活垃圾分类收集系统设施，</w:t>
            </w:r>
            <w:r>
              <w:rPr>
                <w:rFonts w:ascii="方正书宋简体" w:hAnsi="等线" w:eastAsia="方正书宋简体" w:cs="宋体"/>
                <w:color w:val="auto"/>
                <w:kern w:val="0"/>
                <w:sz w:val="24"/>
                <w:szCs w:val="24"/>
              </w:rPr>
              <w:t>2.全面建成生活垃圾分类村266个：建设生活垃圾分类收集点1.1万个；购置垃圾收运配套设施设备。到2025年，城市生活垃圾分类收运系统覆盖率达到100%。</w:t>
            </w:r>
          </w:p>
        </w:tc>
        <w:tc>
          <w:tcPr>
            <w:tcW w:w="1583" w:type="dxa"/>
            <w:vAlign w:val="center"/>
          </w:tcPr>
          <w:p>
            <w:pPr>
              <w:widowControl/>
              <w:spacing w:line="300" w:lineRule="exact"/>
              <w:jc w:val="left"/>
              <w:rPr>
                <w:rFonts w:ascii="方正书宋简体" w:eastAsia="方正书宋简体" w:cs="Times New Roman"/>
                <w:color w:val="auto"/>
                <w:kern w:val="0"/>
                <w:sz w:val="24"/>
                <w:szCs w:val="24"/>
              </w:rPr>
            </w:pPr>
            <w:r>
              <w:rPr>
                <w:rFonts w:ascii="方正书宋简体" w:eastAsia="方正书宋简体" w:cs="Times New Roman"/>
                <w:color w:val="auto"/>
                <w:kern w:val="0"/>
                <w:sz w:val="24"/>
                <w:szCs w:val="24"/>
              </w:rPr>
              <w:t>2021-2025</w:t>
            </w:r>
          </w:p>
        </w:tc>
        <w:tc>
          <w:tcPr>
            <w:tcW w:w="1422" w:type="dxa"/>
            <w:vAlign w:val="center"/>
          </w:tcPr>
          <w:p>
            <w:pPr>
              <w:widowControl/>
              <w:spacing w:line="300" w:lineRule="exact"/>
              <w:jc w:val="left"/>
              <w:rPr>
                <w:rFonts w:ascii="方正书宋简体" w:eastAsia="方正书宋简体" w:cs="Times New Roman"/>
                <w:color w:val="auto"/>
                <w:kern w:val="0"/>
                <w:sz w:val="24"/>
                <w:szCs w:val="24"/>
              </w:rPr>
            </w:pPr>
            <w:r>
              <w:rPr>
                <w:rFonts w:ascii="方正书宋简体" w:eastAsia="方正书宋简体" w:cs="Times New Roman"/>
                <w:color w:val="auto"/>
                <w:kern w:val="0"/>
                <w:sz w:val="24"/>
                <w:szCs w:val="24"/>
              </w:rPr>
              <w:t>15000</w:t>
            </w:r>
          </w:p>
        </w:tc>
        <w:tc>
          <w:tcPr>
            <w:tcW w:w="1899" w:type="dxa"/>
            <w:vAlign w:val="center"/>
          </w:tcPr>
          <w:p>
            <w:pPr>
              <w:widowControl/>
              <w:spacing w:line="300" w:lineRule="exact"/>
              <w:jc w:val="left"/>
              <w:rPr>
                <w:rFonts w:ascii="方正书宋简体" w:hAnsi="等线" w:eastAsia="方正书宋简体" w:cs="宋体"/>
                <w:color w:val="auto"/>
                <w:kern w:val="0"/>
                <w:sz w:val="24"/>
                <w:szCs w:val="24"/>
              </w:rPr>
            </w:pPr>
            <w:r>
              <w:rPr>
                <w:rFonts w:hint="eastAsia" w:ascii="方正书宋简体" w:hAnsi="等线" w:eastAsia="方正书宋简体" w:cs="宋体"/>
                <w:color w:val="auto"/>
                <w:kern w:val="0"/>
                <w:sz w:val="24"/>
                <w:szCs w:val="24"/>
              </w:rPr>
              <w:t>区城市管理局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pPr>
              <w:widowControl/>
              <w:spacing w:line="300" w:lineRule="exact"/>
              <w:jc w:val="left"/>
              <w:rPr>
                <w:rFonts w:ascii="方正书宋简体" w:eastAsia="方正书宋简体" w:cs="Times New Roman"/>
                <w:color w:val="auto"/>
                <w:kern w:val="0"/>
                <w:sz w:val="24"/>
                <w:szCs w:val="24"/>
              </w:rPr>
            </w:pPr>
            <w:r>
              <w:rPr>
                <w:rFonts w:ascii="方正书宋简体" w:eastAsia="方正书宋简体" w:cs="Times New Roman"/>
                <w:color w:val="auto"/>
                <w:kern w:val="0"/>
                <w:sz w:val="22"/>
              </w:rPr>
              <w:t>17</w:t>
            </w:r>
          </w:p>
        </w:tc>
        <w:tc>
          <w:tcPr>
            <w:tcW w:w="1424" w:type="dxa"/>
            <w:vMerge w:val="continue"/>
            <w:vAlign w:val="center"/>
          </w:tcPr>
          <w:p>
            <w:pPr>
              <w:widowControl/>
              <w:spacing w:line="300" w:lineRule="exact"/>
              <w:jc w:val="left"/>
              <w:rPr>
                <w:rFonts w:ascii="方正书宋简体" w:hAnsi="等线" w:eastAsia="方正书宋简体" w:cs="宋体"/>
                <w:color w:val="auto"/>
                <w:kern w:val="0"/>
                <w:sz w:val="24"/>
                <w:szCs w:val="24"/>
              </w:rPr>
            </w:pPr>
          </w:p>
        </w:tc>
        <w:tc>
          <w:tcPr>
            <w:tcW w:w="5853" w:type="dxa"/>
            <w:vAlign w:val="center"/>
          </w:tcPr>
          <w:p>
            <w:pPr>
              <w:widowControl/>
              <w:spacing w:line="300" w:lineRule="exact"/>
              <w:jc w:val="left"/>
              <w:rPr>
                <w:rFonts w:ascii="方正书宋简体" w:hAnsi="等线" w:eastAsia="方正书宋简体" w:cs="宋体"/>
                <w:color w:val="auto"/>
                <w:kern w:val="0"/>
                <w:sz w:val="24"/>
                <w:szCs w:val="24"/>
              </w:rPr>
            </w:pPr>
            <w:r>
              <w:rPr>
                <w:rFonts w:hint="eastAsia" w:ascii="方正书宋简体" w:hAnsi="等线" w:eastAsia="方正书宋简体" w:cs="宋体"/>
                <w:color w:val="auto"/>
                <w:kern w:val="0"/>
                <w:sz w:val="24"/>
                <w:szCs w:val="24"/>
              </w:rPr>
              <w:t>城乡垃圾压缩中转站新（改）建项目：一是新建（改建）城乡垃圾压缩中转站</w:t>
            </w:r>
            <w:r>
              <w:rPr>
                <w:rFonts w:ascii="方正书宋简体" w:hAnsi="等线" w:eastAsia="方正书宋简体" w:cs="宋体"/>
                <w:color w:val="auto"/>
                <w:kern w:val="0"/>
                <w:sz w:val="24"/>
                <w:szCs w:val="24"/>
              </w:rPr>
              <w:t>10座；二是新增一批城乡垃圾分类运输车辆、分类投放和收集设施。</w:t>
            </w:r>
          </w:p>
        </w:tc>
        <w:tc>
          <w:tcPr>
            <w:tcW w:w="1583" w:type="dxa"/>
            <w:vAlign w:val="center"/>
          </w:tcPr>
          <w:p>
            <w:pPr>
              <w:widowControl/>
              <w:spacing w:line="300" w:lineRule="exact"/>
              <w:jc w:val="left"/>
              <w:rPr>
                <w:rFonts w:ascii="方正书宋简体" w:eastAsia="方正书宋简体" w:cs="Times New Roman"/>
                <w:color w:val="auto"/>
                <w:kern w:val="0"/>
                <w:sz w:val="24"/>
                <w:szCs w:val="24"/>
              </w:rPr>
            </w:pPr>
            <w:r>
              <w:rPr>
                <w:rFonts w:ascii="方正书宋简体" w:eastAsia="方正书宋简体" w:cs="Times New Roman"/>
                <w:color w:val="auto"/>
                <w:kern w:val="0"/>
                <w:sz w:val="24"/>
                <w:szCs w:val="24"/>
              </w:rPr>
              <w:t>2021-2022</w:t>
            </w:r>
          </w:p>
        </w:tc>
        <w:tc>
          <w:tcPr>
            <w:tcW w:w="1422" w:type="dxa"/>
            <w:vAlign w:val="center"/>
          </w:tcPr>
          <w:p>
            <w:pPr>
              <w:widowControl/>
              <w:spacing w:line="300" w:lineRule="exact"/>
              <w:jc w:val="left"/>
              <w:rPr>
                <w:rFonts w:ascii="方正书宋简体" w:eastAsia="方正书宋简体" w:cs="Times New Roman"/>
                <w:color w:val="auto"/>
                <w:kern w:val="0"/>
                <w:sz w:val="24"/>
                <w:szCs w:val="24"/>
              </w:rPr>
            </w:pPr>
            <w:r>
              <w:rPr>
                <w:rFonts w:ascii="方正书宋简体" w:eastAsia="方正书宋简体" w:cs="Times New Roman"/>
                <w:color w:val="auto"/>
                <w:kern w:val="0"/>
                <w:sz w:val="24"/>
                <w:szCs w:val="24"/>
              </w:rPr>
              <w:t>1200</w:t>
            </w:r>
          </w:p>
        </w:tc>
        <w:tc>
          <w:tcPr>
            <w:tcW w:w="1899" w:type="dxa"/>
            <w:vAlign w:val="center"/>
          </w:tcPr>
          <w:p>
            <w:pPr>
              <w:widowControl/>
              <w:spacing w:line="300" w:lineRule="exact"/>
              <w:jc w:val="left"/>
              <w:rPr>
                <w:rFonts w:ascii="方正书宋简体" w:hAnsi="等线" w:eastAsia="方正书宋简体" w:cs="宋体"/>
                <w:color w:val="auto"/>
                <w:kern w:val="0"/>
                <w:sz w:val="24"/>
                <w:szCs w:val="24"/>
              </w:rPr>
            </w:pPr>
            <w:r>
              <w:rPr>
                <w:rFonts w:hint="eastAsia" w:ascii="方正书宋简体" w:hAnsi="等线" w:eastAsia="方正书宋简体" w:cs="宋体"/>
                <w:color w:val="auto"/>
                <w:kern w:val="0"/>
                <w:sz w:val="24"/>
                <w:szCs w:val="24"/>
              </w:rPr>
              <w:t>区城市管理局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91" w:type="dxa"/>
            <w:vAlign w:val="center"/>
          </w:tcPr>
          <w:p>
            <w:pPr>
              <w:widowControl/>
              <w:spacing w:line="300" w:lineRule="exact"/>
              <w:jc w:val="left"/>
              <w:rPr>
                <w:rFonts w:ascii="方正书宋简体" w:eastAsia="方正书宋简体" w:cs="Times New Roman"/>
                <w:color w:val="auto"/>
                <w:kern w:val="0"/>
                <w:sz w:val="24"/>
                <w:szCs w:val="24"/>
              </w:rPr>
            </w:pPr>
            <w:r>
              <w:rPr>
                <w:rFonts w:ascii="方正书宋简体" w:eastAsia="方正书宋简体" w:cs="Times New Roman"/>
                <w:color w:val="auto"/>
                <w:kern w:val="0"/>
                <w:sz w:val="22"/>
              </w:rPr>
              <w:t>18</w:t>
            </w:r>
          </w:p>
        </w:tc>
        <w:tc>
          <w:tcPr>
            <w:tcW w:w="1424" w:type="dxa"/>
            <w:vMerge w:val="restart"/>
            <w:vAlign w:val="center"/>
          </w:tcPr>
          <w:p>
            <w:pPr>
              <w:widowControl/>
              <w:spacing w:line="300" w:lineRule="exact"/>
              <w:jc w:val="left"/>
              <w:rPr>
                <w:rFonts w:ascii="方正书宋简体" w:hAnsi="等线" w:eastAsia="方正书宋简体" w:cs="宋体"/>
                <w:color w:val="auto"/>
                <w:kern w:val="0"/>
                <w:sz w:val="24"/>
                <w:szCs w:val="24"/>
              </w:rPr>
            </w:pPr>
            <w:r>
              <w:rPr>
                <w:rFonts w:hint="eastAsia" w:ascii="方正书宋简体" w:hAnsi="等线" w:eastAsia="方正书宋简体" w:cs="宋体"/>
                <w:color w:val="auto"/>
                <w:kern w:val="0"/>
                <w:sz w:val="24"/>
                <w:szCs w:val="24"/>
              </w:rPr>
              <w:t>生活垃圾处理处置设施以及资源化利用工程</w:t>
            </w:r>
          </w:p>
        </w:tc>
        <w:tc>
          <w:tcPr>
            <w:tcW w:w="5853" w:type="dxa"/>
            <w:vAlign w:val="center"/>
          </w:tcPr>
          <w:p>
            <w:pPr>
              <w:widowControl/>
              <w:spacing w:line="300" w:lineRule="exact"/>
              <w:jc w:val="left"/>
              <w:rPr>
                <w:rFonts w:ascii="方正书宋简体" w:hAnsi="等线" w:eastAsia="方正书宋简体" w:cs="宋体"/>
                <w:color w:val="auto"/>
                <w:kern w:val="0"/>
                <w:sz w:val="24"/>
                <w:szCs w:val="24"/>
              </w:rPr>
            </w:pPr>
            <w:r>
              <w:rPr>
                <w:rFonts w:hint="eastAsia" w:ascii="方正书宋简体" w:hAnsi="等线" w:eastAsia="方正书宋简体" w:cs="宋体"/>
                <w:color w:val="auto"/>
                <w:kern w:val="0"/>
                <w:sz w:val="24"/>
                <w:szCs w:val="24"/>
              </w:rPr>
              <w:t>实施铜梁区生活垃圾填埋场局部封场及生态恢复工程，包括拦渣坝、垃圾堆体稳定性监测与治理；防渗墙截污功能评估及治理；填埋地下游水库水体治理；渗滤液处理”。</w:t>
            </w:r>
            <w:r>
              <w:rPr>
                <w:rFonts w:ascii="方正书宋简体" w:eastAsia="方正书宋简体" w:cs="Times New Roman"/>
                <w:color w:val="auto"/>
                <w:kern w:val="0"/>
                <w:sz w:val="24"/>
                <w:szCs w:val="24"/>
              </w:rPr>
              <w:t> </w:t>
            </w:r>
          </w:p>
        </w:tc>
        <w:tc>
          <w:tcPr>
            <w:tcW w:w="1583" w:type="dxa"/>
            <w:vAlign w:val="center"/>
          </w:tcPr>
          <w:p>
            <w:pPr>
              <w:widowControl/>
              <w:spacing w:line="300" w:lineRule="exact"/>
              <w:jc w:val="left"/>
              <w:rPr>
                <w:rFonts w:ascii="方正书宋简体" w:eastAsia="方正书宋简体" w:cs="Times New Roman"/>
                <w:color w:val="auto"/>
                <w:kern w:val="0"/>
                <w:sz w:val="24"/>
                <w:szCs w:val="24"/>
              </w:rPr>
            </w:pPr>
            <w:r>
              <w:rPr>
                <w:rFonts w:ascii="方正书宋简体" w:eastAsia="方正书宋简体" w:cs="Times New Roman"/>
                <w:color w:val="auto"/>
                <w:kern w:val="0"/>
                <w:sz w:val="24"/>
                <w:szCs w:val="24"/>
              </w:rPr>
              <w:t>2021-2025</w:t>
            </w:r>
          </w:p>
        </w:tc>
        <w:tc>
          <w:tcPr>
            <w:tcW w:w="1422" w:type="dxa"/>
            <w:vAlign w:val="center"/>
          </w:tcPr>
          <w:p>
            <w:pPr>
              <w:widowControl/>
              <w:spacing w:line="300" w:lineRule="exact"/>
              <w:jc w:val="left"/>
              <w:rPr>
                <w:rFonts w:ascii="方正书宋简体" w:eastAsia="方正书宋简体" w:cs="Times New Roman"/>
                <w:color w:val="auto"/>
                <w:kern w:val="0"/>
                <w:sz w:val="24"/>
                <w:szCs w:val="24"/>
              </w:rPr>
            </w:pPr>
            <w:r>
              <w:rPr>
                <w:rFonts w:ascii="方正书宋简体" w:eastAsia="方正书宋简体" w:cs="Times New Roman"/>
                <w:color w:val="auto"/>
                <w:kern w:val="0"/>
                <w:sz w:val="24"/>
                <w:szCs w:val="24"/>
              </w:rPr>
              <w:t>20000</w:t>
            </w:r>
          </w:p>
        </w:tc>
        <w:tc>
          <w:tcPr>
            <w:tcW w:w="1899" w:type="dxa"/>
            <w:vAlign w:val="center"/>
          </w:tcPr>
          <w:p>
            <w:pPr>
              <w:widowControl/>
              <w:spacing w:line="300" w:lineRule="exact"/>
              <w:jc w:val="left"/>
              <w:rPr>
                <w:rFonts w:ascii="方正书宋简体" w:hAnsi="等线" w:eastAsia="方正书宋简体" w:cs="宋体"/>
                <w:color w:val="auto"/>
                <w:kern w:val="0"/>
                <w:sz w:val="24"/>
                <w:szCs w:val="24"/>
              </w:rPr>
            </w:pPr>
            <w:r>
              <w:rPr>
                <w:rFonts w:hint="eastAsia" w:ascii="方正书宋简体" w:hAnsi="等线" w:eastAsia="方正书宋简体" w:cs="宋体"/>
                <w:color w:val="auto"/>
                <w:kern w:val="0"/>
                <w:sz w:val="24"/>
                <w:szCs w:val="24"/>
              </w:rPr>
              <w:t>区城市管理局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pPr>
              <w:widowControl/>
              <w:spacing w:line="300" w:lineRule="exact"/>
              <w:jc w:val="lef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1</w:t>
            </w:r>
            <w:r>
              <w:rPr>
                <w:rFonts w:ascii="方正书宋简体" w:eastAsia="方正书宋简体" w:cs="Times New Roman"/>
                <w:color w:val="auto"/>
                <w:kern w:val="0"/>
                <w:sz w:val="24"/>
                <w:szCs w:val="24"/>
              </w:rPr>
              <w:t>9</w:t>
            </w:r>
          </w:p>
        </w:tc>
        <w:tc>
          <w:tcPr>
            <w:tcW w:w="1424" w:type="dxa"/>
            <w:vMerge w:val="continue"/>
            <w:vAlign w:val="center"/>
          </w:tcPr>
          <w:p>
            <w:pPr>
              <w:widowControl/>
              <w:spacing w:line="300" w:lineRule="exact"/>
              <w:jc w:val="left"/>
              <w:rPr>
                <w:rFonts w:ascii="方正书宋简体" w:hAnsi="等线" w:eastAsia="方正书宋简体" w:cs="宋体"/>
                <w:color w:val="auto"/>
                <w:kern w:val="0"/>
                <w:sz w:val="24"/>
                <w:szCs w:val="24"/>
              </w:rPr>
            </w:pPr>
          </w:p>
        </w:tc>
        <w:tc>
          <w:tcPr>
            <w:tcW w:w="5853" w:type="dxa"/>
            <w:vAlign w:val="center"/>
          </w:tcPr>
          <w:p>
            <w:pPr>
              <w:widowControl/>
              <w:spacing w:line="300" w:lineRule="exact"/>
              <w:jc w:val="left"/>
              <w:rPr>
                <w:rFonts w:ascii="方正书宋简体" w:hAnsi="等线" w:eastAsia="方正书宋简体" w:cs="宋体"/>
                <w:color w:val="auto"/>
                <w:kern w:val="0"/>
                <w:sz w:val="24"/>
                <w:szCs w:val="24"/>
              </w:rPr>
            </w:pPr>
            <w:r>
              <w:rPr>
                <w:rFonts w:hint="eastAsia" w:ascii="方正书宋简体" w:hAnsi="等线" w:eastAsia="方正书宋简体" w:cs="宋体"/>
                <w:color w:val="auto"/>
                <w:kern w:val="0"/>
                <w:sz w:val="24"/>
                <w:szCs w:val="24"/>
              </w:rPr>
              <w:t>建成投运生活垃圾发电厂一期工程，规模</w:t>
            </w:r>
            <w:r>
              <w:rPr>
                <w:rFonts w:ascii="方正书宋简体" w:hAnsi="等线" w:eastAsia="方正书宋简体" w:cs="宋体"/>
                <w:color w:val="auto"/>
                <w:kern w:val="0"/>
                <w:sz w:val="24"/>
                <w:szCs w:val="24"/>
              </w:rPr>
              <w:t>1200吨/天。</w:t>
            </w:r>
          </w:p>
        </w:tc>
        <w:tc>
          <w:tcPr>
            <w:tcW w:w="1583" w:type="dxa"/>
            <w:vAlign w:val="center"/>
          </w:tcPr>
          <w:p>
            <w:pPr>
              <w:widowControl/>
              <w:spacing w:line="300" w:lineRule="exact"/>
              <w:jc w:val="left"/>
              <w:rPr>
                <w:rFonts w:ascii="方正书宋简体" w:eastAsia="方正书宋简体" w:cs="Times New Roman"/>
                <w:color w:val="auto"/>
                <w:kern w:val="0"/>
                <w:sz w:val="24"/>
                <w:szCs w:val="24"/>
              </w:rPr>
            </w:pPr>
            <w:r>
              <w:rPr>
                <w:rFonts w:ascii="方正书宋简体" w:eastAsia="方正书宋简体" w:cs="Times New Roman"/>
                <w:color w:val="auto"/>
                <w:kern w:val="0"/>
                <w:sz w:val="24"/>
                <w:szCs w:val="24"/>
              </w:rPr>
              <w:t>2021-2025</w:t>
            </w:r>
          </w:p>
        </w:tc>
        <w:tc>
          <w:tcPr>
            <w:tcW w:w="1422" w:type="dxa"/>
            <w:vAlign w:val="center"/>
          </w:tcPr>
          <w:p>
            <w:pPr>
              <w:widowControl/>
              <w:spacing w:line="300" w:lineRule="exact"/>
              <w:jc w:val="left"/>
              <w:rPr>
                <w:rFonts w:ascii="方正书宋简体" w:eastAsia="方正书宋简体" w:cs="Times New Roman"/>
                <w:color w:val="auto"/>
                <w:kern w:val="0"/>
                <w:sz w:val="24"/>
                <w:szCs w:val="24"/>
              </w:rPr>
            </w:pPr>
            <w:r>
              <w:rPr>
                <w:rFonts w:ascii="方正书宋简体" w:eastAsia="方正书宋简体" w:cs="Times New Roman"/>
                <w:color w:val="auto"/>
                <w:kern w:val="0"/>
                <w:sz w:val="24"/>
                <w:szCs w:val="24"/>
              </w:rPr>
              <w:t>73919</w:t>
            </w:r>
          </w:p>
        </w:tc>
        <w:tc>
          <w:tcPr>
            <w:tcW w:w="1899" w:type="dxa"/>
            <w:vAlign w:val="center"/>
          </w:tcPr>
          <w:p>
            <w:pPr>
              <w:widowControl/>
              <w:spacing w:line="300" w:lineRule="exact"/>
              <w:jc w:val="left"/>
              <w:rPr>
                <w:rFonts w:ascii="方正书宋简体" w:hAnsi="等线" w:eastAsia="方正书宋简体" w:cs="宋体"/>
                <w:color w:val="auto"/>
                <w:kern w:val="0"/>
                <w:sz w:val="24"/>
                <w:szCs w:val="24"/>
              </w:rPr>
            </w:pPr>
            <w:r>
              <w:rPr>
                <w:rFonts w:hint="eastAsia" w:ascii="方正书宋简体" w:hAnsi="等线" w:eastAsia="方正书宋简体" w:cs="宋体"/>
                <w:color w:val="auto"/>
                <w:kern w:val="0"/>
                <w:sz w:val="24"/>
                <w:szCs w:val="24"/>
              </w:rPr>
              <w:t>区城市管理局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1" w:type="dxa"/>
            <w:gridSpan w:val="4"/>
            <w:vAlign w:val="center"/>
          </w:tcPr>
          <w:p>
            <w:pPr>
              <w:widowControl/>
              <w:spacing w:line="300" w:lineRule="exact"/>
              <w:jc w:val="center"/>
              <w:rPr>
                <w:rFonts w:ascii="方正书宋简体" w:eastAsia="方正书宋简体" w:cs="Times New Roman"/>
                <w:b/>
                <w:bCs/>
                <w:color w:val="auto"/>
                <w:kern w:val="0"/>
                <w:sz w:val="22"/>
              </w:rPr>
            </w:pPr>
            <w:r>
              <w:rPr>
                <w:rFonts w:hint="eastAsia" w:ascii="方正书宋简体" w:eastAsia="方正书宋简体" w:cs="Times New Roman"/>
                <w:b/>
                <w:bCs/>
                <w:color w:val="auto"/>
                <w:kern w:val="0"/>
                <w:sz w:val="22"/>
              </w:rPr>
              <w:t>二、适应气候变化行动</w:t>
            </w:r>
          </w:p>
        </w:tc>
        <w:tc>
          <w:tcPr>
            <w:tcW w:w="1422" w:type="dxa"/>
            <w:vAlign w:val="center"/>
          </w:tcPr>
          <w:p>
            <w:pPr>
              <w:widowControl/>
              <w:spacing w:line="300" w:lineRule="exact"/>
              <w:jc w:val="center"/>
              <w:rPr>
                <w:rFonts w:ascii="方正书宋简体" w:eastAsia="方正书宋简体" w:cs="Times New Roman"/>
                <w:b/>
                <w:bCs/>
                <w:color w:val="auto"/>
                <w:kern w:val="0"/>
                <w:sz w:val="22"/>
              </w:rPr>
            </w:pPr>
            <w:r>
              <w:rPr>
                <w:rFonts w:ascii="方正书宋简体" w:eastAsia="方正书宋简体" w:cs="Times New Roman"/>
                <w:b/>
                <w:bCs/>
                <w:color w:val="auto"/>
                <w:kern w:val="0"/>
                <w:sz w:val="22"/>
              </w:rPr>
              <w:t>183598.06</w:t>
            </w:r>
          </w:p>
        </w:tc>
        <w:tc>
          <w:tcPr>
            <w:tcW w:w="1899" w:type="dxa"/>
            <w:vAlign w:val="center"/>
          </w:tcPr>
          <w:p>
            <w:pPr>
              <w:widowControl/>
              <w:spacing w:line="300" w:lineRule="exact"/>
              <w:jc w:val="center"/>
              <w:rPr>
                <w:rFonts w:ascii="方正书宋简体" w:eastAsia="方正书宋简体" w:cs="Times New Roman"/>
                <w:b/>
                <w:bCs/>
                <w:color w:val="auto"/>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pPr>
              <w:widowControl/>
              <w:spacing w:line="300" w:lineRule="exact"/>
              <w:jc w:val="lef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2</w:t>
            </w:r>
            <w:r>
              <w:rPr>
                <w:rFonts w:ascii="方正书宋简体" w:eastAsia="方正书宋简体" w:cs="Times New Roman"/>
                <w:color w:val="auto"/>
                <w:kern w:val="0"/>
                <w:sz w:val="24"/>
                <w:szCs w:val="24"/>
              </w:rPr>
              <w:t>0</w:t>
            </w:r>
          </w:p>
        </w:tc>
        <w:tc>
          <w:tcPr>
            <w:tcW w:w="1424" w:type="dxa"/>
            <w:vMerge w:val="restart"/>
            <w:vAlign w:val="center"/>
          </w:tcPr>
          <w:p>
            <w:pPr>
              <w:widowControl/>
              <w:spacing w:line="300" w:lineRule="exact"/>
              <w:jc w:val="left"/>
              <w:rPr>
                <w:rFonts w:ascii="方正书宋简体" w:hAnsi="等线" w:eastAsia="方正书宋简体" w:cs="宋体"/>
                <w:color w:val="auto"/>
                <w:kern w:val="0"/>
                <w:sz w:val="24"/>
                <w:szCs w:val="24"/>
              </w:rPr>
            </w:pPr>
            <w:r>
              <w:rPr>
                <w:rFonts w:hint="eastAsia" w:ascii="方正书宋简体" w:hAnsi="等线" w:eastAsia="方正书宋简体" w:cs="宋体"/>
                <w:color w:val="auto"/>
                <w:kern w:val="0"/>
                <w:sz w:val="24"/>
                <w:szCs w:val="24"/>
              </w:rPr>
              <w:t>水利基础设施建设</w:t>
            </w:r>
          </w:p>
          <w:p>
            <w:pPr>
              <w:spacing w:line="300" w:lineRule="exact"/>
              <w:jc w:val="left"/>
              <w:rPr>
                <w:rFonts w:ascii="方正书宋简体" w:hAnsi="等线" w:eastAsia="方正书宋简体" w:cs="宋体"/>
                <w:color w:val="auto"/>
                <w:kern w:val="0"/>
                <w:sz w:val="24"/>
                <w:szCs w:val="24"/>
              </w:rPr>
            </w:pPr>
          </w:p>
        </w:tc>
        <w:tc>
          <w:tcPr>
            <w:tcW w:w="5853" w:type="dxa"/>
            <w:vAlign w:val="center"/>
          </w:tcPr>
          <w:p>
            <w:pPr>
              <w:widowControl/>
              <w:spacing w:line="300" w:lineRule="exact"/>
              <w:jc w:val="left"/>
              <w:rPr>
                <w:rFonts w:ascii="方正书宋简体" w:hAnsi="等线" w:eastAsia="方正书宋简体" w:cs="宋体"/>
                <w:color w:val="auto"/>
                <w:kern w:val="0"/>
                <w:sz w:val="24"/>
                <w:szCs w:val="24"/>
              </w:rPr>
            </w:pPr>
            <w:r>
              <w:rPr>
                <w:rFonts w:hint="eastAsia" w:ascii="方正书宋简体" w:hAnsi="等线" w:eastAsia="方正书宋简体" w:cs="宋体"/>
                <w:color w:val="auto"/>
                <w:kern w:val="0"/>
                <w:sz w:val="24"/>
                <w:szCs w:val="24"/>
              </w:rPr>
              <w:t>续建铜梁区同心桥水库工程</w:t>
            </w:r>
            <w:r>
              <w:rPr>
                <w:rFonts w:ascii="方正书宋简体" w:hAnsi="等线" w:eastAsia="方正书宋简体" w:cs="宋体"/>
                <w:color w:val="auto"/>
                <w:kern w:val="0"/>
                <w:sz w:val="24"/>
                <w:szCs w:val="24"/>
              </w:rPr>
              <w:t>1126万m3中型水库一座，工程由水库枢纽工程、泵站工程、灌溉工程及供水工程四部分组成。主坝</w:t>
            </w:r>
            <w:r>
              <w:rPr>
                <w:rFonts w:hint="eastAsia" w:ascii="方正书宋简体" w:hAnsi="等线" w:eastAsia="方正书宋简体" w:cs="宋体"/>
                <w:color w:val="auto"/>
                <w:kern w:val="0"/>
                <w:sz w:val="24"/>
                <w:szCs w:val="24"/>
              </w:rPr>
              <w:t>为埋石混凝土重力坝，</w:t>
            </w:r>
            <w:r>
              <w:rPr>
                <w:rFonts w:ascii="方正书宋简体" w:hAnsi="等线" w:eastAsia="方正书宋简体" w:cs="宋体"/>
                <w:color w:val="auto"/>
                <w:kern w:val="0"/>
                <w:sz w:val="24"/>
                <w:szCs w:val="24"/>
              </w:rPr>
              <w:t>3个副坝为土工膜防渗坝；泵站工程布置6台卧式水泵；灌溉工程4条管线总长11.96km；供水工程管线一条全长7.44km。</w:t>
            </w:r>
          </w:p>
        </w:tc>
        <w:tc>
          <w:tcPr>
            <w:tcW w:w="1583" w:type="dxa"/>
            <w:vAlign w:val="center"/>
          </w:tcPr>
          <w:p>
            <w:pPr>
              <w:widowControl/>
              <w:spacing w:line="300" w:lineRule="exact"/>
              <w:jc w:val="left"/>
              <w:rPr>
                <w:rFonts w:ascii="方正书宋简体" w:eastAsia="方正书宋简体" w:cs="Times New Roman"/>
                <w:color w:val="auto"/>
                <w:kern w:val="0"/>
                <w:sz w:val="24"/>
                <w:szCs w:val="24"/>
              </w:rPr>
            </w:pPr>
            <w:r>
              <w:rPr>
                <w:rFonts w:ascii="方正书宋简体" w:eastAsia="方正书宋简体" w:cs="Times New Roman"/>
                <w:color w:val="auto"/>
                <w:kern w:val="0"/>
                <w:sz w:val="24"/>
                <w:szCs w:val="24"/>
              </w:rPr>
              <w:t>2020-2022</w:t>
            </w:r>
          </w:p>
        </w:tc>
        <w:tc>
          <w:tcPr>
            <w:tcW w:w="1422" w:type="dxa"/>
            <w:vAlign w:val="center"/>
          </w:tcPr>
          <w:p>
            <w:pPr>
              <w:widowControl/>
              <w:spacing w:line="300" w:lineRule="exact"/>
              <w:jc w:val="left"/>
              <w:rPr>
                <w:rFonts w:ascii="方正书宋简体" w:eastAsia="方正书宋简体" w:cs="Times New Roman"/>
                <w:color w:val="auto"/>
                <w:kern w:val="0"/>
                <w:sz w:val="24"/>
                <w:szCs w:val="24"/>
              </w:rPr>
            </w:pPr>
            <w:r>
              <w:rPr>
                <w:rFonts w:ascii="方正书宋简体" w:eastAsia="方正书宋简体" w:cs="Times New Roman"/>
                <w:color w:val="auto"/>
                <w:kern w:val="0"/>
                <w:sz w:val="24"/>
                <w:szCs w:val="24"/>
              </w:rPr>
              <w:t>70800</w:t>
            </w:r>
          </w:p>
        </w:tc>
        <w:tc>
          <w:tcPr>
            <w:tcW w:w="1899" w:type="dxa"/>
            <w:vAlign w:val="center"/>
          </w:tcPr>
          <w:p>
            <w:pPr>
              <w:widowControl/>
              <w:spacing w:line="300" w:lineRule="exact"/>
              <w:jc w:val="left"/>
              <w:rPr>
                <w:rFonts w:ascii="方正书宋简体" w:hAnsi="等线" w:eastAsia="方正书宋简体" w:cs="宋体"/>
                <w:color w:val="auto"/>
                <w:kern w:val="0"/>
                <w:sz w:val="24"/>
                <w:szCs w:val="24"/>
              </w:rPr>
            </w:pPr>
            <w:r>
              <w:rPr>
                <w:rFonts w:hint="eastAsia" w:ascii="方正书宋简体" w:hAnsi="等线" w:eastAsia="方正书宋简体" w:cs="宋体"/>
                <w:color w:val="auto"/>
                <w:kern w:val="0"/>
                <w:sz w:val="24"/>
                <w:szCs w:val="24"/>
              </w:rPr>
              <w:t>区水利局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91" w:type="dxa"/>
            <w:vAlign w:val="center"/>
          </w:tcPr>
          <w:p>
            <w:pPr>
              <w:widowControl/>
              <w:spacing w:line="300" w:lineRule="exact"/>
              <w:jc w:val="left"/>
              <w:rPr>
                <w:rFonts w:ascii="方正书宋简体" w:eastAsia="方正书宋简体" w:cs="Times New Roman"/>
                <w:color w:val="auto"/>
                <w:kern w:val="0"/>
                <w:sz w:val="24"/>
                <w:szCs w:val="24"/>
              </w:rPr>
            </w:pPr>
            <w:r>
              <w:rPr>
                <w:rFonts w:ascii="方正书宋简体" w:eastAsia="方正书宋简体" w:cs="Times New Roman"/>
                <w:color w:val="auto"/>
                <w:kern w:val="0"/>
                <w:sz w:val="22"/>
              </w:rPr>
              <w:t>21</w:t>
            </w:r>
          </w:p>
        </w:tc>
        <w:tc>
          <w:tcPr>
            <w:tcW w:w="1424" w:type="dxa"/>
            <w:vMerge w:val="continue"/>
            <w:vAlign w:val="center"/>
          </w:tcPr>
          <w:p>
            <w:pPr>
              <w:widowControl/>
              <w:spacing w:line="300" w:lineRule="exact"/>
              <w:jc w:val="left"/>
              <w:rPr>
                <w:rFonts w:ascii="方正书宋简体" w:hAnsi="等线" w:eastAsia="方正书宋简体" w:cs="宋体"/>
                <w:color w:val="auto"/>
                <w:kern w:val="0"/>
                <w:sz w:val="24"/>
                <w:szCs w:val="24"/>
              </w:rPr>
            </w:pPr>
          </w:p>
        </w:tc>
        <w:tc>
          <w:tcPr>
            <w:tcW w:w="5853" w:type="dxa"/>
            <w:vAlign w:val="center"/>
          </w:tcPr>
          <w:p>
            <w:pPr>
              <w:widowControl/>
              <w:spacing w:line="300" w:lineRule="exact"/>
              <w:jc w:val="left"/>
              <w:rPr>
                <w:rFonts w:ascii="方正书宋简体" w:hAnsi="等线" w:eastAsia="方正书宋简体" w:cs="宋体"/>
                <w:color w:val="auto"/>
                <w:kern w:val="0"/>
                <w:sz w:val="24"/>
                <w:szCs w:val="24"/>
              </w:rPr>
            </w:pPr>
            <w:r>
              <w:rPr>
                <w:rFonts w:hint="eastAsia" w:ascii="方正书宋简体" w:hAnsi="等线" w:eastAsia="方正书宋简体" w:cs="宋体"/>
                <w:color w:val="auto"/>
                <w:kern w:val="0"/>
                <w:sz w:val="24"/>
                <w:szCs w:val="24"/>
              </w:rPr>
              <w:t>安居电站以及高坑水电站绿色小水电创建绿色小水电项目</w:t>
            </w:r>
          </w:p>
        </w:tc>
        <w:tc>
          <w:tcPr>
            <w:tcW w:w="1583" w:type="dxa"/>
            <w:vAlign w:val="center"/>
          </w:tcPr>
          <w:p>
            <w:pPr>
              <w:widowControl/>
              <w:spacing w:line="300" w:lineRule="exact"/>
              <w:jc w:val="left"/>
              <w:rPr>
                <w:rFonts w:ascii="方正书宋简体" w:eastAsia="方正书宋简体" w:cs="Times New Roman"/>
                <w:color w:val="auto"/>
                <w:kern w:val="0"/>
                <w:sz w:val="24"/>
                <w:szCs w:val="24"/>
              </w:rPr>
            </w:pPr>
            <w:r>
              <w:rPr>
                <w:rFonts w:ascii="方正书宋简体" w:eastAsia="方正书宋简体" w:cs="Times New Roman"/>
                <w:color w:val="auto"/>
                <w:kern w:val="0"/>
                <w:sz w:val="24"/>
                <w:szCs w:val="24"/>
              </w:rPr>
              <w:t>2023-2025</w:t>
            </w:r>
          </w:p>
        </w:tc>
        <w:tc>
          <w:tcPr>
            <w:tcW w:w="1422" w:type="dxa"/>
            <w:vAlign w:val="center"/>
          </w:tcPr>
          <w:p>
            <w:pPr>
              <w:widowControl/>
              <w:spacing w:line="300" w:lineRule="exact"/>
              <w:jc w:val="left"/>
              <w:rPr>
                <w:rFonts w:ascii="方正书宋简体" w:eastAsia="方正书宋简体" w:cs="Times New Roman"/>
                <w:color w:val="auto"/>
                <w:kern w:val="0"/>
                <w:sz w:val="24"/>
                <w:szCs w:val="24"/>
              </w:rPr>
            </w:pPr>
            <w:r>
              <w:rPr>
                <w:rFonts w:ascii="方正书宋简体" w:eastAsia="方正书宋简体" w:cs="Times New Roman"/>
                <w:color w:val="auto"/>
                <w:kern w:val="0"/>
                <w:sz w:val="24"/>
                <w:szCs w:val="24"/>
              </w:rPr>
              <w:t>300</w:t>
            </w:r>
          </w:p>
        </w:tc>
        <w:tc>
          <w:tcPr>
            <w:tcW w:w="1899" w:type="dxa"/>
            <w:vAlign w:val="center"/>
          </w:tcPr>
          <w:p>
            <w:pPr>
              <w:widowControl/>
              <w:spacing w:line="300" w:lineRule="exact"/>
              <w:jc w:val="left"/>
              <w:rPr>
                <w:rFonts w:ascii="方正书宋简体" w:hAnsi="等线" w:eastAsia="方正书宋简体" w:cs="宋体"/>
                <w:color w:val="auto"/>
                <w:kern w:val="0"/>
                <w:sz w:val="24"/>
                <w:szCs w:val="24"/>
              </w:rPr>
            </w:pPr>
            <w:r>
              <w:rPr>
                <w:rFonts w:hint="eastAsia" w:ascii="方正书宋简体" w:hAnsi="等线" w:eastAsia="方正书宋简体" w:cs="宋体"/>
                <w:color w:val="auto"/>
                <w:kern w:val="0"/>
                <w:sz w:val="24"/>
                <w:szCs w:val="24"/>
              </w:rPr>
              <w:t>区水利局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pPr>
              <w:widowControl/>
              <w:spacing w:line="300" w:lineRule="exact"/>
              <w:jc w:val="left"/>
              <w:rPr>
                <w:rFonts w:ascii="方正书宋简体" w:eastAsia="方正书宋简体" w:cs="Times New Roman"/>
                <w:color w:val="auto"/>
                <w:kern w:val="0"/>
                <w:sz w:val="22"/>
              </w:rPr>
            </w:pPr>
            <w:r>
              <w:rPr>
                <w:rFonts w:ascii="方正书宋简体" w:eastAsia="方正书宋简体" w:cs="Times New Roman"/>
                <w:color w:val="auto"/>
                <w:kern w:val="0"/>
                <w:sz w:val="22"/>
              </w:rPr>
              <w:t>22</w:t>
            </w:r>
          </w:p>
        </w:tc>
        <w:tc>
          <w:tcPr>
            <w:tcW w:w="1424" w:type="dxa"/>
            <w:vAlign w:val="center"/>
          </w:tcPr>
          <w:p>
            <w:pPr>
              <w:widowControl/>
              <w:spacing w:line="300" w:lineRule="exact"/>
              <w:jc w:val="left"/>
              <w:rPr>
                <w:rFonts w:ascii="方正书宋简体" w:hAnsi="等线" w:eastAsia="方正书宋简体" w:cs="宋体"/>
                <w:color w:val="auto"/>
                <w:kern w:val="0"/>
                <w:sz w:val="24"/>
                <w:szCs w:val="24"/>
              </w:rPr>
            </w:pPr>
            <w:r>
              <w:rPr>
                <w:rFonts w:hint="eastAsia" w:ascii="方正书宋简体" w:hAnsi="等线" w:eastAsia="方正书宋简体" w:cs="宋体"/>
                <w:color w:val="auto"/>
                <w:kern w:val="0"/>
                <w:sz w:val="24"/>
                <w:szCs w:val="24"/>
              </w:rPr>
              <w:t>非常规水利用</w:t>
            </w:r>
          </w:p>
        </w:tc>
        <w:tc>
          <w:tcPr>
            <w:tcW w:w="5853" w:type="dxa"/>
            <w:vAlign w:val="center"/>
          </w:tcPr>
          <w:p>
            <w:pPr>
              <w:widowControl/>
              <w:spacing w:line="300" w:lineRule="exact"/>
              <w:jc w:val="left"/>
              <w:rPr>
                <w:rFonts w:ascii="方正书宋简体" w:hAnsi="等线" w:eastAsia="方正书宋简体" w:cs="宋体"/>
                <w:color w:val="auto"/>
                <w:kern w:val="0"/>
                <w:sz w:val="24"/>
                <w:szCs w:val="24"/>
              </w:rPr>
            </w:pPr>
            <w:r>
              <w:rPr>
                <w:rFonts w:hint="eastAsia" w:ascii="方正书宋简体" w:hAnsi="等线" w:eastAsia="方正书宋简体" w:cs="宋体"/>
                <w:color w:val="auto"/>
                <w:kern w:val="0"/>
                <w:sz w:val="24"/>
                <w:szCs w:val="24"/>
              </w:rPr>
              <w:t>铜梁污水处理厂一、二期改造工程，升级改造中水能力至</w:t>
            </w:r>
            <w:r>
              <w:rPr>
                <w:rFonts w:ascii="方正书宋简体" w:hAnsi="等线" w:eastAsia="方正书宋简体" w:cs="宋体"/>
                <w:color w:val="auto"/>
                <w:kern w:val="0"/>
                <w:sz w:val="24"/>
                <w:szCs w:val="24"/>
              </w:rPr>
              <w:t>2万吨/天</w:t>
            </w:r>
          </w:p>
        </w:tc>
        <w:tc>
          <w:tcPr>
            <w:tcW w:w="1583" w:type="dxa"/>
            <w:vAlign w:val="center"/>
          </w:tcPr>
          <w:p>
            <w:pPr>
              <w:widowControl/>
              <w:spacing w:line="300" w:lineRule="exact"/>
              <w:jc w:val="left"/>
              <w:rPr>
                <w:rFonts w:ascii="方正书宋简体" w:eastAsia="方正书宋简体" w:cs="Times New Roman"/>
                <w:color w:val="auto"/>
                <w:kern w:val="0"/>
                <w:sz w:val="24"/>
                <w:szCs w:val="24"/>
              </w:rPr>
            </w:pPr>
            <w:r>
              <w:rPr>
                <w:rFonts w:ascii="方正书宋简体" w:eastAsia="方正书宋简体" w:cs="Times New Roman"/>
                <w:color w:val="auto"/>
                <w:kern w:val="0"/>
                <w:sz w:val="24"/>
                <w:szCs w:val="24"/>
              </w:rPr>
              <w:t>2021-2022</w:t>
            </w:r>
          </w:p>
        </w:tc>
        <w:tc>
          <w:tcPr>
            <w:tcW w:w="1422" w:type="dxa"/>
            <w:vAlign w:val="center"/>
          </w:tcPr>
          <w:p>
            <w:pPr>
              <w:widowControl/>
              <w:spacing w:line="300" w:lineRule="exact"/>
              <w:jc w:val="left"/>
              <w:rPr>
                <w:rFonts w:ascii="方正书宋简体" w:eastAsia="方正书宋简体" w:cs="Times New Roman"/>
                <w:color w:val="auto"/>
                <w:kern w:val="0"/>
                <w:sz w:val="24"/>
                <w:szCs w:val="24"/>
              </w:rPr>
            </w:pPr>
            <w:r>
              <w:rPr>
                <w:rFonts w:ascii="方正书宋简体" w:eastAsia="方正书宋简体" w:cs="Times New Roman"/>
                <w:color w:val="auto"/>
                <w:kern w:val="0"/>
                <w:sz w:val="24"/>
                <w:szCs w:val="24"/>
              </w:rPr>
              <w:t>3000</w:t>
            </w:r>
          </w:p>
        </w:tc>
        <w:tc>
          <w:tcPr>
            <w:tcW w:w="1899" w:type="dxa"/>
            <w:vAlign w:val="center"/>
          </w:tcPr>
          <w:p>
            <w:pPr>
              <w:widowControl/>
              <w:spacing w:line="300" w:lineRule="exact"/>
              <w:jc w:val="left"/>
              <w:rPr>
                <w:rFonts w:ascii="方正书宋简体" w:hAnsi="等线" w:eastAsia="方正书宋简体" w:cs="宋体"/>
                <w:color w:val="auto"/>
                <w:kern w:val="0"/>
                <w:sz w:val="24"/>
                <w:szCs w:val="24"/>
              </w:rPr>
            </w:pPr>
            <w:r>
              <w:rPr>
                <w:rFonts w:hint="eastAsia" w:ascii="方正书宋简体" w:hAnsi="等线" w:eastAsia="方正书宋简体" w:cs="宋体"/>
                <w:color w:val="auto"/>
                <w:kern w:val="0"/>
                <w:sz w:val="24"/>
                <w:szCs w:val="24"/>
              </w:rPr>
              <w:t>区水利局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pPr>
              <w:widowControl/>
              <w:spacing w:line="300" w:lineRule="exact"/>
              <w:jc w:val="left"/>
              <w:rPr>
                <w:rFonts w:ascii="方正书宋简体" w:eastAsia="方正书宋简体" w:cs="Times New Roman"/>
                <w:color w:val="auto"/>
                <w:kern w:val="0"/>
                <w:sz w:val="24"/>
                <w:szCs w:val="24"/>
              </w:rPr>
            </w:pPr>
            <w:r>
              <w:rPr>
                <w:rFonts w:ascii="方正书宋简体" w:eastAsia="方正书宋简体" w:cs="Times New Roman"/>
                <w:color w:val="auto"/>
                <w:kern w:val="0"/>
                <w:sz w:val="22"/>
              </w:rPr>
              <w:t>23</w:t>
            </w:r>
          </w:p>
        </w:tc>
        <w:tc>
          <w:tcPr>
            <w:tcW w:w="1424" w:type="dxa"/>
            <w:vMerge w:val="restart"/>
            <w:vAlign w:val="center"/>
          </w:tcPr>
          <w:p>
            <w:pPr>
              <w:widowControl/>
              <w:spacing w:line="300" w:lineRule="exact"/>
              <w:jc w:val="left"/>
              <w:rPr>
                <w:rFonts w:ascii="方正书宋简体" w:hAnsi="等线" w:eastAsia="方正书宋简体" w:cs="宋体"/>
                <w:color w:val="auto"/>
                <w:kern w:val="0"/>
                <w:sz w:val="24"/>
                <w:szCs w:val="24"/>
              </w:rPr>
            </w:pPr>
            <w:r>
              <w:rPr>
                <w:rFonts w:hint="eastAsia" w:ascii="方正书宋简体" w:hAnsi="等线" w:eastAsia="方正书宋简体" w:cs="宋体"/>
                <w:color w:val="auto"/>
                <w:kern w:val="0"/>
                <w:sz w:val="24"/>
                <w:szCs w:val="24"/>
              </w:rPr>
              <w:t>水防御保障项目</w:t>
            </w:r>
          </w:p>
        </w:tc>
        <w:tc>
          <w:tcPr>
            <w:tcW w:w="5853" w:type="dxa"/>
            <w:vAlign w:val="center"/>
          </w:tcPr>
          <w:p>
            <w:pPr>
              <w:widowControl/>
              <w:spacing w:line="300" w:lineRule="exact"/>
              <w:jc w:val="left"/>
              <w:rPr>
                <w:rFonts w:ascii="方正书宋简体" w:hAnsi="等线" w:eastAsia="方正书宋简体" w:cs="宋体"/>
                <w:color w:val="auto"/>
                <w:kern w:val="0"/>
                <w:sz w:val="24"/>
                <w:szCs w:val="24"/>
              </w:rPr>
            </w:pPr>
            <w:r>
              <w:rPr>
                <w:rFonts w:hint="eastAsia" w:ascii="方正书宋简体" w:hAnsi="等线" w:eastAsia="方正书宋简体" w:cs="宋体"/>
                <w:color w:val="auto"/>
                <w:kern w:val="0"/>
                <w:sz w:val="24"/>
                <w:szCs w:val="24"/>
              </w:rPr>
              <w:t>实施</w:t>
            </w:r>
            <w:r>
              <w:rPr>
                <w:rFonts w:ascii="方正书宋简体" w:eastAsia="方正书宋简体" w:cs="Times New Roman"/>
                <w:color w:val="auto"/>
                <w:kern w:val="0"/>
                <w:sz w:val="24"/>
                <w:szCs w:val="24"/>
              </w:rPr>
              <w:t>3000km</w:t>
            </w:r>
            <w:r>
              <w:rPr>
                <w:rFonts w:ascii="方正书宋简体" w:eastAsia="方正书宋简体" w:cs="Times New Roman"/>
                <w:color w:val="auto"/>
                <w:kern w:val="0"/>
                <w:sz w:val="24"/>
                <w:szCs w:val="24"/>
                <w:vertAlign w:val="superscript"/>
              </w:rPr>
              <w:t>2</w:t>
            </w:r>
            <w:r>
              <w:rPr>
                <w:rFonts w:hint="eastAsia" w:ascii="方正书宋简体" w:hAnsi="等线" w:eastAsia="方正书宋简体" w:cs="宋体"/>
                <w:color w:val="auto"/>
                <w:kern w:val="0"/>
                <w:sz w:val="24"/>
                <w:szCs w:val="24"/>
              </w:rPr>
              <w:t>以上中小流域治理，新建涪江铜梁杨乐坝段防洪护岸</w:t>
            </w:r>
            <w:r>
              <w:rPr>
                <w:rFonts w:ascii="方正书宋简体" w:eastAsia="方正书宋简体" w:cs="Times New Roman"/>
                <w:color w:val="auto"/>
                <w:kern w:val="0"/>
                <w:sz w:val="24"/>
                <w:szCs w:val="24"/>
              </w:rPr>
              <w:t>2.2km</w:t>
            </w:r>
            <w:r>
              <w:rPr>
                <w:rFonts w:hint="eastAsia" w:ascii="方正书宋简体" w:hAnsi="等线" w:eastAsia="方正书宋简体" w:cs="宋体"/>
                <w:color w:val="auto"/>
                <w:kern w:val="0"/>
                <w:sz w:val="24"/>
                <w:szCs w:val="24"/>
              </w:rPr>
              <w:t>，实施安居镇防洪提升工程。</w:t>
            </w:r>
          </w:p>
        </w:tc>
        <w:tc>
          <w:tcPr>
            <w:tcW w:w="1583" w:type="dxa"/>
            <w:vAlign w:val="center"/>
          </w:tcPr>
          <w:p>
            <w:pPr>
              <w:widowControl/>
              <w:spacing w:line="300" w:lineRule="exact"/>
              <w:jc w:val="left"/>
              <w:rPr>
                <w:rFonts w:ascii="方正书宋简体" w:eastAsia="方正书宋简体" w:cs="Times New Roman"/>
                <w:color w:val="auto"/>
                <w:kern w:val="0"/>
                <w:sz w:val="24"/>
                <w:szCs w:val="24"/>
              </w:rPr>
            </w:pPr>
            <w:r>
              <w:rPr>
                <w:rFonts w:ascii="方正书宋简体" w:eastAsia="方正书宋简体" w:cs="Times New Roman"/>
                <w:color w:val="auto"/>
                <w:kern w:val="0"/>
                <w:sz w:val="24"/>
                <w:szCs w:val="24"/>
              </w:rPr>
              <w:t>2022-2025</w:t>
            </w:r>
          </w:p>
        </w:tc>
        <w:tc>
          <w:tcPr>
            <w:tcW w:w="1422" w:type="dxa"/>
            <w:vAlign w:val="center"/>
          </w:tcPr>
          <w:p>
            <w:pPr>
              <w:widowControl/>
              <w:spacing w:line="300" w:lineRule="exact"/>
              <w:jc w:val="left"/>
              <w:rPr>
                <w:rFonts w:ascii="方正书宋简体" w:eastAsia="方正书宋简体" w:cs="Times New Roman"/>
                <w:color w:val="auto"/>
                <w:kern w:val="0"/>
                <w:sz w:val="24"/>
                <w:szCs w:val="24"/>
              </w:rPr>
            </w:pPr>
            <w:r>
              <w:rPr>
                <w:rFonts w:ascii="方正书宋简体" w:eastAsia="方正书宋简体" w:cs="Times New Roman"/>
                <w:color w:val="auto"/>
                <w:kern w:val="0"/>
                <w:sz w:val="24"/>
                <w:szCs w:val="24"/>
              </w:rPr>
              <w:t>15299.13</w:t>
            </w:r>
          </w:p>
        </w:tc>
        <w:tc>
          <w:tcPr>
            <w:tcW w:w="1899" w:type="dxa"/>
            <w:vAlign w:val="center"/>
          </w:tcPr>
          <w:p>
            <w:pPr>
              <w:widowControl/>
              <w:spacing w:line="300" w:lineRule="exact"/>
              <w:jc w:val="left"/>
              <w:rPr>
                <w:rFonts w:ascii="方正书宋简体" w:hAnsi="等线" w:eastAsia="方正书宋简体" w:cs="宋体"/>
                <w:color w:val="auto"/>
                <w:kern w:val="0"/>
                <w:sz w:val="24"/>
                <w:szCs w:val="24"/>
              </w:rPr>
            </w:pPr>
            <w:r>
              <w:rPr>
                <w:rFonts w:hint="eastAsia" w:ascii="方正书宋简体" w:hAnsi="等线" w:eastAsia="方正书宋简体" w:cs="宋体"/>
                <w:color w:val="auto"/>
                <w:kern w:val="0"/>
                <w:sz w:val="24"/>
                <w:szCs w:val="24"/>
              </w:rPr>
              <w:t>区水利局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pPr>
              <w:widowControl/>
              <w:spacing w:line="300" w:lineRule="exact"/>
              <w:jc w:val="left"/>
              <w:rPr>
                <w:rFonts w:ascii="方正书宋简体" w:eastAsia="方正书宋简体" w:cs="Times New Roman"/>
                <w:color w:val="auto"/>
                <w:kern w:val="0"/>
                <w:sz w:val="24"/>
                <w:szCs w:val="24"/>
              </w:rPr>
            </w:pPr>
            <w:r>
              <w:rPr>
                <w:rFonts w:ascii="方正书宋简体" w:eastAsia="方正书宋简体" w:cs="Times New Roman"/>
                <w:color w:val="auto"/>
                <w:kern w:val="0"/>
                <w:sz w:val="22"/>
              </w:rPr>
              <w:t>24</w:t>
            </w:r>
          </w:p>
        </w:tc>
        <w:tc>
          <w:tcPr>
            <w:tcW w:w="1424" w:type="dxa"/>
            <w:vMerge w:val="continue"/>
            <w:vAlign w:val="center"/>
          </w:tcPr>
          <w:p>
            <w:pPr>
              <w:widowControl/>
              <w:spacing w:line="300" w:lineRule="exact"/>
              <w:jc w:val="left"/>
              <w:rPr>
                <w:rFonts w:ascii="方正书宋简体" w:hAnsi="等线" w:eastAsia="方正书宋简体" w:cs="宋体"/>
                <w:color w:val="auto"/>
                <w:kern w:val="0"/>
                <w:sz w:val="24"/>
                <w:szCs w:val="24"/>
              </w:rPr>
            </w:pPr>
          </w:p>
        </w:tc>
        <w:tc>
          <w:tcPr>
            <w:tcW w:w="5853" w:type="dxa"/>
            <w:vAlign w:val="center"/>
          </w:tcPr>
          <w:p>
            <w:pPr>
              <w:widowControl/>
              <w:spacing w:line="300" w:lineRule="exact"/>
              <w:jc w:val="left"/>
              <w:rPr>
                <w:rFonts w:ascii="方正书宋简体" w:hAnsi="等线" w:eastAsia="方正书宋简体" w:cs="宋体"/>
                <w:color w:val="auto"/>
                <w:kern w:val="0"/>
                <w:sz w:val="24"/>
                <w:szCs w:val="24"/>
              </w:rPr>
            </w:pPr>
            <w:r>
              <w:rPr>
                <w:rFonts w:hint="eastAsia" w:ascii="方正书宋简体" w:hAnsi="等线" w:eastAsia="方正书宋简体" w:cs="宋体"/>
                <w:color w:val="auto"/>
                <w:kern w:val="0"/>
                <w:sz w:val="24"/>
                <w:szCs w:val="24"/>
              </w:rPr>
              <w:t>实施</w:t>
            </w:r>
            <w:r>
              <w:rPr>
                <w:rFonts w:ascii="方正书宋简体" w:hAnsi="等线" w:eastAsia="方正书宋简体" w:cs="宋体"/>
                <w:color w:val="auto"/>
                <w:kern w:val="0"/>
                <w:sz w:val="24"/>
                <w:szCs w:val="24"/>
              </w:rPr>
              <w:t>200～3000km</w:t>
            </w:r>
            <w:r>
              <w:rPr>
                <w:rFonts w:ascii="方正书宋简体" w:hAnsi="等线" w:eastAsia="方正书宋简体" w:cs="宋体"/>
                <w:color w:val="auto"/>
                <w:kern w:val="0"/>
                <w:sz w:val="24"/>
                <w:szCs w:val="24"/>
                <w:vertAlign w:val="superscript"/>
              </w:rPr>
              <w:t>2</w:t>
            </w:r>
            <w:r>
              <w:rPr>
                <w:rFonts w:hint="eastAsia" w:ascii="方正书宋简体" w:hAnsi="等线" w:eastAsia="方正书宋简体" w:cs="宋体"/>
                <w:color w:val="auto"/>
                <w:kern w:val="0"/>
                <w:sz w:val="24"/>
                <w:szCs w:val="24"/>
              </w:rPr>
              <w:t>中小河流治理工程，涉及淮远河支流综合治理、大庙段河道综合整治、虎峰段综合治理、淮远河流域河道修复与河岸治理、淮远河（付家桥上段）综合治理。</w:t>
            </w:r>
          </w:p>
        </w:tc>
        <w:tc>
          <w:tcPr>
            <w:tcW w:w="1583" w:type="dxa"/>
            <w:vAlign w:val="center"/>
          </w:tcPr>
          <w:p>
            <w:pPr>
              <w:widowControl/>
              <w:spacing w:line="300" w:lineRule="exact"/>
              <w:jc w:val="left"/>
              <w:rPr>
                <w:rFonts w:ascii="方正书宋简体" w:eastAsia="方正书宋简体" w:cs="Times New Roman"/>
                <w:color w:val="auto"/>
                <w:kern w:val="0"/>
                <w:sz w:val="24"/>
                <w:szCs w:val="24"/>
              </w:rPr>
            </w:pPr>
            <w:r>
              <w:rPr>
                <w:rFonts w:ascii="方正书宋简体" w:eastAsia="方正书宋简体" w:cs="Times New Roman"/>
                <w:color w:val="auto"/>
                <w:kern w:val="0"/>
                <w:sz w:val="24"/>
                <w:szCs w:val="24"/>
              </w:rPr>
              <w:t>2022-2025</w:t>
            </w:r>
          </w:p>
        </w:tc>
        <w:tc>
          <w:tcPr>
            <w:tcW w:w="1422" w:type="dxa"/>
            <w:vAlign w:val="center"/>
          </w:tcPr>
          <w:p>
            <w:pPr>
              <w:widowControl/>
              <w:spacing w:line="300" w:lineRule="exact"/>
              <w:jc w:val="left"/>
              <w:rPr>
                <w:rFonts w:ascii="方正书宋简体" w:eastAsia="方正书宋简体" w:cs="Times New Roman"/>
                <w:color w:val="auto"/>
                <w:kern w:val="0"/>
                <w:sz w:val="24"/>
                <w:szCs w:val="24"/>
              </w:rPr>
            </w:pPr>
            <w:r>
              <w:rPr>
                <w:rFonts w:ascii="方正书宋简体" w:eastAsia="方正书宋简体" w:cs="Times New Roman"/>
                <w:color w:val="auto"/>
                <w:kern w:val="0"/>
                <w:sz w:val="24"/>
                <w:szCs w:val="24"/>
              </w:rPr>
              <w:t>31189</w:t>
            </w:r>
          </w:p>
        </w:tc>
        <w:tc>
          <w:tcPr>
            <w:tcW w:w="1899" w:type="dxa"/>
            <w:vAlign w:val="center"/>
          </w:tcPr>
          <w:p>
            <w:pPr>
              <w:widowControl/>
              <w:spacing w:line="300" w:lineRule="exact"/>
              <w:jc w:val="left"/>
              <w:rPr>
                <w:rFonts w:ascii="方正书宋简体" w:hAnsi="等线" w:eastAsia="方正书宋简体" w:cs="宋体"/>
                <w:color w:val="auto"/>
                <w:kern w:val="0"/>
                <w:sz w:val="24"/>
                <w:szCs w:val="24"/>
              </w:rPr>
            </w:pPr>
            <w:r>
              <w:rPr>
                <w:rFonts w:hint="eastAsia" w:ascii="方正书宋简体" w:hAnsi="等线" w:eastAsia="方正书宋简体" w:cs="宋体"/>
                <w:color w:val="auto"/>
                <w:kern w:val="0"/>
                <w:sz w:val="24"/>
                <w:szCs w:val="24"/>
              </w:rPr>
              <w:t>区水利局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91" w:type="dxa"/>
            <w:vAlign w:val="center"/>
          </w:tcPr>
          <w:p>
            <w:pPr>
              <w:widowControl/>
              <w:spacing w:line="300" w:lineRule="exact"/>
              <w:jc w:val="left"/>
              <w:rPr>
                <w:rFonts w:ascii="方正书宋简体" w:eastAsia="方正书宋简体" w:cs="Times New Roman"/>
                <w:color w:val="auto"/>
                <w:kern w:val="0"/>
                <w:sz w:val="24"/>
                <w:szCs w:val="24"/>
              </w:rPr>
            </w:pPr>
            <w:r>
              <w:rPr>
                <w:rFonts w:ascii="方正书宋简体" w:eastAsia="方正书宋简体" w:cs="Times New Roman"/>
                <w:color w:val="auto"/>
                <w:kern w:val="0"/>
                <w:sz w:val="22"/>
              </w:rPr>
              <w:t>25</w:t>
            </w:r>
          </w:p>
        </w:tc>
        <w:tc>
          <w:tcPr>
            <w:tcW w:w="1424" w:type="dxa"/>
            <w:vMerge w:val="restart"/>
            <w:vAlign w:val="center"/>
          </w:tcPr>
          <w:p>
            <w:pPr>
              <w:widowControl/>
              <w:spacing w:line="300" w:lineRule="exact"/>
              <w:jc w:val="left"/>
              <w:rPr>
                <w:rFonts w:ascii="方正书宋简体" w:hAnsi="等线" w:eastAsia="方正书宋简体" w:cs="宋体"/>
                <w:color w:val="auto"/>
                <w:kern w:val="0"/>
                <w:sz w:val="24"/>
                <w:szCs w:val="24"/>
              </w:rPr>
            </w:pPr>
            <w:r>
              <w:rPr>
                <w:rFonts w:hint="eastAsia" w:ascii="方正书宋简体" w:hAnsi="等线" w:eastAsia="方正书宋简体" w:cs="宋体"/>
                <w:color w:val="auto"/>
                <w:kern w:val="0"/>
                <w:sz w:val="24"/>
                <w:szCs w:val="24"/>
              </w:rPr>
              <w:t>防洪排涝工程</w:t>
            </w:r>
          </w:p>
        </w:tc>
        <w:tc>
          <w:tcPr>
            <w:tcW w:w="5853" w:type="dxa"/>
            <w:vAlign w:val="center"/>
          </w:tcPr>
          <w:p>
            <w:pPr>
              <w:widowControl/>
              <w:spacing w:line="300" w:lineRule="exact"/>
              <w:jc w:val="left"/>
              <w:rPr>
                <w:rFonts w:ascii="方正书宋简体" w:hAnsi="等线" w:eastAsia="方正书宋简体" w:cs="宋体"/>
                <w:color w:val="auto"/>
                <w:kern w:val="0"/>
                <w:sz w:val="24"/>
                <w:szCs w:val="24"/>
              </w:rPr>
            </w:pPr>
            <w:r>
              <w:rPr>
                <w:rFonts w:hint="eastAsia" w:ascii="方正书宋简体" w:hAnsi="等线" w:eastAsia="方正书宋简体" w:cs="宋体"/>
                <w:color w:val="auto"/>
                <w:kern w:val="0"/>
                <w:sz w:val="24"/>
                <w:szCs w:val="24"/>
              </w:rPr>
              <w:t>对涪江</w:t>
            </w:r>
            <w:r>
              <w:rPr>
                <w:rFonts w:ascii="方正书宋简体" w:hAnsi="等线" w:eastAsia="方正书宋简体" w:cs="宋体"/>
                <w:color w:val="auto"/>
                <w:kern w:val="0"/>
                <w:sz w:val="24"/>
                <w:szCs w:val="24"/>
              </w:rPr>
              <w:t>8公里、小安溪46.9公里、</w:t>
            </w:r>
            <w:r>
              <w:rPr>
                <w:rFonts w:hint="eastAsia" w:ascii="方正书宋简体" w:hAnsi="等线" w:eastAsia="方正书宋简体" w:cs="宋体"/>
                <w:color w:val="auto"/>
                <w:kern w:val="0"/>
                <w:sz w:val="24"/>
                <w:szCs w:val="24"/>
              </w:rPr>
              <w:t>平滩河</w:t>
            </w:r>
            <w:r>
              <w:rPr>
                <w:rFonts w:ascii="方正书宋简体" w:hAnsi="等线" w:eastAsia="方正书宋简体" w:cs="宋体"/>
                <w:color w:val="auto"/>
                <w:kern w:val="0"/>
                <w:sz w:val="24"/>
                <w:szCs w:val="24"/>
              </w:rPr>
              <w:t>23.77公里、淮远河6.4公里和白羊河流域9.5公里山洪沟进行治理。</w:t>
            </w:r>
          </w:p>
        </w:tc>
        <w:tc>
          <w:tcPr>
            <w:tcW w:w="1583" w:type="dxa"/>
            <w:vAlign w:val="center"/>
          </w:tcPr>
          <w:p>
            <w:pPr>
              <w:widowControl/>
              <w:spacing w:line="300" w:lineRule="exact"/>
              <w:jc w:val="left"/>
              <w:rPr>
                <w:rFonts w:ascii="方正书宋简体" w:eastAsia="方正书宋简体" w:cs="Times New Roman"/>
                <w:color w:val="auto"/>
                <w:kern w:val="0"/>
                <w:sz w:val="24"/>
                <w:szCs w:val="24"/>
              </w:rPr>
            </w:pPr>
            <w:r>
              <w:rPr>
                <w:rFonts w:ascii="方正书宋简体" w:eastAsia="方正书宋简体" w:cs="Times New Roman"/>
                <w:color w:val="auto"/>
                <w:kern w:val="0"/>
                <w:sz w:val="24"/>
                <w:szCs w:val="24"/>
              </w:rPr>
              <w:t>2021-2025</w:t>
            </w:r>
          </w:p>
        </w:tc>
        <w:tc>
          <w:tcPr>
            <w:tcW w:w="1422" w:type="dxa"/>
            <w:vAlign w:val="center"/>
          </w:tcPr>
          <w:p>
            <w:pPr>
              <w:widowControl/>
              <w:spacing w:line="300" w:lineRule="exact"/>
              <w:jc w:val="left"/>
              <w:rPr>
                <w:rFonts w:ascii="方正书宋简体" w:eastAsia="方正书宋简体" w:cs="Times New Roman"/>
                <w:color w:val="auto"/>
                <w:kern w:val="0"/>
                <w:sz w:val="24"/>
                <w:szCs w:val="24"/>
              </w:rPr>
            </w:pPr>
            <w:r>
              <w:rPr>
                <w:rFonts w:ascii="方正书宋简体" w:eastAsia="方正书宋简体" w:cs="Times New Roman"/>
                <w:color w:val="auto"/>
                <w:kern w:val="0"/>
                <w:sz w:val="24"/>
                <w:szCs w:val="24"/>
              </w:rPr>
              <w:t>3000</w:t>
            </w:r>
          </w:p>
        </w:tc>
        <w:tc>
          <w:tcPr>
            <w:tcW w:w="1899" w:type="dxa"/>
            <w:vAlign w:val="center"/>
          </w:tcPr>
          <w:p>
            <w:pPr>
              <w:widowControl/>
              <w:spacing w:line="300" w:lineRule="exact"/>
              <w:jc w:val="left"/>
              <w:rPr>
                <w:rFonts w:ascii="方正书宋简体" w:hAnsi="等线" w:eastAsia="方正书宋简体" w:cs="宋体"/>
                <w:color w:val="auto"/>
                <w:kern w:val="0"/>
                <w:sz w:val="24"/>
                <w:szCs w:val="24"/>
              </w:rPr>
            </w:pPr>
            <w:r>
              <w:rPr>
                <w:rFonts w:hint="eastAsia" w:ascii="方正书宋简体" w:hAnsi="等线" w:eastAsia="方正书宋简体" w:cs="宋体"/>
                <w:color w:val="auto"/>
                <w:kern w:val="0"/>
                <w:sz w:val="24"/>
                <w:szCs w:val="24"/>
              </w:rPr>
              <w:t>区水利局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pPr>
              <w:widowControl/>
              <w:spacing w:line="300" w:lineRule="exact"/>
              <w:jc w:val="left"/>
              <w:rPr>
                <w:rFonts w:ascii="方正书宋简体" w:eastAsia="方正书宋简体" w:cs="Times New Roman"/>
                <w:color w:val="auto"/>
                <w:kern w:val="0"/>
                <w:sz w:val="24"/>
                <w:szCs w:val="24"/>
              </w:rPr>
            </w:pPr>
            <w:r>
              <w:rPr>
                <w:rFonts w:ascii="方正书宋简体" w:eastAsia="方正书宋简体" w:cs="Times New Roman"/>
                <w:color w:val="auto"/>
                <w:kern w:val="0"/>
                <w:sz w:val="22"/>
              </w:rPr>
              <w:t>26</w:t>
            </w:r>
          </w:p>
        </w:tc>
        <w:tc>
          <w:tcPr>
            <w:tcW w:w="1424" w:type="dxa"/>
            <w:vMerge w:val="continue"/>
            <w:vAlign w:val="center"/>
          </w:tcPr>
          <w:p>
            <w:pPr>
              <w:widowControl/>
              <w:spacing w:line="300" w:lineRule="exact"/>
              <w:jc w:val="left"/>
              <w:rPr>
                <w:rFonts w:ascii="方正书宋简体" w:hAnsi="等线" w:eastAsia="方正书宋简体" w:cs="宋体"/>
                <w:color w:val="auto"/>
                <w:kern w:val="0"/>
                <w:sz w:val="24"/>
                <w:szCs w:val="24"/>
              </w:rPr>
            </w:pPr>
          </w:p>
        </w:tc>
        <w:tc>
          <w:tcPr>
            <w:tcW w:w="5853" w:type="dxa"/>
            <w:vAlign w:val="center"/>
          </w:tcPr>
          <w:p>
            <w:pPr>
              <w:widowControl/>
              <w:spacing w:line="300" w:lineRule="exact"/>
              <w:jc w:val="left"/>
              <w:rPr>
                <w:rFonts w:ascii="方正书宋简体" w:hAnsi="等线" w:eastAsia="方正书宋简体" w:cs="宋体"/>
                <w:color w:val="auto"/>
                <w:kern w:val="0"/>
                <w:sz w:val="24"/>
                <w:szCs w:val="24"/>
              </w:rPr>
            </w:pPr>
            <w:r>
              <w:rPr>
                <w:rFonts w:hint="eastAsia" w:ascii="方正书宋简体" w:hAnsi="等线" w:eastAsia="方正书宋简体" w:cs="宋体"/>
                <w:color w:val="auto"/>
                <w:kern w:val="0"/>
                <w:sz w:val="24"/>
                <w:szCs w:val="24"/>
              </w:rPr>
              <w:t>实施物联网+智慧排水工程建设，安装水质、流量、井盖状态等传感设备，覆盖铜梁区约16平方公里城市建成区（高新区除外）。</w:t>
            </w:r>
          </w:p>
        </w:tc>
        <w:tc>
          <w:tcPr>
            <w:tcW w:w="1583" w:type="dxa"/>
            <w:vAlign w:val="center"/>
          </w:tcPr>
          <w:p>
            <w:pPr>
              <w:widowControl/>
              <w:spacing w:line="300" w:lineRule="exact"/>
              <w:jc w:val="left"/>
              <w:rPr>
                <w:rFonts w:ascii="方正书宋简体" w:eastAsia="方正书宋简体" w:cs="Times New Roman"/>
                <w:color w:val="auto"/>
                <w:kern w:val="0"/>
                <w:sz w:val="24"/>
                <w:szCs w:val="24"/>
              </w:rPr>
            </w:pPr>
            <w:r>
              <w:rPr>
                <w:rFonts w:ascii="方正书宋简体" w:eastAsia="方正书宋简体" w:cs="Times New Roman"/>
                <w:color w:val="auto"/>
                <w:kern w:val="0"/>
                <w:sz w:val="24"/>
                <w:szCs w:val="24"/>
              </w:rPr>
              <w:t>2021-2025</w:t>
            </w:r>
          </w:p>
        </w:tc>
        <w:tc>
          <w:tcPr>
            <w:tcW w:w="1422" w:type="dxa"/>
            <w:vAlign w:val="center"/>
          </w:tcPr>
          <w:p>
            <w:pPr>
              <w:widowControl/>
              <w:spacing w:line="300" w:lineRule="exact"/>
              <w:jc w:val="left"/>
              <w:rPr>
                <w:rFonts w:ascii="方正书宋简体" w:eastAsia="方正书宋简体" w:cs="Times New Roman"/>
                <w:color w:val="auto"/>
                <w:kern w:val="0"/>
                <w:sz w:val="24"/>
                <w:szCs w:val="24"/>
              </w:rPr>
            </w:pPr>
            <w:r>
              <w:rPr>
                <w:rFonts w:ascii="方正书宋简体" w:eastAsia="方正书宋简体" w:cs="Times New Roman"/>
                <w:color w:val="auto"/>
                <w:kern w:val="0"/>
                <w:sz w:val="24"/>
                <w:szCs w:val="24"/>
              </w:rPr>
              <w:t>4199.93</w:t>
            </w:r>
          </w:p>
        </w:tc>
        <w:tc>
          <w:tcPr>
            <w:tcW w:w="1899" w:type="dxa"/>
            <w:vAlign w:val="center"/>
          </w:tcPr>
          <w:p>
            <w:pPr>
              <w:widowControl/>
              <w:spacing w:line="300" w:lineRule="exact"/>
              <w:jc w:val="left"/>
              <w:rPr>
                <w:rFonts w:ascii="方正书宋简体" w:hAnsi="等线" w:eastAsia="方正书宋简体" w:cs="宋体"/>
                <w:color w:val="auto"/>
                <w:kern w:val="0"/>
                <w:sz w:val="24"/>
                <w:szCs w:val="24"/>
              </w:rPr>
            </w:pPr>
            <w:r>
              <w:rPr>
                <w:rFonts w:hint="eastAsia" w:ascii="方正书宋简体" w:hAnsi="等线" w:eastAsia="方正书宋简体" w:cs="宋体"/>
                <w:color w:val="auto"/>
                <w:kern w:val="0"/>
                <w:sz w:val="24"/>
                <w:szCs w:val="24"/>
              </w:rPr>
              <w:t>区住房城乡建委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pPr>
              <w:widowControl/>
              <w:spacing w:line="300" w:lineRule="exact"/>
              <w:jc w:val="left"/>
              <w:rPr>
                <w:rFonts w:ascii="方正书宋简体" w:eastAsia="方正书宋简体" w:cs="Times New Roman"/>
                <w:color w:val="auto"/>
                <w:kern w:val="0"/>
                <w:sz w:val="24"/>
                <w:szCs w:val="24"/>
              </w:rPr>
            </w:pPr>
            <w:r>
              <w:rPr>
                <w:rFonts w:ascii="方正书宋简体" w:eastAsia="方正书宋简体" w:cs="Times New Roman"/>
                <w:color w:val="auto"/>
                <w:kern w:val="0"/>
                <w:sz w:val="22"/>
              </w:rPr>
              <w:t>27</w:t>
            </w:r>
          </w:p>
        </w:tc>
        <w:tc>
          <w:tcPr>
            <w:tcW w:w="1424" w:type="dxa"/>
            <w:vMerge w:val="restart"/>
            <w:vAlign w:val="center"/>
          </w:tcPr>
          <w:p>
            <w:pPr>
              <w:widowControl/>
              <w:spacing w:line="300" w:lineRule="exact"/>
              <w:jc w:val="left"/>
              <w:rPr>
                <w:rFonts w:ascii="方正书宋简体" w:hAnsi="等线" w:eastAsia="方正书宋简体" w:cs="宋体"/>
                <w:color w:val="auto"/>
                <w:kern w:val="0"/>
                <w:sz w:val="24"/>
                <w:szCs w:val="24"/>
              </w:rPr>
            </w:pPr>
            <w:r>
              <w:rPr>
                <w:rFonts w:hint="eastAsia" w:ascii="方正书宋简体" w:hAnsi="等线" w:eastAsia="方正书宋简体" w:cs="宋体"/>
                <w:color w:val="auto"/>
                <w:kern w:val="0"/>
                <w:sz w:val="24"/>
                <w:szCs w:val="24"/>
              </w:rPr>
              <w:t>低碳农业体系建设</w:t>
            </w:r>
          </w:p>
        </w:tc>
        <w:tc>
          <w:tcPr>
            <w:tcW w:w="5853" w:type="dxa"/>
            <w:vAlign w:val="center"/>
          </w:tcPr>
          <w:p>
            <w:pPr>
              <w:widowControl/>
              <w:spacing w:line="300" w:lineRule="exact"/>
              <w:jc w:val="left"/>
              <w:rPr>
                <w:rFonts w:ascii="方正书宋简体" w:hAnsi="等线" w:eastAsia="方正书宋简体" w:cs="宋体"/>
                <w:color w:val="auto"/>
                <w:kern w:val="0"/>
                <w:sz w:val="24"/>
                <w:szCs w:val="24"/>
              </w:rPr>
            </w:pPr>
            <w:r>
              <w:rPr>
                <w:rFonts w:hint="eastAsia" w:ascii="方正书宋简体" w:hAnsi="等线" w:eastAsia="方正书宋简体" w:cs="宋体"/>
                <w:color w:val="auto"/>
                <w:kern w:val="0"/>
                <w:sz w:val="24"/>
                <w:szCs w:val="24"/>
              </w:rPr>
              <w:t>实施高标准农田建设项目，集中连片，整村推进旧县、安居、平滩、土桥等镇街高标准农田建设</w:t>
            </w:r>
            <w:r>
              <w:rPr>
                <w:rFonts w:ascii="方正书宋简体" w:eastAsia="方正书宋简体" w:cs="Times New Roman"/>
                <w:color w:val="auto"/>
                <w:kern w:val="0"/>
                <w:sz w:val="24"/>
                <w:szCs w:val="24"/>
              </w:rPr>
              <w:t>25</w:t>
            </w:r>
            <w:r>
              <w:rPr>
                <w:rFonts w:hint="eastAsia" w:ascii="方正书宋简体" w:hAnsi="等线" w:eastAsia="方正书宋简体" w:cs="宋体"/>
                <w:color w:val="auto"/>
                <w:kern w:val="0"/>
                <w:sz w:val="24"/>
                <w:szCs w:val="24"/>
              </w:rPr>
              <w:t>万亩，实施农田宜机化改造</w:t>
            </w:r>
            <w:r>
              <w:rPr>
                <w:rFonts w:ascii="方正书宋简体" w:eastAsia="方正书宋简体" w:cs="Times New Roman"/>
                <w:color w:val="auto"/>
                <w:kern w:val="0"/>
                <w:sz w:val="24"/>
                <w:szCs w:val="24"/>
              </w:rPr>
              <w:t>5</w:t>
            </w:r>
            <w:r>
              <w:rPr>
                <w:rFonts w:hint="eastAsia" w:ascii="方正书宋简体" w:hAnsi="等线" w:eastAsia="方正书宋简体" w:cs="宋体"/>
                <w:color w:val="auto"/>
                <w:kern w:val="0"/>
                <w:sz w:val="24"/>
                <w:szCs w:val="24"/>
              </w:rPr>
              <w:t>万亩。</w:t>
            </w:r>
          </w:p>
        </w:tc>
        <w:tc>
          <w:tcPr>
            <w:tcW w:w="1583" w:type="dxa"/>
            <w:vAlign w:val="center"/>
          </w:tcPr>
          <w:p>
            <w:pPr>
              <w:widowControl/>
              <w:spacing w:line="300" w:lineRule="exact"/>
              <w:jc w:val="left"/>
              <w:rPr>
                <w:rFonts w:ascii="方正书宋简体" w:eastAsia="方正书宋简体" w:cs="Times New Roman"/>
                <w:color w:val="auto"/>
                <w:kern w:val="0"/>
                <w:sz w:val="24"/>
                <w:szCs w:val="24"/>
              </w:rPr>
            </w:pPr>
            <w:r>
              <w:rPr>
                <w:rFonts w:ascii="方正书宋简体" w:eastAsia="方正书宋简体" w:cs="Times New Roman"/>
                <w:color w:val="auto"/>
                <w:kern w:val="0"/>
                <w:sz w:val="24"/>
                <w:szCs w:val="24"/>
              </w:rPr>
              <w:t>2021-2025</w:t>
            </w:r>
          </w:p>
        </w:tc>
        <w:tc>
          <w:tcPr>
            <w:tcW w:w="1422" w:type="dxa"/>
            <w:vAlign w:val="center"/>
          </w:tcPr>
          <w:p>
            <w:pPr>
              <w:widowControl/>
              <w:spacing w:line="300" w:lineRule="exact"/>
              <w:jc w:val="left"/>
              <w:rPr>
                <w:rFonts w:ascii="方正书宋简体" w:eastAsia="方正书宋简体" w:cs="Times New Roman"/>
                <w:color w:val="auto"/>
                <w:kern w:val="0"/>
                <w:sz w:val="24"/>
                <w:szCs w:val="24"/>
              </w:rPr>
            </w:pPr>
            <w:r>
              <w:rPr>
                <w:rFonts w:ascii="方正书宋简体" w:eastAsia="方正书宋简体" w:cs="Times New Roman"/>
                <w:color w:val="auto"/>
                <w:kern w:val="0"/>
                <w:sz w:val="24"/>
                <w:szCs w:val="24"/>
              </w:rPr>
              <w:t>47500</w:t>
            </w:r>
          </w:p>
        </w:tc>
        <w:tc>
          <w:tcPr>
            <w:tcW w:w="1899" w:type="dxa"/>
            <w:vAlign w:val="center"/>
          </w:tcPr>
          <w:p>
            <w:pPr>
              <w:widowControl/>
              <w:spacing w:line="300" w:lineRule="exact"/>
              <w:jc w:val="left"/>
              <w:rPr>
                <w:rFonts w:ascii="方正书宋简体" w:hAnsi="等线" w:eastAsia="方正书宋简体" w:cs="宋体"/>
                <w:color w:val="auto"/>
                <w:kern w:val="0"/>
                <w:sz w:val="24"/>
                <w:szCs w:val="24"/>
              </w:rPr>
            </w:pPr>
            <w:r>
              <w:rPr>
                <w:rFonts w:hint="eastAsia" w:ascii="方正书宋简体" w:hAnsi="等线" w:eastAsia="方正书宋简体" w:cs="宋体"/>
                <w:color w:val="auto"/>
                <w:kern w:val="0"/>
                <w:sz w:val="24"/>
                <w:szCs w:val="24"/>
              </w:rPr>
              <w:t>区农业农村委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pPr>
              <w:widowControl/>
              <w:spacing w:line="300" w:lineRule="exact"/>
              <w:jc w:val="left"/>
              <w:rPr>
                <w:rFonts w:ascii="方正书宋简体" w:eastAsia="方正书宋简体" w:cs="Times New Roman"/>
                <w:color w:val="auto"/>
                <w:kern w:val="0"/>
                <w:sz w:val="24"/>
                <w:szCs w:val="24"/>
              </w:rPr>
            </w:pPr>
            <w:r>
              <w:rPr>
                <w:rFonts w:ascii="方正书宋简体" w:eastAsia="方正书宋简体" w:cs="Times New Roman"/>
                <w:color w:val="auto"/>
                <w:kern w:val="0"/>
                <w:sz w:val="22"/>
              </w:rPr>
              <w:t>28</w:t>
            </w:r>
          </w:p>
        </w:tc>
        <w:tc>
          <w:tcPr>
            <w:tcW w:w="1424" w:type="dxa"/>
            <w:vMerge w:val="continue"/>
            <w:vAlign w:val="center"/>
          </w:tcPr>
          <w:p>
            <w:pPr>
              <w:spacing w:line="300" w:lineRule="exact"/>
              <w:jc w:val="left"/>
              <w:rPr>
                <w:rFonts w:ascii="方正书宋简体" w:hAnsi="等线" w:eastAsia="方正书宋简体" w:cs="宋体"/>
                <w:color w:val="auto"/>
                <w:kern w:val="0"/>
                <w:sz w:val="24"/>
                <w:szCs w:val="24"/>
              </w:rPr>
            </w:pPr>
          </w:p>
        </w:tc>
        <w:tc>
          <w:tcPr>
            <w:tcW w:w="5853" w:type="dxa"/>
            <w:vAlign w:val="center"/>
          </w:tcPr>
          <w:p>
            <w:pPr>
              <w:widowControl/>
              <w:spacing w:line="300" w:lineRule="exact"/>
              <w:jc w:val="left"/>
              <w:rPr>
                <w:rFonts w:ascii="方正书宋简体" w:hAnsi="等线" w:eastAsia="方正书宋简体" w:cs="宋体"/>
                <w:color w:val="auto"/>
                <w:kern w:val="0"/>
                <w:sz w:val="24"/>
                <w:szCs w:val="24"/>
              </w:rPr>
            </w:pPr>
            <w:r>
              <w:rPr>
                <w:rFonts w:hint="eastAsia" w:ascii="方正书宋简体" w:hAnsi="等线" w:eastAsia="方正书宋简体" w:cs="宋体"/>
                <w:color w:val="auto"/>
                <w:kern w:val="0"/>
                <w:sz w:val="24"/>
                <w:szCs w:val="24"/>
              </w:rPr>
              <w:t>推广水肥一体化技术</w:t>
            </w:r>
            <w:r>
              <w:rPr>
                <w:rFonts w:ascii="方正书宋简体" w:hAnsi="等线" w:eastAsia="方正书宋简体" w:cs="宋体"/>
                <w:color w:val="auto"/>
                <w:kern w:val="0"/>
                <w:sz w:val="24"/>
                <w:szCs w:val="24"/>
              </w:rPr>
              <w:t>2万亩，推广绿肥还田技术8万亩。</w:t>
            </w:r>
          </w:p>
        </w:tc>
        <w:tc>
          <w:tcPr>
            <w:tcW w:w="1583" w:type="dxa"/>
            <w:vAlign w:val="center"/>
          </w:tcPr>
          <w:p>
            <w:pPr>
              <w:widowControl/>
              <w:spacing w:line="300" w:lineRule="exact"/>
              <w:jc w:val="left"/>
              <w:rPr>
                <w:rFonts w:ascii="方正书宋简体" w:eastAsia="方正书宋简体" w:cs="Times New Roman"/>
                <w:color w:val="auto"/>
                <w:kern w:val="0"/>
                <w:sz w:val="24"/>
                <w:szCs w:val="24"/>
              </w:rPr>
            </w:pPr>
            <w:r>
              <w:rPr>
                <w:rFonts w:ascii="方正书宋简体" w:eastAsia="方正书宋简体" w:cs="Times New Roman"/>
                <w:color w:val="auto"/>
                <w:kern w:val="0"/>
                <w:sz w:val="24"/>
                <w:szCs w:val="24"/>
              </w:rPr>
              <w:t>2022-2025</w:t>
            </w:r>
          </w:p>
        </w:tc>
        <w:tc>
          <w:tcPr>
            <w:tcW w:w="1422" w:type="dxa"/>
            <w:vAlign w:val="center"/>
          </w:tcPr>
          <w:p>
            <w:pPr>
              <w:widowControl/>
              <w:spacing w:line="300" w:lineRule="exact"/>
              <w:jc w:val="left"/>
              <w:rPr>
                <w:rFonts w:ascii="方正书宋简体" w:eastAsia="方正书宋简体" w:cs="Times New Roman"/>
                <w:color w:val="auto"/>
                <w:kern w:val="0"/>
                <w:sz w:val="24"/>
                <w:szCs w:val="24"/>
              </w:rPr>
            </w:pPr>
            <w:r>
              <w:rPr>
                <w:rFonts w:ascii="方正书宋简体" w:eastAsia="方正书宋简体" w:cs="Times New Roman"/>
                <w:color w:val="auto"/>
                <w:kern w:val="0"/>
                <w:sz w:val="24"/>
                <w:szCs w:val="24"/>
              </w:rPr>
              <w:t>2000</w:t>
            </w:r>
          </w:p>
        </w:tc>
        <w:tc>
          <w:tcPr>
            <w:tcW w:w="1899" w:type="dxa"/>
            <w:vAlign w:val="center"/>
          </w:tcPr>
          <w:p>
            <w:pPr>
              <w:widowControl/>
              <w:spacing w:line="300" w:lineRule="exact"/>
              <w:jc w:val="left"/>
              <w:rPr>
                <w:rFonts w:ascii="方正书宋简体" w:hAnsi="等线" w:eastAsia="方正书宋简体" w:cs="宋体"/>
                <w:color w:val="auto"/>
                <w:kern w:val="0"/>
                <w:sz w:val="24"/>
                <w:szCs w:val="24"/>
              </w:rPr>
            </w:pPr>
            <w:r>
              <w:rPr>
                <w:rFonts w:hint="eastAsia" w:ascii="方正书宋简体" w:hAnsi="等线" w:eastAsia="方正书宋简体" w:cs="宋体"/>
                <w:color w:val="auto"/>
                <w:kern w:val="0"/>
                <w:sz w:val="24"/>
                <w:szCs w:val="24"/>
              </w:rPr>
              <w:t>区农业农村委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91" w:type="dxa"/>
            <w:vAlign w:val="center"/>
          </w:tcPr>
          <w:p>
            <w:pPr>
              <w:widowControl/>
              <w:spacing w:line="300" w:lineRule="exact"/>
              <w:jc w:val="left"/>
              <w:rPr>
                <w:rFonts w:ascii="方正书宋简体" w:eastAsia="方正书宋简体" w:cs="Times New Roman"/>
                <w:color w:val="auto"/>
                <w:kern w:val="0"/>
                <w:sz w:val="24"/>
                <w:szCs w:val="24"/>
              </w:rPr>
            </w:pPr>
            <w:r>
              <w:rPr>
                <w:rFonts w:ascii="方正书宋简体" w:eastAsia="方正书宋简体" w:cs="Times New Roman"/>
                <w:color w:val="auto"/>
                <w:kern w:val="0"/>
                <w:sz w:val="22"/>
              </w:rPr>
              <w:t>29</w:t>
            </w:r>
          </w:p>
        </w:tc>
        <w:tc>
          <w:tcPr>
            <w:tcW w:w="1424" w:type="dxa"/>
            <w:vMerge w:val="continue"/>
            <w:vAlign w:val="center"/>
          </w:tcPr>
          <w:p>
            <w:pPr>
              <w:spacing w:line="300" w:lineRule="exact"/>
              <w:jc w:val="left"/>
              <w:rPr>
                <w:rFonts w:ascii="方正书宋简体" w:hAnsi="等线" w:eastAsia="方正书宋简体" w:cs="宋体"/>
                <w:color w:val="auto"/>
                <w:kern w:val="0"/>
                <w:sz w:val="24"/>
                <w:szCs w:val="24"/>
              </w:rPr>
            </w:pPr>
          </w:p>
        </w:tc>
        <w:tc>
          <w:tcPr>
            <w:tcW w:w="5853" w:type="dxa"/>
            <w:vAlign w:val="center"/>
          </w:tcPr>
          <w:p>
            <w:pPr>
              <w:widowControl/>
              <w:spacing w:line="300" w:lineRule="exact"/>
              <w:jc w:val="left"/>
              <w:rPr>
                <w:rFonts w:ascii="方正书宋简体" w:hAnsi="等线" w:eastAsia="方正书宋简体" w:cs="宋体"/>
                <w:color w:val="auto"/>
                <w:kern w:val="0"/>
                <w:sz w:val="24"/>
                <w:szCs w:val="24"/>
              </w:rPr>
            </w:pPr>
            <w:r>
              <w:rPr>
                <w:rFonts w:hint="eastAsia" w:ascii="方正书宋简体" w:hAnsi="等线" w:eastAsia="方正书宋简体" w:cs="宋体"/>
                <w:color w:val="auto"/>
                <w:kern w:val="0"/>
                <w:sz w:val="24"/>
                <w:szCs w:val="24"/>
              </w:rPr>
              <w:t>铜梁区灌区续建配套与节水改造工程，对石梁水库、双寨水库进行灌区续建配套节水改造，规划新建渠道共计</w:t>
            </w:r>
            <w:r>
              <w:rPr>
                <w:rFonts w:ascii="方正书宋简体" w:hAnsi="等线" w:eastAsia="方正书宋简体" w:cs="宋体"/>
                <w:color w:val="auto"/>
                <w:kern w:val="0"/>
                <w:sz w:val="24"/>
                <w:szCs w:val="24"/>
              </w:rPr>
              <w:t>61条，总长度67.9公里，设计灌溉总面积3.32万亩，恢复或新增有效灌溉总面积0.8万亩，改善灌溉总面积1.65万亩。</w:t>
            </w:r>
          </w:p>
        </w:tc>
        <w:tc>
          <w:tcPr>
            <w:tcW w:w="1583" w:type="dxa"/>
            <w:vAlign w:val="center"/>
          </w:tcPr>
          <w:p>
            <w:pPr>
              <w:widowControl/>
              <w:spacing w:line="300" w:lineRule="exact"/>
              <w:jc w:val="left"/>
              <w:rPr>
                <w:rFonts w:ascii="方正书宋简体" w:eastAsia="方正书宋简体" w:cs="Times New Roman"/>
                <w:color w:val="auto"/>
                <w:kern w:val="0"/>
                <w:sz w:val="24"/>
                <w:szCs w:val="24"/>
              </w:rPr>
            </w:pPr>
            <w:r>
              <w:rPr>
                <w:rFonts w:ascii="方正书宋简体" w:eastAsia="方正书宋简体" w:cs="Times New Roman"/>
                <w:color w:val="auto"/>
                <w:kern w:val="0"/>
                <w:sz w:val="24"/>
                <w:szCs w:val="24"/>
              </w:rPr>
              <w:t>2022-2025</w:t>
            </w:r>
          </w:p>
        </w:tc>
        <w:tc>
          <w:tcPr>
            <w:tcW w:w="1422" w:type="dxa"/>
            <w:vAlign w:val="center"/>
          </w:tcPr>
          <w:p>
            <w:pPr>
              <w:widowControl/>
              <w:spacing w:line="300" w:lineRule="exact"/>
              <w:jc w:val="left"/>
              <w:rPr>
                <w:rFonts w:ascii="方正书宋简体" w:eastAsia="方正书宋简体" w:cs="Times New Roman"/>
                <w:color w:val="auto"/>
                <w:kern w:val="0"/>
                <w:sz w:val="24"/>
                <w:szCs w:val="24"/>
              </w:rPr>
            </w:pPr>
            <w:r>
              <w:rPr>
                <w:rFonts w:ascii="方正书宋简体" w:eastAsia="方正书宋简体" w:cs="Times New Roman"/>
                <w:color w:val="auto"/>
                <w:kern w:val="0"/>
                <w:sz w:val="24"/>
                <w:szCs w:val="24"/>
              </w:rPr>
              <w:t>4710</w:t>
            </w:r>
          </w:p>
        </w:tc>
        <w:tc>
          <w:tcPr>
            <w:tcW w:w="1899" w:type="dxa"/>
            <w:vAlign w:val="center"/>
          </w:tcPr>
          <w:p>
            <w:pPr>
              <w:widowControl/>
              <w:spacing w:line="300" w:lineRule="exact"/>
              <w:jc w:val="left"/>
              <w:rPr>
                <w:rFonts w:ascii="方正书宋简体" w:hAnsi="等线" w:eastAsia="方正书宋简体" w:cs="宋体"/>
                <w:color w:val="auto"/>
                <w:kern w:val="0"/>
                <w:sz w:val="24"/>
                <w:szCs w:val="24"/>
              </w:rPr>
            </w:pPr>
            <w:r>
              <w:rPr>
                <w:rFonts w:hint="eastAsia" w:ascii="方正书宋简体" w:hAnsi="等线" w:eastAsia="方正书宋简体" w:cs="宋体"/>
                <w:color w:val="auto"/>
                <w:kern w:val="0"/>
                <w:sz w:val="24"/>
                <w:szCs w:val="24"/>
              </w:rPr>
              <w:t>区水利局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pPr>
              <w:widowControl/>
              <w:spacing w:line="300" w:lineRule="exact"/>
              <w:jc w:val="lef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2"/>
              </w:rPr>
              <w:t>3</w:t>
            </w:r>
            <w:r>
              <w:rPr>
                <w:rFonts w:ascii="方正书宋简体" w:eastAsia="方正书宋简体" w:cs="Times New Roman"/>
                <w:color w:val="auto"/>
                <w:kern w:val="0"/>
                <w:sz w:val="22"/>
              </w:rPr>
              <w:t>0</w:t>
            </w:r>
          </w:p>
        </w:tc>
        <w:tc>
          <w:tcPr>
            <w:tcW w:w="1424" w:type="dxa"/>
            <w:vMerge w:val="continue"/>
            <w:vAlign w:val="center"/>
          </w:tcPr>
          <w:p>
            <w:pPr>
              <w:widowControl/>
              <w:spacing w:line="300" w:lineRule="exact"/>
              <w:jc w:val="left"/>
              <w:rPr>
                <w:rFonts w:ascii="方正书宋简体" w:hAnsi="等线" w:eastAsia="方正书宋简体" w:cs="宋体"/>
                <w:color w:val="auto"/>
                <w:kern w:val="0"/>
                <w:sz w:val="24"/>
                <w:szCs w:val="24"/>
              </w:rPr>
            </w:pPr>
          </w:p>
        </w:tc>
        <w:tc>
          <w:tcPr>
            <w:tcW w:w="5853" w:type="dxa"/>
            <w:vAlign w:val="center"/>
          </w:tcPr>
          <w:p>
            <w:pPr>
              <w:widowControl/>
              <w:spacing w:line="300" w:lineRule="exact"/>
              <w:jc w:val="left"/>
              <w:rPr>
                <w:rFonts w:ascii="方正书宋简体" w:hAnsi="等线" w:eastAsia="方正书宋简体" w:cs="宋体"/>
                <w:color w:val="auto"/>
                <w:kern w:val="0"/>
                <w:sz w:val="24"/>
                <w:szCs w:val="24"/>
              </w:rPr>
            </w:pPr>
            <w:r>
              <w:rPr>
                <w:rFonts w:hint="eastAsia" w:ascii="方正书宋简体" w:hAnsi="等线" w:eastAsia="方正书宋简体" w:cs="宋体"/>
                <w:color w:val="auto"/>
                <w:kern w:val="0"/>
                <w:sz w:val="24"/>
                <w:szCs w:val="24"/>
              </w:rPr>
              <w:t>加大退化农田改良和修复力度，加强酸化土壤的改良与修复。</w:t>
            </w:r>
          </w:p>
        </w:tc>
        <w:tc>
          <w:tcPr>
            <w:tcW w:w="1583" w:type="dxa"/>
            <w:vAlign w:val="center"/>
          </w:tcPr>
          <w:p>
            <w:pPr>
              <w:widowControl/>
              <w:spacing w:line="300" w:lineRule="exact"/>
              <w:jc w:val="left"/>
              <w:rPr>
                <w:rFonts w:ascii="方正书宋简体" w:eastAsia="方正书宋简体" w:cs="Times New Roman"/>
                <w:color w:val="auto"/>
                <w:kern w:val="0"/>
                <w:sz w:val="24"/>
                <w:szCs w:val="24"/>
              </w:rPr>
            </w:pPr>
            <w:r>
              <w:rPr>
                <w:rFonts w:ascii="方正书宋简体" w:eastAsia="方正书宋简体" w:cs="Times New Roman"/>
                <w:color w:val="auto"/>
                <w:kern w:val="0"/>
                <w:sz w:val="24"/>
                <w:szCs w:val="24"/>
              </w:rPr>
              <w:t>2021-2025</w:t>
            </w:r>
          </w:p>
        </w:tc>
        <w:tc>
          <w:tcPr>
            <w:tcW w:w="1422" w:type="dxa"/>
            <w:vAlign w:val="center"/>
          </w:tcPr>
          <w:p>
            <w:pPr>
              <w:widowControl/>
              <w:spacing w:line="300" w:lineRule="exact"/>
              <w:jc w:val="left"/>
              <w:rPr>
                <w:rFonts w:ascii="方正书宋简体" w:eastAsia="方正书宋简体" w:cs="Times New Roman"/>
                <w:color w:val="auto"/>
                <w:kern w:val="0"/>
                <w:sz w:val="24"/>
                <w:szCs w:val="24"/>
              </w:rPr>
            </w:pPr>
            <w:r>
              <w:rPr>
                <w:rFonts w:ascii="方正书宋简体" w:eastAsia="方正书宋简体" w:cs="Times New Roman"/>
                <w:color w:val="auto"/>
                <w:kern w:val="0"/>
                <w:sz w:val="24"/>
                <w:szCs w:val="24"/>
              </w:rPr>
              <w:t>1600</w:t>
            </w:r>
          </w:p>
        </w:tc>
        <w:tc>
          <w:tcPr>
            <w:tcW w:w="1899" w:type="dxa"/>
            <w:vAlign w:val="center"/>
          </w:tcPr>
          <w:p>
            <w:pPr>
              <w:widowControl/>
              <w:spacing w:line="300" w:lineRule="exact"/>
              <w:jc w:val="left"/>
              <w:rPr>
                <w:rFonts w:ascii="方正书宋简体" w:hAnsi="等线" w:eastAsia="方正书宋简体" w:cs="宋体"/>
                <w:color w:val="auto"/>
                <w:kern w:val="0"/>
                <w:sz w:val="24"/>
                <w:szCs w:val="24"/>
              </w:rPr>
            </w:pPr>
            <w:r>
              <w:rPr>
                <w:rFonts w:hint="eastAsia" w:ascii="方正书宋简体" w:hAnsi="等线" w:eastAsia="方正书宋简体" w:cs="宋体"/>
                <w:color w:val="auto"/>
                <w:kern w:val="0"/>
                <w:sz w:val="24"/>
                <w:szCs w:val="24"/>
              </w:rPr>
              <w:t>区农业农村委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1" w:type="dxa"/>
            <w:gridSpan w:val="4"/>
            <w:vAlign w:val="center"/>
          </w:tcPr>
          <w:p>
            <w:pPr>
              <w:widowControl/>
              <w:spacing w:line="300" w:lineRule="exact"/>
              <w:jc w:val="center"/>
              <w:rPr>
                <w:rFonts w:ascii="方正书宋简体" w:eastAsia="方正书宋简体" w:cs="Times New Roman"/>
                <w:b/>
                <w:bCs/>
                <w:color w:val="auto"/>
                <w:kern w:val="0"/>
                <w:sz w:val="22"/>
              </w:rPr>
            </w:pPr>
            <w:r>
              <w:rPr>
                <w:rFonts w:hint="eastAsia" w:ascii="方正书宋简体" w:eastAsia="方正书宋简体" w:cs="Times New Roman"/>
                <w:b/>
                <w:bCs/>
                <w:color w:val="auto"/>
                <w:kern w:val="0"/>
                <w:sz w:val="22"/>
              </w:rPr>
              <w:t>三、应对气候变化能力提升</w:t>
            </w:r>
          </w:p>
        </w:tc>
        <w:tc>
          <w:tcPr>
            <w:tcW w:w="1422" w:type="dxa"/>
            <w:vAlign w:val="center"/>
          </w:tcPr>
          <w:p>
            <w:pPr>
              <w:widowControl/>
              <w:spacing w:line="300" w:lineRule="exact"/>
              <w:jc w:val="center"/>
              <w:rPr>
                <w:rFonts w:ascii="方正书宋简体" w:eastAsia="方正书宋简体" w:cs="Times New Roman"/>
                <w:b/>
                <w:bCs/>
                <w:color w:val="auto"/>
                <w:kern w:val="0"/>
                <w:sz w:val="22"/>
              </w:rPr>
            </w:pPr>
            <w:r>
              <w:rPr>
                <w:rFonts w:ascii="方正书宋简体" w:eastAsia="方正书宋简体" w:cs="Times New Roman"/>
                <w:b/>
                <w:bCs/>
                <w:color w:val="auto"/>
                <w:kern w:val="0"/>
                <w:sz w:val="22"/>
              </w:rPr>
              <w:t>19541</w:t>
            </w:r>
          </w:p>
        </w:tc>
        <w:tc>
          <w:tcPr>
            <w:tcW w:w="1899" w:type="dxa"/>
            <w:vAlign w:val="center"/>
          </w:tcPr>
          <w:p>
            <w:pPr>
              <w:widowControl/>
              <w:spacing w:line="300" w:lineRule="exact"/>
              <w:jc w:val="center"/>
              <w:rPr>
                <w:rFonts w:ascii="方正书宋简体" w:eastAsia="方正书宋简体" w:cs="Times New Roman"/>
                <w:b/>
                <w:bCs/>
                <w:color w:val="auto"/>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pPr>
              <w:widowControl/>
              <w:spacing w:line="300" w:lineRule="exact"/>
              <w:jc w:val="left"/>
              <w:rPr>
                <w:rFonts w:ascii="方正书宋简体" w:eastAsia="方正书宋简体" w:cs="Times New Roman"/>
                <w:color w:val="auto"/>
                <w:kern w:val="0"/>
                <w:sz w:val="22"/>
              </w:rPr>
            </w:pPr>
            <w:r>
              <w:rPr>
                <w:rFonts w:hint="eastAsia" w:ascii="方正书宋简体" w:eastAsia="方正书宋简体" w:cs="Times New Roman"/>
                <w:color w:val="auto"/>
                <w:kern w:val="0"/>
                <w:sz w:val="22"/>
              </w:rPr>
              <w:t>3</w:t>
            </w:r>
            <w:r>
              <w:rPr>
                <w:rFonts w:ascii="方正书宋简体" w:eastAsia="方正书宋简体" w:cs="Times New Roman"/>
                <w:color w:val="auto"/>
                <w:kern w:val="0"/>
                <w:sz w:val="22"/>
              </w:rPr>
              <w:t>1</w:t>
            </w:r>
          </w:p>
        </w:tc>
        <w:tc>
          <w:tcPr>
            <w:tcW w:w="1424" w:type="dxa"/>
            <w:vMerge w:val="restart"/>
            <w:vAlign w:val="center"/>
          </w:tcPr>
          <w:p>
            <w:pPr>
              <w:widowControl/>
              <w:spacing w:line="300" w:lineRule="exact"/>
              <w:jc w:val="left"/>
              <w:rPr>
                <w:rFonts w:ascii="方正书宋简体" w:hAnsi="等线" w:eastAsia="方正书宋简体" w:cs="宋体"/>
                <w:color w:val="auto"/>
                <w:kern w:val="0"/>
                <w:sz w:val="24"/>
                <w:szCs w:val="24"/>
              </w:rPr>
            </w:pPr>
            <w:r>
              <w:rPr>
                <w:rFonts w:hint="eastAsia" w:ascii="方正书宋简体" w:hAnsi="等线" w:eastAsia="方正书宋简体" w:cs="宋体"/>
                <w:color w:val="auto"/>
                <w:kern w:val="0"/>
                <w:sz w:val="24"/>
                <w:szCs w:val="24"/>
              </w:rPr>
              <w:t>气象基础设施建设</w:t>
            </w:r>
          </w:p>
        </w:tc>
        <w:tc>
          <w:tcPr>
            <w:tcW w:w="5853" w:type="dxa"/>
            <w:vAlign w:val="center"/>
          </w:tcPr>
          <w:p>
            <w:pPr>
              <w:widowControl/>
              <w:spacing w:line="300" w:lineRule="exact"/>
              <w:jc w:val="left"/>
              <w:rPr>
                <w:rFonts w:ascii="方正书宋简体" w:hAnsi="等线" w:eastAsia="方正书宋简体" w:cs="宋体"/>
                <w:color w:val="auto"/>
                <w:kern w:val="0"/>
                <w:sz w:val="24"/>
                <w:szCs w:val="24"/>
              </w:rPr>
            </w:pPr>
            <w:r>
              <w:rPr>
                <w:rFonts w:hint="eastAsia" w:ascii="方正书宋简体" w:hAnsi="等线" w:eastAsia="方正书宋简体" w:cs="宋体"/>
                <w:color w:val="auto"/>
                <w:kern w:val="0"/>
                <w:sz w:val="24"/>
                <w:szCs w:val="24"/>
              </w:rPr>
              <w:t>建设铜梁区智慧农业气象大数据服务系统。</w:t>
            </w:r>
          </w:p>
        </w:tc>
        <w:tc>
          <w:tcPr>
            <w:tcW w:w="1583" w:type="dxa"/>
            <w:vAlign w:val="center"/>
          </w:tcPr>
          <w:p>
            <w:pPr>
              <w:widowControl/>
              <w:spacing w:line="300" w:lineRule="exact"/>
              <w:jc w:val="left"/>
              <w:rPr>
                <w:rFonts w:ascii="方正书宋简体" w:eastAsia="方正书宋简体" w:cs="Times New Roman"/>
                <w:color w:val="auto"/>
                <w:kern w:val="0"/>
                <w:sz w:val="24"/>
                <w:szCs w:val="24"/>
              </w:rPr>
            </w:pPr>
            <w:r>
              <w:rPr>
                <w:rFonts w:ascii="方正书宋简体" w:eastAsia="方正书宋简体" w:cs="Times New Roman"/>
                <w:color w:val="auto"/>
                <w:kern w:val="0"/>
                <w:sz w:val="24"/>
                <w:szCs w:val="24"/>
              </w:rPr>
              <w:t>2021-2025</w:t>
            </w:r>
          </w:p>
        </w:tc>
        <w:tc>
          <w:tcPr>
            <w:tcW w:w="1422" w:type="dxa"/>
            <w:vAlign w:val="center"/>
          </w:tcPr>
          <w:p>
            <w:pPr>
              <w:widowControl/>
              <w:spacing w:line="300" w:lineRule="exact"/>
              <w:jc w:val="left"/>
              <w:rPr>
                <w:rFonts w:ascii="方正书宋简体" w:eastAsia="方正书宋简体" w:cs="Times New Roman"/>
                <w:color w:val="auto"/>
                <w:kern w:val="0"/>
                <w:sz w:val="24"/>
                <w:szCs w:val="24"/>
              </w:rPr>
            </w:pPr>
            <w:r>
              <w:rPr>
                <w:rFonts w:ascii="方正书宋简体" w:eastAsia="方正书宋简体" w:cs="Times New Roman"/>
                <w:color w:val="auto"/>
                <w:kern w:val="0"/>
                <w:sz w:val="24"/>
                <w:szCs w:val="24"/>
              </w:rPr>
              <w:t>1800</w:t>
            </w:r>
          </w:p>
        </w:tc>
        <w:tc>
          <w:tcPr>
            <w:tcW w:w="1899" w:type="dxa"/>
            <w:vAlign w:val="center"/>
          </w:tcPr>
          <w:p>
            <w:pPr>
              <w:widowControl/>
              <w:spacing w:line="300" w:lineRule="exact"/>
              <w:jc w:val="left"/>
              <w:rPr>
                <w:rFonts w:ascii="方正书宋简体" w:hAnsi="等线" w:eastAsia="方正书宋简体" w:cs="宋体"/>
                <w:color w:val="auto"/>
                <w:kern w:val="0"/>
                <w:sz w:val="24"/>
                <w:szCs w:val="24"/>
              </w:rPr>
            </w:pPr>
            <w:r>
              <w:rPr>
                <w:rFonts w:hint="eastAsia" w:ascii="方正书宋简体" w:hAnsi="等线" w:eastAsia="方正书宋简体" w:cs="宋体"/>
                <w:color w:val="auto"/>
                <w:kern w:val="0"/>
                <w:sz w:val="24"/>
                <w:szCs w:val="24"/>
              </w:rPr>
              <w:t>区气象局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91" w:type="dxa"/>
            <w:vAlign w:val="center"/>
          </w:tcPr>
          <w:p>
            <w:pPr>
              <w:widowControl/>
              <w:spacing w:line="300" w:lineRule="exact"/>
              <w:jc w:val="left"/>
              <w:rPr>
                <w:rFonts w:ascii="方正书宋简体" w:eastAsia="方正书宋简体" w:cs="Times New Roman"/>
                <w:color w:val="auto"/>
                <w:kern w:val="0"/>
                <w:sz w:val="22"/>
              </w:rPr>
            </w:pPr>
            <w:r>
              <w:rPr>
                <w:rFonts w:ascii="方正书宋简体" w:eastAsia="方正书宋简体" w:cs="Times New Roman"/>
                <w:color w:val="auto"/>
                <w:kern w:val="0"/>
                <w:sz w:val="22"/>
              </w:rPr>
              <w:t>32</w:t>
            </w:r>
          </w:p>
        </w:tc>
        <w:tc>
          <w:tcPr>
            <w:tcW w:w="1424" w:type="dxa"/>
            <w:vMerge w:val="continue"/>
            <w:vAlign w:val="center"/>
          </w:tcPr>
          <w:p>
            <w:pPr>
              <w:widowControl/>
              <w:spacing w:line="300" w:lineRule="exact"/>
              <w:jc w:val="left"/>
              <w:rPr>
                <w:rFonts w:ascii="方正书宋简体" w:hAnsi="等线" w:eastAsia="方正书宋简体" w:cs="宋体"/>
                <w:color w:val="auto"/>
                <w:kern w:val="0"/>
                <w:sz w:val="24"/>
                <w:szCs w:val="24"/>
              </w:rPr>
            </w:pPr>
          </w:p>
        </w:tc>
        <w:tc>
          <w:tcPr>
            <w:tcW w:w="5853" w:type="dxa"/>
            <w:vAlign w:val="center"/>
          </w:tcPr>
          <w:p>
            <w:pPr>
              <w:widowControl/>
              <w:spacing w:line="300" w:lineRule="exact"/>
              <w:jc w:val="left"/>
              <w:rPr>
                <w:rFonts w:ascii="方正书宋简体" w:hAnsi="等线" w:eastAsia="方正书宋简体" w:cs="宋体"/>
                <w:color w:val="auto"/>
                <w:kern w:val="0"/>
                <w:sz w:val="24"/>
                <w:szCs w:val="24"/>
              </w:rPr>
            </w:pPr>
            <w:r>
              <w:rPr>
                <w:rFonts w:hint="eastAsia" w:ascii="方正书宋简体" w:hAnsi="等线" w:eastAsia="方正书宋简体" w:cs="宋体"/>
                <w:color w:val="auto"/>
                <w:kern w:val="0"/>
                <w:sz w:val="24"/>
                <w:szCs w:val="24"/>
              </w:rPr>
              <w:t>建设铜梁智慧生态宜居及防灾减灾大数据平台。</w:t>
            </w:r>
          </w:p>
        </w:tc>
        <w:tc>
          <w:tcPr>
            <w:tcW w:w="1583" w:type="dxa"/>
            <w:vAlign w:val="center"/>
          </w:tcPr>
          <w:p>
            <w:pPr>
              <w:widowControl/>
              <w:spacing w:line="300" w:lineRule="exact"/>
              <w:jc w:val="left"/>
              <w:rPr>
                <w:rFonts w:ascii="方正书宋简体" w:eastAsia="方正书宋简体" w:cs="Times New Roman"/>
                <w:color w:val="auto"/>
                <w:kern w:val="0"/>
                <w:sz w:val="24"/>
                <w:szCs w:val="24"/>
              </w:rPr>
            </w:pPr>
            <w:r>
              <w:rPr>
                <w:rFonts w:ascii="方正书宋简体" w:eastAsia="方正书宋简体" w:cs="Times New Roman"/>
                <w:color w:val="auto"/>
                <w:kern w:val="0"/>
                <w:sz w:val="24"/>
                <w:szCs w:val="24"/>
              </w:rPr>
              <w:t>2021-2025</w:t>
            </w:r>
          </w:p>
        </w:tc>
        <w:tc>
          <w:tcPr>
            <w:tcW w:w="1422" w:type="dxa"/>
            <w:vAlign w:val="center"/>
          </w:tcPr>
          <w:p>
            <w:pPr>
              <w:widowControl/>
              <w:spacing w:line="300" w:lineRule="exact"/>
              <w:jc w:val="left"/>
              <w:rPr>
                <w:rFonts w:ascii="方正书宋简体" w:eastAsia="方正书宋简体" w:cs="Times New Roman"/>
                <w:color w:val="auto"/>
                <w:kern w:val="0"/>
                <w:sz w:val="24"/>
                <w:szCs w:val="24"/>
              </w:rPr>
            </w:pPr>
            <w:r>
              <w:rPr>
                <w:rFonts w:ascii="方正书宋简体" w:eastAsia="方正书宋简体" w:cs="Times New Roman"/>
                <w:color w:val="auto"/>
                <w:kern w:val="0"/>
                <w:sz w:val="24"/>
                <w:szCs w:val="24"/>
              </w:rPr>
              <w:t>1500</w:t>
            </w:r>
          </w:p>
        </w:tc>
        <w:tc>
          <w:tcPr>
            <w:tcW w:w="1899" w:type="dxa"/>
            <w:vAlign w:val="center"/>
          </w:tcPr>
          <w:p>
            <w:pPr>
              <w:widowControl/>
              <w:spacing w:line="300" w:lineRule="exact"/>
              <w:jc w:val="left"/>
              <w:rPr>
                <w:rFonts w:ascii="方正书宋简体" w:hAnsi="等线" w:eastAsia="方正书宋简体" w:cs="宋体"/>
                <w:color w:val="auto"/>
                <w:kern w:val="0"/>
                <w:sz w:val="24"/>
                <w:szCs w:val="24"/>
              </w:rPr>
            </w:pPr>
            <w:r>
              <w:rPr>
                <w:rFonts w:hint="eastAsia" w:ascii="方正书宋简体" w:hAnsi="等线" w:eastAsia="方正书宋简体" w:cs="宋体"/>
                <w:color w:val="auto"/>
                <w:kern w:val="0"/>
                <w:sz w:val="24"/>
                <w:szCs w:val="24"/>
              </w:rPr>
              <w:t>区气象局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pPr>
              <w:widowControl/>
              <w:spacing w:line="300" w:lineRule="exact"/>
              <w:jc w:val="left"/>
              <w:rPr>
                <w:rFonts w:ascii="方正书宋简体" w:eastAsia="方正书宋简体" w:cs="Times New Roman"/>
                <w:color w:val="auto"/>
                <w:kern w:val="0"/>
                <w:sz w:val="22"/>
              </w:rPr>
            </w:pPr>
            <w:r>
              <w:rPr>
                <w:rFonts w:ascii="方正书宋简体" w:eastAsia="方正书宋简体" w:cs="Times New Roman"/>
                <w:color w:val="auto"/>
                <w:kern w:val="0"/>
                <w:sz w:val="22"/>
              </w:rPr>
              <w:t>33</w:t>
            </w:r>
          </w:p>
        </w:tc>
        <w:tc>
          <w:tcPr>
            <w:tcW w:w="1424" w:type="dxa"/>
            <w:vMerge w:val="continue"/>
            <w:vAlign w:val="center"/>
          </w:tcPr>
          <w:p>
            <w:pPr>
              <w:widowControl/>
              <w:spacing w:line="300" w:lineRule="exact"/>
              <w:jc w:val="left"/>
              <w:rPr>
                <w:rFonts w:ascii="方正书宋简体" w:hAnsi="等线" w:eastAsia="方正书宋简体" w:cs="宋体"/>
                <w:color w:val="auto"/>
                <w:kern w:val="0"/>
                <w:sz w:val="24"/>
                <w:szCs w:val="24"/>
              </w:rPr>
            </w:pPr>
          </w:p>
        </w:tc>
        <w:tc>
          <w:tcPr>
            <w:tcW w:w="5853" w:type="dxa"/>
            <w:vAlign w:val="center"/>
          </w:tcPr>
          <w:p>
            <w:pPr>
              <w:widowControl/>
              <w:spacing w:line="300" w:lineRule="exact"/>
              <w:jc w:val="left"/>
              <w:rPr>
                <w:rFonts w:ascii="方正书宋简体" w:hAnsi="等线" w:eastAsia="方正书宋简体" w:cs="宋体"/>
                <w:color w:val="auto"/>
                <w:kern w:val="0"/>
                <w:sz w:val="24"/>
                <w:szCs w:val="24"/>
              </w:rPr>
            </w:pPr>
            <w:r>
              <w:rPr>
                <w:rFonts w:hint="eastAsia" w:ascii="方正书宋简体" w:hAnsi="等线" w:eastAsia="方正书宋简体" w:cs="宋体"/>
                <w:color w:val="auto"/>
                <w:kern w:val="0"/>
                <w:sz w:val="24"/>
                <w:szCs w:val="24"/>
              </w:rPr>
              <w:t>建设铜梁智慧城市气象服务系统。</w:t>
            </w:r>
          </w:p>
        </w:tc>
        <w:tc>
          <w:tcPr>
            <w:tcW w:w="1583" w:type="dxa"/>
            <w:vAlign w:val="center"/>
          </w:tcPr>
          <w:p>
            <w:pPr>
              <w:widowControl/>
              <w:spacing w:line="300" w:lineRule="exact"/>
              <w:jc w:val="left"/>
              <w:rPr>
                <w:rFonts w:ascii="方正书宋简体" w:eastAsia="方正书宋简体" w:cs="Times New Roman"/>
                <w:color w:val="auto"/>
                <w:kern w:val="0"/>
                <w:sz w:val="24"/>
                <w:szCs w:val="24"/>
              </w:rPr>
            </w:pPr>
            <w:r>
              <w:rPr>
                <w:rFonts w:ascii="方正书宋简体" w:eastAsia="方正书宋简体" w:cs="Times New Roman"/>
                <w:color w:val="auto"/>
                <w:kern w:val="0"/>
                <w:sz w:val="24"/>
                <w:szCs w:val="24"/>
              </w:rPr>
              <w:t>2021-2025</w:t>
            </w:r>
          </w:p>
        </w:tc>
        <w:tc>
          <w:tcPr>
            <w:tcW w:w="1422" w:type="dxa"/>
            <w:vAlign w:val="center"/>
          </w:tcPr>
          <w:p>
            <w:pPr>
              <w:widowControl/>
              <w:spacing w:line="300" w:lineRule="exact"/>
              <w:jc w:val="left"/>
              <w:rPr>
                <w:rFonts w:ascii="方正书宋简体" w:eastAsia="方正书宋简体" w:cs="Times New Roman"/>
                <w:color w:val="auto"/>
                <w:kern w:val="0"/>
                <w:sz w:val="24"/>
                <w:szCs w:val="24"/>
              </w:rPr>
            </w:pPr>
            <w:r>
              <w:rPr>
                <w:rFonts w:ascii="方正书宋简体" w:eastAsia="方正书宋简体" w:cs="Times New Roman"/>
                <w:color w:val="auto"/>
                <w:kern w:val="0"/>
                <w:sz w:val="24"/>
                <w:szCs w:val="24"/>
              </w:rPr>
              <w:t>800</w:t>
            </w:r>
          </w:p>
        </w:tc>
        <w:tc>
          <w:tcPr>
            <w:tcW w:w="1899" w:type="dxa"/>
            <w:vAlign w:val="center"/>
          </w:tcPr>
          <w:p>
            <w:pPr>
              <w:widowControl/>
              <w:spacing w:line="300" w:lineRule="exact"/>
              <w:jc w:val="left"/>
              <w:rPr>
                <w:rFonts w:ascii="方正书宋简体" w:hAnsi="等线" w:eastAsia="方正书宋简体" w:cs="宋体"/>
                <w:color w:val="auto"/>
                <w:kern w:val="0"/>
                <w:sz w:val="24"/>
                <w:szCs w:val="24"/>
              </w:rPr>
            </w:pPr>
            <w:r>
              <w:rPr>
                <w:rFonts w:hint="eastAsia" w:ascii="方正书宋简体" w:hAnsi="等线" w:eastAsia="方正书宋简体" w:cs="宋体"/>
                <w:color w:val="auto"/>
                <w:kern w:val="0"/>
                <w:sz w:val="24"/>
                <w:szCs w:val="24"/>
              </w:rPr>
              <w:t>区气象局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pPr>
              <w:widowControl/>
              <w:spacing w:line="300" w:lineRule="exact"/>
              <w:jc w:val="left"/>
              <w:rPr>
                <w:rFonts w:ascii="方正书宋简体" w:eastAsia="方正书宋简体" w:cs="Times New Roman"/>
                <w:color w:val="auto"/>
                <w:kern w:val="0"/>
                <w:sz w:val="22"/>
              </w:rPr>
            </w:pPr>
            <w:r>
              <w:rPr>
                <w:rFonts w:ascii="方正书宋简体" w:eastAsia="方正书宋简体" w:cs="Times New Roman"/>
                <w:color w:val="auto"/>
                <w:kern w:val="0"/>
                <w:sz w:val="22"/>
              </w:rPr>
              <w:t>34</w:t>
            </w:r>
          </w:p>
        </w:tc>
        <w:tc>
          <w:tcPr>
            <w:tcW w:w="1424" w:type="dxa"/>
            <w:vMerge w:val="continue"/>
            <w:vAlign w:val="center"/>
          </w:tcPr>
          <w:p>
            <w:pPr>
              <w:widowControl/>
              <w:spacing w:line="300" w:lineRule="exact"/>
              <w:jc w:val="left"/>
              <w:rPr>
                <w:rFonts w:ascii="方正书宋简体" w:hAnsi="等线" w:eastAsia="方正书宋简体" w:cs="宋体"/>
                <w:color w:val="auto"/>
                <w:kern w:val="0"/>
                <w:sz w:val="24"/>
                <w:szCs w:val="24"/>
              </w:rPr>
            </w:pPr>
          </w:p>
        </w:tc>
        <w:tc>
          <w:tcPr>
            <w:tcW w:w="5853" w:type="dxa"/>
            <w:vAlign w:val="center"/>
          </w:tcPr>
          <w:p>
            <w:pPr>
              <w:widowControl/>
              <w:spacing w:line="300" w:lineRule="exact"/>
              <w:jc w:val="left"/>
              <w:rPr>
                <w:rFonts w:ascii="方正书宋简体" w:hAnsi="等线" w:eastAsia="方正书宋简体" w:cs="宋体"/>
                <w:color w:val="auto"/>
                <w:kern w:val="0"/>
                <w:sz w:val="24"/>
                <w:szCs w:val="24"/>
              </w:rPr>
            </w:pPr>
            <w:r>
              <w:rPr>
                <w:rFonts w:hint="eastAsia" w:ascii="方正书宋简体" w:hAnsi="等线" w:eastAsia="方正书宋简体" w:cs="宋体"/>
                <w:color w:val="auto"/>
                <w:kern w:val="0"/>
                <w:sz w:val="24"/>
                <w:szCs w:val="24"/>
              </w:rPr>
              <w:t>铜梁智慧气象防灾减灾工程，升级改造铜梁区预警信息发布中心，升级铜梁区预警信息发布平台，建成</w:t>
            </w:r>
            <w:r>
              <w:rPr>
                <w:rFonts w:ascii="方正书宋简体" w:hAnsi="等线" w:eastAsia="方正书宋简体" w:cs="宋体"/>
                <w:color w:val="auto"/>
                <w:kern w:val="0"/>
                <w:sz w:val="24"/>
                <w:szCs w:val="24"/>
              </w:rPr>
              <w:t>311</w:t>
            </w:r>
            <w:r>
              <w:rPr>
                <w:rFonts w:hint="eastAsia" w:ascii="方正书宋简体" w:hAnsi="等线" w:eastAsia="方正书宋简体" w:cs="宋体"/>
                <w:color w:val="auto"/>
                <w:kern w:val="0"/>
                <w:sz w:val="24"/>
                <w:szCs w:val="24"/>
              </w:rPr>
              <w:t>个行政村预警工作站。开展气象灾害风险精细化普查，建设气象灾害风险影响评估数据平台。在重点区域加密建设</w:t>
            </w:r>
            <w:r>
              <w:rPr>
                <w:rFonts w:ascii="方正书宋简体" w:hAnsi="等线" w:eastAsia="方正书宋简体" w:cs="宋体"/>
                <w:color w:val="auto"/>
                <w:kern w:val="0"/>
                <w:sz w:val="24"/>
                <w:szCs w:val="24"/>
              </w:rPr>
              <w:t>20个气象监测站点，升级50%老旧的区域自动站，完成X</w:t>
            </w:r>
            <w:r>
              <w:rPr>
                <w:rFonts w:hint="eastAsia" w:ascii="方正书宋简体" w:hAnsi="等线" w:eastAsia="方正书宋简体" w:cs="宋体"/>
                <w:color w:val="auto"/>
                <w:kern w:val="0"/>
                <w:sz w:val="24"/>
                <w:szCs w:val="24"/>
              </w:rPr>
              <w:t>波段双偏振雷达建设并投入业务应用，建设</w:t>
            </w:r>
            <w:r>
              <w:rPr>
                <w:rFonts w:ascii="方正书宋简体" w:hAnsi="等线" w:eastAsia="方正书宋简体" w:cs="宋体"/>
                <w:color w:val="auto"/>
                <w:kern w:val="0"/>
                <w:sz w:val="24"/>
                <w:szCs w:val="24"/>
              </w:rPr>
              <w:t>5-8</w:t>
            </w:r>
            <w:r>
              <w:rPr>
                <w:rFonts w:hint="eastAsia" w:ascii="方正书宋简体" w:hAnsi="等线" w:eastAsia="方正书宋简体" w:cs="宋体"/>
                <w:color w:val="auto"/>
                <w:kern w:val="0"/>
                <w:sz w:val="24"/>
                <w:szCs w:val="24"/>
              </w:rPr>
              <w:t>个综合气象防灾减灾示范社区，研发移动式智能气象监测应急平台。研发涪江水文气象灾害影响预测评估系统。</w:t>
            </w:r>
          </w:p>
        </w:tc>
        <w:tc>
          <w:tcPr>
            <w:tcW w:w="1583" w:type="dxa"/>
            <w:vAlign w:val="center"/>
          </w:tcPr>
          <w:p>
            <w:pPr>
              <w:widowControl/>
              <w:spacing w:line="300" w:lineRule="exact"/>
              <w:jc w:val="left"/>
              <w:rPr>
                <w:rFonts w:ascii="方正书宋简体" w:eastAsia="方正书宋简体" w:cs="Times New Roman"/>
                <w:color w:val="auto"/>
                <w:kern w:val="0"/>
                <w:sz w:val="24"/>
                <w:szCs w:val="24"/>
              </w:rPr>
            </w:pPr>
            <w:r>
              <w:rPr>
                <w:rFonts w:ascii="方正书宋简体" w:eastAsia="方正书宋简体" w:cs="Times New Roman"/>
                <w:color w:val="auto"/>
                <w:kern w:val="0"/>
                <w:sz w:val="24"/>
                <w:szCs w:val="24"/>
              </w:rPr>
              <w:t>2021-2025</w:t>
            </w:r>
          </w:p>
        </w:tc>
        <w:tc>
          <w:tcPr>
            <w:tcW w:w="1422" w:type="dxa"/>
            <w:vAlign w:val="center"/>
          </w:tcPr>
          <w:p>
            <w:pPr>
              <w:widowControl/>
              <w:spacing w:line="300" w:lineRule="exact"/>
              <w:jc w:val="left"/>
              <w:rPr>
                <w:rFonts w:ascii="方正书宋简体" w:eastAsia="方正书宋简体" w:cs="Times New Roman"/>
                <w:color w:val="auto"/>
                <w:kern w:val="0"/>
                <w:sz w:val="24"/>
                <w:szCs w:val="24"/>
              </w:rPr>
            </w:pPr>
            <w:r>
              <w:rPr>
                <w:rFonts w:ascii="方正书宋简体" w:eastAsia="方正书宋简体" w:cs="Times New Roman"/>
                <w:color w:val="auto"/>
                <w:kern w:val="0"/>
                <w:sz w:val="24"/>
                <w:szCs w:val="24"/>
              </w:rPr>
              <w:t>2000</w:t>
            </w:r>
          </w:p>
        </w:tc>
        <w:tc>
          <w:tcPr>
            <w:tcW w:w="1899" w:type="dxa"/>
            <w:vAlign w:val="center"/>
          </w:tcPr>
          <w:p>
            <w:pPr>
              <w:widowControl/>
              <w:spacing w:line="300" w:lineRule="exact"/>
              <w:jc w:val="left"/>
              <w:rPr>
                <w:rFonts w:ascii="方正书宋简体" w:hAnsi="等线" w:eastAsia="方正书宋简体" w:cs="宋体"/>
                <w:color w:val="auto"/>
                <w:kern w:val="0"/>
                <w:sz w:val="24"/>
                <w:szCs w:val="24"/>
              </w:rPr>
            </w:pPr>
            <w:r>
              <w:rPr>
                <w:rFonts w:hint="eastAsia" w:ascii="方正书宋简体" w:hAnsi="等线" w:eastAsia="方正书宋简体" w:cs="宋体"/>
                <w:color w:val="auto"/>
                <w:kern w:val="0"/>
                <w:sz w:val="24"/>
                <w:szCs w:val="24"/>
              </w:rPr>
              <w:t>区气象局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pPr>
              <w:widowControl/>
              <w:spacing w:line="300" w:lineRule="exact"/>
              <w:jc w:val="left"/>
              <w:rPr>
                <w:rFonts w:ascii="方正书宋简体" w:eastAsia="方正书宋简体" w:cs="Times New Roman"/>
                <w:color w:val="auto"/>
                <w:kern w:val="0"/>
                <w:sz w:val="24"/>
                <w:szCs w:val="24"/>
              </w:rPr>
            </w:pPr>
            <w:r>
              <w:rPr>
                <w:rFonts w:ascii="方正书宋简体" w:eastAsia="方正书宋简体" w:cs="Times New Roman"/>
                <w:color w:val="auto"/>
                <w:kern w:val="0"/>
                <w:sz w:val="22"/>
              </w:rPr>
              <w:t>35</w:t>
            </w:r>
          </w:p>
        </w:tc>
        <w:tc>
          <w:tcPr>
            <w:tcW w:w="1424" w:type="dxa"/>
            <w:vAlign w:val="center"/>
          </w:tcPr>
          <w:p>
            <w:pPr>
              <w:widowControl/>
              <w:spacing w:line="300" w:lineRule="exact"/>
              <w:jc w:val="left"/>
              <w:rPr>
                <w:rFonts w:ascii="方正书宋简体" w:hAnsi="等线" w:eastAsia="方正书宋简体" w:cs="宋体"/>
                <w:color w:val="auto"/>
                <w:kern w:val="0"/>
                <w:sz w:val="24"/>
                <w:szCs w:val="24"/>
              </w:rPr>
            </w:pPr>
            <w:r>
              <w:rPr>
                <w:rFonts w:hint="eastAsia" w:ascii="方正书宋简体" w:hAnsi="等线" w:eastAsia="方正书宋简体" w:cs="宋体"/>
                <w:color w:val="auto"/>
                <w:kern w:val="0"/>
                <w:sz w:val="24"/>
                <w:szCs w:val="24"/>
              </w:rPr>
              <w:t>水土流失治理</w:t>
            </w:r>
          </w:p>
        </w:tc>
        <w:tc>
          <w:tcPr>
            <w:tcW w:w="5853" w:type="dxa"/>
            <w:vAlign w:val="center"/>
          </w:tcPr>
          <w:p>
            <w:pPr>
              <w:widowControl/>
              <w:spacing w:line="300" w:lineRule="exact"/>
              <w:jc w:val="left"/>
              <w:rPr>
                <w:rFonts w:ascii="方正书宋简体" w:hAnsi="等线" w:eastAsia="方正书宋简体" w:cs="宋体"/>
                <w:color w:val="auto"/>
                <w:kern w:val="0"/>
                <w:sz w:val="24"/>
                <w:szCs w:val="24"/>
              </w:rPr>
            </w:pPr>
            <w:r>
              <w:rPr>
                <w:rFonts w:hint="eastAsia" w:ascii="方正书宋简体" w:hAnsi="等线" w:eastAsia="方正书宋简体" w:cs="宋体"/>
                <w:color w:val="auto"/>
                <w:kern w:val="0"/>
                <w:sz w:val="24"/>
                <w:szCs w:val="24"/>
              </w:rPr>
              <w:t>新增水土保持治理面积</w:t>
            </w:r>
            <w:r>
              <w:rPr>
                <w:rFonts w:ascii="方正书宋简体" w:eastAsia="方正书宋简体" w:cs="Times New Roman"/>
                <w:color w:val="auto"/>
                <w:kern w:val="0"/>
                <w:sz w:val="24"/>
                <w:szCs w:val="24"/>
              </w:rPr>
              <w:t>48</w:t>
            </w:r>
            <w:r>
              <w:rPr>
                <w:rFonts w:hint="eastAsia" w:ascii="方正书宋简体" w:hAnsi="等线" w:eastAsia="方正书宋简体" w:cs="宋体"/>
                <w:color w:val="auto"/>
                <w:kern w:val="0"/>
                <w:sz w:val="24"/>
                <w:szCs w:val="24"/>
              </w:rPr>
              <w:t>平方公里。</w:t>
            </w:r>
          </w:p>
        </w:tc>
        <w:tc>
          <w:tcPr>
            <w:tcW w:w="1583" w:type="dxa"/>
            <w:vAlign w:val="center"/>
          </w:tcPr>
          <w:p>
            <w:pPr>
              <w:widowControl/>
              <w:spacing w:line="300" w:lineRule="exact"/>
              <w:jc w:val="left"/>
              <w:rPr>
                <w:rFonts w:ascii="方正书宋简体" w:eastAsia="方正书宋简体" w:cs="Times New Roman"/>
                <w:color w:val="auto"/>
                <w:kern w:val="0"/>
                <w:sz w:val="24"/>
                <w:szCs w:val="24"/>
              </w:rPr>
            </w:pPr>
            <w:r>
              <w:rPr>
                <w:rFonts w:ascii="方正书宋简体" w:eastAsia="方正书宋简体" w:cs="Times New Roman"/>
                <w:color w:val="auto"/>
                <w:kern w:val="0"/>
                <w:sz w:val="24"/>
                <w:szCs w:val="24"/>
              </w:rPr>
              <w:t>2022-2025</w:t>
            </w:r>
          </w:p>
        </w:tc>
        <w:tc>
          <w:tcPr>
            <w:tcW w:w="1422" w:type="dxa"/>
            <w:vAlign w:val="center"/>
          </w:tcPr>
          <w:p>
            <w:pPr>
              <w:widowControl/>
              <w:spacing w:line="300" w:lineRule="exact"/>
              <w:jc w:val="left"/>
              <w:rPr>
                <w:rFonts w:ascii="方正书宋简体" w:eastAsia="方正书宋简体" w:cs="Times New Roman"/>
                <w:color w:val="auto"/>
                <w:kern w:val="0"/>
                <w:sz w:val="24"/>
                <w:szCs w:val="24"/>
              </w:rPr>
            </w:pPr>
            <w:r>
              <w:rPr>
                <w:rFonts w:ascii="方正书宋简体" w:eastAsia="方正书宋简体" w:cs="Times New Roman"/>
                <w:color w:val="auto"/>
                <w:kern w:val="0"/>
                <w:sz w:val="24"/>
                <w:szCs w:val="24"/>
              </w:rPr>
              <w:t>2400</w:t>
            </w:r>
          </w:p>
        </w:tc>
        <w:tc>
          <w:tcPr>
            <w:tcW w:w="1899" w:type="dxa"/>
            <w:vAlign w:val="center"/>
          </w:tcPr>
          <w:p>
            <w:pPr>
              <w:widowControl/>
              <w:spacing w:line="300" w:lineRule="exact"/>
              <w:jc w:val="left"/>
              <w:rPr>
                <w:rFonts w:ascii="方正书宋简体" w:hAnsi="等线" w:eastAsia="方正书宋简体" w:cs="宋体"/>
                <w:color w:val="auto"/>
                <w:kern w:val="0"/>
                <w:sz w:val="24"/>
                <w:szCs w:val="24"/>
              </w:rPr>
            </w:pPr>
            <w:r>
              <w:rPr>
                <w:rFonts w:hint="eastAsia" w:ascii="方正书宋简体" w:hAnsi="等线" w:eastAsia="方正书宋简体" w:cs="宋体"/>
                <w:color w:val="auto"/>
                <w:kern w:val="0"/>
                <w:sz w:val="24"/>
                <w:szCs w:val="24"/>
              </w:rPr>
              <w:t>区水利局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91" w:type="dxa"/>
            <w:vAlign w:val="center"/>
          </w:tcPr>
          <w:p>
            <w:pPr>
              <w:widowControl/>
              <w:spacing w:line="300" w:lineRule="exact"/>
              <w:jc w:val="lef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3</w:t>
            </w:r>
            <w:r>
              <w:rPr>
                <w:rFonts w:ascii="方正书宋简体" w:eastAsia="方正书宋简体" w:cs="Times New Roman"/>
                <w:color w:val="auto"/>
                <w:kern w:val="0"/>
                <w:sz w:val="24"/>
                <w:szCs w:val="24"/>
              </w:rPr>
              <w:t>6</w:t>
            </w:r>
          </w:p>
        </w:tc>
        <w:tc>
          <w:tcPr>
            <w:tcW w:w="1424" w:type="dxa"/>
            <w:vAlign w:val="center"/>
          </w:tcPr>
          <w:p>
            <w:pPr>
              <w:widowControl/>
              <w:spacing w:line="300" w:lineRule="exact"/>
              <w:jc w:val="left"/>
              <w:rPr>
                <w:rFonts w:ascii="方正书宋简体" w:hAnsi="等线" w:eastAsia="方正书宋简体" w:cs="宋体"/>
                <w:color w:val="auto"/>
                <w:kern w:val="0"/>
                <w:sz w:val="24"/>
                <w:szCs w:val="24"/>
              </w:rPr>
            </w:pPr>
            <w:r>
              <w:rPr>
                <w:rFonts w:hint="eastAsia" w:ascii="方正书宋简体" w:hAnsi="等线" w:eastAsia="方正书宋简体" w:cs="宋体"/>
                <w:color w:val="auto"/>
                <w:kern w:val="0"/>
                <w:sz w:val="24"/>
                <w:szCs w:val="24"/>
              </w:rPr>
              <w:t>智慧水利工程</w:t>
            </w:r>
          </w:p>
        </w:tc>
        <w:tc>
          <w:tcPr>
            <w:tcW w:w="5853" w:type="dxa"/>
            <w:vAlign w:val="center"/>
          </w:tcPr>
          <w:p>
            <w:pPr>
              <w:widowControl/>
              <w:spacing w:line="300" w:lineRule="exact"/>
              <w:jc w:val="left"/>
              <w:rPr>
                <w:rFonts w:ascii="方正书宋简体" w:hAnsi="等线" w:eastAsia="方正书宋简体" w:cs="宋体"/>
                <w:color w:val="auto"/>
                <w:kern w:val="0"/>
                <w:sz w:val="24"/>
                <w:szCs w:val="24"/>
              </w:rPr>
            </w:pPr>
            <w:r>
              <w:rPr>
                <w:rFonts w:hint="eastAsia" w:ascii="方正书宋简体" w:hAnsi="等线" w:eastAsia="方正书宋简体" w:cs="宋体"/>
                <w:color w:val="auto"/>
                <w:kern w:val="0"/>
                <w:sz w:val="24"/>
                <w:szCs w:val="24"/>
              </w:rPr>
              <w:t>实施铜梁区智慧水利工程，对全区</w:t>
            </w:r>
            <w:r>
              <w:rPr>
                <w:rFonts w:ascii="方正书宋简体" w:hAnsi="等线" w:eastAsia="方正书宋简体" w:cs="宋体"/>
                <w:color w:val="auto"/>
                <w:kern w:val="0"/>
                <w:sz w:val="24"/>
                <w:szCs w:val="24"/>
              </w:rPr>
              <w:t>107座小型水库的雨水情测报和安全监测设施进行全覆盖建设；升级铜梁区2处水文站及水资源事务中心的基础设施建设河其余站点仪器设备配置升级提档；对全区农业、工业以及供水企业实现在线监控；对重点河流生态流量实施在线监测；建设区级信息中心1处、镇级信息分中心28处，</w:t>
            </w:r>
            <w:r>
              <w:rPr>
                <w:rFonts w:hint="eastAsia" w:ascii="方正书宋简体" w:hAnsi="等线" w:eastAsia="方正书宋简体" w:cs="宋体"/>
                <w:color w:val="auto"/>
                <w:kern w:val="0"/>
                <w:sz w:val="24"/>
                <w:szCs w:val="24"/>
              </w:rPr>
              <w:t>新建量水站网监测站点</w:t>
            </w:r>
            <w:r>
              <w:rPr>
                <w:rFonts w:ascii="方正书宋简体" w:hAnsi="等线" w:eastAsia="方正书宋简体" w:cs="宋体"/>
                <w:color w:val="auto"/>
                <w:kern w:val="0"/>
                <w:sz w:val="24"/>
                <w:szCs w:val="24"/>
              </w:rPr>
              <w:t>339</w:t>
            </w:r>
            <w:r>
              <w:rPr>
                <w:rFonts w:hint="eastAsia" w:ascii="方正书宋简体" w:hAnsi="等线" w:eastAsia="方正书宋简体" w:cs="宋体"/>
                <w:color w:val="auto"/>
                <w:kern w:val="0"/>
                <w:sz w:val="24"/>
                <w:szCs w:val="24"/>
              </w:rPr>
              <w:t>处；智慧河长、示范河流建设。</w:t>
            </w:r>
          </w:p>
        </w:tc>
        <w:tc>
          <w:tcPr>
            <w:tcW w:w="1583" w:type="dxa"/>
            <w:vAlign w:val="center"/>
          </w:tcPr>
          <w:p>
            <w:pPr>
              <w:widowControl/>
              <w:spacing w:line="300" w:lineRule="exact"/>
              <w:jc w:val="left"/>
              <w:rPr>
                <w:rFonts w:ascii="方正书宋简体" w:eastAsia="方正书宋简体" w:cs="Times New Roman"/>
                <w:color w:val="auto"/>
                <w:kern w:val="0"/>
                <w:sz w:val="24"/>
                <w:szCs w:val="24"/>
              </w:rPr>
            </w:pPr>
            <w:r>
              <w:rPr>
                <w:rFonts w:ascii="方正书宋简体" w:eastAsia="方正书宋简体" w:cs="Times New Roman"/>
                <w:color w:val="auto"/>
                <w:kern w:val="0"/>
                <w:sz w:val="24"/>
                <w:szCs w:val="24"/>
              </w:rPr>
              <w:t>2021-2025</w:t>
            </w:r>
          </w:p>
        </w:tc>
        <w:tc>
          <w:tcPr>
            <w:tcW w:w="1422" w:type="dxa"/>
            <w:vAlign w:val="center"/>
          </w:tcPr>
          <w:p>
            <w:pPr>
              <w:widowControl/>
              <w:spacing w:line="300" w:lineRule="exact"/>
              <w:jc w:val="left"/>
              <w:rPr>
                <w:rFonts w:ascii="方正书宋简体" w:eastAsia="方正书宋简体" w:cs="Times New Roman"/>
                <w:color w:val="auto"/>
                <w:kern w:val="0"/>
                <w:sz w:val="24"/>
                <w:szCs w:val="24"/>
              </w:rPr>
            </w:pPr>
            <w:r>
              <w:rPr>
                <w:rFonts w:ascii="方正书宋简体" w:eastAsia="方正书宋简体" w:cs="Times New Roman"/>
                <w:color w:val="auto"/>
                <w:kern w:val="0"/>
                <w:sz w:val="24"/>
                <w:szCs w:val="24"/>
              </w:rPr>
              <w:t>11041</w:t>
            </w:r>
          </w:p>
        </w:tc>
        <w:tc>
          <w:tcPr>
            <w:tcW w:w="1899" w:type="dxa"/>
            <w:vAlign w:val="center"/>
          </w:tcPr>
          <w:p>
            <w:pPr>
              <w:widowControl/>
              <w:spacing w:line="300" w:lineRule="exact"/>
              <w:jc w:val="left"/>
              <w:rPr>
                <w:rFonts w:ascii="方正书宋简体" w:hAnsi="等线" w:eastAsia="方正书宋简体" w:cs="宋体"/>
                <w:color w:val="auto"/>
                <w:kern w:val="0"/>
                <w:sz w:val="24"/>
                <w:szCs w:val="24"/>
              </w:rPr>
            </w:pPr>
            <w:r>
              <w:rPr>
                <w:rFonts w:hint="eastAsia" w:ascii="方正书宋简体" w:hAnsi="等线" w:eastAsia="方正书宋简体" w:cs="宋体"/>
                <w:color w:val="auto"/>
                <w:kern w:val="0"/>
                <w:sz w:val="24"/>
                <w:szCs w:val="24"/>
              </w:rPr>
              <w:t>区水利局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1" w:type="dxa"/>
            <w:gridSpan w:val="4"/>
            <w:vAlign w:val="center"/>
          </w:tcPr>
          <w:p>
            <w:pPr>
              <w:widowControl/>
              <w:spacing w:line="300" w:lineRule="exact"/>
              <w:jc w:val="center"/>
              <w:rPr>
                <w:rFonts w:ascii="方正书宋简体" w:eastAsia="方正书宋简体" w:cs="Times New Roman"/>
                <w:b/>
                <w:bCs/>
                <w:color w:val="auto"/>
                <w:kern w:val="0"/>
                <w:sz w:val="22"/>
              </w:rPr>
            </w:pPr>
            <w:r>
              <w:rPr>
                <w:rFonts w:hint="eastAsia" w:ascii="方正书宋简体" w:eastAsia="方正书宋简体" w:cs="Times New Roman"/>
                <w:b/>
                <w:bCs/>
                <w:color w:val="auto"/>
                <w:kern w:val="0"/>
                <w:sz w:val="22"/>
              </w:rPr>
              <w:t>四、应对气候变化试点示范</w:t>
            </w:r>
          </w:p>
        </w:tc>
        <w:tc>
          <w:tcPr>
            <w:tcW w:w="1422" w:type="dxa"/>
            <w:vAlign w:val="center"/>
          </w:tcPr>
          <w:p>
            <w:pPr>
              <w:widowControl/>
              <w:spacing w:line="300" w:lineRule="exact"/>
              <w:jc w:val="center"/>
              <w:rPr>
                <w:rFonts w:ascii="方正书宋简体" w:eastAsia="方正书宋简体" w:cs="Times New Roman"/>
                <w:b/>
                <w:bCs/>
                <w:color w:val="auto"/>
                <w:kern w:val="0"/>
                <w:sz w:val="22"/>
              </w:rPr>
            </w:pPr>
            <w:r>
              <w:rPr>
                <w:rFonts w:ascii="方正书宋简体" w:eastAsia="方正书宋简体" w:cs="Times New Roman"/>
                <w:b/>
                <w:bCs/>
                <w:color w:val="auto"/>
                <w:kern w:val="0"/>
                <w:sz w:val="22"/>
              </w:rPr>
              <w:t>33200</w:t>
            </w:r>
          </w:p>
        </w:tc>
        <w:tc>
          <w:tcPr>
            <w:tcW w:w="1899" w:type="dxa"/>
            <w:vAlign w:val="center"/>
          </w:tcPr>
          <w:p>
            <w:pPr>
              <w:widowControl/>
              <w:spacing w:line="300" w:lineRule="exact"/>
              <w:jc w:val="center"/>
              <w:rPr>
                <w:rFonts w:ascii="方正书宋简体" w:eastAsia="方正书宋简体" w:cs="Times New Roman"/>
                <w:b/>
                <w:bCs/>
                <w:color w:val="auto"/>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pPr>
              <w:widowControl/>
              <w:spacing w:line="300" w:lineRule="exact"/>
              <w:jc w:val="lef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3</w:t>
            </w:r>
            <w:r>
              <w:rPr>
                <w:rFonts w:ascii="方正书宋简体" w:eastAsia="方正书宋简体" w:cs="Times New Roman"/>
                <w:color w:val="auto"/>
                <w:kern w:val="0"/>
                <w:sz w:val="24"/>
                <w:szCs w:val="24"/>
              </w:rPr>
              <w:t>7</w:t>
            </w:r>
          </w:p>
        </w:tc>
        <w:tc>
          <w:tcPr>
            <w:tcW w:w="1424" w:type="dxa"/>
            <w:vMerge w:val="restart"/>
            <w:vAlign w:val="center"/>
          </w:tcPr>
          <w:p>
            <w:pPr>
              <w:widowControl/>
              <w:spacing w:line="300" w:lineRule="exact"/>
              <w:jc w:val="left"/>
              <w:rPr>
                <w:rFonts w:ascii="方正书宋简体" w:hAnsi="等线" w:eastAsia="方正书宋简体" w:cs="宋体"/>
                <w:color w:val="auto"/>
                <w:kern w:val="0"/>
                <w:sz w:val="24"/>
                <w:szCs w:val="24"/>
              </w:rPr>
            </w:pPr>
            <w:r>
              <w:rPr>
                <w:rFonts w:hint="eastAsia" w:ascii="方正书宋简体" w:hAnsi="等线" w:eastAsia="方正书宋简体" w:cs="宋体"/>
                <w:color w:val="auto"/>
                <w:kern w:val="0"/>
                <w:sz w:val="24"/>
                <w:szCs w:val="24"/>
              </w:rPr>
              <w:t>低碳、零碳示范工程</w:t>
            </w:r>
          </w:p>
        </w:tc>
        <w:tc>
          <w:tcPr>
            <w:tcW w:w="5853" w:type="dxa"/>
            <w:vAlign w:val="center"/>
          </w:tcPr>
          <w:p>
            <w:pPr>
              <w:widowControl/>
              <w:spacing w:line="300" w:lineRule="exact"/>
              <w:jc w:val="left"/>
              <w:rPr>
                <w:rFonts w:ascii="方正书宋简体" w:hAnsi="等线" w:eastAsia="方正书宋简体" w:cs="宋体"/>
                <w:color w:val="auto"/>
                <w:kern w:val="0"/>
                <w:sz w:val="24"/>
                <w:szCs w:val="24"/>
              </w:rPr>
            </w:pPr>
            <w:r>
              <w:rPr>
                <w:rFonts w:hint="eastAsia" w:ascii="方正书宋简体" w:hAnsi="等线" w:eastAsia="方正书宋简体" w:cs="宋体"/>
                <w:color w:val="auto"/>
                <w:kern w:val="0"/>
                <w:sz w:val="24"/>
                <w:szCs w:val="24"/>
              </w:rPr>
              <w:t>实施低碳园区建设，新建建筑</w:t>
            </w:r>
            <w:r>
              <w:rPr>
                <w:rFonts w:ascii="方正书宋简体" w:hAnsi="等线" w:eastAsia="方正书宋简体" w:cs="宋体"/>
                <w:color w:val="auto"/>
                <w:kern w:val="0"/>
                <w:sz w:val="24"/>
                <w:szCs w:val="24"/>
              </w:rPr>
              <w:t>100%执行绿色建筑标准，大型公共建筑须执行二星以上绿色建筑标准。采用屋顶光伏、储能交</w:t>
            </w:r>
            <w:r>
              <w:rPr>
                <w:rFonts w:hint="eastAsia" w:ascii="方正书宋简体" w:hAnsi="等线" w:eastAsia="方正书宋简体" w:cs="宋体"/>
                <w:color w:val="auto"/>
                <w:kern w:val="0"/>
                <w:sz w:val="24"/>
                <w:szCs w:val="24"/>
              </w:rPr>
              <w:t>直流微网等技术，为建筑供应绿色电力聚焦建筑科技提升、能源提升、建筑感知系统提升及运维场景提升，寻求更加节能建筑方式、能源利用方式。加强光伏技术研发应用，提高园区新能源应用比例等。</w:t>
            </w:r>
          </w:p>
        </w:tc>
        <w:tc>
          <w:tcPr>
            <w:tcW w:w="1583" w:type="dxa"/>
            <w:vAlign w:val="center"/>
          </w:tcPr>
          <w:p>
            <w:pPr>
              <w:widowControl/>
              <w:spacing w:line="300" w:lineRule="exact"/>
              <w:jc w:val="left"/>
              <w:rPr>
                <w:rFonts w:ascii="方正书宋简体" w:eastAsia="方正书宋简体" w:cs="Times New Roman"/>
                <w:color w:val="auto"/>
                <w:kern w:val="0"/>
                <w:sz w:val="24"/>
                <w:szCs w:val="24"/>
              </w:rPr>
            </w:pPr>
            <w:r>
              <w:rPr>
                <w:rFonts w:ascii="方正书宋简体" w:eastAsia="方正书宋简体" w:cs="Times New Roman"/>
                <w:color w:val="auto"/>
                <w:kern w:val="0"/>
                <w:sz w:val="24"/>
                <w:szCs w:val="24"/>
              </w:rPr>
              <w:t>2021-2025</w:t>
            </w:r>
          </w:p>
        </w:tc>
        <w:tc>
          <w:tcPr>
            <w:tcW w:w="1422" w:type="dxa"/>
            <w:vAlign w:val="center"/>
          </w:tcPr>
          <w:p>
            <w:pPr>
              <w:widowControl/>
              <w:spacing w:line="300" w:lineRule="exact"/>
              <w:jc w:val="left"/>
              <w:rPr>
                <w:rFonts w:ascii="方正书宋简体" w:eastAsia="方正书宋简体" w:cs="Times New Roman"/>
                <w:color w:val="auto"/>
                <w:kern w:val="0"/>
                <w:sz w:val="24"/>
                <w:szCs w:val="24"/>
              </w:rPr>
            </w:pPr>
            <w:r>
              <w:rPr>
                <w:rFonts w:ascii="方正书宋简体" w:eastAsia="方正书宋简体" w:cs="Times New Roman"/>
                <w:color w:val="auto"/>
                <w:kern w:val="0"/>
                <w:sz w:val="24"/>
                <w:szCs w:val="24"/>
              </w:rPr>
              <w:t>30000</w:t>
            </w:r>
          </w:p>
        </w:tc>
        <w:tc>
          <w:tcPr>
            <w:tcW w:w="1899" w:type="dxa"/>
            <w:vAlign w:val="center"/>
          </w:tcPr>
          <w:p>
            <w:pPr>
              <w:widowControl/>
              <w:spacing w:line="300" w:lineRule="exact"/>
              <w:jc w:val="left"/>
              <w:rPr>
                <w:rFonts w:ascii="方正书宋简体" w:hAnsi="等线" w:eastAsia="方正书宋简体" w:cs="宋体"/>
                <w:color w:val="auto"/>
                <w:kern w:val="0"/>
                <w:sz w:val="24"/>
                <w:szCs w:val="24"/>
              </w:rPr>
            </w:pPr>
            <w:r>
              <w:rPr>
                <w:rFonts w:hint="eastAsia" w:ascii="方正书宋简体" w:hAnsi="等线" w:eastAsia="方正书宋简体" w:cs="宋体"/>
                <w:color w:val="auto"/>
                <w:kern w:val="0"/>
                <w:sz w:val="24"/>
                <w:szCs w:val="24"/>
              </w:rPr>
              <w:t>高新区管委会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pPr>
              <w:widowControl/>
              <w:spacing w:line="300" w:lineRule="exact"/>
              <w:jc w:val="left"/>
              <w:rPr>
                <w:rFonts w:ascii="方正书宋简体" w:eastAsia="方正书宋简体" w:cs="Times New Roman"/>
                <w:color w:val="auto"/>
                <w:kern w:val="0"/>
                <w:sz w:val="24"/>
                <w:szCs w:val="24"/>
              </w:rPr>
            </w:pPr>
            <w:r>
              <w:rPr>
                <w:rFonts w:ascii="方正书宋简体" w:eastAsia="方正书宋简体" w:cs="Times New Roman"/>
                <w:color w:val="auto"/>
                <w:kern w:val="0"/>
                <w:sz w:val="22"/>
              </w:rPr>
              <w:t>38</w:t>
            </w:r>
          </w:p>
        </w:tc>
        <w:tc>
          <w:tcPr>
            <w:tcW w:w="1424" w:type="dxa"/>
            <w:vMerge w:val="continue"/>
            <w:vAlign w:val="center"/>
          </w:tcPr>
          <w:p>
            <w:pPr>
              <w:spacing w:line="300" w:lineRule="exact"/>
              <w:jc w:val="left"/>
              <w:rPr>
                <w:rFonts w:ascii="方正书宋简体" w:hAnsi="等线" w:eastAsia="方正书宋简体" w:cs="宋体"/>
                <w:color w:val="auto"/>
                <w:kern w:val="0"/>
                <w:sz w:val="24"/>
                <w:szCs w:val="24"/>
              </w:rPr>
            </w:pPr>
          </w:p>
        </w:tc>
        <w:tc>
          <w:tcPr>
            <w:tcW w:w="5853" w:type="dxa"/>
            <w:vAlign w:val="center"/>
          </w:tcPr>
          <w:p>
            <w:pPr>
              <w:widowControl/>
              <w:spacing w:line="300" w:lineRule="exact"/>
              <w:jc w:val="left"/>
              <w:rPr>
                <w:rFonts w:ascii="方正书宋简体" w:hAnsi="等线" w:eastAsia="方正书宋简体" w:cs="宋体"/>
                <w:color w:val="auto"/>
                <w:kern w:val="0"/>
                <w:sz w:val="24"/>
                <w:szCs w:val="24"/>
              </w:rPr>
            </w:pPr>
            <w:r>
              <w:rPr>
                <w:rFonts w:hint="eastAsia" w:ascii="方正书宋简体" w:hAnsi="等线" w:eastAsia="方正书宋简体" w:cs="宋体"/>
                <w:color w:val="auto"/>
                <w:kern w:val="0"/>
                <w:sz w:val="24"/>
                <w:szCs w:val="24"/>
              </w:rPr>
              <w:t>在生态文明建设示范镇中优选</w:t>
            </w:r>
            <w:r>
              <w:rPr>
                <w:rFonts w:ascii="方正书宋简体" w:hAnsi="等线" w:eastAsia="方正书宋简体" w:cs="宋体"/>
                <w:color w:val="auto"/>
                <w:kern w:val="0"/>
                <w:sz w:val="24"/>
                <w:szCs w:val="24"/>
              </w:rPr>
              <w:t>1-2个城镇开展</w:t>
            </w:r>
            <w:r>
              <w:rPr>
                <w:rFonts w:hint="eastAsia" w:ascii="方正书宋简体" w:hAnsi="等线" w:eastAsia="方正书宋简体" w:cs="宋体"/>
                <w:color w:val="auto"/>
                <w:kern w:val="0"/>
                <w:sz w:val="24"/>
                <w:szCs w:val="24"/>
              </w:rPr>
              <w:t>近零碳排放试点。</w:t>
            </w:r>
          </w:p>
        </w:tc>
        <w:tc>
          <w:tcPr>
            <w:tcW w:w="1583" w:type="dxa"/>
            <w:vAlign w:val="center"/>
          </w:tcPr>
          <w:p>
            <w:pPr>
              <w:widowControl/>
              <w:spacing w:line="300" w:lineRule="exact"/>
              <w:jc w:val="left"/>
              <w:rPr>
                <w:rFonts w:ascii="方正书宋简体" w:eastAsia="方正书宋简体" w:cs="Times New Roman"/>
                <w:color w:val="auto"/>
                <w:kern w:val="0"/>
                <w:sz w:val="24"/>
                <w:szCs w:val="24"/>
              </w:rPr>
            </w:pPr>
            <w:r>
              <w:rPr>
                <w:rFonts w:ascii="方正书宋简体" w:eastAsia="方正书宋简体" w:cs="Times New Roman"/>
                <w:color w:val="auto"/>
                <w:kern w:val="0"/>
                <w:sz w:val="24"/>
                <w:szCs w:val="24"/>
              </w:rPr>
              <w:t>2021-2025</w:t>
            </w:r>
          </w:p>
        </w:tc>
        <w:tc>
          <w:tcPr>
            <w:tcW w:w="1422" w:type="dxa"/>
            <w:vAlign w:val="center"/>
          </w:tcPr>
          <w:p>
            <w:pPr>
              <w:widowControl/>
              <w:spacing w:line="300" w:lineRule="exact"/>
              <w:jc w:val="left"/>
              <w:rPr>
                <w:rFonts w:ascii="方正书宋简体" w:eastAsia="方正书宋简体" w:cs="Times New Roman"/>
                <w:color w:val="auto"/>
                <w:kern w:val="0"/>
                <w:sz w:val="24"/>
                <w:szCs w:val="24"/>
              </w:rPr>
            </w:pPr>
            <w:r>
              <w:rPr>
                <w:rFonts w:ascii="方正书宋简体" w:eastAsia="方正书宋简体" w:cs="Times New Roman"/>
                <w:color w:val="auto"/>
                <w:kern w:val="0"/>
                <w:sz w:val="24"/>
                <w:szCs w:val="24"/>
              </w:rPr>
              <w:t>2000</w:t>
            </w:r>
          </w:p>
        </w:tc>
        <w:tc>
          <w:tcPr>
            <w:tcW w:w="1899" w:type="dxa"/>
            <w:vAlign w:val="center"/>
          </w:tcPr>
          <w:p>
            <w:pPr>
              <w:widowControl/>
              <w:spacing w:line="300" w:lineRule="exact"/>
              <w:jc w:val="left"/>
              <w:rPr>
                <w:rFonts w:ascii="方正书宋简体" w:hAnsi="等线" w:eastAsia="方正书宋简体" w:cs="宋体"/>
                <w:color w:val="auto"/>
                <w:kern w:val="0"/>
                <w:sz w:val="24"/>
                <w:szCs w:val="24"/>
              </w:rPr>
            </w:pPr>
            <w:r>
              <w:rPr>
                <w:rFonts w:hint="eastAsia" w:ascii="方正书宋简体" w:hAnsi="等线" w:eastAsia="方正书宋简体" w:cs="宋体"/>
                <w:color w:val="auto"/>
                <w:kern w:val="0"/>
                <w:sz w:val="24"/>
                <w:szCs w:val="24"/>
              </w:rPr>
              <w:t>相关镇街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91" w:type="dxa"/>
            <w:vAlign w:val="center"/>
          </w:tcPr>
          <w:p>
            <w:pPr>
              <w:widowControl/>
              <w:spacing w:line="300" w:lineRule="exact"/>
              <w:jc w:val="left"/>
              <w:rPr>
                <w:rFonts w:ascii="方正书宋简体" w:eastAsia="方正书宋简体" w:cs="Times New Roman"/>
                <w:color w:val="auto"/>
                <w:kern w:val="0"/>
                <w:sz w:val="24"/>
                <w:szCs w:val="24"/>
              </w:rPr>
            </w:pPr>
            <w:r>
              <w:rPr>
                <w:rFonts w:ascii="方正书宋简体" w:eastAsia="方正书宋简体" w:cs="Times New Roman"/>
                <w:color w:val="auto"/>
                <w:kern w:val="0"/>
                <w:sz w:val="22"/>
              </w:rPr>
              <w:t>39</w:t>
            </w:r>
          </w:p>
        </w:tc>
        <w:tc>
          <w:tcPr>
            <w:tcW w:w="1424" w:type="dxa"/>
            <w:vMerge w:val="continue"/>
            <w:vAlign w:val="center"/>
          </w:tcPr>
          <w:p>
            <w:pPr>
              <w:spacing w:line="300" w:lineRule="exact"/>
              <w:jc w:val="left"/>
              <w:rPr>
                <w:rFonts w:ascii="方正书宋简体" w:hAnsi="等线" w:eastAsia="方正书宋简体" w:cs="宋体"/>
                <w:color w:val="auto"/>
                <w:kern w:val="0"/>
                <w:sz w:val="24"/>
                <w:szCs w:val="24"/>
              </w:rPr>
            </w:pPr>
          </w:p>
        </w:tc>
        <w:tc>
          <w:tcPr>
            <w:tcW w:w="5853" w:type="dxa"/>
            <w:vAlign w:val="center"/>
          </w:tcPr>
          <w:p>
            <w:pPr>
              <w:widowControl/>
              <w:spacing w:line="300" w:lineRule="exact"/>
              <w:jc w:val="left"/>
              <w:rPr>
                <w:rFonts w:ascii="方正书宋简体" w:hAnsi="等线" w:eastAsia="方正书宋简体" w:cs="宋体"/>
                <w:color w:val="auto"/>
                <w:kern w:val="0"/>
                <w:sz w:val="24"/>
                <w:szCs w:val="24"/>
              </w:rPr>
            </w:pPr>
            <w:r>
              <w:rPr>
                <w:rFonts w:hint="eastAsia" w:ascii="方正书宋简体" w:hAnsi="等线" w:eastAsia="方正书宋简体" w:cs="宋体"/>
                <w:color w:val="auto"/>
                <w:kern w:val="0"/>
                <w:sz w:val="24"/>
                <w:szCs w:val="24"/>
              </w:rPr>
              <w:t>在乡村振兴示范村等生态文明示范村中优选</w:t>
            </w:r>
            <w:r>
              <w:rPr>
                <w:rFonts w:ascii="方正书宋简体" w:hAnsi="等线" w:eastAsia="方正书宋简体" w:cs="宋体"/>
                <w:color w:val="auto"/>
                <w:kern w:val="0"/>
                <w:sz w:val="24"/>
                <w:szCs w:val="24"/>
              </w:rPr>
              <w:t>1-2个社区开展</w:t>
            </w:r>
            <w:r>
              <w:rPr>
                <w:rFonts w:hint="eastAsia" w:ascii="方正书宋简体" w:hAnsi="等线" w:eastAsia="方正书宋简体" w:cs="宋体"/>
                <w:color w:val="auto"/>
                <w:kern w:val="0"/>
                <w:sz w:val="24"/>
                <w:szCs w:val="24"/>
              </w:rPr>
              <w:t>近零碳试点。</w:t>
            </w:r>
          </w:p>
        </w:tc>
        <w:tc>
          <w:tcPr>
            <w:tcW w:w="1583" w:type="dxa"/>
            <w:vAlign w:val="center"/>
          </w:tcPr>
          <w:p>
            <w:pPr>
              <w:widowControl/>
              <w:spacing w:line="300" w:lineRule="exact"/>
              <w:jc w:val="left"/>
              <w:rPr>
                <w:rFonts w:ascii="方正书宋简体" w:eastAsia="方正书宋简体" w:cs="Times New Roman"/>
                <w:color w:val="auto"/>
                <w:kern w:val="0"/>
                <w:sz w:val="24"/>
                <w:szCs w:val="24"/>
              </w:rPr>
            </w:pPr>
            <w:r>
              <w:rPr>
                <w:rFonts w:ascii="方正书宋简体" w:eastAsia="方正书宋简体" w:cs="Times New Roman"/>
                <w:color w:val="auto"/>
                <w:kern w:val="0"/>
                <w:sz w:val="24"/>
                <w:szCs w:val="24"/>
              </w:rPr>
              <w:t>2021-2025</w:t>
            </w:r>
          </w:p>
        </w:tc>
        <w:tc>
          <w:tcPr>
            <w:tcW w:w="1422" w:type="dxa"/>
            <w:vAlign w:val="center"/>
          </w:tcPr>
          <w:p>
            <w:pPr>
              <w:widowControl/>
              <w:spacing w:line="300" w:lineRule="exact"/>
              <w:jc w:val="left"/>
              <w:rPr>
                <w:rFonts w:ascii="方正书宋简体" w:eastAsia="方正书宋简体" w:cs="Times New Roman"/>
                <w:color w:val="auto"/>
                <w:kern w:val="0"/>
                <w:sz w:val="24"/>
                <w:szCs w:val="24"/>
              </w:rPr>
            </w:pPr>
            <w:r>
              <w:rPr>
                <w:rFonts w:ascii="方正书宋简体" w:eastAsia="方正书宋简体" w:cs="Times New Roman"/>
                <w:color w:val="auto"/>
                <w:kern w:val="0"/>
                <w:sz w:val="24"/>
                <w:szCs w:val="24"/>
              </w:rPr>
              <w:t>500</w:t>
            </w:r>
          </w:p>
        </w:tc>
        <w:tc>
          <w:tcPr>
            <w:tcW w:w="1899" w:type="dxa"/>
            <w:vAlign w:val="center"/>
          </w:tcPr>
          <w:p>
            <w:pPr>
              <w:widowControl/>
              <w:spacing w:line="300" w:lineRule="exact"/>
              <w:jc w:val="left"/>
              <w:rPr>
                <w:rFonts w:ascii="方正书宋简体" w:hAnsi="等线" w:eastAsia="方正书宋简体" w:cs="宋体"/>
                <w:color w:val="auto"/>
                <w:kern w:val="0"/>
                <w:sz w:val="24"/>
                <w:szCs w:val="24"/>
              </w:rPr>
            </w:pPr>
            <w:r>
              <w:rPr>
                <w:rFonts w:hint="eastAsia" w:ascii="方正书宋简体" w:hAnsi="等线" w:eastAsia="方正书宋简体" w:cs="宋体"/>
                <w:color w:val="auto"/>
                <w:kern w:val="0"/>
                <w:sz w:val="24"/>
                <w:szCs w:val="24"/>
              </w:rPr>
              <w:t>相关镇街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pPr>
              <w:widowControl/>
              <w:spacing w:line="300" w:lineRule="exact"/>
              <w:jc w:val="left"/>
              <w:rPr>
                <w:rFonts w:ascii="方正书宋简体" w:eastAsia="方正书宋简体" w:cs="Times New Roman"/>
                <w:color w:val="auto"/>
                <w:kern w:val="0"/>
                <w:sz w:val="24"/>
                <w:szCs w:val="24"/>
              </w:rPr>
            </w:pPr>
            <w:r>
              <w:rPr>
                <w:rFonts w:ascii="方正书宋简体" w:eastAsia="方正书宋简体" w:cs="Times New Roman"/>
                <w:color w:val="auto"/>
                <w:kern w:val="0"/>
                <w:sz w:val="22"/>
              </w:rPr>
              <w:t>40</w:t>
            </w:r>
          </w:p>
        </w:tc>
        <w:tc>
          <w:tcPr>
            <w:tcW w:w="1424" w:type="dxa"/>
            <w:vMerge w:val="continue"/>
            <w:vAlign w:val="center"/>
          </w:tcPr>
          <w:p>
            <w:pPr>
              <w:spacing w:line="300" w:lineRule="exact"/>
              <w:jc w:val="left"/>
              <w:rPr>
                <w:rFonts w:ascii="方正书宋简体" w:hAnsi="等线" w:eastAsia="方正书宋简体" w:cs="宋体"/>
                <w:color w:val="auto"/>
                <w:kern w:val="0"/>
                <w:sz w:val="24"/>
                <w:szCs w:val="24"/>
              </w:rPr>
            </w:pPr>
          </w:p>
        </w:tc>
        <w:tc>
          <w:tcPr>
            <w:tcW w:w="5853" w:type="dxa"/>
            <w:vAlign w:val="center"/>
          </w:tcPr>
          <w:p>
            <w:pPr>
              <w:widowControl/>
              <w:spacing w:line="300" w:lineRule="exact"/>
              <w:jc w:val="left"/>
              <w:rPr>
                <w:rFonts w:ascii="方正书宋简体" w:hAnsi="等线" w:eastAsia="方正书宋简体" w:cs="宋体"/>
                <w:color w:val="auto"/>
                <w:kern w:val="0"/>
                <w:sz w:val="24"/>
                <w:szCs w:val="24"/>
              </w:rPr>
            </w:pPr>
            <w:r>
              <w:rPr>
                <w:rFonts w:hint="eastAsia" w:ascii="方正书宋简体" w:hAnsi="等线" w:eastAsia="方正书宋简体" w:cs="宋体"/>
                <w:color w:val="auto"/>
                <w:kern w:val="0"/>
                <w:sz w:val="24"/>
                <w:szCs w:val="24"/>
              </w:rPr>
              <w:t>在绿色学校中优选</w:t>
            </w:r>
            <w:r>
              <w:rPr>
                <w:rFonts w:ascii="方正书宋简体" w:hAnsi="等线" w:eastAsia="方正书宋简体" w:cs="宋体"/>
                <w:color w:val="auto"/>
                <w:kern w:val="0"/>
                <w:sz w:val="24"/>
                <w:szCs w:val="24"/>
              </w:rPr>
              <w:t>1-2个开展</w:t>
            </w:r>
            <w:r>
              <w:rPr>
                <w:rFonts w:hint="eastAsia" w:ascii="方正书宋简体" w:hAnsi="等线" w:eastAsia="方正书宋简体" w:cs="宋体"/>
                <w:color w:val="auto"/>
                <w:kern w:val="0"/>
                <w:sz w:val="24"/>
                <w:szCs w:val="24"/>
              </w:rPr>
              <w:t>近零碳排放区示范工程建设。</w:t>
            </w:r>
          </w:p>
        </w:tc>
        <w:tc>
          <w:tcPr>
            <w:tcW w:w="1583" w:type="dxa"/>
            <w:vAlign w:val="center"/>
          </w:tcPr>
          <w:p>
            <w:pPr>
              <w:widowControl/>
              <w:spacing w:line="300" w:lineRule="exact"/>
              <w:jc w:val="left"/>
              <w:rPr>
                <w:rFonts w:ascii="方正书宋简体" w:eastAsia="方正书宋简体" w:cs="Times New Roman"/>
                <w:color w:val="auto"/>
                <w:kern w:val="0"/>
                <w:sz w:val="24"/>
                <w:szCs w:val="24"/>
              </w:rPr>
            </w:pPr>
            <w:r>
              <w:rPr>
                <w:rFonts w:ascii="方正书宋简体" w:eastAsia="方正书宋简体" w:cs="Times New Roman"/>
                <w:color w:val="auto"/>
                <w:kern w:val="0"/>
                <w:sz w:val="24"/>
                <w:szCs w:val="24"/>
              </w:rPr>
              <w:t>2021-2025</w:t>
            </w:r>
          </w:p>
        </w:tc>
        <w:tc>
          <w:tcPr>
            <w:tcW w:w="1422" w:type="dxa"/>
            <w:vAlign w:val="center"/>
          </w:tcPr>
          <w:p>
            <w:pPr>
              <w:widowControl/>
              <w:spacing w:line="300" w:lineRule="exact"/>
              <w:jc w:val="left"/>
              <w:rPr>
                <w:rFonts w:ascii="方正书宋简体" w:eastAsia="方正书宋简体" w:cs="Times New Roman"/>
                <w:color w:val="auto"/>
                <w:kern w:val="0"/>
                <w:sz w:val="24"/>
                <w:szCs w:val="24"/>
              </w:rPr>
            </w:pPr>
            <w:r>
              <w:rPr>
                <w:rFonts w:ascii="方正书宋简体" w:eastAsia="方正书宋简体" w:cs="Times New Roman"/>
                <w:color w:val="auto"/>
                <w:kern w:val="0"/>
                <w:sz w:val="24"/>
                <w:szCs w:val="24"/>
              </w:rPr>
              <w:t>200</w:t>
            </w:r>
          </w:p>
        </w:tc>
        <w:tc>
          <w:tcPr>
            <w:tcW w:w="1899" w:type="dxa"/>
            <w:vAlign w:val="center"/>
          </w:tcPr>
          <w:p>
            <w:pPr>
              <w:widowControl/>
              <w:spacing w:line="300" w:lineRule="exact"/>
              <w:jc w:val="left"/>
              <w:rPr>
                <w:rFonts w:ascii="方正书宋简体" w:hAnsi="等线" w:eastAsia="方正书宋简体" w:cs="宋体"/>
                <w:color w:val="auto"/>
                <w:kern w:val="0"/>
                <w:sz w:val="24"/>
                <w:szCs w:val="24"/>
              </w:rPr>
            </w:pPr>
            <w:r>
              <w:rPr>
                <w:rFonts w:hint="eastAsia" w:ascii="方正书宋简体" w:hAnsi="等线" w:eastAsia="方正书宋简体" w:cs="宋体"/>
                <w:color w:val="auto"/>
                <w:kern w:val="0"/>
                <w:sz w:val="24"/>
                <w:szCs w:val="24"/>
              </w:rPr>
              <w:t>区教委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pPr>
              <w:widowControl/>
              <w:spacing w:line="300" w:lineRule="exact"/>
              <w:jc w:val="lef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4</w:t>
            </w:r>
            <w:r>
              <w:rPr>
                <w:rFonts w:ascii="方正书宋简体" w:eastAsia="方正书宋简体" w:cs="Times New Roman"/>
                <w:color w:val="auto"/>
                <w:kern w:val="0"/>
                <w:sz w:val="24"/>
                <w:szCs w:val="24"/>
              </w:rPr>
              <w:t>1</w:t>
            </w:r>
          </w:p>
        </w:tc>
        <w:tc>
          <w:tcPr>
            <w:tcW w:w="1424" w:type="dxa"/>
            <w:vMerge w:val="continue"/>
            <w:vAlign w:val="center"/>
          </w:tcPr>
          <w:p>
            <w:pPr>
              <w:widowControl/>
              <w:spacing w:line="300" w:lineRule="exact"/>
              <w:jc w:val="left"/>
              <w:rPr>
                <w:rFonts w:ascii="方正书宋简体" w:hAnsi="等线" w:eastAsia="方正书宋简体" w:cs="宋体"/>
                <w:color w:val="auto"/>
                <w:kern w:val="0"/>
                <w:sz w:val="24"/>
                <w:szCs w:val="24"/>
              </w:rPr>
            </w:pPr>
          </w:p>
        </w:tc>
        <w:tc>
          <w:tcPr>
            <w:tcW w:w="5853" w:type="dxa"/>
            <w:vAlign w:val="center"/>
          </w:tcPr>
          <w:p>
            <w:pPr>
              <w:widowControl/>
              <w:spacing w:line="300" w:lineRule="exact"/>
              <w:jc w:val="left"/>
              <w:rPr>
                <w:rFonts w:ascii="方正书宋简体" w:hAnsi="等线" w:eastAsia="方正书宋简体" w:cs="宋体"/>
                <w:color w:val="auto"/>
                <w:kern w:val="0"/>
                <w:sz w:val="24"/>
                <w:szCs w:val="24"/>
              </w:rPr>
            </w:pPr>
            <w:r>
              <w:rPr>
                <w:rFonts w:hint="eastAsia" w:ascii="方正书宋简体" w:hAnsi="等线" w:eastAsia="方正书宋简体" w:cs="宋体"/>
                <w:color w:val="auto"/>
                <w:kern w:val="0"/>
                <w:sz w:val="24"/>
                <w:szCs w:val="24"/>
              </w:rPr>
              <w:t>在绿色商场、绿色饭店、</w:t>
            </w:r>
            <w:r>
              <w:rPr>
                <w:rFonts w:ascii="方正书宋简体" w:hAnsi="等线" w:eastAsia="方正书宋简体" w:cs="宋体"/>
                <w:color w:val="auto"/>
                <w:kern w:val="0"/>
                <w:sz w:val="24"/>
                <w:szCs w:val="24"/>
              </w:rPr>
              <w:t>4A级旅游景区中优选1-2个开展</w:t>
            </w:r>
            <w:r>
              <w:rPr>
                <w:rFonts w:hint="eastAsia" w:ascii="方正书宋简体" w:hAnsi="等线" w:eastAsia="方正书宋简体" w:cs="宋体"/>
                <w:color w:val="auto"/>
                <w:kern w:val="0"/>
                <w:sz w:val="24"/>
                <w:szCs w:val="24"/>
              </w:rPr>
              <w:t>近零碳试点。</w:t>
            </w:r>
          </w:p>
        </w:tc>
        <w:tc>
          <w:tcPr>
            <w:tcW w:w="1583" w:type="dxa"/>
            <w:vAlign w:val="center"/>
          </w:tcPr>
          <w:p>
            <w:pPr>
              <w:widowControl/>
              <w:spacing w:line="300" w:lineRule="exact"/>
              <w:jc w:val="left"/>
              <w:rPr>
                <w:rFonts w:ascii="方正书宋简体" w:eastAsia="方正书宋简体" w:cs="Times New Roman"/>
                <w:color w:val="auto"/>
                <w:kern w:val="0"/>
                <w:sz w:val="24"/>
                <w:szCs w:val="24"/>
              </w:rPr>
            </w:pPr>
            <w:r>
              <w:rPr>
                <w:rFonts w:ascii="方正书宋简体" w:eastAsia="方正书宋简体" w:cs="Times New Roman"/>
                <w:color w:val="auto"/>
                <w:kern w:val="0"/>
                <w:sz w:val="24"/>
                <w:szCs w:val="24"/>
              </w:rPr>
              <w:t>2021-2025</w:t>
            </w:r>
          </w:p>
        </w:tc>
        <w:tc>
          <w:tcPr>
            <w:tcW w:w="1422" w:type="dxa"/>
            <w:vAlign w:val="center"/>
          </w:tcPr>
          <w:p>
            <w:pPr>
              <w:widowControl/>
              <w:spacing w:line="300" w:lineRule="exact"/>
              <w:jc w:val="left"/>
              <w:rPr>
                <w:rFonts w:ascii="方正书宋简体" w:eastAsia="方正书宋简体" w:cs="Times New Roman"/>
                <w:color w:val="auto"/>
                <w:kern w:val="0"/>
                <w:sz w:val="24"/>
                <w:szCs w:val="24"/>
              </w:rPr>
            </w:pPr>
            <w:r>
              <w:rPr>
                <w:rFonts w:ascii="方正书宋简体" w:eastAsia="方正书宋简体" w:cs="Times New Roman"/>
                <w:color w:val="auto"/>
                <w:kern w:val="0"/>
                <w:sz w:val="24"/>
                <w:szCs w:val="24"/>
              </w:rPr>
              <w:t>500</w:t>
            </w:r>
          </w:p>
        </w:tc>
        <w:tc>
          <w:tcPr>
            <w:tcW w:w="1899" w:type="dxa"/>
            <w:vAlign w:val="center"/>
          </w:tcPr>
          <w:p>
            <w:pPr>
              <w:widowControl/>
              <w:spacing w:line="300" w:lineRule="exact"/>
              <w:jc w:val="left"/>
              <w:rPr>
                <w:rFonts w:ascii="方正书宋简体" w:hAnsi="等线" w:eastAsia="方正书宋简体" w:cs="宋体"/>
                <w:color w:val="auto"/>
                <w:kern w:val="0"/>
                <w:sz w:val="24"/>
                <w:szCs w:val="24"/>
              </w:rPr>
            </w:pPr>
            <w:r>
              <w:rPr>
                <w:rFonts w:hint="eastAsia" w:ascii="方正书宋简体" w:hAnsi="等线" w:eastAsia="方正书宋简体" w:cs="宋体"/>
                <w:color w:val="auto"/>
                <w:kern w:val="0"/>
                <w:sz w:val="24"/>
                <w:szCs w:val="24"/>
              </w:rPr>
              <w:t>区商务委、区文化旅游委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1" w:type="dxa"/>
            <w:gridSpan w:val="4"/>
            <w:vAlign w:val="center"/>
          </w:tcPr>
          <w:p>
            <w:pPr>
              <w:widowControl/>
              <w:spacing w:line="300" w:lineRule="exact"/>
              <w:jc w:val="center"/>
              <w:rPr>
                <w:rFonts w:ascii="方正书宋简体" w:eastAsia="方正书宋简体" w:cs="Times New Roman"/>
                <w:b/>
                <w:bCs/>
                <w:color w:val="auto"/>
                <w:kern w:val="0"/>
                <w:sz w:val="24"/>
                <w:szCs w:val="24"/>
              </w:rPr>
            </w:pPr>
            <w:r>
              <w:rPr>
                <w:rFonts w:hint="eastAsia" w:ascii="方正书宋简体" w:eastAsia="方正书宋简体" w:cs="Times New Roman"/>
                <w:b/>
                <w:bCs/>
                <w:color w:val="auto"/>
                <w:kern w:val="0"/>
                <w:sz w:val="22"/>
              </w:rPr>
              <w:t>合计</w:t>
            </w:r>
          </w:p>
        </w:tc>
        <w:tc>
          <w:tcPr>
            <w:tcW w:w="1422" w:type="dxa"/>
            <w:vAlign w:val="center"/>
          </w:tcPr>
          <w:p>
            <w:pPr>
              <w:widowControl/>
              <w:spacing w:line="300" w:lineRule="exact"/>
              <w:jc w:val="center"/>
              <w:rPr>
                <w:rFonts w:ascii="方正书宋简体" w:eastAsia="方正书宋简体" w:cs="Times New Roman"/>
                <w:b/>
                <w:bCs/>
                <w:color w:val="auto"/>
                <w:kern w:val="0"/>
                <w:sz w:val="24"/>
                <w:szCs w:val="24"/>
              </w:rPr>
            </w:pPr>
            <w:r>
              <w:rPr>
                <w:rFonts w:ascii="方正书宋简体" w:eastAsia="方正书宋简体" w:cs="Times New Roman"/>
                <w:b/>
                <w:bCs/>
                <w:color w:val="auto"/>
                <w:kern w:val="0"/>
                <w:sz w:val="24"/>
                <w:szCs w:val="24"/>
              </w:rPr>
              <w:t>447503.06</w:t>
            </w:r>
          </w:p>
        </w:tc>
        <w:tc>
          <w:tcPr>
            <w:tcW w:w="1899" w:type="dxa"/>
            <w:vAlign w:val="center"/>
          </w:tcPr>
          <w:p>
            <w:pPr>
              <w:widowControl/>
              <w:spacing w:line="300" w:lineRule="exact"/>
              <w:jc w:val="center"/>
              <w:rPr>
                <w:rFonts w:ascii="方正书宋简体" w:hAnsi="等线" w:eastAsia="方正书宋简体" w:cs="宋体"/>
                <w:b/>
                <w:bCs/>
                <w:color w:val="auto"/>
                <w:kern w:val="0"/>
                <w:sz w:val="24"/>
                <w:szCs w:val="24"/>
              </w:rPr>
            </w:pPr>
          </w:p>
        </w:tc>
      </w:tr>
    </w:tbl>
    <w:p>
      <w:pPr>
        <w:jc w:val="left"/>
        <w:rPr>
          <w:rFonts w:ascii="方正黑体_GBK" w:eastAsia="方正黑体_GBK"/>
          <w:color w:val="auto"/>
        </w:rPr>
      </w:pPr>
    </w:p>
    <w:p>
      <w:pPr>
        <w:widowControl/>
        <w:jc w:val="left"/>
        <w:rPr>
          <w:rFonts w:ascii="方正黑体_GBK" w:eastAsia="方正黑体_GBK"/>
          <w:color w:val="auto"/>
        </w:rPr>
      </w:pPr>
      <w:r>
        <w:rPr>
          <w:rFonts w:ascii="方正黑体_GBK" w:eastAsia="方正黑体_GBK"/>
          <w:color w:val="auto"/>
        </w:rPr>
        <w:br w:type="page"/>
      </w:r>
    </w:p>
    <w:p>
      <w:pPr>
        <w:spacing w:line="594" w:lineRule="exact"/>
        <w:ind w:firstLine="0" w:firstLineChars="0"/>
        <w:jc w:val="left"/>
        <w:outlineLvl w:val="0"/>
        <w:rPr>
          <w:rFonts w:ascii="方正黑体_GBK" w:eastAsia="方正黑体_GBK"/>
          <w:color w:val="auto"/>
        </w:rPr>
      </w:pPr>
      <w:bookmarkStart w:id="51" w:name="_Toc109898286"/>
      <w:r>
        <w:rPr>
          <w:rFonts w:hint="eastAsia" w:ascii="方正黑体_GBK" w:eastAsia="方正黑体_GBK"/>
          <w:color w:val="auto"/>
        </w:rPr>
        <w:t>附表2</w:t>
      </w:r>
      <w:r>
        <w:rPr>
          <w:rFonts w:ascii="方正黑体_GBK" w:eastAsia="方正黑体_GBK"/>
          <w:color w:val="auto"/>
        </w:rPr>
        <w:t xml:space="preserve"> </w:t>
      </w:r>
    </w:p>
    <w:p>
      <w:pPr>
        <w:spacing w:line="594" w:lineRule="exact"/>
        <w:ind w:firstLine="0" w:firstLineChars="0"/>
        <w:jc w:val="center"/>
        <w:outlineLvl w:val="0"/>
        <w:rPr>
          <w:rFonts w:ascii="方正黑体_GBK" w:eastAsia="方正黑体_GBK"/>
          <w:color w:val="auto"/>
        </w:rPr>
      </w:pPr>
      <w:r>
        <w:rPr>
          <w:rFonts w:hint="eastAsia" w:ascii="方正小标宋_GBK" w:hAnsi="方正小标宋_GBK" w:eastAsia="方正小标宋_GBK" w:cs="方正小标宋_GBK"/>
          <w:color w:val="auto"/>
          <w:sz w:val="44"/>
          <w:szCs w:val="44"/>
        </w:rPr>
        <w:t>规划重点任务分工表</w:t>
      </w:r>
      <w:bookmarkEnd w:id="51"/>
    </w:p>
    <w:tbl>
      <w:tblPr>
        <w:tblStyle w:val="13"/>
        <w:tblW w:w="15026" w:type="dxa"/>
        <w:tblInd w:w="-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865"/>
        <w:gridCol w:w="1220"/>
        <w:gridCol w:w="7570"/>
        <w:gridCol w:w="2419"/>
        <w:gridCol w:w="2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trPr>
        <w:tc>
          <w:tcPr>
            <w:tcW w:w="69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方正黑体_GBK" w:hAnsi="方正黑体_GBK" w:eastAsia="方正黑体_GBK" w:cs="方正黑体_GBK"/>
                <w:b w:val="0"/>
                <w:bCs w:val="0"/>
                <w:color w:val="auto"/>
                <w:sz w:val="24"/>
                <w:szCs w:val="24"/>
              </w:rPr>
            </w:pPr>
            <w:r>
              <w:rPr>
                <w:rFonts w:hint="eastAsia" w:ascii="方正黑体_GBK" w:hAnsi="方正黑体_GBK" w:eastAsia="方正黑体_GBK" w:cs="方正黑体_GBK"/>
                <w:b w:val="0"/>
                <w:bCs w:val="0"/>
                <w:color w:val="auto"/>
                <w:sz w:val="24"/>
                <w:szCs w:val="24"/>
              </w:rPr>
              <w:t>序号</w:t>
            </w:r>
          </w:p>
        </w:tc>
        <w:tc>
          <w:tcPr>
            <w:tcW w:w="2085"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方正黑体_GBK" w:hAnsi="方正黑体_GBK" w:eastAsia="方正黑体_GBK" w:cs="方正黑体_GBK"/>
                <w:b w:val="0"/>
                <w:bCs w:val="0"/>
                <w:color w:val="auto"/>
                <w:sz w:val="24"/>
                <w:szCs w:val="24"/>
              </w:rPr>
            </w:pPr>
            <w:r>
              <w:rPr>
                <w:rFonts w:hint="eastAsia" w:ascii="方正黑体_GBK" w:hAnsi="方正黑体_GBK" w:eastAsia="方正黑体_GBK" w:cs="方正黑体_GBK"/>
                <w:b w:val="0"/>
                <w:bCs w:val="0"/>
                <w:color w:val="auto"/>
                <w:sz w:val="24"/>
                <w:szCs w:val="24"/>
              </w:rPr>
              <w:t>任务类别</w:t>
            </w:r>
          </w:p>
        </w:tc>
        <w:tc>
          <w:tcPr>
            <w:tcW w:w="757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方正黑体_GBK" w:hAnsi="方正黑体_GBK" w:eastAsia="方正黑体_GBK" w:cs="方正黑体_GBK"/>
                <w:b w:val="0"/>
                <w:bCs w:val="0"/>
                <w:color w:val="auto"/>
                <w:sz w:val="24"/>
                <w:szCs w:val="24"/>
              </w:rPr>
            </w:pPr>
            <w:r>
              <w:rPr>
                <w:rFonts w:hint="eastAsia" w:ascii="方正黑体_GBK" w:hAnsi="方正黑体_GBK" w:eastAsia="方正黑体_GBK" w:cs="方正黑体_GBK"/>
                <w:b w:val="0"/>
                <w:bCs w:val="0"/>
                <w:color w:val="auto"/>
                <w:sz w:val="24"/>
                <w:szCs w:val="24"/>
              </w:rPr>
              <w:t>重点任务</w:t>
            </w:r>
          </w:p>
        </w:tc>
        <w:tc>
          <w:tcPr>
            <w:tcW w:w="241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方正黑体_GBK" w:hAnsi="方正黑体_GBK" w:eastAsia="方正黑体_GBK" w:cs="方正黑体_GBK"/>
                <w:b w:val="0"/>
                <w:bCs w:val="0"/>
                <w:color w:val="auto"/>
                <w:sz w:val="24"/>
                <w:szCs w:val="24"/>
              </w:rPr>
            </w:pPr>
            <w:r>
              <w:rPr>
                <w:rFonts w:hint="eastAsia" w:ascii="方正黑体_GBK" w:hAnsi="方正黑体_GBK" w:eastAsia="方正黑体_GBK" w:cs="方正黑体_GBK"/>
                <w:b w:val="0"/>
                <w:bCs w:val="0"/>
                <w:color w:val="auto"/>
                <w:sz w:val="24"/>
                <w:szCs w:val="24"/>
              </w:rPr>
              <w:t>牵头部门</w:t>
            </w:r>
          </w:p>
        </w:tc>
        <w:tc>
          <w:tcPr>
            <w:tcW w:w="225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方正黑体_GBK" w:hAnsi="方正黑体_GBK" w:eastAsia="方正黑体_GBK" w:cs="方正黑体_GBK"/>
                <w:b w:val="0"/>
                <w:bCs w:val="0"/>
                <w:color w:val="auto"/>
                <w:sz w:val="24"/>
                <w:szCs w:val="24"/>
              </w:rPr>
            </w:pPr>
            <w:r>
              <w:rPr>
                <w:rFonts w:hint="eastAsia" w:ascii="方正黑体_GBK" w:hAnsi="方正黑体_GBK" w:eastAsia="方正黑体_GBK" w:cs="方正黑体_GBK"/>
                <w:b w:val="0"/>
                <w:bCs w:val="0"/>
                <w:color w:val="auto"/>
                <w:sz w:val="24"/>
                <w:szCs w:val="24"/>
              </w:rPr>
              <w:t>配合部门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5026" w:type="dxa"/>
            <w:gridSpan w:val="6"/>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方正书宋简体" w:eastAsia="方正书宋简体" w:cs="Times New Roman"/>
                <w:color w:val="auto"/>
                <w:sz w:val="24"/>
                <w:szCs w:val="24"/>
              </w:rPr>
            </w:pPr>
            <w:r>
              <w:rPr>
                <w:rFonts w:hint="eastAsia" w:ascii="方正书宋简体" w:eastAsia="方正书宋简体" w:cs="Times New Roman"/>
                <w:b/>
                <w:bCs/>
                <w:color w:val="auto"/>
                <w:sz w:val="24"/>
                <w:szCs w:val="24"/>
              </w:rPr>
              <w:t>（一）2</w:t>
            </w:r>
            <w:r>
              <w:rPr>
                <w:rFonts w:ascii="方正书宋简体" w:eastAsia="方正书宋简体" w:cs="Times New Roman"/>
                <w:b/>
                <w:bCs/>
                <w:color w:val="auto"/>
                <w:sz w:val="24"/>
                <w:szCs w:val="24"/>
              </w:rPr>
              <w:t>025</w:t>
            </w:r>
            <w:r>
              <w:rPr>
                <w:rFonts w:hint="eastAsia" w:ascii="方正书宋简体" w:eastAsia="方正书宋简体" w:cs="Times New Roman"/>
                <w:b/>
                <w:bCs/>
                <w:color w:val="auto"/>
                <w:sz w:val="24"/>
                <w:szCs w:val="24"/>
              </w:rPr>
              <w:t>年应对气候变化工作目标指标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2"/>
              </w:rPr>
              <w:t>1</w:t>
            </w:r>
          </w:p>
        </w:tc>
        <w:tc>
          <w:tcPr>
            <w:tcW w:w="2085" w:type="dxa"/>
            <w:gridSpan w:val="2"/>
            <w:vMerge w:val="restart"/>
            <w:tcBorders>
              <w:top w:val="single" w:color="auto" w:sz="4" w:space="0"/>
              <w:left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2</w:t>
            </w:r>
            <w:r>
              <w:rPr>
                <w:rFonts w:ascii="方正书宋简体" w:eastAsia="方正书宋简体" w:cs="Times New Roman"/>
                <w:color w:val="auto"/>
                <w:kern w:val="0"/>
                <w:sz w:val="24"/>
                <w:szCs w:val="24"/>
              </w:rPr>
              <w:t>025</w:t>
            </w:r>
            <w:r>
              <w:rPr>
                <w:rFonts w:hint="eastAsia" w:ascii="方正书宋简体" w:eastAsia="方正书宋简体" w:cs="Times New Roman"/>
                <w:color w:val="auto"/>
                <w:kern w:val="0"/>
                <w:sz w:val="24"/>
                <w:szCs w:val="24"/>
              </w:rPr>
              <w:t>年目标指标</w:t>
            </w:r>
          </w:p>
        </w:tc>
        <w:tc>
          <w:tcPr>
            <w:tcW w:w="75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完成市级下达“</w:t>
            </w:r>
            <w:r>
              <w:rPr>
                <w:rFonts w:hint="eastAsia" w:ascii="方正书宋简体" w:eastAsia="方正书宋简体"/>
                <w:color w:val="auto"/>
                <w:sz w:val="24"/>
                <w:szCs w:val="24"/>
              </w:rPr>
              <w:t>单位地区生产总值二氧化碳排放下降</w:t>
            </w:r>
            <w:r>
              <w:rPr>
                <w:rFonts w:hint="eastAsia" w:ascii="方正书宋简体" w:eastAsia="方正书宋简体" w:cs="Times New Roman"/>
                <w:color w:val="auto"/>
                <w:kern w:val="0"/>
                <w:sz w:val="24"/>
                <w:szCs w:val="24"/>
              </w:rPr>
              <w:t>”目标任务。</w:t>
            </w:r>
          </w:p>
        </w:tc>
        <w:tc>
          <w:tcPr>
            <w:tcW w:w="24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olor w:val="auto"/>
                <w:sz w:val="24"/>
                <w:szCs w:val="24"/>
              </w:rPr>
              <w:t>区发展改革委、区生态环境局</w:t>
            </w:r>
          </w:p>
        </w:tc>
        <w:tc>
          <w:tcPr>
            <w:tcW w:w="2257" w:type="dxa"/>
            <w:tcBorders>
              <w:top w:val="single" w:color="auto" w:sz="4" w:space="0"/>
              <w:left w:val="single" w:color="auto" w:sz="4" w:space="0"/>
              <w:bottom w:val="single" w:color="auto" w:sz="4" w:space="0"/>
              <w:right w:val="single" w:color="auto" w:sz="4" w:space="0"/>
            </w:tcBorders>
            <w:vAlign w:val="center"/>
          </w:tcPr>
          <w:p>
            <w:pPr>
              <w:rPr>
                <w:rFonts w:ascii="方正书宋简体" w:eastAsia="方正书宋简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2"/>
              </w:rPr>
            </w:pPr>
            <w:r>
              <w:rPr>
                <w:rFonts w:hint="eastAsia" w:ascii="方正书宋简体" w:eastAsia="方正书宋简体" w:cs="Times New Roman"/>
                <w:color w:val="auto"/>
                <w:kern w:val="0"/>
                <w:sz w:val="22"/>
              </w:rPr>
              <w:t>2</w:t>
            </w:r>
          </w:p>
        </w:tc>
        <w:tc>
          <w:tcPr>
            <w:tcW w:w="2085" w:type="dxa"/>
            <w:gridSpan w:val="2"/>
            <w:vMerge w:val="continue"/>
            <w:tcBorders>
              <w:left w:val="single" w:color="auto" w:sz="4" w:space="0"/>
              <w:right w:val="single" w:color="auto" w:sz="4" w:space="0"/>
            </w:tcBorders>
            <w:vAlign w:val="center"/>
          </w:tcPr>
          <w:p>
            <w:pPr>
              <w:widowControl/>
              <w:jc w:val="left"/>
              <w:rPr>
                <w:rFonts w:ascii="方正书宋简体" w:eastAsia="方正书宋简体" w:cs="Times New Roman"/>
                <w:color w:val="auto"/>
                <w:kern w:val="0"/>
                <w:sz w:val="24"/>
                <w:szCs w:val="24"/>
              </w:rPr>
            </w:pPr>
          </w:p>
        </w:tc>
        <w:tc>
          <w:tcPr>
            <w:tcW w:w="75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olor w:val="auto"/>
                <w:sz w:val="24"/>
                <w:szCs w:val="24"/>
              </w:rPr>
              <w:t>单位地区生产总值能</w:t>
            </w:r>
            <w:r>
              <w:rPr>
                <w:rFonts w:hint="eastAsia" w:ascii="方正书宋简体" w:eastAsia="方正书宋简体"/>
                <w:color w:val="auto"/>
                <w:sz w:val="24"/>
                <w:szCs w:val="24"/>
                <w:lang w:val="en-US" w:eastAsia="zh-CN"/>
              </w:rPr>
              <w:t>源</w:t>
            </w:r>
            <w:r>
              <w:rPr>
                <w:rFonts w:hint="eastAsia" w:ascii="方正书宋简体" w:eastAsia="方正书宋简体"/>
                <w:color w:val="auto"/>
                <w:sz w:val="24"/>
                <w:szCs w:val="24"/>
              </w:rPr>
              <w:t>消耗下降14%（以市级下达为准）</w:t>
            </w:r>
            <w:r>
              <w:rPr>
                <w:rFonts w:hint="eastAsia" w:ascii="方正书宋简体" w:eastAsia="方正书宋简体" w:cs="Times New Roman"/>
                <w:color w:val="auto"/>
                <w:kern w:val="0"/>
                <w:sz w:val="24"/>
                <w:szCs w:val="24"/>
              </w:rPr>
              <w:t>。</w:t>
            </w:r>
          </w:p>
        </w:tc>
        <w:tc>
          <w:tcPr>
            <w:tcW w:w="24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olor w:val="auto"/>
                <w:sz w:val="24"/>
                <w:szCs w:val="24"/>
              </w:rPr>
            </w:pPr>
            <w:r>
              <w:rPr>
                <w:rFonts w:hint="eastAsia" w:ascii="方正书宋简体" w:eastAsia="方正书宋简体"/>
                <w:color w:val="auto"/>
                <w:sz w:val="24"/>
                <w:szCs w:val="24"/>
              </w:rPr>
              <w:t>区发展改革委</w:t>
            </w:r>
          </w:p>
        </w:tc>
        <w:tc>
          <w:tcPr>
            <w:tcW w:w="22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2"/>
              </w:rPr>
              <w:t>3</w:t>
            </w:r>
          </w:p>
        </w:tc>
        <w:tc>
          <w:tcPr>
            <w:tcW w:w="2085" w:type="dxa"/>
            <w:gridSpan w:val="2"/>
            <w:vMerge w:val="continue"/>
            <w:tcBorders>
              <w:left w:val="single" w:color="auto" w:sz="4" w:space="0"/>
              <w:right w:val="single" w:color="auto" w:sz="4" w:space="0"/>
            </w:tcBorders>
            <w:vAlign w:val="center"/>
          </w:tcPr>
          <w:p>
            <w:pPr>
              <w:widowControl/>
              <w:jc w:val="left"/>
              <w:rPr>
                <w:rFonts w:ascii="方正书宋简体" w:eastAsia="方正书宋简体" w:cs="Times New Roman"/>
                <w:color w:val="auto"/>
                <w:kern w:val="0"/>
                <w:sz w:val="24"/>
                <w:szCs w:val="24"/>
              </w:rPr>
            </w:pPr>
          </w:p>
        </w:tc>
        <w:tc>
          <w:tcPr>
            <w:tcW w:w="75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sz w:val="24"/>
                <w:szCs w:val="24"/>
              </w:rPr>
              <w:t>规模以上战略性新兴产业产值占规模以上工业总产值达1</w:t>
            </w:r>
            <w:r>
              <w:rPr>
                <w:rFonts w:ascii="方正书宋简体" w:eastAsia="方正书宋简体" w:cs="Times New Roman"/>
                <w:color w:val="auto"/>
                <w:sz w:val="24"/>
                <w:szCs w:val="24"/>
              </w:rPr>
              <w:t>5%</w:t>
            </w:r>
            <w:r>
              <w:rPr>
                <w:rFonts w:hint="eastAsia" w:ascii="方正书宋简体" w:eastAsia="方正书宋简体" w:cs="Times New Roman"/>
                <w:color w:val="auto"/>
                <w:sz w:val="24"/>
                <w:szCs w:val="24"/>
              </w:rPr>
              <w:t>。</w:t>
            </w:r>
          </w:p>
        </w:tc>
        <w:tc>
          <w:tcPr>
            <w:tcW w:w="24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区发展改革委、区经济信息委</w:t>
            </w:r>
          </w:p>
        </w:tc>
        <w:tc>
          <w:tcPr>
            <w:tcW w:w="22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r>
              <w:rPr>
                <w:rFonts w:ascii="方正书宋简体" w:eastAsia="方正书宋简体" w:cs="Times New Roman"/>
                <w:color w:val="auto"/>
                <w:kern w:val="0"/>
                <w:sz w:val="22"/>
              </w:rPr>
              <w:t>4</w:t>
            </w:r>
          </w:p>
        </w:tc>
        <w:tc>
          <w:tcPr>
            <w:tcW w:w="2085" w:type="dxa"/>
            <w:gridSpan w:val="2"/>
            <w:vMerge w:val="continue"/>
            <w:tcBorders>
              <w:left w:val="single" w:color="auto" w:sz="4" w:space="0"/>
              <w:right w:val="single" w:color="auto" w:sz="4" w:space="0"/>
            </w:tcBorders>
            <w:vAlign w:val="center"/>
          </w:tcPr>
          <w:p>
            <w:pPr>
              <w:widowControl/>
              <w:jc w:val="left"/>
              <w:rPr>
                <w:rFonts w:ascii="方正书宋简体" w:eastAsia="方正书宋简体" w:cs="Times New Roman"/>
                <w:color w:val="auto"/>
                <w:kern w:val="0"/>
                <w:sz w:val="24"/>
                <w:szCs w:val="24"/>
              </w:rPr>
            </w:pPr>
          </w:p>
        </w:tc>
        <w:tc>
          <w:tcPr>
            <w:tcW w:w="75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完成市级下达“</w:t>
            </w:r>
            <w:r>
              <w:rPr>
                <w:rFonts w:hint="eastAsia" w:ascii="方正书宋简体" w:eastAsia="方正书宋简体" w:cs="Times New Roman"/>
                <w:color w:val="auto"/>
                <w:sz w:val="24"/>
                <w:szCs w:val="24"/>
              </w:rPr>
              <w:t>单位工业增加值二氧化碳排放下降率</w:t>
            </w:r>
            <w:r>
              <w:rPr>
                <w:rFonts w:hint="eastAsia" w:ascii="方正书宋简体" w:eastAsia="方正书宋简体" w:cs="Times New Roman"/>
                <w:color w:val="auto"/>
                <w:kern w:val="0"/>
                <w:sz w:val="24"/>
                <w:szCs w:val="24"/>
              </w:rPr>
              <w:t>”目标任务。</w:t>
            </w:r>
          </w:p>
        </w:tc>
        <w:tc>
          <w:tcPr>
            <w:tcW w:w="24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区经济信息委</w:t>
            </w:r>
          </w:p>
        </w:tc>
        <w:tc>
          <w:tcPr>
            <w:tcW w:w="22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区发展改革委、区生态环境局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2"/>
              </w:rPr>
            </w:pPr>
            <w:r>
              <w:rPr>
                <w:rFonts w:hint="eastAsia" w:ascii="方正书宋简体" w:eastAsia="方正书宋简体" w:cs="Times New Roman"/>
                <w:color w:val="auto"/>
                <w:kern w:val="0"/>
                <w:sz w:val="22"/>
              </w:rPr>
              <w:t>5</w:t>
            </w:r>
          </w:p>
        </w:tc>
        <w:tc>
          <w:tcPr>
            <w:tcW w:w="2085" w:type="dxa"/>
            <w:gridSpan w:val="2"/>
            <w:vMerge w:val="continue"/>
            <w:tcBorders>
              <w:left w:val="single" w:color="auto" w:sz="4" w:space="0"/>
              <w:right w:val="single" w:color="auto" w:sz="4" w:space="0"/>
            </w:tcBorders>
            <w:vAlign w:val="center"/>
          </w:tcPr>
          <w:p>
            <w:pPr>
              <w:widowControl/>
              <w:jc w:val="left"/>
              <w:rPr>
                <w:rFonts w:ascii="方正书宋简体" w:eastAsia="方正书宋简体" w:cs="Times New Roman"/>
                <w:color w:val="auto"/>
                <w:kern w:val="0"/>
                <w:sz w:val="24"/>
                <w:szCs w:val="24"/>
              </w:rPr>
            </w:pPr>
          </w:p>
        </w:tc>
        <w:tc>
          <w:tcPr>
            <w:tcW w:w="75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sz w:val="24"/>
                <w:szCs w:val="24"/>
              </w:rPr>
            </w:pPr>
            <w:r>
              <w:rPr>
                <w:rFonts w:hint="eastAsia" w:ascii="方正书宋简体" w:eastAsia="方正书宋简体" w:cs="Times New Roman"/>
                <w:color w:val="auto"/>
                <w:sz w:val="24"/>
                <w:szCs w:val="24"/>
              </w:rPr>
              <w:t>完成市级下达“绿色建筑二星级以上面积”目标任务。</w:t>
            </w:r>
          </w:p>
        </w:tc>
        <w:tc>
          <w:tcPr>
            <w:tcW w:w="24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区住房城乡建委</w:t>
            </w:r>
          </w:p>
        </w:tc>
        <w:tc>
          <w:tcPr>
            <w:tcW w:w="22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2"/>
              </w:rPr>
            </w:pPr>
            <w:r>
              <w:rPr>
                <w:rFonts w:hint="eastAsia" w:ascii="方正书宋简体" w:eastAsia="方正书宋简体" w:cs="Times New Roman"/>
                <w:color w:val="auto"/>
                <w:kern w:val="0"/>
                <w:sz w:val="22"/>
              </w:rPr>
              <w:t>6</w:t>
            </w:r>
          </w:p>
        </w:tc>
        <w:tc>
          <w:tcPr>
            <w:tcW w:w="2085" w:type="dxa"/>
            <w:gridSpan w:val="2"/>
            <w:vMerge w:val="continue"/>
            <w:tcBorders>
              <w:left w:val="single" w:color="auto" w:sz="4" w:space="0"/>
              <w:right w:val="single" w:color="auto" w:sz="4" w:space="0"/>
            </w:tcBorders>
            <w:vAlign w:val="center"/>
          </w:tcPr>
          <w:p>
            <w:pPr>
              <w:widowControl/>
              <w:jc w:val="left"/>
              <w:rPr>
                <w:rFonts w:ascii="方正书宋简体" w:eastAsia="方正书宋简体" w:cs="Times New Roman"/>
                <w:color w:val="auto"/>
                <w:kern w:val="0"/>
                <w:sz w:val="24"/>
                <w:szCs w:val="24"/>
              </w:rPr>
            </w:pPr>
          </w:p>
        </w:tc>
        <w:tc>
          <w:tcPr>
            <w:tcW w:w="75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sz w:val="24"/>
                <w:szCs w:val="24"/>
              </w:rPr>
            </w:pPr>
            <w:r>
              <w:rPr>
                <w:rFonts w:hint="eastAsia" w:ascii="方正书宋简体" w:eastAsia="方正书宋简体" w:cs="Times New Roman"/>
                <w:color w:val="auto"/>
                <w:sz w:val="24"/>
                <w:szCs w:val="24"/>
              </w:rPr>
              <w:t>完成市级下达“城镇既有建筑节能改造”目标任务。</w:t>
            </w:r>
          </w:p>
        </w:tc>
        <w:tc>
          <w:tcPr>
            <w:tcW w:w="24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区住房城乡建委</w:t>
            </w:r>
          </w:p>
        </w:tc>
        <w:tc>
          <w:tcPr>
            <w:tcW w:w="22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2"/>
              </w:rPr>
            </w:pPr>
            <w:r>
              <w:rPr>
                <w:rFonts w:hint="eastAsia" w:ascii="方正书宋简体" w:eastAsia="方正书宋简体" w:cs="Times New Roman"/>
                <w:color w:val="auto"/>
                <w:kern w:val="0"/>
                <w:sz w:val="22"/>
              </w:rPr>
              <w:t>7</w:t>
            </w:r>
          </w:p>
        </w:tc>
        <w:tc>
          <w:tcPr>
            <w:tcW w:w="2085" w:type="dxa"/>
            <w:gridSpan w:val="2"/>
            <w:vMerge w:val="continue"/>
            <w:tcBorders>
              <w:left w:val="single" w:color="auto" w:sz="4" w:space="0"/>
              <w:right w:val="single" w:color="auto" w:sz="4" w:space="0"/>
            </w:tcBorders>
            <w:vAlign w:val="center"/>
          </w:tcPr>
          <w:p>
            <w:pPr>
              <w:widowControl/>
              <w:jc w:val="left"/>
              <w:rPr>
                <w:rFonts w:ascii="方正书宋简体" w:eastAsia="方正书宋简体" w:cs="Times New Roman"/>
                <w:color w:val="auto"/>
                <w:kern w:val="0"/>
                <w:sz w:val="24"/>
                <w:szCs w:val="24"/>
              </w:rPr>
            </w:pPr>
          </w:p>
        </w:tc>
        <w:tc>
          <w:tcPr>
            <w:tcW w:w="75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sz w:val="24"/>
                <w:szCs w:val="24"/>
              </w:rPr>
            </w:pPr>
            <w:r>
              <w:rPr>
                <w:rFonts w:hint="eastAsia" w:ascii="方正书宋简体" w:eastAsia="方正书宋简体" w:cs="Times New Roman"/>
                <w:color w:val="auto"/>
                <w:sz w:val="24"/>
                <w:szCs w:val="24"/>
              </w:rPr>
              <w:t>完成市级下达“可再生能源建筑规模化应用”目标任务。</w:t>
            </w:r>
          </w:p>
        </w:tc>
        <w:tc>
          <w:tcPr>
            <w:tcW w:w="24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区住房城乡建委</w:t>
            </w:r>
          </w:p>
        </w:tc>
        <w:tc>
          <w:tcPr>
            <w:tcW w:w="22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2"/>
              </w:rPr>
              <w:t>8</w:t>
            </w:r>
          </w:p>
        </w:tc>
        <w:tc>
          <w:tcPr>
            <w:tcW w:w="2085" w:type="dxa"/>
            <w:gridSpan w:val="2"/>
            <w:vMerge w:val="continue"/>
            <w:tcBorders>
              <w:left w:val="single" w:color="auto" w:sz="4" w:space="0"/>
              <w:right w:val="single" w:color="auto" w:sz="4" w:space="0"/>
            </w:tcBorders>
            <w:vAlign w:val="center"/>
          </w:tcPr>
          <w:p>
            <w:pPr>
              <w:widowControl/>
              <w:jc w:val="left"/>
              <w:rPr>
                <w:rFonts w:ascii="方正书宋简体" w:eastAsia="方正书宋简体" w:cs="Times New Roman"/>
                <w:color w:val="auto"/>
                <w:kern w:val="0"/>
                <w:sz w:val="24"/>
                <w:szCs w:val="24"/>
              </w:rPr>
            </w:pPr>
          </w:p>
        </w:tc>
        <w:tc>
          <w:tcPr>
            <w:tcW w:w="75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sz w:val="24"/>
                <w:szCs w:val="24"/>
              </w:rPr>
              <w:t>城市公共交通出行分担率大于20%。</w:t>
            </w:r>
          </w:p>
        </w:tc>
        <w:tc>
          <w:tcPr>
            <w:tcW w:w="24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区交通局</w:t>
            </w:r>
          </w:p>
        </w:tc>
        <w:tc>
          <w:tcPr>
            <w:tcW w:w="22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r>
              <w:rPr>
                <w:rFonts w:ascii="方正书宋简体" w:eastAsia="方正书宋简体" w:cs="Times New Roman"/>
                <w:color w:val="auto"/>
                <w:kern w:val="0"/>
                <w:sz w:val="22"/>
              </w:rPr>
              <w:t>9</w:t>
            </w:r>
          </w:p>
        </w:tc>
        <w:tc>
          <w:tcPr>
            <w:tcW w:w="2085" w:type="dxa"/>
            <w:gridSpan w:val="2"/>
            <w:vMerge w:val="continue"/>
            <w:tcBorders>
              <w:left w:val="single" w:color="auto" w:sz="4" w:space="0"/>
              <w:right w:val="single" w:color="auto" w:sz="4" w:space="0"/>
            </w:tcBorders>
            <w:vAlign w:val="center"/>
          </w:tcPr>
          <w:p>
            <w:pPr>
              <w:widowControl/>
              <w:jc w:val="left"/>
              <w:rPr>
                <w:rFonts w:ascii="方正书宋简体" w:eastAsia="方正书宋简体" w:cs="Times New Roman"/>
                <w:color w:val="auto"/>
                <w:kern w:val="0"/>
                <w:sz w:val="24"/>
                <w:szCs w:val="24"/>
              </w:rPr>
            </w:pPr>
          </w:p>
        </w:tc>
        <w:tc>
          <w:tcPr>
            <w:tcW w:w="75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森林蓄积量达到160万立方米。</w:t>
            </w:r>
          </w:p>
        </w:tc>
        <w:tc>
          <w:tcPr>
            <w:tcW w:w="24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区林业局</w:t>
            </w:r>
          </w:p>
        </w:tc>
        <w:tc>
          <w:tcPr>
            <w:tcW w:w="22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2"/>
              </w:rPr>
            </w:pPr>
            <w:r>
              <w:rPr>
                <w:rFonts w:ascii="方正书宋简体" w:eastAsia="方正书宋简体" w:cs="Times New Roman"/>
                <w:color w:val="auto"/>
                <w:kern w:val="0"/>
                <w:sz w:val="22"/>
              </w:rPr>
              <w:t>10</w:t>
            </w:r>
          </w:p>
        </w:tc>
        <w:tc>
          <w:tcPr>
            <w:tcW w:w="2085" w:type="dxa"/>
            <w:gridSpan w:val="2"/>
            <w:vMerge w:val="continue"/>
            <w:tcBorders>
              <w:left w:val="single" w:color="auto" w:sz="4" w:space="0"/>
              <w:right w:val="single" w:color="auto" w:sz="4" w:space="0"/>
            </w:tcBorders>
            <w:vAlign w:val="center"/>
          </w:tcPr>
          <w:p>
            <w:pPr>
              <w:widowControl/>
              <w:jc w:val="left"/>
              <w:rPr>
                <w:rFonts w:ascii="方正书宋简体" w:eastAsia="方正书宋简体" w:cs="Times New Roman"/>
                <w:color w:val="auto"/>
                <w:kern w:val="0"/>
                <w:sz w:val="24"/>
                <w:szCs w:val="24"/>
              </w:rPr>
            </w:pPr>
          </w:p>
        </w:tc>
        <w:tc>
          <w:tcPr>
            <w:tcW w:w="75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森林覆盖率达到5</w:t>
            </w:r>
            <w:r>
              <w:rPr>
                <w:rFonts w:ascii="方正书宋简体" w:eastAsia="方正书宋简体" w:cs="Times New Roman"/>
                <w:color w:val="auto"/>
                <w:kern w:val="0"/>
                <w:sz w:val="24"/>
                <w:szCs w:val="24"/>
              </w:rPr>
              <w:t>0%</w:t>
            </w:r>
            <w:r>
              <w:rPr>
                <w:rFonts w:hint="eastAsia" w:ascii="方正书宋简体" w:eastAsia="方正书宋简体" w:cs="Times New Roman"/>
                <w:color w:val="auto"/>
                <w:kern w:val="0"/>
                <w:sz w:val="24"/>
                <w:szCs w:val="24"/>
              </w:rPr>
              <w:t>。</w:t>
            </w:r>
          </w:p>
        </w:tc>
        <w:tc>
          <w:tcPr>
            <w:tcW w:w="24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区林业局</w:t>
            </w:r>
          </w:p>
        </w:tc>
        <w:tc>
          <w:tcPr>
            <w:tcW w:w="22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2"/>
              </w:rPr>
            </w:pPr>
            <w:r>
              <w:rPr>
                <w:rFonts w:hint="eastAsia" w:ascii="方正书宋简体" w:eastAsia="方正书宋简体" w:cs="Times New Roman"/>
                <w:color w:val="auto"/>
                <w:kern w:val="0"/>
                <w:sz w:val="22"/>
              </w:rPr>
              <w:t>1</w:t>
            </w:r>
            <w:r>
              <w:rPr>
                <w:rFonts w:ascii="方正书宋简体" w:eastAsia="方正书宋简体" w:cs="Times New Roman"/>
                <w:color w:val="auto"/>
                <w:kern w:val="0"/>
                <w:sz w:val="22"/>
              </w:rPr>
              <w:t>1</w:t>
            </w:r>
          </w:p>
        </w:tc>
        <w:tc>
          <w:tcPr>
            <w:tcW w:w="2085" w:type="dxa"/>
            <w:gridSpan w:val="2"/>
            <w:vMerge w:val="continue"/>
            <w:tcBorders>
              <w:left w:val="single" w:color="auto" w:sz="4" w:space="0"/>
              <w:right w:val="single" w:color="auto" w:sz="4" w:space="0"/>
            </w:tcBorders>
            <w:vAlign w:val="center"/>
          </w:tcPr>
          <w:p>
            <w:pPr>
              <w:widowControl/>
              <w:jc w:val="left"/>
              <w:rPr>
                <w:rFonts w:ascii="方正书宋简体" w:eastAsia="方正书宋简体" w:cs="Times New Roman"/>
                <w:color w:val="auto"/>
                <w:kern w:val="0"/>
                <w:sz w:val="24"/>
                <w:szCs w:val="24"/>
              </w:rPr>
            </w:pPr>
          </w:p>
        </w:tc>
        <w:tc>
          <w:tcPr>
            <w:tcW w:w="75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公共机构人均能耗下降7</w:t>
            </w:r>
            <w:r>
              <w:rPr>
                <w:rFonts w:ascii="方正书宋简体" w:eastAsia="方正书宋简体" w:cs="Times New Roman"/>
                <w:color w:val="auto"/>
                <w:kern w:val="0"/>
                <w:sz w:val="24"/>
                <w:szCs w:val="24"/>
              </w:rPr>
              <w:t>%</w:t>
            </w:r>
            <w:r>
              <w:rPr>
                <w:rFonts w:hint="eastAsia" w:ascii="方正书宋简体" w:eastAsia="方正书宋简体" w:cs="Times New Roman"/>
                <w:color w:val="auto"/>
                <w:kern w:val="0"/>
                <w:sz w:val="24"/>
                <w:szCs w:val="24"/>
              </w:rPr>
              <w:t>。</w:t>
            </w:r>
          </w:p>
        </w:tc>
        <w:tc>
          <w:tcPr>
            <w:tcW w:w="24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区机关事务局</w:t>
            </w:r>
          </w:p>
        </w:tc>
        <w:tc>
          <w:tcPr>
            <w:tcW w:w="22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2"/>
              </w:rPr>
            </w:pPr>
            <w:r>
              <w:rPr>
                <w:rFonts w:ascii="方正书宋简体" w:eastAsia="方正书宋简体" w:cs="Times New Roman"/>
                <w:color w:val="auto"/>
                <w:kern w:val="0"/>
                <w:sz w:val="22"/>
              </w:rPr>
              <w:t>12</w:t>
            </w:r>
          </w:p>
        </w:tc>
        <w:tc>
          <w:tcPr>
            <w:tcW w:w="2085" w:type="dxa"/>
            <w:gridSpan w:val="2"/>
            <w:vMerge w:val="continue"/>
            <w:tcBorders>
              <w:left w:val="single" w:color="auto" w:sz="4" w:space="0"/>
              <w:right w:val="single" w:color="auto" w:sz="4" w:space="0"/>
            </w:tcBorders>
            <w:vAlign w:val="center"/>
          </w:tcPr>
          <w:p>
            <w:pPr>
              <w:widowControl/>
              <w:jc w:val="left"/>
              <w:rPr>
                <w:rFonts w:ascii="方正书宋简体" w:eastAsia="方正书宋简体" w:cs="Times New Roman"/>
                <w:color w:val="auto"/>
                <w:kern w:val="0"/>
                <w:sz w:val="24"/>
                <w:szCs w:val="24"/>
              </w:rPr>
            </w:pPr>
          </w:p>
        </w:tc>
        <w:tc>
          <w:tcPr>
            <w:tcW w:w="75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公共机构单位建筑面积能耗下降6</w:t>
            </w:r>
            <w:r>
              <w:rPr>
                <w:rFonts w:ascii="方正书宋简体" w:eastAsia="方正书宋简体" w:cs="Times New Roman"/>
                <w:color w:val="auto"/>
                <w:kern w:val="0"/>
                <w:sz w:val="24"/>
                <w:szCs w:val="24"/>
              </w:rPr>
              <w:t>%</w:t>
            </w:r>
            <w:r>
              <w:rPr>
                <w:rFonts w:hint="eastAsia" w:ascii="方正书宋简体" w:eastAsia="方正书宋简体" w:cs="Times New Roman"/>
                <w:color w:val="auto"/>
                <w:kern w:val="0"/>
                <w:sz w:val="24"/>
                <w:szCs w:val="24"/>
              </w:rPr>
              <w:t>。</w:t>
            </w:r>
          </w:p>
        </w:tc>
        <w:tc>
          <w:tcPr>
            <w:tcW w:w="24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区机关事务局</w:t>
            </w:r>
          </w:p>
        </w:tc>
        <w:tc>
          <w:tcPr>
            <w:tcW w:w="22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2"/>
              </w:rPr>
              <w:t>1</w:t>
            </w:r>
            <w:r>
              <w:rPr>
                <w:rFonts w:ascii="方正书宋简体" w:eastAsia="方正书宋简体" w:cs="Times New Roman"/>
                <w:color w:val="auto"/>
                <w:kern w:val="0"/>
                <w:sz w:val="22"/>
              </w:rPr>
              <w:t>3</w:t>
            </w:r>
          </w:p>
        </w:tc>
        <w:tc>
          <w:tcPr>
            <w:tcW w:w="2085" w:type="dxa"/>
            <w:gridSpan w:val="2"/>
            <w:vMerge w:val="continue"/>
            <w:tcBorders>
              <w:left w:val="single" w:color="auto" w:sz="4" w:space="0"/>
              <w:right w:val="single" w:color="auto" w:sz="4" w:space="0"/>
            </w:tcBorders>
            <w:vAlign w:val="center"/>
          </w:tcPr>
          <w:p>
            <w:pPr>
              <w:widowControl/>
              <w:jc w:val="left"/>
              <w:rPr>
                <w:rFonts w:ascii="方正书宋简体" w:eastAsia="方正书宋简体" w:cs="Times New Roman"/>
                <w:color w:val="auto"/>
                <w:kern w:val="0"/>
                <w:sz w:val="24"/>
                <w:szCs w:val="24"/>
              </w:rPr>
            </w:pPr>
          </w:p>
        </w:tc>
        <w:tc>
          <w:tcPr>
            <w:tcW w:w="75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sz w:val="24"/>
                <w:szCs w:val="24"/>
              </w:rPr>
              <w:t>农田灌溉水有效利用系数达到0.5544。</w:t>
            </w:r>
          </w:p>
        </w:tc>
        <w:tc>
          <w:tcPr>
            <w:tcW w:w="24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区水利局</w:t>
            </w:r>
          </w:p>
        </w:tc>
        <w:tc>
          <w:tcPr>
            <w:tcW w:w="22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2"/>
              </w:rPr>
              <w:t>1</w:t>
            </w:r>
            <w:r>
              <w:rPr>
                <w:rFonts w:ascii="方正书宋简体" w:eastAsia="方正书宋简体" w:cs="Times New Roman"/>
                <w:color w:val="auto"/>
                <w:kern w:val="0"/>
                <w:sz w:val="22"/>
              </w:rPr>
              <w:t>4</w:t>
            </w:r>
          </w:p>
        </w:tc>
        <w:tc>
          <w:tcPr>
            <w:tcW w:w="2085" w:type="dxa"/>
            <w:gridSpan w:val="2"/>
            <w:vMerge w:val="continue"/>
            <w:tcBorders>
              <w:left w:val="single" w:color="auto" w:sz="4" w:space="0"/>
              <w:bottom w:val="single" w:color="auto" w:sz="4" w:space="0"/>
              <w:right w:val="single" w:color="auto" w:sz="4" w:space="0"/>
            </w:tcBorders>
            <w:vAlign w:val="center"/>
          </w:tcPr>
          <w:p>
            <w:pPr>
              <w:widowControl/>
              <w:jc w:val="left"/>
              <w:rPr>
                <w:rFonts w:ascii="方正书宋简体" w:eastAsia="方正书宋简体" w:cs="Times New Roman"/>
                <w:color w:val="auto"/>
                <w:kern w:val="0"/>
                <w:sz w:val="24"/>
                <w:szCs w:val="24"/>
              </w:rPr>
            </w:pPr>
          </w:p>
        </w:tc>
        <w:tc>
          <w:tcPr>
            <w:tcW w:w="75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sz w:val="24"/>
                <w:szCs w:val="24"/>
              </w:rPr>
            </w:pPr>
            <w:r>
              <w:rPr>
                <w:rFonts w:hint="eastAsia" w:ascii="方正书宋简体" w:eastAsia="方正书宋简体" w:cs="Times New Roman"/>
                <w:color w:val="auto"/>
                <w:sz w:val="24"/>
                <w:szCs w:val="24"/>
              </w:rPr>
              <w:t>完成市级下达“水土流失治理面积”目标任务。</w:t>
            </w:r>
          </w:p>
        </w:tc>
        <w:tc>
          <w:tcPr>
            <w:tcW w:w="24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区水利局</w:t>
            </w:r>
          </w:p>
        </w:tc>
        <w:tc>
          <w:tcPr>
            <w:tcW w:w="22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15026" w:type="dxa"/>
            <w:gridSpan w:val="6"/>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方正书宋简体" w:eastAsia="方正书宋简体" w:cs="Times New Roman"/>
                <w:b/>
                <w:bCs/>
                <w:color w:val="auto"/>
                <w:sz w:val="24"/>
                <w:szCs w:val="24"/>
              </w:rPr>
            </w:pPr>
            <w:r>
              <w:rPr>
                <w:rFonts w:hint="eastAsia" w:ascii="方正书宋简体" w:eastAsia="方正书宋简体" w:cs="Times New Roman"/>
                <w:b/>
                <w:bCs/>
                <w:color w:val="auto"/>
                <w:sz w:val="24"/>
                <w:szCs w:val="24"/>
              </w:rPr>
              <w:t>（二）严格控制温室气体排放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r>
              <w:rPr>
                <w:rFonts w:ascii="方正书宋简体" w:eastAsia="方正书宋简体" w:cs="Times New Roman"/>
                <w:color w:val="auto"/>
                <w:kern w:val="0"/>
                <w:sz w:val="22"/>
              </w:rPr>
              <w:t>15</w:t>
            </w:r>
          </w:p>
        </w:tc>
        <w:tc>
          <w:tcPr>
            <w:tcW w:w="208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研究制定二氧化碳排放达峰行动方案</w:t>
            </w:r>
          </w:p>
        </w:tc>
        <w:tc>
          <w:tcPr>
            <w:tcW w:w="75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sz w:val="24"/>
                <w:szCs w:val="24"/>
              </w:rPr>
            </w:pPr>
            <w:r>
              <w:rPr>
                <w:rFonts w:hint="eastAsia" w:ascii="方正书宋简体" w:eastAsia="方正书宋简体" w:cs="Times New Roman"/>
                <w:color w:val="auto"/>
                <w:kern w:val="0"/>
                <w:sz w:val="24"/>
                <w:szCs w:val="24"/>
              </w:rPr>
              <w:t>加强应对气候变化顶层设计，制定铜梁区碳排放达峰行动方案，完成市级下达的碳排放总量与强度控制任务。</w:t>
            </w:r>
          </w:p>
        </w:tc>
        <w:tc>
          <w:tcPr>
            <w:tcW w:w="24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区发展改革委、区生态环境局</w:t>
            </w:r>
          </w:p>
        </w:tc>
        <w:tc>
          <w:tcPr>
            <w:tcW w:w="22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区级各部门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2"/>
              </w:rPr>
              <w:t>1</w:t>
            </w:r>
            <w:r>
              <w:rPr>
                <w:rFonts w:ascii="方正书宋简体" w:eastAsia="方正书宋简体" w:cs="Times New Roman"/>
                <w:color w:val="auto"/>
                <w:kern w:val="0"/>
                <w:sz w:val="22"/>
              </w:rPr>
              <w:t>6</w:t>
            </w:r>
          </w:p>
        </w:tc>
        <w:tc>
          <w:tcPr>
            <w:tcW w:w="208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书宋简体" w:eastAsia="方正书宋简体" w:cs="Times New Roman"/>
                <w:color w:val="auto"/>
                <w:kern w:val="0"/>
                <w:sz w:val="24"/>
                <w:szCs w:val="24"/>
              </w:rPr>
            </w:pPr>
          </w:p>
        </w:tc>
        <w:tc>
          <w:tcPr>
            <w:tcW w:w="75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sz w:val="24"/>
                <w:szCs w:val="24"/>
              </w:rPr>
            </w:pPr>
            <w:r>
              <w:rPr>
                <w:rFonts w:hint="eastAsia" w:ascii="方正书宋简体" w:eastAsia="方正书宋简体" w:cs="Times New Roman"/>
                <w:color w:val="auto"/>
                <w:kern w:val="0"/>
                <w:sz w:val="24"/>
                <w:szCs w:val="24"/>
              </w:rPr>
              <w:t>常态化实施温室气体清单编制工作，加强清单数据应用，针对性制定温室气体控制目标与措施。</w:t>
            </w:r>
          </w:p>
        </w:tc>
        <w:tc>
          <w:tcPr>
            <w:tcW w:w="24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区生态环境局</w:t>
            </w:r>
          </w:p>
        </w:tc>
        <w:tc>
          <w:tcPr>
            <w:tcW w:w="22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2"/>
              </w:rPr>
              <w:t>1</w:t>
            </w:r>
            <w:r>
              <w:rPr>
                <w:rFonts w:ascii="方正书宋简体" w:eastAsia="方正书宋简体" w:cs="Times New Roman"/>
                <w:color w:val="auto"/>
                <w:kern w:val="0"/>
                <w:sz w:val="22"/>
              </w:rPr>
              <w:t>7</w:t>
            </w:r>
          </w:p>
        </w:tc>
        <w:tc>
          <w:tcPr>
            <w:tcW w:w="208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书宋简体" w:eastAsia="方正书宋简体" w:cs="Times New Roman"/>
                <w:color w:val="auto"/>
                <w:kern w:val="0"/>
                <w:sz w:val="24"/>
                <w:szCs w:val="24"/>
              </w:rPr>
            </w:pPr>
          </w:p>
        </w:tc>
        <w:tc>
          <w:tcPr>
            <w:tcW w:w="75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sz w:val="24"/>
                <w:szCs w:val="24"/>
              </w:rPr>
            </w:pPr>
            <w:r>
              <w:rPr>
                <w:rFonts w:hint="eastAsia" w:ascii="方正书宋简体" w:eastAsia="方正书宋简体" w:cs="Times New Roman"/>
                <w:color w:val="auto"/>
                <w:kern w:val="0"/>
                <w:sz w:val="24"/>
                <w:szCs w:val="24"/>
              </w:rPr>
              <w:t>推动能源、工业、交通运输、城乡建设、农业农村、新基建等重点领域碳达峰行动。</w:t>
            </w:r>
          </w:p>
        </w:tc>
        <w:tc>
          <w:tcPr>
            <w:tcW w:w="24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区发展改革委、区经济信息委、区交通局、区住房城乡建委、区农业农村委、区大数据发展局</w:t>
            </w:r>
          </w:p>
        </w:tc>
        <w:tc>
          <w:tcPr>
            <w:tcW w:w="22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2"/>
              </w:rPr>
              <w:t>1</w:t>
            </w:r>
            <w:r>
              <w:rPr>
                <w:rFonts w:ascii="方正书宋简体" w:eastAsia="方正书宋简体" w:cs="Times New Roman"/>
                <w:color w:val="auto"/>
                <w:kern w:val="0"/>
                <w:sz w:val="22"/>
              </w:rPr>
              <w:t>8</w:t>
            </w:r>
          </w:p>
        </w:tc>
        <w:tc>
          <w:tcPr>
            <w:tcW w:w="208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书宋简体" w:eastAsia="方正书宋简体" w:cs="Times New Roman"/>
                <w:color w:val="auto"/>
                <w:kern w:val="0"/>
                <w:sz w:val="24"/>
                <w:szCs w:val="24"/>
              </w:rPr>
            </w:pPr>
          </w:p>
        </w:tc>
        <w:tc>
          <w:tcPr>
            <w:tcW w:w="75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sz w:val="24"/>
                <w:szCs w:val="24"/>
              </w:rPr>
            </w:pPr>
            <w:r>
              <w:rPr>
                <w:rFonts w:hint="eastAsia" w:ascii="方正书宋简体" w:eastAsia="方正书宋简体" w:cs="Times New Roman"/>
                <w:color w:val="auto"/>
                <w:kern w:val="0"/>
                <w:sz w:val="24"/>
                <w:szCs w:val="24"/>
              </w:rPr>
              <w:t>推动建材、化工、电力等重点行业碳排放率先达峰。</w:t>
            </w:r>
          </w:p>
        </w:tc>
        <w:tc>
          <w:tcPr>
            <w:tcW w:w="24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区经济信息委</w:t>
            </w:r>
          </w:p>
        </w:tc>
        <w:tc>
          <w:tcPr>
            <w:tcW w:w="22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区发展改革委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2"/>
              </w:rPr>
              <w:t>1</w:t>
            </w:r>
            <w:r>
              <w:rPr>
                <w:rFonts w:ascii="方正书宋简体" w:eastAsia="方正书宋简体" w:cs="Times New Roman"/>
                <w:color w:val="auto"/>
                <w:kern w:val="0"/>
                <w:sz w:val="22"/>
              </w:rPr>
              <w:t>9</w:t>
            </w:r>
          </w:p>
        </w:tc>
        <w:tc>
          <w:tcPr>
            <w:tcW w:w="208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推动重点领域（区域）二氧化碳排放达峰</w:t>
            </w:r>
          </w:p>
        </w:tc>
        <w:tc>
          <w:tcPr>
            <w:tcW w:w="75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sz w:val="24"/>
                <w:szCs w:val="24"/>
              </w:rPr>
            </w:pPr>
            <w:r>
              <w:rPr>
                <w:rFonts w:hint="eastAsia" w:ascii="方正书宋简体" w:eastAsia="方正书宋简体" w:cs="Times New Roman"/>
                <w:color w:val="auto"/>
                <w:kern w:val="0"/>
                <w:sz w:val="24"/>
                <w:szCs w:val="24"/>
              </w:rPr>
              <w:t>根据温室气体清单编制成果，识别全区“能源消耗”“工业生产过程”两类碳排放重点行业，差异化推进碳排放达峰行动。</w:t>
            </w:r>
          </w:p>
        </w:tc>
        <w:tc>
          <w:tcPr>
            <w:tcW w:w="24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区发展改革委、区生态环境局、区经济信息委、高新区管委会</w:t>
            </w:r>
          </w:p>
        </w:tc>
        <w:tc>
          <w:tcPr>
            <w:tcW w:w="22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r>
              <w:rPr>
                <w:rFonts w:ascii="方正书宋简体" w:eastAsia="方正书宋简体" w:cs="Times New Roman"/>
                <w:color w:val="auto"/>
                <w:kern w:val="0"/>
                <w:sz w:val="22"/>
              </w:rPr>
              <w:t>20</w:t>
            </w:r>
          </w:p>
        </w:tc>
        <w:tc>
          <w:tcPr>
            <w:tcW w:w="208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书宋简体" w:eastAsia="方正书宋简体" w:cs="Times New Roman"/>
                <w:color w:val="auto"/>
                <w:kern w:val="0"/>
                <w:sz w:val="24"/>
                <w:szCs w:val="24"/>
              </w:rPr>
            </w:pPr>
          </w:p>
        </w:tc>
        <w:tc>
          <w:tcPr>
            <w:tcW w:w="75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sz w:val="24"/>
                <w:szCs w:val="24"/>
              </w:rPr>
            </w:pPr>
            <w:r>
              <w:rPr>
                <w:rFonts w:hint="eastAsia" w:ascii="方正书宋简体" w:eastAsia="方正书宋简体" w:cs="Times New Roman"/>
                <w:color w:val="auto"/>
                <w:kern w:val="0"/>
                <w:sz w:val="24"/>
                <w:szCs w:val="24"/>
              </w:rPr>
              <w:t>鼓励重点用能行业率先达峰，到2025年，水泥产品单位熟料综合能耗水平降低3%以上，严格控制高碳排放产业新建、扩建产能。</w:t>
            </w:r>
          </w:p>
        </w:tc>
        <w:tc>
          <w:tcPr>
            <w:tcW w:w="24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区发展改革委、区经济信息委</w:t>
            </w:r>
          </w:p>
        </w:tc>
        <w:tc>
          <w:tcPr>
            <w:tcW w:w="22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2"/>
              </w:rPr>
              <w:t>2</w:t>
            </w:r>
            <w:r>
              <w:rPr>
                <w:rFonts w:ascii="方正书宋简体" w:eastAsia="方正书宋简体" w:cs="Times New Roman"/>
                <w:color w:val="auto"/>
                <w:kern w:val="0"/>
                <w:sz w:val="22"/>
              </w:rPr>
              <w:t>1</w:t>
            </w:r>
          </w:p>
        </w:tc>
        <w:tc>
          <w:tcPr>
            <w:tcW w:w="208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书宋简体" w:eastAsia="方正书宋简体" w:cs="Times New Roman"/>
                <w:color w:val="auto"/>
                <w:kern w:val="0"/>
                <w:sz w:val="24"/>
                <w:szCs w:val="24"/>
              </w:rPr>
            </w:pPr>
          </w:p>
        </w:tc>
        <w:tc>
          <w:tcPr>
            <w:tcW w:w="75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sz w:val="24"/>
                <w:szCs w:val="24"/>
              </w:rPr>
            </w:pPr>
            <w:r>
              <w:rPr>
                <w:rFonts w:hint="eastAsia" w:ascii="方正书宋简体" w:eastAsia="方正书宋简体" w:cs="Times New Roman"/>
                <w:color w:val="auto"/>
                <w:kern w:val="0"/>
                <w:sz w:val="24"/>
                <w:szCs w:val="24"/>
              </w:rPr>
              <w:t>鼓励、指导全区高碳排放重点企业编制二氧化碳排放达峰行动实施方案。</w:t>
            </w:r>
          </w:p>
        </w:tc>
        <w:tc>
          <w:tcPr>
            <w:tcW w:w="24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区发展改革委、区经济信息委、高新区管委会</w:t>
            </w:r>
          </w:p>
        </w:tc>
        <w:tc>
          <w:tcPr>
            <w:tcW w:w="22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2"/>
              </w:rPr>
              <w:t>22</w:t>
            </w:r>
          </w:p>
        </w:tc>
        <w:tc>
          <w:tcPr>
            <w:tcW w:w="208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书宋简体" w:eastAsia="方正书宋简体" w:cs="Times New Roman"/>
                <w:color w:val="auto"/>
                <w:kern w:val="0"/>
                <w:sz w:val="24"/>
                <w:szCs w:val="24"/>
              </w:rPr>
            </w:pPr>
          </w:p>
        </w:tc>
        <w:tc>
          <w:tcPr>
            <w:tcW w:w="75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sz w:val="24"/>
                <w:szCs w:val="24"/>
              </w:rPr>
            </w:pPr>
            <w:r>
              <w:rPr>
                <w:rFonts w:hint="eastAsia" w:ascii="方正书宋简体" w:eastAsia="方正书宋简体" w:cs="Times New Roman"/>
                <w:color w:val="auto"/>
                <w:kern w:val="0"/>
                <w:sz w:val="24"/>
                <w:szCs w:val="24"/>
              </w:rPr>
              <w:t>鼓励高新区推进低碳生产、开展低碳技术创新与应用、创新低碳管理、加强低碳基础设施建设。</w:t>
            </w:r>
          </w:p>
        </w:tc>
        <w:tc>
          <w:tcPr>
            <w:tcW w:w="24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高新区管委会</w:t>
            </w:r>
          </w:p>
        </w:tc>
        <w:tc>
          <w:tcPr>
            <w:tcW w:w="22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2"/>
              </w:rPr>
              <w:t>23</w:t>
            </w:r>
          </w:p>
        </w:tc>
        <w:tc>
          <w:tcPr>
            <w:tcW w:w="86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促进经济高质量低碳发展</w:t>
            </w:r>
          </w:p>
        </w:tc>
        <w:tc>
          <w:tcPr>
            <w:tcW w:w="12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推进经济体系数字化变革</w:t>
            </w:r>
          </w:p>
        </w:tc>
        <w:tc>
          <w:tcPr>
            <w:tcW w:w="75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sz w:val="24"/>
                <w:szCs w:val="24"/>
              </w:rPr>
            </w:pPr>
            <w:r>
              <w:rPr>
                <w:rFonts w:hint="eastAsia" w:ascii="方正书宋简体" w:eastAsia="方正书宋简体" w:cs="Times New Roman"/>
                <w:color w:val="auto"/>
                <w:kern w:val="0"/>
                <w:sz w:val="24"/>
                <w:szCs w:val="24"/>
              </w:rPr>
              <w:t>以供给侧结构性改革为主线，推动制造业数字产业化、产业数字化转型发展。主动融入国家数字经济创新发展试验区和国家新一代人工智能创新发展试验区建设，引入发展人工智能、大数据、云计算等数字产业，促进信息技术与传统工业、农业、建筑、交通、物流等行业与领域深度应用。筹建“重庆工业互联网学院”，打造一批数字化促进中心、工业互联网平台。到2025年，数字经济核心产业增加值占地区生产总值比重达到15%左右。</w:t>
            </w:r>
          </w:p>
        </w:tc>
        <w:tc>
          <w:tcPr>
            <w:tcW w:w="24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区发展改革委、区经济信息委、区大数据发展局</w:t>
            </w:r>
          </w:p>
        </w:tc>
        <w:tc>
          <w:tcPr>
            <w:tcW w:w="22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2"/>
              </w:rPr>
              <w:t>24</w:t>
            </w:r>
          </w:p>
        </w:tc>
        <w:tc>
          <w:tcPr>
            <w:tcW w:w="8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书宋简体" w:eastAsia="方正书宋简体" w:cs="Times New Roman"/>
                <w:color w:val="auto"/>
                <w:kern w:val="0"/>
                <w:sz w:val="24"/>
                <w:szCs w:val="24"/>
              </w:rPr>
            </w:pPr>
          </w:p>
        </w:tc>
        <w:tc>
          <w:tcPr>
            <w:tcW w:w="12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发展战略性新兴产业</w:t>
            </w:r>
          </w:p>
        </w:tc>
        <w:tc>
          <w:tcPr>
            <w:tcW w:w="75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sz w:val="24"/>
                <w:szCs w:val="24"/>
              </w:rPr>
            </w:pPr>
            <w:r>
              <w:rPr>
                <w:rFonts w:hint="eastAsia" w:ascii="方正书宋简体" w:eastAsia="方正书宋简体" w:cs="Times New Roman"/>
                <w:color w:val="auto"/>
                <w:kern w:val="0"/>
                <w:sz w:val="24"/>
                <w:szCs w:val="24"/>
              </w:rPr>
              <w:t>积极培育新一代信息技术、生物技术、新能源、新材料、高端装备、新能源汽车等战略性新兴产业。积极布局新能源汽车动力电池、智能家居和智能可穿戴设备锂电池等新能源产业以及先进金属及其合金材料、复合材料、高性能玻璃、绿色建材等新材料产业。加快布局物联网、大数据、云计算、5G、人工智能等战略性新兴产业。到2025年，力争战略性新兴产业总产值达到300亿级。</w:t>
            </w:r>
          </w:p>
        </w:tc>
        <w:tc>
          <w:tcPr>
            <w:tcW w:w="24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区发展改革委、区经济信息委</w:t>
            </w:r>
          </w:p>
        </w:tc>
        <w:tc>
          <w:tcPr>
            <w:tcW w:w="22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区大数据发展局、高新区管委会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trPr>
        <w:tc>
          <w:tcPr>
            <w:tcW w:w="6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2"/>
              </w:rPr>
              <w:t>25</w:t>
            </w:r>
          </w:p>
        </w:tc>
        <w:tc>
          <w:tcPr>
            <w:tcW w:w="8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书宋简体" w:eastAsia="方正书宋简体" w:cs="Times New Roman"/>
                <w:color w:val="auto"/>
                <w:kern w:val="0"/>
                <w:sz w:val="24"/>
                <w:szCs w:val="24"/>
              </w:rPr>
            </w:pPr>
          </w:p>
        </w:tc>
        <w:tc>
          <w:tcPr>
            <w:tcW w:w="1220" w:type="dxa"/>
            <w:vMerge w:val="restart"/>
            <w:tcBorders>
              <w:top w:val="single" w:color="auto" w:sz="4" w:space="0"/>
              <w:left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促进现代服务业提质增效</w:t>
            </w:r>
          </w:p>
        </w:tc>
        <w:tc>
          <w:tcPr>
            <w:tcW w:w="75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sz w:val="24"/>
                <w:szCs w:val="24"/>
              </w:rPr>
            </w:pPr>
            <w:r>
              <w:rPr>
                <w:rFonts w:hint="eastAsia" w:ascii="方正书宋简体" w:eastAsia="方正书宋简体" w:cs="Times New Roman"/>
                <w:color w:val="auto"/>
                <w:kern w:val="0"/>
                <w:sz w:val="24"/>
                <w:szCs w:val="24"/>
              </w:rPr>
              <w:t>推进现代服务业与先进制造业、现代农业深度融合发展。积极发展绿色商贸服务业、高端康养、现代物流、现代金融与专业服务等行业，不断完善吃住行游购娱功能配套。推动生活性服务业向高品质和多样化升级。</w:t>
            </w:r>
          </w:p>
        </w:tc>
        <w:tc>
          <w:tcPr>
            <w:tcW w:w="24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区商务委</w:t>
            </w:r>
          </w:p>
        </w:tc>
        <w:tc>
          <w:tcPr>
            <w:tcW w:w="22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区文化旅游委、区农业农村委、区经济信息委、区招商投资局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2"/>
              </w:rPr>
            </w:pPr>
            <w:r>
              <w:rPr>
                <w:rFonts w:hint="eastAsia" w:ascii="方正书宋简体" w:eastAsia="方正书宋简体" w:cs="Times New Roman"/>
                <w:color w:val="auto"/>
                <w:kern w:val="0"/>
                <w:sz w:val="22"/>
              </w:rPr>
              <w:t>26</w:t>
            </w:r>
          </w:p>
        </w:tc>
        <w:tc>
          <w:tcPr>
            <w:tcW w:w="8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书宋简体" w:eastAsia="方正书宋简体" w:cs="Times New Roman"/>
                <w:color w:val="auto"/>
                <w:kern w:val="0"/>
                <w:sz w:val="24"/>
                <w:szCs w:val="24"/>
              </w:rPr>
            </w:pPr>
          </w:p>
        </w:tc>
        <w:tc>
          <w:tcPr>
            <w:tcW w:w="1220" w:type="dxa"/>
            <w:vMerge w:val="continue"/>
            <w:tcBorders>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p>
        </w:tc>
        <w:tc>
          <w:tcPr>
            <w:tcW w:w="75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支持企业开展产品“碳标签”认证工作，鼓励商场引进具有“碳标签”的商品。</w:t>
            </w:r>
          </w:p>
        </w:tc>
        <w:tc>
          <w:tcPr>
            <w:tcW w:w="24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区商务委、区市场监管局</w:t>
            </w:r>
          </w:p>
        </w:tc>
        <w:tc>
          <w:tcPr>
            <w:tcW w:w="22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区生态环境局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2"/>
              </w:rPr>
              <w:t>27</w:t>
            </w:r>
          </w:p>
        </w:tc>
        <w:tc>
          <w:tcPr>
            <w:tcW w:w="8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书宋简体" w:eastAsia="方正书宋简体" w:cs="Times New Roman"/>
                <w:color w:val="auto"/>
                <w:kern w:val="0"/>
                <w:sz w:val="24"/>
                <w:szCs w:val="24"/>
              </w:rPr>
            </w:pPr>
          </w:p>
        </w:tc>
        <w:tc>
          <w:tcPr>
            <w:tcW w:w="12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做大做强节能环保产业</w:t>
            </w:r>
          </w:p>
        </w:tc>
        <w:tc>
          <w:tcPr>
            <w:tcW w:w="75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sz w:val="24"/>
                <w:szCs w:val="24"/>
              </w:rPr>
            </w:pPr>
            <w:r>
              <w:rPr>
                <w:rFonts w:hint="eastAsia" w:ascii="方正书宋简体" w:eastAsia="方正书宋简体" w:cs="Times New Roman"/>
                <w:color w:val="auto"/>
                <w:kern w:val="0"/>
                <w:sz w:val="24"/>
                <w:szCs w:val="24"/>
              </w:rPr>
              <w:t>落实各级扶持政策，培育壮大节能环保产业，努力将高新区打造成为创新生态典范区、产业融合先行示范区。开展工业园区清洁生产试点，鼓励企业开展节能环保和清洁生产技术改造。实施节能环保产业精准招商，将节能环保、清洁生产和清洁能源类项目作为招商重点，围绕环际低碳、龙浩节能、四通环保等纳入节能环保产业统计范畴的17家规模以上企业，拓展节能环保产业链，提升产业集中度。通过鼓励政策和试点形势，引进有资质的节能服务业企业，带动全区企业节能技术改革。</w:t>
            </w:r>
          </w:p>
        </w:tc>
        <w:tc>
          <w:tcPr>
            <w:tcW w:w="24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区经济信息委、区招商投资局</w:t>
            </w:r>
          </w:p>
        </w:tc>
        <w:tc>
          <w:tcPr>
            <w:tcW w:w="22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高新区管委会、区生态环境局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2"/>
              </w:rPr>
              <w:t>28</w:t>
            </w:r>
          </w:p>
        </w:tc>
        <w:tc>
          <w:tcPr>
            <w:tcW w:w="8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书宋简体" w:eastAsia="方正书宋简体" w:cs="Times New Roman"/>
                <w:color w:val="auto"/>
                <w:kern w:val="0"/>
                <w:sz w:val="24"/>
                <w:szCs w:val="24"/>
              </w:rPr>
            </w:pPr>
          </w:p>
        </w:tc>
        <w:tc>
          <w:tcPr>
            <w:tcW w:w="12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打造一批低碳发展重要平台载体</w:t>
            </w:r>
          </w:p>
        </w:tc>
        <w:tc>
          <w:tcPr>
            <w:tcW w:w="75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sz w:val="24"/>
                <w:szCs w:val="24"/>
              </w:rPr>
            </w:pPr>
            <w:r>
              <w:rPr>
                <w:rFonts w:hint="eastAsia" w:ascii="方正书宋简体" w:eastAsia="方正书宋简体" w:cs="Times New Roman"/>
                <w:color w:val="auto"/>
                <w:kern w:val="0"/>
                <w:sz w:val="24"/>
                <w:szCs w:val="24"/>
              </w:rPr>
              <w:t>积极推进广铜（广州、铜梁）“一带一路”高新技术产业合作区、两江新区铜梁协作产业园建设。加快融入环大学城创新生态圈，高标准建设高新区科创中心。支持建设科技创新平台，促进高新技术产业基地、科技成果转化基地建设。</w:t>
            </w:r>
          </w:p>
        </w:tc>
        <w:tc>
          <w:tcPr>
            <w:tcW w:w="24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高新区管委会、区科学技术局</w:t>
            </w:r>
          </w:p>
        </w:tc>
        <w:tc>
          <w:tcPr>
            <w:tcW w:w="22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2"/>
              </w:rPr>
              <w:t>29</w:t>
            </w:r>
          </w:p>
        </w:tc>
        <w:tc>
          <w:tcPr>
            <w:tcW w:w="86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以降碳引领能源结构调整</w:t>
            </w:r>
          </w:p>
        </w:tc>
        <w:tc>
          <w:tcPr>
            <w:tcW w:w="1220" w:type="dxa"/>
            <w:vMerge w:val="restart"/>
            <w:tcBorders>
              <w:top w:val="single" w:color="auto" w:sz="4" w:space="0"/>
              <w:left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大力发展非化石能源</w:t>
            </w:r>
          </w:p>
        </w:tc>
        <w:tc>
          <w:tcPr>
            <w:tcW w:w="75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sz w:val="24"/>
                <w:szCs w:val="24"/>
              </w:rPr>
            </w:pPr>
            <w:r>
              <w:rPr>
                <w:rFonts w:hint="eastAsia" w:ascii="方正书宋简体" w:eastAsia="方正书宋简体" w:cs="Times New Roman"/>
                <w:color w:val="auto"/>
                <w:kern w:val="0"/>
                <w:sz w:val="24"/>
                <w:szCs w:val="24"/>
              </w:rPr>
              <w:t>加强城乡电网改造和智能电网建设，加快建设智慧能源系统。</w:t>
            </w:r>
          </w:p>
        </w:tc>
        <w:tc>
          <w:tcPr>
            <w:tcW w:w="24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区发展改革委、国网重庆铜梁供电公司</w:t>
            </w:r>
          </w:p>
        </w:tc>
        <w:tc>
          <w:tcPr>
            <w:tcW w:w="22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2"/>
              </w:rPr>
              <w:t>30</w:t>
            </w:r>
          </w:p>
        </w:tc>
        <w:tc>
          <w:tcPr>
            <w:tcW w:w="8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书宋简体" w:eastAsia="方正书宋简体" w:cs="Times New Roman"/>
                <w:color w:val="auto"/>
                <w:kern w:val="0"/>
                <w:sz w:val="24"/>
                <w:szCs w:val="24"/>
              </w:rPr>
            </w:pPr>
          </w:p>
        </w:tc>
        <w:tc>
          <w:tcPr>
            <w:tcW w:w="1220" w:type="dxa"/>
            <w:vMerge w:val="continue"/>
            <w:tcBorders>
              <w:left w:val="single" w:color="auto" w:sz="4" w:space="0"/>
              <w:right w:val="single" w:color="auto" w:sz="4" w:space="0"/>
            </w:tcBorders>
            <w:vAlign w:val="center"/>
          </w:tcPr>
          <w:p>
            <w:pPr>
              <w:widowControl/>
              <w:jc w:val="left"/>
              <w:rPr>
                <w:rFonts w:ascii="方正书宋简体" w:eastAsia="方正书宋简体" w:cs="Times New Roman"/>
                <w:color w:val="auto"/>
                <w:kern w:val="0"/>
                <w:sz w:val="24"/>
                <w:szCs w:val="24"/>
              </w:rPr>
            </w:pPr>
          </w:p>
        </w:tc>
        <w:tc>
          <w:tcPr>
            <w:tcW w:w="75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sz w:val="24"/>
                <w:szCs w:val="24"/>
              </w:rPr>
            </w:pPr>
            <w:r>
              <w:rPr>
                <w:rFonts w:hint="eastAsia" w:ascii="方正书宋简体" w:eastAsia="方正书宋简体" w:cs="Times New Roman"/>
                <w:color w:val="auto"/>
                <w:kern w:val="0"/>
                <w:sz w:val="24"/>
                <w:szCs w:val="24"/>
              </w:rPr>
              <w:t>积极推进农村水电绿色发展，开展安居电站、高坑水电站绿色小水电创建任务。</w:t>
            </w:r>
          </w:p>
        </w:tc>
        <w:tc>
          <w:tcPr>
            <w:tcW w:w="24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区水利局</w:t>
            </w:r>
          </w:p>
        </w:tc>
        <w:tc>
          <w:tcPr>
            <w:tcW w:w="22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2"/>
              </w:rPr>
              <w:t>31</w:t>
            </w:r>
          </w:p>
        </w:tc>
        <w:tc>
          <w:tcPr>
            <w:tcW w:w="8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书宋简体" w:eastAsia="方正书宋简体" w:cs="Times New Roman"/>
                <w:color w:val="auto"/>
                <w:kern w:val="0"/>
                <w:sz w:val="24"/>
                <w:szCs w:val="24"/>
              </w:rPr>
            </w:pPr>
          </w:p>
        </w:tc>
        <w:tc>
          <w:tcPr>
            <w:tcW w:w="1220" w:type="dxa"/>
            <w:vMerge w:val="continue"/>
            <w:tcBorders>
              <w:left w:val="single" w:color="auto" w:sz="4" w:space="0"/>
              <w:right w:val="single" w:color="auto" w:sz="4" w:space="0"/>
            </w:tcBorders>
            <w:vAlign w:val="center"/>
          </w:tcPr>
          <w:p>
            <w:pPr>
              <w:widowControl/>
              <w:jc w:val="left"/>
              <w:rPr>
                <w:rFonts w:ascii="方正书宋简体" w:eastAsia="方正书宋简体" w:cs="Times New Roman"/>
                <w:color w:val="auto"/>
                <w:kern w:val="0"/>
                <w:sz w:val="24"/>
                <w:szCs w:val="24"/>
              </w:rPr>
            </w:pPr>
          </w:p>
        </w:tc>
        <w:tc>
          <w:tcPr>
            <w:tcW w:w="75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sz w:val="24"/>
                <w:szCs w:val="24"/>
              </w:rPr>
            </w:pPr>
            <w:r>
              <w:rPr>
                <w:rFonts w:hint="eastAsia" w:ascii="方正书宋简体" w:eastAsia="方正书宋简体" w:cs="Times New Roman"/>
                <w:color w:val="auto"/>
                <w:kern w:val="0"/>
                <w:sz w:val="24"/>
                <w:szCs w:val="24"/>
              </w:rPr>
              <w:t>继续推进分布式光伏发电应用，推动符合条件的乡村振兴示范片、旅游景区等区域采用太阳能照明设施。</w:t>
            </w:r>
          </w:p>
        </w:tc>
        <w:tc>
          <w:tcPr>
            <w:tcW w:w="24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区农业农村委、区文化旅游委</w:t>
            </w:r>
          </w:p>
        </w:tc>
        <w:tc>
          <w:tcPr>
            <w:tcW w:w="22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2"/>
              </w:rPr>
              <w:t>32</w:t>
            </w:r>
          </w:p>
        </w:tc>
        <w:tc>
          <w:tcPr>
            <w:tcW w:w="8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书宋简体" w:eastAsia="方正书宋简体" w:cs="Times New Roman"/>
                <w:color w:val="auto"/>
                <w:kern w:val="0"/>
                <w:sz w:val="24"/>
                <w:szCs w:val="24"/>
              </w:rPr>
            </w:pPr>
          </w:p>
        </w:tc>
        <w:tc>
          <w:tcPr>
            <w:tcW w:w="1220" w:type="dxa"/>
            <w:vMerge w:val="continue"/>
            <w:tcBorders>
              <w:left w:val="single" w:color="auto" w:sz="4" w:space="0"/>
              <w:right w:val="single" w:color="auto" w:sz="4" w:space="0"/>
            </w:tcBorders>
            <w:vAlign w:val="center"/>
          </w:tcPr>
          <w:p>
            <w:pPr>
              <w:widowControl/>
              <w:jc w:val="left"/>
              <w:rPr>
                <w:rFonts w:ascii="方正书宋简体" w:eastAsia="方正书宋简体" w:cs="Times New Roman"/>
                <w:color w:val="auto"/>
                <w:kern w:val="0"/>
                <w:sz w:val="24"/>
                <w:szCs w:val="24"/>
              </w:rPr>
            </w:pPr>
          </w:p>
        </w:tc>
        <w:tc>
          <w:tcPr>
            <w:tcW w:w="75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sz w:val="24"/>
                <w:szCs w:val="24"/>
              </w:rPr>
            </w:pPr>
            <w:r>
              <w:rPr>
                <w:rFonts w:hint="eastAsia" w:ascii="方正书宋简体" w:eastAsia="方正书宋简体" w:cs="Times New Roman"/>
                <w:color w:val="auto"/>
                <w:kern w:val="0"/>
                <w:sz w:val="24"/>
                <w:szCs w:val="24"/>
              </w:rPr>
              <w:t>稳定运行生活垃圾焚烧发电一期工程，建成炉渣场利用项目和餐厨垃圾处理项目。</w:t>
            </w:r>
          </w:p>
        </w:tc>
        <w:tc>
          <w:tcPr>
            <w:tcW w:w="24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区城市管理局</w:t>
            </w:r>
          </w:p>
        </w:tc>
        <w:tc>
          <w:tcPr>
            <w:tcW w:w="22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区规划自然资源局、区生态环境局、庆隆镇、石鱼镇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2"/>
              </w:rPr>
              <w:t>33</w:t>
            </w:r>
          </w:p>
        </w:tc>
        <w:tc>
          <w:tcPr>
            <w:tcW w:w="8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书宋简体" w:eastAsia="方正书宋简体" w:cs="Times New Roman"/>
                <w:color w:val="auto"/>
                <w:kern w:val="0"/>
                <w:sz w:val="24"/>
                <w:szCs w:val="24"/>
              </w:rPr>
            </w:pPr>
          </w:p>
        </w:tc>
        <w:tc>
          <w:tcPr>
            <w:tcW w:w="1220" w:type="dxa"/>
            <w:vMerge w:val="continue"/>
            <w:tcBorders>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p>
        </w:tc>
        <w:tc>
          <w:tcPr>
            <w:tcW w:w="75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sz w:val="24"/>
                <w:szCs w:val="24"/>
              </w:rPr>
            </w:pPr>
            <w:r>
              <w:rPr>
                <w:rFonts w:hint="eastAsia" w:ascii="方正书宋简体" w:eastAsia="方正书宋简体" w:cs="Times New Roman"/>
                <w:color w:val="auto"/>
                <w:kern w:val="0"/>
                <w:sz w:val="24"/>
                <w:szCs w:val="24"/>
              </w:rPr>
              <w:t>改造存在严重缺陷的变电设备和严重供电“瓶颈”的线路，推动川渝1000千伏特高压交流工程铜梁变电站及线路工程建设，提升电力在终端能源消费中的占比。</w:t>
            </w:r>
          </w:p>
        </w:tc>
        <w:tc>
          <w:tcPr>
            <w:tcW w:w="24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区发展改革委、区经济信息委</w:t>
            </w:r>
          </w:p>
        </w:tc>
        <w:tc>
          <w:tcPr>
            <w:tcW w:w="22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2"/>
              </w:rPr>
              <w:t>34</w:t>
            </w:r>
          </w:p>
        </w:tc>
        <w:tc>
          <w:tcPr>
            <w:tcW w:w="8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书宋简体" w:eastAsia="方正书宋简体" w:cs="Times New Roman"/>
                <w:color w:val="auto"/>
                <w:kern w:val="0"/>
                <w:sz w:val="24"/>
                <w:szCs w:val="24"/>
              </w:rPr>
            </w:pPr>
          </w:p>
        </w:tc>
        <w:tc>
          <w:tcPr>
            <w:tcW w:w="122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清洁高效使用化石能源</w:t>
            </w:r>
          </w:p>
        </w:tc>
        <w:tc>
          <w:tcPr>
            <w:tcW w:w="75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sz w:val="24"/>
                <w:szCs w:val="24"/>
              </w:rPr>
            </w:pPr>
            <w:r>
              <w:rPr>
                <w:rFonts w:hint="eastAsia" w:ascii="方正书宋简体" w:eastAsia="方正书宋简体" w:cs="Times New Roman"/>
                <w:color w:val="auto"/>
                <w:kern w:val="0"/>
                <w:sz w:val="24"/>
                <w:szCs w:val="24"/>
              </w:rPr>
              <w:t>强化煤炭总量控制，实行煤炭消费等量或减量替代。</w:t>
            </w:r>
          </w:p>
        </w:tc>
        <w:tc>
          <w:tcPr>
            <w:tcW w:w="24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区发展改革委、区经济信息委</w:t>
            </w:r>
          </w:p>
        </w:tc>
        <w:tc>
          <w:tcPr>
            <w:tcW w:w="22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2"/>
              </w:rPr>
              <w:t>35</w:t>
            </w:r>
          </w:p>
        </w:tc>
        <w:tc>
          <w:tcPr>
            <w:tcW w:w="8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书宋简体" w:eastAsia="方正书宋简体" w:cs="Times New Roman"/>
                <w:color w:val="auto"/>
                <w:kern w:val="0"/>
                <w:sz w:val="24"/>
                <w:szCs w:val="24"/>
              </w:rPr>
            </w:pPr>
          </w:p>
        </w:tc>
        <w:tc>
          <w:tcPr>
            <w:tcW w:w="12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书宋简体" w:eastAsia="方正书宋简体" w:cs="Times New Roman"/>
                <w:color w:val="auto"/>
                <w:kern w:val="0"/>
                <w:sz w:val="24"/>
                <w:szCs w:val="24"/>
              </w:rPr>
            </w:pPr>
          </w:p>
        </w:tc>
        <w:tc>
          <w:tcPr>
            <w:tcW w:w="75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sz w:val="24"/>
                <w:szCs w:val="24"/>
              </w:rPr>
            </w:pPr>
            <w:r>
              <w:rPr>
                <w:rFonts w:hint="eastAsia" w:ascii="方正书宋简体" w:eastAsia="方正书宋简体" w:cs="Times New Roman"/>
                <w:color w:val="auto"/>
                <w:kern w:val="0"/>
                <w:sz w:val="24"/>
                <w:szCs w:val="24"/>
              </w:rPr>
              <w:t>鼓励用煤大户使用洁净煤、高热值煤。</w:t>
            </w:r>
          </w:p>
        </w:tc>
        <w:tc>
          <w:tcPr>
            <w:tcW w:w="24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区生态环境局</w:t>
            </w:r>
          </w:p>
        </w:tc>
        <w:tc>
          <w:tcPr>
            <w:tcW w:w="22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2"/>
              </w:rPr>
              <w:t>36</w:t>
            </w:r>
          </w:p>
        </w:tc>
        <w:tc>
          <w:tcPr>
            <w:tcW w:w="8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书宋简体" w:eastAsia="方正书宋简体" w:cs="Times New Roman"/>
                <w:color w:val="auto"/>
                <w:kern w:val="0"/>
                <w:sz w:val="24"/>
                <w:szCs w:val="24"/>
              </w:rPr>
            </w:pPr>
          </w:p>
        </w:tc>
        <w:tc>
          <w:tcPr>
            <w:tcW w:w="12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书宋简体" w:eastAsia="方正书宋简体" w:cs="Times New Roman"/>
                <w:color w:val="auto"/>
                <w:kern w:val="0"/>
                <w:sz w:val="24"/>
                <w:szCs w:val="24"/>
              </w:rPr>
            </w:pPr>
          </w:p>
        </w:tc>
        <w:tc>
          <w:tcPr>
            <w:tcW w:w="75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sz w:val="24"/>
                <w:szCs w:val="24"/>
              </w:rPr>
            </w:pPr>
            <w:r>
              <w:rPr>
                <w:rFonts w:hint="eastAsia" w:ascii="方正书宋简体" w:eastAsia="方正书宋简体" w:cs="Times New Roman"/>
                <w:color w:val="auto"/>
                <w:kern w:val="0"/>
                <w:sz w:val="24"/>
                <w:szCs w:val="24"/>
              </w:rPr>
              <w:t>持续实施煤改气工程、燃气锅炉低氮燃烧改造。</w:t>
            </w:r>
          </w:p>
        </w:tc>
        <w:tc>
          <w:tcPr>
            <w:tcW w:w="24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区发展改革委、区经济信息委、区生态环境局</w:t>
            </w:r>
          </w:p>
        </w:tc>
        <w:tc>
          <w:tcPr>
            <w:tcW w:w="22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2"/>
              </w:rPr>
            </w:pPr>
            <w:r>
              <w:rPr>
                <w:rFonts w:hint="eastAsia" w:ascii="方正书宋简体" w:eastAsia="方正书宋简体" w:cs="Times New Roman"/>
                <w:color w:val="auto"/>
                <w:kern w:val="0"/>
                <w:sz w:val="22"/>
              </w:rPr>
              <w:t>37</w:t>
            </w:r>
          </w:p>
        </w:tc>
        <w:tc>
          <w:tcPr>
            <w:tcW w:w="8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书宋简体" w:eastAsia="方正书宋简体" w:cs="Times New Roman"/>
                <w:color w:val="auto"/>
                <w:kern w:val="0"/>
                <w:sz w:val="24"/>
                <w:szCs w:val="24"/>
              </w:rPr>
            </w:pPr>
          </w:p>
        </w:tc>
        <w:tc>
          <w:tcPr>
            <w:tcW w:w="12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书宋简体" w:eastAsia="方正书宋简体" w:cs="Times New Roman"/>
                <w:color w:val="auto"/>
                <w:kern w:val="0"/>
                <w:sz w:val="24"/>
                <w:szCs w:val="24"/>
              </w:rPr>
            </w:pPr>
          </w:p>
        </w:tc>
        <w:tc>
          <w:tcPr>
            <w:tcW w:w="75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提高天然气消费比重，推动铜梁天然气燃机发电项目建设。</w:t>
            </w:r>
          </w:p>
        </w:tc>
        <w:tc>
          <w:tcPr>
            <w:tcW w:w="24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区发展改革委</w:t>
            </w:r>
          </w:p>
        </w:tc>
        <w:tc>
          <w:tcPr>
            <w:tcW w:w="22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2"/>
              </w:rPr>
              <w:t>38</w:t>
            </w:r>
          </w:p>
        </w:tc>
        <w:tc>
          <w:tcPr>
            <w:tcW w:w="8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书宋简体" w:eastAsia="方正书宋简体" w:cs="Times New Roman"/>
                <w:color w:val="auto"/>
                <w:kern w:val="0"/>
                <w:sz w:val="24"/>
                <w:szCs w:val="24"/>
              </w:rPr>
            </w:pPr>
          </w:p>
        </w:tc>
        <w:tc>
          <w:tcPr>
            <w:tcW w:w="12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书宋简体" w:eastAsia="方正书宋简体" w:cs="Times New Roman"/>
                <w:color w:val="auto"/>
                <w:kern w:val="0"/>
                <w:sz w:val="24"/>
                <w:szCs w:val="24"/>
              </w:rPr>
            </w:pPr>
          </w:p>
        </w:tc>
        <w:tc>
          <w:tcPr>
            <w:tcW w:w="75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sz w:val="24"/>
                <w:szCs w:val="24"/>
              </w:rPr>
            </w:pPr>
            <w:r>
              <w:rPr>
                <w:rFonts w:hint="eastAsia" w:ascii="方正书宋简体" w:eastAsia="方正书宋简体" w:cs="Times New Roman"/>
                <w:color w:val="auto"/>
                <w:kern w:val="0"/>
                <w:sz w:val="24"/>
                <w:szCs w:val="24"/>
              </w:rPr>
              <w:t>利用新能源产业园分布式能源装备制造优势，推进辖区内医院、学校等单位发展天然气分布式能源。</w:t>
            </w:r>
          </w:p>
        </w:tc>
        <w:tc>
          <w:tcPr>
            <w:tcW w:w="24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区发展改革委</w:t>
            </w:r>
          </w:p>
        </w:tc>
        <w:tc>
          <w:tcPr>
            <w:tcW w:w="22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区教委、区卫生健康委、高新区管委会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2"/>
              </w:rPr>
              <w:t>39</w:t>
            </w:r>
          </w:p>
        </w:tc>
        <w:tc>
          <w:tcPr>
            <w:tcW w:w="8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书宋简体" w:eastAsia="方正书宋简体" w:cs="Times New Roman"/>
                <w:color w:val="auto"/>
                <w:kern w:val="0"/>
                <w:sz w:val="24"/>
                <w:szCs w:val="24"/>
              </w:rPr>
            </w:pPr>
          </w:p>
        </w:tc>
        <w:tc>
          <w:tcPr>
            <w:tcW w:w="12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书宋简体" w:eastAsia="方正书宋简体" w:cs="Times New Roman"/>
                <w:color w:val="auto"/>
                <w:kern w:val="0"/>
                <w:sz w:val="24"/>
                <w:szCs w:val="24"/>
              </w:rPr>
            </w:pPr>
          </w:p>
        </w:tc>
        <w:tc>
          <w:tcPr>
            <w:tcW w:w="75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sz w:val="24"/>
                <w:szCs w:val="24"/>
              </w:rPr>
            </w:pPr>
            <w:r>
              <w:rPr>
                <w:rFonts w:hint="eastAsia" w:ascii="方正书宋简体" w:eastAsia="方正书宋简体" w:cs="Times New Roman"/>
                <w:color w:val="auto"/>
                <w:kern w:val="0"/>
                <w:sz w:val="24"/>
                <w:szCs w:val="24"/>
              </w:rPr>
              <w:t>加快引进LNG加工企业，新建分布式能源项目等方式实现页岩气就地转化利用。结合高新区装备制造产业，支持鼓励相关企业建立页岩气研发中心、装备制造基地及生产配套基地，形成产研配套一体化产业模式。</w:t>
            </w:r>
          </w:p>
        </w:tc>
        <w:tc>
          <w:tcPr>
            <w:tcW w:w="24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区经济信息委、区招商投资局、区科学技术局</w:t>
            </w:r>
          </w:p>
        </w:tc>
        <w:tc>
          <w:tcPr>
            <w:tcW w:w="22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2"/>
              </w:rPr>
              <w:t>40</w:t>
            </w:r>
          </w:p>
        </w:tc>
        <w:tc>
          <w:tcPr>
            <w:tcW w:w="8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书宋简体" w:eastAsia="方正书宋简体" w:cs="Times New Roman"/>
                <w:color w:val="auto"/>
                <w:kern w:val="0"/>
                <w:sz w:val="24"/>
                <w:szCs w:val="24"/>
              </w:rPr>
            </w:pPr>
          </w:p>
        </w:tc>
        <w:tc>
          <w:tcPr>
            <w:tcW w:w="122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着力推进能效提升</w:t>
            </w:r>
          </w:p>
        </w:tc>
        <w:tc>
          <w:tcPr>
            <w:tcW w:w="75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sz w:val="24"/>
                <w:szCs w:val="24"/>
              </w:rPr>
            </w:pPr>
            <w:r>
              <w:rPr>
                <w:rFonts w:hint="eastAsia" w:ascii="方正书宋简体" w:eastAsia="方正书宋简体" w:cs="Times New Roman"/>
                <w:color w:val="auto"/>
                <w:kern w:val="0"/>
                <w:sz w:val="24"/>
                <w:szCs w:val="24"/>
              </w:rPr>
              <w:t>严格执行能源消费总量和强度“双控”制度，完成市级下达的任务目标。推进重点用能单位能源管理体系建设，开展能源管理体系建设效果评价，鼓励重点用能单位建设能源管理中心，数据纳入全区能源数据中心。</w:t>
            </w:r>
          </w:p>
        </w:tc>
        <w:tc>
          <w:tcPr>
            <w:tcW w:w="24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区发展改革委、区经济信息委、高新区管委会</w:t>
            </w:r>
          </w:p>
        </w:tc>
        <w:tc>
          <w:tcPr>
            <w:tcW w:w="22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国网重庆铜梁供电公司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r>
              <w:rPr>
                <w:rFonts w:ascii="方正书宋简体" w:eastAsia="方正书宋简体" w:cs="Times New Roman"/>
                <w:color w:val="auto"/>
                <w:kern w:val="0"/>
                <w:sz w:val="22"/>
              </w:rPr>
              <w:t>41</w:t>
            </w:r>
          </w:p>
        </w:tc>
        <w:tc>
          <w:tcPr>
            <w:tcW w:w="8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书宋简体" w:eastAsia="方正书宋简体" w:cs="Times New Roman"/>
                <w:color w:val="auto"/>
                <w:kern w:val="0"/>
                <w:sz w:val="24"/>
                <w:szCs w:val="24"/>
              </w:rPr>
            </w:pPr>
          </w:p>
        </w:tc>
        <w:tc>
          <w:tcPr>
            <w:tcW w:w="12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书宋简体" w:eastAsia="方正书宋简体" w:cs="Times New Roman"/>
                <w:color w:val="auto"/>
                <w:kern w:val="0"/>
                <w:sz w:val="24"/>
                <w:szCs w:val="24"/>
              </w:rPr>
            </w:pPr>
          </w:p>
        </w:tc>
        <w:tc>
          <w:tcPr>
            <w:tcW w:w="75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sz w:val="24"/>
                <w:szCs w:val="24"/>
              </w:rPr>
            </w:pPr>
            <w:r>
              <w:rPr>
                <w:rFonts w:hint="eastAsia" w:ascii="方正书宋简体" w:eastAsia="方正书宋简体" w:cs="Times New Roman"/>
                <w:color w:val="auto"/>
                <w:kern w:val="0"/>
                <w:sz w:val="24"/>
                <w:szCs w:val="24"/>
              </w:rPr>
              <w:t>推进铜梁能源数据中心建设与更新完善。</w:t>
            </w:r>
          </w:p>
        </w:tc>
        <w:tc>
          <w:tcPr>
            <w:tcW w:w="24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国网重庆铜梁供电公司</w:t>
            </w:r>
          </w:p>
        </w:tc>
        <w:tc>
          <w:tcPr>
            <w:tcW w:w="22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2"/>
              </w:rPr>
              <w:t>42</w:t>
            </w:r>
          </w:p>
        </w:tc>
        <w:tc>
          <w:tcPr>
            <w:tcW w:w="8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书宋简体" w:eastAsia="方正书宋简体" w:cs="Times New Roman"/>
                <w:color w:val="auto"/>
                <w:kern w:val="0"/>
                <w:sz w:val="24"/>
                <w:szCs w:val="24"/>
              </w:rPr>
            </w:pPr>
          </w:p>
        </w:tc>
        <w:tc>
          <w:tcPr>
            <w:tcW w:w="12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书宋简体" w:eastAsia="方正书宋简体" w:cs="Times New Roman"/>
                <w:color w:val="auto"/>
                <w:kern w:val="0"/>
                <w:sz w:val="24"/>
                <w:szCs w:val="24"/>
              </w:rPr>
            </w:pPr>
          </w:p>
        </w:tc>
        <w:tc>
          <w:tcPr>
            <w:tcW w:w="75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sz w:val="24"/>
                <w:szCs w:val="24"/>
              </w:rPr>
            </w:pPr>
            <w:r>
              <w:rPr>
                <w:rFonts w:hint="eastAsia" w:ascii="方正书宋简体" w:eastAsia="方正书宋简体" w:cs="Times New Roman"/>
                <w:color w:val="auto"/>
                <w:kern w:val="0"/>
                <w:sz w:val="24"/>
                <w:szCs w:val="24"/>
              </w:rPr>
              <w:t>鼓励企业参与年度重点行业市级能效领跑者遴选，推动高耗能企业加大节能改造力度。</w:t>
            </w:r>
          </w:p>
        </w:tc>
        <w:tc>
          <w:tcPr>
            <w:tcW w:w="24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区经济信息委</w:t>
            </w:r>
          </w:p>
        </w:tc>
        <w:tc>
          <w:tcPr>
            <w:tcW w:w="22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2"/>
              </w:rPr>
              <w:t>43</w:t>
            </w:r>
          </w:p>
        </w:tc>
        <w:tc>
          <w:tcPr>
            <w:tcW w:w="8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书宋简体" w:eastAsia="方正书宋简体" w:cs="Times New Roman"/>
                <w:color w:val="auto"/>
                <w:kern w:val="0"/>
                <w:sz w:val="24"/>
                <w:szCs w:val="24"/>
              </w:rPr>
            </w:pPr>
          </w:p>
        </w:tc>
        <w:tc>
          <w:tcPr>
            <w:tcW w:w="12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书宋简体" w:eastAsia="方正书宋简体" w:cs="Times New Roman"/>
                <w:color w:val="auto"/>
                <w:kern w:val="0"/>
                <w:sz w:val="24"/>
                <w:szCs w:val="24"/>
              </w:rPr>
            </w:pPr>
          </w:p>
        </w:tc>
        <w:tc>
          <w:tcPr>
            <w:tcW w:w="75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sz w:val="24"/>
                <w:szCs w:val="24"/>
              </w:rPr>
            </w:pPr>
            <w:r>
              <w:rPr>
                <w:rFonts w:hint="eastAsia" w:ascii="方正书宋简体" w:eastAsia="方正书宋简体" w:cs="Times New Roman"/>
                <w:color w:val="auto"/>
                <w:kern w:val="0"/>
                <w:sz w:val="24"/>
                <w:szCs w:val="24"/>
              </w:rPr>
              <w:t>鼓励有条件的企业通过物联网、大数据、云计算和先进过程控制技术实施能源数字化和精细化管理。</w:t>
            </w:r>
          </w:p>
        </w:tc>
        <w:tc>
          <w:tcPr>
            <w:tcW w:w="24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区大数据发展局</w:t>
            </w:r>
          </w:p>
        </w:tc>
        <w:tc>
          <w:tcPr>
            <w:tcW w:w="22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5026" w:type="dxa"/>
            <w:gridSpan w:val="6"/>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方正书宋简体" w:eastAsia="方正书宋简体" w:cs="Times New Roman"/>
                <w:b/>
                <w:bCs/>
                <w:color w:val="auto"/>
                <w:sz w:val="24"/>
                <w:szCs w:val="24"/>
              </w:rPr>
            </w:pPr>
            <w:r>
              <w:rPr>
                <w:rFonts w:hint="eastAsia" w:ascii="方正书宋简体" w:eastAsia="方正书宋简体" w:cs="Times New Roman"/>
                <w:b/>
                <w:bCs/>
                <w:color w:val="auto"/>
                <w:sz w:val="24"/>
                <w:szCs w:val="24"/>
              </w:rPr>
              <w:t>（三）控制重点领域温室气体排放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2"/>
              </w:rPr>
            </w:pPr>
            <w:r>
              <w:rPr>
                <w:rFonts w:ascii="方正书宋简体" w:eastAsia="方正书宋简体" w:cs="Times New Roman"/>
                <w:color w:val="auto"/>
                <w:kern w:val="0"/>
                <w:sz w:val="22"/>
              </w:rPr>
              <w:t>44</w:t>
            </w:r>
          </w:p>
        </w:tc>
        <w:tc>
          <w:tcPr>
            <w:tcW w:w="865" w:type="dxa"/>
            <w:vMerge w:val="restart"/>
            <w:tcBorders>
              <w:top w:val="single" w:color="auto" w:sz="4" w:space="0"/>
              <w:left w:val="single" w:color="auto" w:sz="4" w:space="0"/>
              <w:right w:val="single" w:color="auto" w:sz="4" w:space="0"/>
            </w:tcBorders>
            <w:vAlign w:val="center"/>
          </w:tcPr>
          <w:p>
            <w:pPr>
              <w:spacing w:line="300" w:lineRule="exact"/>
              <w:jc w:val="lef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加快工业低碳转型</w:t>
            </w:r>
          </w:p>
        </w:tc>
        <w:tc>
          <w:tcPr>
            <w:tcW w:w="1220" w:type="dxa"/>
            <w:vMerge w:val="restart"/>
            <w:tcBorders>
              <w:top w:val="single" w:color="auto" w:sz="4" w:space="0"/>
              <w:left w:val="single" w:color="auto" w:sz="4" w:space="0"/>
              <w:right w:val="single" w:color="auto" w:sz="4" w:space="0"/>
            </w:tcBorders>
            <w:vAlign w:val="center"/>
          </w:tcPr>
          <w:p>
            <w:pPr>
              <w:spacing w:line="300" w:lineRule="exact"/>
              <w:jc w:val="lef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抑制高碳排放行业过快增长</w:t>
            </w:r>
          </w:p>
        </w:tc>
        <w:tc>
          <w:tcPr>
            <w:tcW w:w="75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制定工业领域碳达峰行动方案。</w:t>
            </w:r>
          </w:p>
        </w:tc>
        <w:tc>
          <w:tcPr>
            <w:tcW w:w="24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区经济信息委</w:t>
            </w:r>
          </w:p>
        </w:tc>
        <w:tc>
          <w:tcPr>
            <w:tcW w:w="22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r>
              <w:rPr>
                <w:rFonts w:ascii="方正书宋简体" w:eastAsia="方正书宋简体" w:cs="Times New Roman"/>
                <w:color w:val="auto"/>
                <w:kern w:val="0"/>
                <w:sz w:val="22"/>
              </w:rPr>
              <w:t>45</w:t>
            </w:r>
          </w:p>
        </w:tc>
        <w:tc>
          <w:tcPr>
            <w:tcW w:w="865" w:type="dxa"/>
            <w:vMerge w:val="continue"/>
            <w:tcBorders>
              <w:left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p>
        </w:tc>
        <w:tc>
          <w:tcPr>
            <w:tcW w:w="1220" w:type="dxa"/>
            <w:vMerge w:val="continue"/>
            <w:tcBorders>
              <w:left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p>
        </w:tc>
        <w:tc>
          <w:tcPr>
            <w:tcW w:w="75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sz w:val="24"/>
                <w:szCs w:val="24"/>
              </w:rPr>
            </w:pPr>
            <w:r>
              <w:rPr>
                <w:rFonts w:hint="eastAsia" w:ascii="方正书宋简体" w:eastAsia="方正书宋简体" w:cs="Times New Roman"/>
                <w:color w:val="auto"/>
                <w:kern w:val="0"/>
                <w:sz w:val="24"/>
                <w:szCs w:val="24"/>
              </w:rPr>
              <w:t>严格落实“三线一单”，坚决遏制“两高”和产能过剩项目建设，限制高碳排放行业规模加快增长。发挥环境影响评价制度源头防控作用，在产业园区规划环境影响评价中规范开展碳排放影响评价，电力、建材、化工等重点行业开展碳排放环境影响评价。</w:t>
            </w:r>
          </w:p>
        </w:tc>
        <w:tc>
          <w:tcPr>
            <w:tcW w:w="24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区生态环境局</w:t>
            </w:r>
          </w:p>
        </w:tc>
        <w:tc>
          <w:tcPr>
            <w:tcW w:w="22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区发展改革委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2"/>
              </w:rPr>
            </w:pPr>
            <w:r>
              <w:rPr>
                <w:rFonts w:hint="eastAsia" w:ascii="方正书宋简体" w:eastAsia="方正书宋简体" w:cs="Times New Roman"/>
                <w:color w:val="auto"/>
                <w:kern w:val="0"/>
                <w:sz w:val="22"/>
              </w:rPr>
              <w:t>4</w:t>
            </w:r>
            <w:r>
              <w:rPr>
                <w:rFonts w:ascii="方正书宋简体" w:eastAsia="方正书宋简体" w:cs="Times New Roman"/>
                <w:color w:val="auto"/>
                <w:kern w:val="0"/>
                <w:sz w:val="22"/>
              </w:rPr>
              <w:t>6</w:t>
            </w:r>
          </w:p>
        </w:tc>
        <w:tc>
          <w:tcPr>
            <w:tcW w:w="865" w:type="dxa"/>
            <w:vMerge w:val="continue"/>
            <w:tcBorders>
              <w:left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p>
        </w:tc>
        <w:tc>
          <w:tcPr>
            <w:tcW w:w="1220" w:type="dxa"/>
            <w:vMerge w:val="continue"/>
            <w:tcBorders>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p>
        </w:tc>
        <w:tc>
          <w:tcPr>
            <w:tcW w:w="75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持续开展利用综合标准依法依规淘汰落后产能工作。</w:t>
            </w:r>
          </w:p>
        </w:tc>
        <w:tc>
          <w:tcPr>
            <w:tcW w:w="24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区经济信息委、区应急局、区发展改革委、区生态环境局</w:t>
            </w:r>
          </w:p>
        </w:tc>
        <w:tc>
          <w:tcPr>
            <w:tcW w:w="22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r>
              <w:rPr>
                <w:rFonts w:ascii="方正书宋简体" w:eastAsia="方正书宋简体" w:cs="Times New Roman"/>
                <w:color w:val="auto"/>
                <w:kern w:val="0"/>
                <w:sz w:val="22"/>
              </w:rPr>
              <w:t>47</w:t>
            </w:r>
          </w:p>
        </w:tc>
        <w:tc>
          <w:tcPr>
            <w:tcW w:w="865" w:type="dxa"/>
            <w:vMerge w:val="continue"/>
            <w:tcBorders>
              <w:left w:val="single" w:color="auto" w:sz="4" w:space="0"/>
              <w:right w:val="single" w:color="auto" w:sz="4" w:space="0"/>
            </w:tcBorders>
            <w:vAlign w:val="center"/>
          </w:tcPr>
          <w:p>
            <w:pPr>
              <w:widowControl/>
              <w:jc w:val="left"/>
              <w:rPr>
                <w:rFonts w:ascii="方正书宋简体" w:eastAsia="方正书宋简体" w:cs="Times New Roman"/>
                <w:color w:val="auto"/>
                <w:kern w:val="0"/>
                <w:sz w:val="24"/>
                <w:szCs w:val="24"/>
              </w:rPr>
            </w:pPr>
          </w:p>
        </w:tc>
        <w:tc>
          <w:tcPr>
            <w:tcW w:w="1220" w:type="dxa"/>
            <w:vMerge w:val="restart"/>
            <w:tcBorders>
              <w:top w:val="single" w:color="auto" w:sz="4" w:space="0"/>
              <w:left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推动传统产业低碳发展</w:t>
            </w:r>
          </w:p>
        </w:tc>
        <w:tc>
          <w:tcPr>
            <w:tcW w:w="75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sz w:val="24"/>
                <w:szCs w:val="24"/>
              </w:rPr>
            </w:pPr>
            <w:r>
              <w:rPr>
                <w:rFonts w:hint="eastAsia" w:ascii="方正书宋简体" w:eastAsia="方正书宋简体" w:cs="Times New Roman"/>
                <w:color w:val="auto"/>
                <w:kern w:val="0"/>
                <w:sz w:val="24"/>
                <w:szCs w:val="24"/>
              </w:rPr>
              <w:t>积极培育战略性新兴产业，利用全区数字经济发展契机，支持传统行业龙头企业开展数字化、网络化、智能化创新与改造，打造一批具有先进水平的智能工厂、数字化车间。鼓励企业积极开展低碳技术的开发和示范工作。</w:t>
            </w:r>
          </w:p>
        </w:tc>
        <w:tc>
          <w:tcPr>
            <w:tcW w:w="24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区发展改革委、区经济信息委</w:t>
            </w:r>
          </w:p>
        </w:tc>
        <w:tc>
          <w:tcPr>
            <w:tcW w:w="22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高新区管委会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2"/>
              </w:rPr>
            </w:pPr>
            <w:r>
              <w:rPr>
                <w:rFonts w:hint="eastAsia" w:ascii="方正书宋简体" w:eastAsia="方正书宋简体" w:cs="Times New Roman"/>
                <w:color w:val="auto"/>
                <w:kern w:val="0"/>
                <w:sz w:val="22"/>
              </w:rPr>
              <w:t>4</w:t>
            </w:r>
            <w:r>
              <w:rPr>
                <w:rFonts w:ascii="方正书宋简体" w:eastAsia="方正书宋简体" w:cs="Times New Roman"/>
                <w:color w:val="auto"/>
                <w:kern w:val="0"/>
                <w:sz w:val="22"/>
              </w:rPr>
              <w:t>8</w:t>
            </w:r>
          </w:p>
        </w:tc>
        <w:tc>
          <w:tcPr>
            <w:tcW w:w="865" w:type="dxa"/>
            <w:vMerge w:val="continue"/>
            <w:tcBorders>
              <w:left w:val="single" w:color="auto" w:sz="4" w:space="0"/>
              <w:right w:val="single" w:color="auto" w:sz="4" w:space="0"/>
            </w:tcBorders>
            <w:vAlign w:val="center"/>
          </w:tcPr>
          <w:p>
            <w:pPr>
              <w:widowControl/>
              <w:jc w:val="left"/>
              <w:rPr>
                <w:rFonts w:ascii="方正书宋简体" w:eastAsia="方正书宋简体" w:cs="Times New Roman"/>
                <w:color w:val="auto"/>
                <w:kern w:val="0"/>
                <w:sz w:val="24"/>
                <w:szCs w:val="24"/>
              </w:rPr>
            </w:pPr>
          </w:p>
        </w:tc>
        <w:tc>
          <w:tcPr>
            <w:tcW w:w="1220" w:type="dxa"/>
            <w:vMerge w:val="continue"/>
            <w:tcBorders>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p>
        </w:tc>
        <w:tc>
          <w:tcPr>
            <w:tcW w:w="75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利用国家和行业节能低碳标准、重点技术目录等政策，加强电力、建材、化工等重点行业能效管理，水泥等主要产品单位能耗应当优于国家能耗限额标准。</w:t>
            </w:r>
          </w:p>
        </w:tc>
        <w:tc>
          <w:tcPr>
            <w:tcW w:w="24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区经济信息委</w:t>
            </w:r>
          </w:p>
        </w:tc>
        <w:tc>
          <w:tcPr>
            <w:tcW w:w="22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高新区管委会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2"/>
              </w:rPr>
              <w:t>4</w:t>
            </w:r>
            <w:r>
              <w:rPr>
                <w:rFonts w:ascii="方正书宋简体" w:eastAsia="方正书宋简体" w:cs="Times New Roman"/>
                <w:color w:val="auto"/>
                <w:kern w:val="0"/>
                <w:sz w:val="22"/>
              </w:rPr>
              <w:t>9</w:t>
            </w:r>
          </w:p>
        </w:tc>
        <w:tc>
          <w:tcPr>
            <w:tcW w:w="865" w:type="dxa"/>
            <w:vMerge w:val="continue"/>
            <w:tcBorders>
              <w:left w:val="single" w:color="auto" w:sz="4" w:space="0"/>
              <w:right w:val="single" w:color="auto" w:sz="4" w:space="0"/>
            </w:tcBorders>
            <w:vAlign w:val="center"/>
          </w:tcPr>
          <w:p>
            <w:pPr>
              <w:widowControl/>
              <w:jc w:val="left"/>
              <w:rPr>
                <w:rFonts w:ascii="方正书宋简体" w:eastAsia="方正书宋简体" w:cs="Times New Roman"/>
                <w:color w:val="auto"/>
                <w:kern w:val="0"/>
                <w:sz w:val="24"/>
                <w:szCs w:val="24"/>
              </w:rPr>
            </w:pPr>
          </w:p>
        </w:tc>
        <w:tc>
          <w:tcPr>
            <w:tcW w:w="122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推进工业绿色循环发展</w:t>
            </w:r>
          </w:p>
        </w:tc>
        <w:tc>
          <w:tcPr>
            <w:tcW w:w="75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sz w:val="24"/>
                <w:szCs w:val="24"/>
              </w:rPr>
            </w:pPr>
            <w:r>
              <w:rPr>
                <w:rFonts w:hint="eastAsia" w:ascii="方正书宋简体" w:eastAsia="方正书宋简体" w:cs="Times New Roman"/>
                <w:color w:val="auto"/>
                <w:kern w:val="0"/>
                <w:sz w:val="24"/>
                <w:szCs w:val="24"/>
              </w:rPr>
              <w:t>围绕高新区重点支撑项目及产业链，以装备制造、电子信息、新材料、生物医疗为重点，构建循环首尾相连、环环相扣的闭合循环产业链。</w:t>
            </w:r>
          </w:p>
        </w:tc>
        <w:tc>
          <w:tcPr>
            <w:tcW w:w="24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高新区管委会</w:t>
            </w:r>
          </w:p>
        </w:tc>
        <w:tc>
          <w:tcPr>
            <w:tcW w:w="22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区经济信息委、区发展改革委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r>
              <w:rPr>
                <w:rFonts w:ascii="方正书宋简体" w:eastAsia="方正书宋简体" w:cs="Times New Roman"/>
                <w:color w:val="auto"/>
                <w:kern w:val="0"/>
                <w:sz w:val="22"/>
              </w:rPr>
              <w:t>50</w:t>
            </w:r>
          </w:p>
        </w:tc>
        <w:tc>
          <w:tcPr>
            <w:tcW w:w="865" w:type="dxa"/>
            <w:vMerge w:val="continue"/>
            <w:tcBorders>
              <w:left w:val="single" w:color="auto" w:sz="4" w:space="0"/>
              <w:right w:val="single" w:color="auto" w:sz="4" w:space="0"/>
            </w:tcBorders>
            <w:vAlign w:val="center"/>
          </w:tcPr>
          <w:p>
            <w:pPr>
              <w:widowControl/>
              <w:jc w:val="left"/>
              <w:rPr>
                <w:rFonts w:ascii="方正书宋简体" w:eastAsia="方正书宋简体" w:cs="Times New Roman"/>
                <w:color w:val="auto"/>
                <w:kern w:val="0"/>
                <w:sz w:val="24"/>
                <w:szCs w:val="24"/>
              </w:rPr>
            </w:pPr>
          </w:p>
        </w:tc>
        <w:tc>
          <w:tcPr>
            <w:tcW w:w="12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书宋简体" w:eastAsia="方正书宋简体" w:cs="Times New Roman"/>
                <w:color w:val="auto"/>
                <w:kern w:val="0"/>
                <w:sz w:val="24"/>
                <w:szCs w:val="24"/>
              </w:rPr>
            </w:pPr>
          </w:p>
        </w:tc>
        <w:tc>
          <w:tcPr>
            <w:tcW w:w="75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sz w:val="24"/>
                <w:szCs w:val="24"/>
              </w:rPr>
            </w:pPr>
            <w:r>
              <w:rPr>
                <w:rFonts w:hint="eastAsia" w:ascii="方正书宋简体" w:eastAsia="方正书宋简体" w:cs="Times New Roman"/>
                <w:color w:val="auto"/>
                <w:kern w:val="0"/>
                <w:sz w:val="24"/>
                <w:szCs w:val="24"/>
              </w:rPr>
              <w:t>鼓励企业建立以资源节约、环境友好为导向的全过程生产体系，推动上下游企业共同提升资源利用率，构建循环产业体系，促进工业产品实现低碳或零碳。</w:t>
            </w:r>
          </w:p>
        </w:tc>
        <w:tc>
          <w:tcPr>
            <w:tcW w:w="24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高新区管委会</w:t>
            </w:r>
          </w:p>
        </w:tc>
        <w:tc>
          <w:tcPr>
            <w:tcW w:w="22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区经济信息委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2"/>
              </w:rPr>
            </w:pPr>
            <w:r>
              <w:rPr>
                <w:rFonts w:ascii="方正书宋简体" w:eastAsia="方正书宋简体" w:cs="Times New Roman"/>
                <w:color w:val="auto"/>
                <w:kern w:val="0"/>
                <w:sz w:val="22"/>
              </w:rPr>
              <w:t>51</w:t>
            </w:r>
          </w:p>
        </w:tc>
        <w:tc>
          <w:tcPr>
            <w:tcW w:w="865" w:type="dxa"/>
            <w:vMerge w:val="continue"/>
            <w:tcBorders>
              <w:left w:val="single" w:color="auto" w:sz="4" w:space="0"/>
              <w:right w:val="single" w:color="auto" w:sz="4" w:space="0"/>
            </w:tcBorders>
            <w:vAlign w:val="center"/>
          </w:tcPr>
          <w:p>
            <w:pPr>
              <w:widowControl/>
              <w:jc w:val="left"/>
              <w:rPr>
                <w:rFonts w:ascii="方正书宋简体" w:eastAsia="方正书宋简体" w:cs="Times New Roman"/>
                <w:color w:val="auto"/>
                <w:kern w:val="0"/>
                <w:sz w:val="24"/>
                <w:szCs w:val="24"/>
              </w:rPr>
            </w:pPr>
          </w:p>
        </w:tc>
        <w:tc>
          <w:tcPr>
            <w:tcW w:w="12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书宋简体" w:eastAsia="方正书宋简体" w:cs="Times New Roman"/>
                <w:color w:val="auto"/>
                <w:kern w:val="0"/>
                <w:sz w:val="24"/>
                <w:szCs w:val="24"/>
              </w:rPr>
            </w:pPr>
          </w:p>
        </w:tc>
        <w:tc>
          <w:tcPr>
            <w:tcW w:w="75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全面开展清洁生产审核和评价认证，推动建材、化工等传统产业清洁生产改造、能源利用高效低碳化改造。</w:t>
            </w:r>
          </w:p>
        </w:tc>
        <w:tc>
          <w:tcPr>
            <w:tcW w:w="24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区经济信息委、区生态环境局</w:t>
            </w:r>
          </w:p>
        </w:tc>
        <w:tc>
          <w:tcPr>
            <w:tcW w:w="22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高新区管委会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2"/>
              </w:rPr>
              <w:t>5</w:t>
            </w:r>
            <w:r>
              <w:rPr>
                <w:rFonts w:ascii="方正书宋简体" w:eastAsia="方正书宋简体" w:cs="Times New Roman"/>
                <w:color w:val="auto"/>
                <w:kern w:val="0"/>
                <w:sz w:val="22"/>
              </w:rPr>
              <w:t>2</w:t>
            </w:r>
          </w:p>
        </w:tc>
        <w:tc>
          <w:tcPr>
            <w:tcW w:w="865" w:type="dxa"/>
            <w:vMerge w:val="continue"/>
            <w:tcBorders>
              <w:left w:val="single" w:color="auto" w:sz="4" w:space="0"/>
              <w:bottom w:val="single" w:color="auto" w:sz="4" w:space="0"/>
              <w:right w:val="single" w:color="auto" w:sz="4" w:space="0"/>
            </w:tcBorders>
            <w:vAlign w:val="center"/>
          </w:tcPr>
          <w:p>
            <w:pPr>
              <w:widowControl/>
              <w:jc w:val="left"/>
              <w:rPr>
                <w:rFonts w:ascii="方正书宋简体" w:eastAsia="方正书宋简体" w:cs="Times New Roman"/>
                <w:color w:val="auto"/>
                <w:kern w:val="0"/>
                <w:sz w:val="24"/>
                <w:szCs w:val="24"/>
              </w:rPr>
            </w:pPr>
          </w:p>
        </w:tc>
        <w:tc>
          <w:tcPr>
            <w:tcW w:w="12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书宋简体" w:eastAsia="方正书宋简体" w:cs="Times New Roman"/>
                <w:color w:val="auto"/>
                <w:kern w:val="0"/>
                <w:sz w:val="24"/>
                <w:szCs w:val="24"/>
              </w:rPr>
            </w:pPr>
          </w:p>
        </w:tc>
        <w:tc>
          <w:tcPr>
            <w:tcW w:w="75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sz w:val="24"/>
                <w:szCs w:val="24"/>
              </w:rPr>
            </w:pPr>
            <w:r>
              <w:rPr>
                <w:rFonts w:hint="eastAsia" w:ascii="方正书宋简体" w:eastAsia="方正书宋简体" w:cs="Times New Roman"/>
                <w:color w:val="auto"/>
                <w:kern w:val="0"/>
                <w:sz w:val="24"/>
                <w:szCs w:val="24"/>
              </w:rPr>
              <w:t>支持企业开展绿色工厂创建，深化国家级循环化改造试点园区建设工作。</w:t>
            </w:r>
          </w:p>
        </w:tc>
        <w:tc>
          <w:tcPr>
            <w:tcW w:w="24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高新区管委会</w:t>
            </w:r>
          </w:p>
        </w:tc>
        <w:tc>
          <w:tcPr>
            <w:tcW w:w="22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区经济信息委、区生态环境局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2"/>
              </w:rPr>
              <w:t>5</w:t>
            </w:r>
            <w:r>
              <w:rPr>
                <w:rFonts w:ascii="方正书宋简体" w:eastAsia="方正书宋简体" w:cs="Times New Roman"/>
                <w:color w:val="auto"/>
                <w:kern w:val="0"/>
                <w:sz w:val="22"/>
              </w:rPr>
              <w:t>3</w:t>
            </w:r>
          </w:p>
        </w:tc>
        <w:tc>
          <w:tcPr>
            <w:tcW w:w="86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强化建筑低碳管理</w:t>
            </w:r>
          </w:p>
        </w:tc>
        <w:tc>
          <w:tcPr>
            <w:tcW w:w="12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全面实施新建建筑绿色设计</w:t>
            </w:r>
          </w:p>
        </w:tc>
        <w:tc>
          <w:tcPr>
            <w:tcW w:w="75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sz w:val="24"/>
                <w:szCs w:val="24"/>
              </w:rPr>
            </w:pPr>
            <w:r>
              <w:rPr>
                <w:rFonts w:hint="eastAsia" w:ascii="方正书宋简体" w:eastAsia="方正书宋简体" w:cs="Times New Roman"/>
                <w:color w:val="auto"/>
                <w:kern w:val="0"/>
                <w:sz w:val="24"/>
                <w:szCs w:val="24"/>
              </w:rPr>
              <w:t>严格落实绿色建筑相关标准，推动星级绿色建筑、绿色生态 住宅小区建设，到2</w:t>
            </w:r>
            <w:r>
              <w:rPr>
                <w:rFonts w:ascii="方正书宋简体" w:eastAsia="方正书宋简体" w:cs="Times New Roman"/>
                <w:color w:val="auto"/>
                <w:kern w:val="0"/>
                <w:sz w:val="24"/>
                <w:szCs w:val="24"/>
              </w:rPr>
              <w:t>025</w:t>
            </w:r>
            <w:r>
              <w:rPr>
                <w:rFonts w:hint="eastAsia" w:ascii="方正书宋简体" w:eastAsia="方正书宋简体" w:cs="Times New Roman"/>
                <w:color w:val="auto"/>
                <w:kern w:val="0"/>
                <w:sz w:val="24"/>
                <w:szCs w:val="24"/>
              </w:rPr>
              <w:t>年，城镇绿色建筑占新建建筑比重达1</w:t>
            </w:r>
            <w:r>
              <w:rPr>
                <w:rFonts w:ascii="方正书宋简体" w:eastAsia="方正书宋简体" w:cs="Times New Roman"/>
                <w:color w:val="auto"/>
                <w:kern w:val="0"/>
                <w:sz w:val="24"/>
                <w:szCs w:val="24"/>
              </w:rPr>
              <w:t>00</w:t>
            </w:r>
            <w:r>
              <w:rPr>
                <w:rFonts w:hint="eastAsia" w:ascii="方正书宋简体" w:eastAsia="方正书宋简体" w:cs="Times New Roman"/>
                <w:color w:val="auto"/>
                <w:kern w:val="0"/>
                <w:sz w:val="24"/>
                <w:szCs w:val="24"/>
              </w:rPr>
              <w:t>%。鼓励政府投资公益性建筑、大型公共建筑、核心商圈以及其他具备条件的建筑提高绿色等级。积极发展装配式建筑，大力发展装配式混凝土结构、钢结构及现代木结构建筑，因地制宜积极引导农村居民采用轻钢结构建造装配式住宅。优化淮远新区绿色建筑星级空间布局、制定绿色低碳关键技术指标，打造高质量绿色低碳示范区。</w:t>
            </w:r>
          </w:p>
        </w:tc>
        <w:tc>
          <w:tcPr>
            <w:tcW w:w="24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区住房城乡建委</w:t>
            </w:r>
          </w:p>
        </w:tc>
        <w:tc>
          <w:tcPr>
            <w:tcW w:w="22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淮远新区管委会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2"/>
              </w:rPr>
              <w:t>5</w:t>
            </w:r>
            <w:r>
              <w:rPr>
                <w:rFonts w:ascii="方正书宋简体" w:eastAsia="方正书宋简体" w:cs="Times New Roman"/>
                <w:color w:val="auto"/>
                <w:kern w:val="0"/>
                <w:sz w:val="22"/>
              </w:rPr>
              <w:t>4</w:t>
            </w:r>
          </w:p>
        </w:tc>
        <w:tc>
          <w:tcPr>
            <w:tcW w:w="8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书宋简体" w:eastAsia="方正书宋简体" w:cs="Times New Roman"/>
                <w:color w:val="auto"/>
                <w:kern w:val="0"/>
                <w:sz w:val="24"/>
                <w:szCs w:val="24"/>
              </w:rPr>
            </w:pPr>
          </w:p>
        </w:tc>
        <w:tc>
          <w:tcPr>
            <w:tcW w:w="12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着力推进既有建筑节能改造</w:t>
            </w:r>
          </w:p>
        </w:tc>
        <w:tc>
          <w:tcPr>
            <w:tcW w:w="75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sz w:val="24"/>
                <w:szCs w:val="24"/>
              </w:rPr>
            </w:pPr>
            <w:r>
              <w:rPr>
                <w:rFonts w:hint="eastAsia" w:ascii="方正书宋简体" w:eastAsia="方正书宋简体" w:cs="Times New Roman"/>
                <w:color w:val="auto"/>
                <w:kern w:val="0"/>
                <w:sz w:val="24"/>
                <w:szCs w:val="24"/>
              </w:rPr>
              <w:t>以商场、医院、学校、酒店和机关办公建筑为重点，推动既有公共建筑由单一型的节能改造向综合型的绿色化改造转变，力争在“十四五”期间完成既有公共建筑节能改造面积2万平方米。结合老旧小区改造、棚户区改造工作，开展外墙保温等节能改造，推动节能改造与小区公共环境整治、基础设施和建筑使用功能提升改造统筹推进的节能宜居综合改造模式。</w:t>
            </w:r>
          </w:p>
        </w:tc>
        <w:tc>
          <w:tcPr>
            <w:tcW w:w="24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区住房城乡建委</w:t>
            </w:r>
          </w:p>
        </w:tc>
        <w:tc>
          <w:tcPr>
            <w:tcW w:w="22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2"/>
              </w:rPr>
              <w:t>5</w:t>
            </w:r>
            <w:r>
              <w:rPr>
                <w:rFonts w:ascii="方正书宋简体" w:eastAsia="方正书宋简体" w:cs="Times New Roman"/>
                <w:color w:val="auto"/>
                <w:kern w:val="0"/>
                <w:sz w:val="22"/>
              </w:rPr>
              <w:t>5</w:t>
            </w:r>
          </w:p>
        </w:tc>
        <w:tc>
          <w:tcPr>
            <w:tcW w:w="8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书宋简体" w:eastAsia="方正书宋简体" w:cs="Times New Roman"/>
                <w:color w:val="auto"/>
                <w:kern w:val="0"/>
                <w:sz w:val="24"/>
                <w:szCs w:val="24"/>
              </w:rPr>
            </w:pPr>
          </w:p>
        </w:tc>
        <w:tc>
          <w:tcPr>
            <w:tcW w:w="12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强化建筑领域低碳管理。</w:t>
            </w:r>
          </w:p>
        </w:tc>
        <w:tc>
          <w:tcPr>
            <w:tcW w:w="75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sz w:val="24"/>
                <w:szCs w:val="24"/>
              </w:rPr>
            </w:pPr>
            <w:r>
              <w:rPr>
                <w:rFonts w:hint="eastAsia" w:ascii="方正书宋简体" w:eastAsia="方正书宋简体" w:cs="Times New Roman"/>
                <w:color w:val="auto"/>
                <w:kern w:val="0"/>
                <w:sz w:val="24"/>
                <w:szCs w:val="24"/>
              </w:rPr>
              <w:t>加强可再生能源、分布式能源在建筑领域的应用。持续推动合同能源管理模式，推动机关办公建筑和大型公共建筑能耗监测系统建设和运行的监督管理。加大绿色建材应用力度，推广绿色建材，持续提升新建建筑中绿色建材应用比例。持续开展绿色建筑与建筑节能专项培训，提升全区建筑行业技术管理人员业务技能水平。</w:t>
            </w:r>
          </w:p>
        </w:tc>
        <w:tc>
          <w:tcPr>
            <w:tcW w:w="24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区住房城乡建委</w:t>
            </w:r>
          </w:p>
        </w:tc>
        <w:tc>
          <w:tcPr>
            <w:tcW w:w="22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2"/>
              </w:rPr>
              <w:t>5</w:t>
            </w:r>
            <w:r>
              <w:rPr>
                <w:rFonts w:ascii="方正书宋简体" w:eastAsia="方正书宋简体" w:cs="Times New Roman"/>
                <w:color w:val="auto"/>
                <w:kern w:val="0"/>
                <w:sz w:val="22"/>
              </w:rPr>
              <w:t>6</w:t>
            </w:r>
          </w:p>
        </w:tc>
        <w:tc>
          <w:tcPr>
            <w:tcW w:w="865" w:type="dxa"/>
            <w:vMerge w:val="restart"/>
            <w:tcBorders>
              <w:top w:val="single" w:color="auto" w:sz="4" w:space="0"/>
              <w:left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控制交通领域温室气体排放</w:t>
            </w:r>
          </w:p>
        </w:tc>
        <w:tc>
          <w:tcPr>
            <w:tcW w:w="12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推进交通运输结构调整</w:t>
            </w:r>
          </w:p>
        </w:tc>
        <w:tc>
          <w:tcPr>
            <w:tcW w:w="75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sz w:val="24"/>
                <w:szCs w:val="24"/>
              </w:rPr>
            </w:pPr>
            <w:r>
              <w:rPr>
                <w:rFonts w:hint="eastAsia" w:ascii="方正书宋简体" w:eastAsia="方正书宋简体" w:cs="Times New Roman"/>
                <w:color w:val="auto"/>
                <w:sz w:val="24"/>
                <w:szCs w:val="24"/>
              </w:rPr>
              <w:t>推动成渝中线高铁、渝遂绵（兰渝）高铁建设，建成铁路二环线、团结村至铜梁至成都铁路，推进大宗货物“公转铁”。推动主城都市区同城化发展，加快建设市域快线璧铜线、铜安、合璧津等高速，推进璧铜线延伸段铜梁至潼南等道路快线研究与建设，实现“半小时直达中心”。加快实施主城—铜梁—遂宁物流通道、安居至少云高铁站等快速路、辖区内国省道以及农村公路建设，完善铜梁公路骨架，实现区内高效通达。</w:t>
            </w:r>
          </w:p>
        </w:tc>
        <w:tc>
          <w:tcPr>
            <w:tcW w:w="24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区交通局、区住房城乡建委</w:t>
            </w:r>
          </w:p>
        </w:tc>
        <w:tc>
          <w:tcPr>
            <w:tcW w:w="22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2"/>
              </w:rPr>
              <w:t>5</w:t>
            </w:r>
            <w:r>
              <w:rPr>
                <w:rFonts w:ascii="方正书宋简体" w:eastAsia="方正书宋简体" w:cs="Times New Roman"/>
                <w:color w:val="auto"/>
                <w:kern w:val="0"/>
                <w:sz w:val="22"/>
              </w:rPr>
              <w:t>7</w:t>
            </w:r>
          </w:p>
        </w:tc>
        <w:tc>
          <w:tcPr>
            <w:tcW w:w="865" w:type="dxa"/>
            <w:vMerge w:val="continue"/>
            <w:tcBorders>
              <w:left w:val="single" w:color="auto" w:sz="4" w:space="0"/>
              <w:right w:val="single" w:color="auto" w:sz="4" w:space="0"/>
            </w:tcBorders>
            <w:vAlign w:val="center"/>
          </w:tcPr>
          <w:p>
            <w:pPr>
              <w:widowControl/>
              <w:jc w:val="left"/>
              <w:rPr>
                <w:rFonts w:ascii="方正书宋简体" w:eastAsia="方正书宋简体" w:cs="Times New Roman"/>
                <w:color w:val="auto"/>
                <w:kern w:val="0"/>
                <w:sz w:val="24"/>
                <w:szCs w:val="24"/>
              </w:rPr>
            </w:pPr>
          </w:p>
        </w:tc>
        <w:tc>
          <w:tcPr>
            <w:tcW w:w="122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构建绿色低碳交通体系</w:t>
            </w:r>
          </w:p>
        </w:tc>
        <w:tc>
          <w:tcPr>
            <w:tcW w:w="75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sz w:val="24"/>
                <w:szCs w:val="24"/>
              </w:rPr>
            </w:pPr>
            <w:r>
              <w:rPr>
                <w:rFonts w:hint="eastAsia" w:ascii="方正书宋简体" w:eastAsia="方正书宋简体" w:cs="Times New Roman"/>
                <w:color w:val="auto"/>
                <w:kern w:val="0"/>
                <w:sz w:val="24"/>
                <w:szCs w:val="24"/>
              </w:rPr>
              <w:t>全面落实公交优先战略，加快推进铜梁区城市交通卡与周边区县互联互通，到2</w:t>
            </w:r>
            <w:r>
              <w:rPr>
                <w:rFonts w:ascii="方正书宋简体" w:eastAsia="方正书宋简体" w:cs="Times New Roman"/>
                <w:color w:val="auto"/>
                <w:kern w:val="0"/>
                <w:sz w:val="24"/>
                <w:szCs w:val="24"/>
              </w:rPr>
              <w:t>025</w:t>
            </w:r>
            <w:r>
              <w:rPr>
                <w:rFonts w:hint="eastAsia" w:ascii="方正书宋简体" w:eastAsia="方正书宋简体" w:cs="Times New Roman"/>
                <w:color w:val="auto"/>
                <w:kern w:val="0"/>
                <w:sz w:val="24"/>
                <w:szCs w:val="24"/>
              </w:rPr>
              <w:t>年，全区城市公共交通出行分担率达到20%及以上。建设智慧铜梁汽车站，探索应用“电子客票”和“无纸化乘车”，打造“无人”值守的“无纸化、自动化、自助化”的智慧车站。</w:t>
            </w:r>
          </w:p>
        </w:tc>
        <w:tc>
          <w:tcPr>
            <w:tcW w:w="24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区交通局</w:t>
            </w:r>
          </w:p>
        </w:tc>
        <w:tc>
          <w:tcPr>
            <w:tcW w:w="22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2"/>
              </w:rPr>
            </w:pPr>
            <w:r>
              <w:rPr>
                <w:rFonts w:hint="eastAsia" w:ascii="方正书宋简体" w:eastAsia="方正书宋简体" w:cs="Times New Roman"/>
                <w:color w:val="auto"/>
                <w:kern w:val="0"/>
                <w:sz w:val="22"/>
              </w:rPr>
              <w:t>5</w:t>
            </w:r>
            <w:r>
              <w:rPr>
                <w:rFonts w:ascii="方正书宋简体" w:eastAsia="方正书宋简体" w:cs="Times New Roman"/>
                <w:color w:val="auto"/>
                <w:kern w:val="0"/>
                <w:sz w:val="22"/>
              </w:rPr>
              <w:t>8</w:t>
            </w:r>
          </w:p>
        </w:tc>
        <w:tc>
          <w:tcPr>
            <w:tcW w:w="865" w:type="dxa"/>
            <w:vMerge w:val="continue"/>
            <w:tcBorders>
              <w:left w:val="single" w:color="auto" w:sz="4" w:space="0"/>
              <w:right w:val="single" w:color="auto" w:sz="4" w:space="0"/>
            </w:tcBorders>
            <w:vAlign w:val="center"/>
          </w:tcPr>
          <w:p>
            <w:pPr>
              <w:widowControl/>
              <w:jc w:val="left"/>
              <w:rPr>
                <w:rFonts w:ascii="方正书宋简体" w:eastAsia="方正书宋简体" w:cs="Times New Roman"/>
                <w:color w:val="auto"/>
                <w:kern w:val="0"/>
                <w:sz w:val="24"/>
                <w:szCs w:val="24"/>
              </w:rPr>
            </w:pPr>
          </w:p>
        </w:tc>
        <w:tc>
          <w:tcPr>
            <w:tcW w:w="122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p>
        </w:tc>
        <w:tc>
          <w:tcPr>
            <w:tcW w:w="75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鼓励企业用好综合货运枢纽多式联运换装设施与集疏运体系，优化运输方案，发展绿色货运和现代物流。</w:t>
            </w:r>
          </w:p>
        </w:tc>
        <w:tc>
          <w:tcPr>
            <w:tcW w:w="24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区招商投资局、区发展改革委、区交通局</w:t>
            </w:r>
          </w:p>
        </w:tc>
        <w:tc>
          <w:tcPr>
            <w:tcW w:w="22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2"/>
              </w:rPr>
              <w:t>5</w:t>
            </w:r>
            <w:r>
              <w:rPr>
                <w:rFonts w:ascii="方正书宋简体" w:eastAsia="方正书宋简体" w:cs="Times New Roman"/>
                <w:color w:val="auto"/>
                <w:kern w:val="0"/>
                <w:sz w:val="22"/>
              </w:rPr>
              <w:t>9</w:t>
            </w:r>
          </w:p>
        </w:tc>
        <w:tc>
          <w:tcPr>
            <w:tcW w:w="865" w:type="dxa"/>
            <w:vMerge w:val="continue"/>
            <w:tcBorders>
              <w:left w:val="single" w:color="auto" w:sz="4" w:space="0"/>
              <w:right w:val="single" w:color="auto" w:sz="4" w:space="0"/>
            </w:tcBorders>
            <w:vAlign w:val="center"/>
          </w:tcPr>
          <w:p>
            <w:pPr>
              <w:widowControl/>
              <w:jc w:val="left"/>
              <w:rPr>
                <w:rFonts w:ascii="方正书宋简体" w:eastAsia="方正书宋简体" w:cs="Times New Roman"/>
                <w:color w:val="auto"/>
                <w:kern w:val="0"/>
                <w:sz w:val="24"/>
                <w:szCs w:val="24"/>
              </w:rPr>
            </w:pPr>
          </w:p>
        </w:tc>
        <w:tc>
          <w:tcPr>
            <w:tcW w:w="12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书宋简体" w:eastAsia="方正书宋简体" w:cs="Times New Roman"/>
                <w:color w:val="auto"/>
                <w:kern w:val="0"/>
                <w:sz w:val="24"/>
                <w:szCs w:val="24"/>
              </w:rPr>
            </w:pPr>
          </w:p>
        </w:tc>
        <w:tc>
          <w:tcPr>
            <w:tcW w:w="75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sz w:val="24"/>
                <w:szCs w:val="24"/>
              </w:rPr>
            </w:pPr>
            <w:r>
              <w:rPr>
                <w:rFonts w:hint="eastAsia" w:ascii="方正书宋简体" w:eastAsia="方正书宋简体" w:cs="Times New Roman"/>
                <w:color w:val="auto"/>
                <w:kern w:val="0"/>
                <w:sz w:val="24"/>
                <w:szCs w:val="24"/>
              </w:rPr>
              <w:t>持续开展高排放营运车辆退出，严格落实汽车尾气排放检验与维护制度开展老旧高排放车辆淘汰更新。</w:t>
            </w:r>
          </w:p>
        </w:tc>
        <w:tc>
          <w:tcPr>
            <w:tcW w:w="24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区公安局、区交通局</w:t>
            </w:r>
          </w:p>
        </w:tc>
        <w:tc>
          <w:tcPr>
            <w:tcW w:w="22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区商务委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2"/>
              </w:rPr>
              <w:t>6</w:t>
            </w:r>
            <w:r>
              <w:rPr>
                <w:rFonts w:ascii="方正书宋简体" w:eastAsia="方正书宋简体" w:cs="Times New Roman"/>
                <w:color w:val="auto"/>
                <w:kern w:val="0"/>
                <w:sz w:val="22"/>
              </w:rPr>
              <w:t>0</w:t>
            </w:r>
          </w:p>
        </w:tc>
        <w:tc>
          <w:tcPr>
            <w:tcW w:w="865" w:type="dxa"/>
            <w:vMerge w:val="continue"/>
            <w:tcBorders>
              <w:left w:val="single" w:color="auto" w:sz="4" w:space="0"/>
              <w:right w:val="single" w:color="auto" w:sz="4" w:space="0"/>
            </w:tcBorders>
            <w:vAlign w:val="center"/>
          </w:tcPr>
          <w:p>
            <w:pPr>
              <w:widowControl/>
              <w:jc w:val="left"/>
              <w:rPr>
                <w:rFonts w:ascii="方正书宋简体" w:eastAsia="方正书宋简体" w:cs="Times New Roman"/>
                <w:color w:val="auto"/>
                <w:kern w:val="0"/>
                <w:sz w:val="24"/>
                <w:szCs w:val="24"/>
              </w:rPr>
            </w:pPr>
          </w:p>
        </w:tc>
        <w:tc>
          <w:tcPr>
            <w:tcW w:w="1220" w:type="dxa"/>
            <w:vMerge w:val="restart"/>
            <w:tcBorders>
              <w:top w:val="single" w:color="auto" w:sz="4" w:space="0"/>
              <w:left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优化交通运输能源结构</w:t>
            </w:r>
          </w:p>
        </w:tc>
        <w:tc>
          <w:tcPr>
            <w:tcW w:w="75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sz w:val="24"/>
                <w:szCs w:val="24"/>
              </w:rPr>
            </w:pPr>
            <w:r>
              <w:rPr>
                <w:rFonts w:hint="eastAsia" w:ascii="方正书宋简体" w:eastAsia="方正书宋简体" w:cs="Times New Roman"/>
                <w:color w:val="auto"/>
                <w:sz w:val="24"/>
                <w:szCs w:val="24"/>
              </w:rPr>
              <w:t>推进新能源或清洁能源汽车使用，城市建成区新增和更新的环卫、邮政、出租、通勤、轻型物流配送车辆使用新能源或清洁能源汽车。</w:t>
            </w:r>
          </w:p>
        </w:tc>
        <w:tc>
          <w:tcPr>
            <w:tcW w:w="24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区发展改革委、区交通局、区机关事务局、区城市管理局、中邮铜梁分公司</w:t>
            </w:r>
          </w:p>
        </w:tc>
        <w:tc>
          <w:tcPr>
            <w:tcW w:w="22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2"/>
              </w:rPr>
            </w:pPr>
            <w:r>
              <w:rPr>
                <w:rFonts w:hint="eastAsia" w:ascii="方正书宋简体" w:eastAsia="方正书宋简体" w:cs="Times New Roman"/>
                <w:color w:val="auto"/>
                <w:kern w:val="0"/>
                <w:sz w:val="22"/>
              </w:rPr>
              <w:t>6</w:t>
            </w:r>
            <w:r>
              <w:rPr>
                <w:rFonts w:ascii="方正书宋简体" w:eastAsia="方正书宋简体" w:cs="Times New Roman"/>
                <w:color w:val="auto"/>
                <w:kern w:val="0"/>
                <w:sz w:val="22"/>
              </w:rPr>
              <w:t>1</w:t>
            </w:r>
          </w:p>
        </w:tc>
        <w:tc>
          <w:tcPr>
            <w:tcW w:w="865" w:type="dxa"/>
            <w:vMerge w:val="continue"/>
            <w:tcBorders>
              <w:left w:val="single" w:color="auto" w:sz="4" w:space="0"/>
              <w:right w:val="single" w:color="auto" w:sz="4" w:space="0"/>
            </w:tcBorders>
            <w:vAlign w:val="center"/>
          </w:tcPr>
          <w:p>
            <w:pPr>
              <w:widowControl/>
              <w:jc w:val="left"/>
              <w:rPr>
                <w:rFonts w:ascii="方正书宋简体" w:eastAsia="方正书宋简体" w:cs="Times New Roman"/>
                <w:color w:val="auto"/>
                <w:kern w:val="0"/>
                <w:sz w:val="24"/>
                <w:szCs w:val="24"/>
              </w:rPr>
            </w:pPr>
          </w:p>
        </w:tc>
        <w:tc>
          <w:tcPr>
            <w:tcW w:w="1220" w:type="dxa"/>
            <w:vMerge w:val="continue"/>
            <w:tcBorders>
              <w:left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p>
        </w:tc>
        <w:tc>
          <w:tcPr>
            <w:tcW w:w="75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sz w:val="24"/>
                <w:szCs w:val="24"/>
              </w:rPr>
            </w:pPr>
            <w:r>
              <w:rPr>
                <w:rFonts w:hint="eastAsia" w:ascii="方正书宋简体" w:eastAsia="方正书宋简体" w:cs="Times New Roman"/>
                <w:color w:val="auto"/>
                <w:sz w:val="24"/>
                <w:szCs w:val="24"/>
              </w:rPr>
              <w:t>提高燃油车船能效标准，加快淘汰高耗能高排放老旧营运车船。加快发展电动船舶，推进船舶受电设施改造。</w:t>
            </w:r>
          </w:p>
        </w:tc>
        <w:tc>
          <w:tcPr>
            <w:tcW w:w="24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区交通局</w:t>
            </w:r>
          </w:p>
        </w:tc>
        <w:tc>
          <w:tcPr>
            <w:tcW w:w="22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2"/>
              </w:rPr>
              <w:t>6</w:t>
            </w:r>
            <w:r>
              <w:rPr>
                <w:rFonts w:ascii="方正书宋简体" w:eastAsia="方正书宋简体" w:cs="Times New Roman"/>
                <w:color w:val="auto"/>
                <w:kern w:val="0"/>
                <w:sz w:val="22"/>
              </w:rPr>
              <w:t>2</w:t>
            </w:r>
          </w:p>
        </w:tc>
        <w:tc>
          <w:tcPr>
            <w:tcW w:w="865" w:type="dxa"/>
            <w:vMerge w:val="continue"/>
            <w:tcBorders>
              <w:left w:val="single" w:color="auto" w:sz="4" w:space="0"/>
              <w:right w:val="single" w:color="auto" w:sz="4" w:space="0"/>
            </w:tcBorders>
            <w:vAlign w:val="center"/>
          </w:tcPr>
          <w:p>
            <w:pPr>
              <w:widowControl/>
              <w:jc w:val="left"/>
              <w:rPr>
                <w:rFonts w:ascii="方正书宋简体" w:eastAsia="方正书宋简体" w:cs="Times New Roman"/>
                <w:color w:val="auto"/>
                <w:kern w:val="0"/>
                <w:sz w:val="24"/>
                <w:szCs w:val="24"/>
              </w:rPr>
            </w:pPr>
          </w:p>
        </w:tc>
        <w:tc>
          <w:tcPr>
            <w:tcW w:w="1220" w:type="dxa"/>
            <w:vMerge w:val="continue"/>
            <w:tcBorders>
              <w:left w:val="single" w:color="auto" w:sz="4" w:space="0"/>
              <w:right w:val="single" w:color="auto" w:sz="4" w:space="0"/>
            </w:tcBorders>
            <w:vAlign w:val="center"/>
          </w:tcPr>
          <w:p>
            <w:pPr>
              <w:widowControl/>
              <w:jc w:val="left"/>
              <w:rPr>
                <w:rFonts w:ascii="方正书宋简体" w:eastAsia="方正书宋简体" w:cs="Times New Roman"/>
                <w:color w:val="auto"/>
                <w:kern w:val="0"/>
                <w:sz w:val="24"/>
                <w:szCs w:val="24"/>
              </w:rPr>
            </w:pPr>
          </w:p>
        </w:tc>
        <w:tc>
          <w:tcPr>
            <w:tcW w:w="75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sz w:val="24"/>
                <w:szCs w:val="24"/>
              </w:rPr>
            </w:pPr>
            <w:r>
              <w:rPr>
                <w:rFonts w:hint="eastAsia" w:ascii="方正书宋简体" w:eastAsia="方正书宋简体" w:cs="Times New Roman"/>
                <w:color w:val="auto"/>
                <w:sz w:val="24"/>
                <w:szCs w:val="24"/>
              </w:rPr>
              <w:t>加大充电桩建设力度，在景区、车站、城市交通要道、乡镇供电所所在地、工业园区和教育园区等地，以少桩、多布点的方式，建设新充电站和扩容旧充电站。</w:t>
            </w:r>
          </w:p>
        </w:tc>
        <w:tc>
          <w:tcPr>
            <w:tcW w:w="24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区经济信息委</w:t>
            </w:r>
          </w:p>
        </w:tc>
        <w:tc>
          <w:tcPr>
            <w:tcW w:w="22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2"/>
              </w:rPr>
            </w:pPr>
            <w:r>
              <w:rPr>
                <w:rFonts w:hint="eastAsia" w:ascii="方正书宋简体" w:eastAsia="方正书宋简体" w:cs="Times New Roman"/>
                <w:color w:val="auto"/>
                <w:kern w:val="0"/>
                <w:sz w:val="22"/>
              </w:rPr>
              <w:t>6</w:t>
            </w:r>
            <w:r>
              <w:rPr>
                <w:rFonts w:ascii="方正书宋简体" w:eastAsia="方正书宋简体" w:cs="Times New Roman"/>
                <w:color w:val="auto"/>
                <w:kern w:val="0"/>
                <w:sz w:val="22"/>
              </w:rPr>
              <w:t>3</w:t>
            </w:r>
          </w:p>
        </w:tc>
        <w:tc>
          <w:tcPr>
            <w:tcW w:w="865" w:type="dxa"/>
            <w:vMerge w:val="continue"/>
            <w:tcBorders>
              <w:left w:val="single" w:color="auto" w:sz="4" w:space="0"/>
              <w:bottom w:val="single" w:color="auto" w:sz="4" w:space="0"/>
              <w:right w:val="single" w:color="auto" w:sz="4" w:space="0"/>
            </w:tcBorders>
            <w:vAlign w:val="center"/>
          </w:tcPr>
          <w:p>
            <w:pPr>
              <w:widowControl/>
              <w:jc w:val="left"/>
              <w:rPr>
                <w:rFonts w:ascii="方正书宋简体" w:eastAsia="方正书宋简体" w:cs="Times New Roman"/>
                <w:color w:val="auto"/>
                <w:kern w:val="0"/>
                <w:sz w:val="24"/>
                <w:szCs w:val="24"/>
              </w:rPr>
            </w:pPr>
          </w:p>
        </w:tc>
        <w:tc>
          <w:tcPr>
            <w:tcW w:w="1220" w:type="dxa"/>
            <w:vMerge w:val="continue"/>
            <w:tcBorders>
              <w:left w:val="single" w:color="auto" w:sz="4" w:space="0"/>
              <w:bottom w:val="single" w:color="auto" w:sz="4" w:space="0"/>
              <w:right w:val="single" w:color="auto" w:sz="4" w:space="0"/>
            </w:tcBorders>
            <w:vAlign w:val="center"/>
          </w:tcPr>
          <w:p>
            <w:pPr>
              <w:widowControl/>
              <w:jc w:val="left"/>
              <w:rPr>
                <w:rFonts w:ascii="方正书宋简体" w:eastAsia="方正书宋简体" w:cs="Times New Roman"/>
                <w:color w:val="auto"/>
                <w:kern w:val="0"/>
                <w:sz w:val="24"/>
                <w:szCs w:val="24"/>
              </w:rPr>
            </w:pPr>
          </w:p>
        </w:tc>
        <w:tc>
          <w:tcPr>
            <w:tcW w:w="75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sz w:val="24"/>
                <w:szCs w:val="24"/>
              </w:rPr>
            </w:pPr>
            <w:r>
              <w:rPr>
                <w:rFonts w:hint="eastAsia" w:ascii="方正书宋简体" w:eastAsia="方正书宋简体" w:cs="Times New Roman"/>
                <w:color w:val="auto"/>
                <w:sz w:val="24"/>
                <w:szCs w:val="24"/>
              </w:rPr>
              <w:t>积极推广液化天然气（LNG）重卡，稳步推进换电模式和氢燃料电池在重型卡车、营运大客车领域的试点应用。</w:t>
            </w:r>
          </w:p>
        </w:tc>
        <w:tc>
          <w:tcPr>
            <w:tcW w:w="24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区经济信息委、区交通局</w:t>
            </w:r>
          </w:p>
        </w:tc>
        <w:tc>
          <w:tcPr>
            <w:tcW w:w="22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2"/>
              </w:rPr>
            </w:pPr>
            <w:r>
              <w:rPr>
                <w:rFonts w:hint="eastAsia" w:ascii="方正书宋简体" w:eastAsia="方正书宋简体" w:cs="Times New Roman"/>
                <w:color w:val="auto"/>
                <w:kern w:val="0"/>
                <w:sz w:val="22"/>
              </w:rPr>
              <w:t>6</w:t>
            </w:r>
            <w:r>
              <w:rPr>
                <w:rFonts w:ascii="方正书宋简体" w:eastAsia="方正书宋简体" w:cs="Times New Roman"/>
                <w:color w:val="auto"/>
                <w:kern w:val="0"/>
                <w:sz w:val="22"/>
              </w:rPr>
              <w:t>4</w:t>
            </w:r>
          </w:p>
        </w:tc>
        <w:tc>
          <w:tcPr>
            <w:tcW w:w="2085" w:type="dxa"/>
            <w:gridSpan w:val="2"/>
            <w:vMerge w:val="restart"/>
            <w:tcBorders>
              <w:top w:val="single" w:color="auto" w:sz="4" w:space="0"/>
              <w:left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r>
              <w:rPr>
                <w:rFonts w:hint="eastAsia" w:ascii="方正书宋简体" w:eastAsia="方正书宋简体" w:cs="Times New Roman"/>
                <w:color w:val="auto"/>
                <w:sz w:val="24"/>
                <w:szCs w:val="24"/>
              </w:rPr>
              <w:t>控制新基建领域温室气体排放</w:t>
            </w:r>
          </w:p>
        </w:tc>
        <w:tc>
          <w:tcPr>
            <w:tcW w:w="75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sz w:val="24"/>
                <w:szCs w:val="24"/>
              </w:rPr>
            </w:pPr>
            <w:r>
              <w:rPr>
                <w:rFonts w:hint="eastAsia" w:ascii="方正书宋简体" w:eastAsia="方正书宋简体" w:cs="Times New Roman"/>
                <w:color w:val="auto"/>
                <w:sz w:val="24"/>
                <w:szCs w:val="24"/>
              </w:rPr>
              <w:t>加快布局物联网、大数据、云计算、5G、人工智能等战略新兴产业与培育发展，高效推进数字新基建领域节能降碳工作。实施数字基础设施绿色低碳改造，推广使用高效制冷、先进通风、余热利用、智能用能控制等低碳技术。积极鼓励能源管理领域5G、物联网等数智技术的应用。鼓励新基建领域加强技术创新，进一步降低设备能耗。优化新型基础设施用能结构，鼓励采用直流供电、“光伏+储能”等模式，积极引入新能源绿电，探索多样化能源供应途径。</w:t>
            </w:r>
          </w:p>
        </w:tc>
        <w:tc>
          <w:tcPr>
            <w:tcW w:w="24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区大数据发展局、区经济信息委</w:t>
            </w:r>
          </w:p>
        </w:tc>
        <w:tc>
          <w:tcPr>
            <w:tcW w:w="22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2"/>
              </w:rPr>
            </w:pPr>
            <w:r>
              <w:rPr>
                <w:rFonts w:hint="eastAsia" w:ascii="方正书宋简体" w:eastAsia="方正书宋简体" w:cs="Times New Roman"/>
                <w:color w:val="auto"/>
                <w:kern w:val="0"/>
                <w:sz w:val="22"/>
              </w:rPr>
              <w:t>6</w:t>
            </w:r>
            <w:r>
              <w:rPr>
                <w:rFonts w:ascii="方正书宋简体" w:eastAsia="方正书宋简体" w:cs="Times New Roman"/>
                <w:color w:val="auto"/>
                <w:kern w:val="0"/>
                <w:sz w:val="22"/>
              </w:rPr>
              <w:t>5</w:t>
            </w:r>
          </w:p>
        </w:tc>
        <w:tc>
          <w:tcPr>
            <w:tcW w:w="2085" w:type="dxa"/>
            <w:gridSpan w:val="2"/>
            <w:vMerge w:val="continue"/>
            <w:tcBorders>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sz w:val="24"/>
                <w:szCs w:val="24"/>
              </w:rPr>
            </w:pPr>
          </w:p>
        </w:tc>
        <w:tc>
          <w:tcPr>
            <w:tcW w:w="75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sz w:val="24"/>
                <w:szCs w:val="24"/>
              </w:rPr>
            </w:pPr>
            <w:r>
              <w:rPr>
                <w:rFonts w:hint="eastAsia" w:ascii="方正书宋简体" w:eastAsia="方正书宋简体" w:cs="Times New Roman"/>
                <w:color w:val="auto"/>
                <w:sz w:val="24"/>
                <w:szCs w:val="24"/>
              </w:rPr>
              <w:t>推动提升铜梁区能源数据中心能源使用效率。</w:t>
            </w:r>
          </w:p>
        </w:tc>
        <w:tc>
          <w:tcPr>
            <w:tcW w:w="24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国网重庆铜梁供电公司</w:t>
            </w:r>
          </w:p>
        </w:tc>
        <w:tc>
          <w:tcPr>
            <w:tcW w:w="22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2"/>
              </w:rPr>
            </w:pPr>
            <w:r>
              <w:rPr>
                <w:rFonts w:hint="eastAsia" w:ascii="方正书宋简体" w:eastAsia="方正书宋简体" w:cs="Times New Roman"/>
                <w:color w:val="auto"/>
                <w:kern w:val="0"/>
                <w:sz w:val="22"/>
              </w:rPr>
              <w:t>6</w:t>
            </w:r>
            <w:r>
              <w:rPr>
                <w:rFonts w:ascii="方正书宋简体" w:eastAsia="方正书宋简体" w:cs="Times New Roman"/>
                <w:color w:val="auto"/>
                <w:kern w:val="0"/>
                <w:sz w:val="22"/>
              </w:rPr>
              <w:t>6</w:t>
            </w:r>
          </w:p>
        </w:tc>
        <w:tc>
          <w:tcPr>
            <w:tcW w:w="86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控制非二氧化碳温室气体排放</w:t>
            </w:r>
          </w:p>
        </w:tc>
        <w:tc>
          <w:tcPr>
            <w:tcW w:w="12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控制农业活动甲烷和氧化亚氮排放</w:t>
            </w:r>
          </w:p>
        </w:tc>
        <w:tc>
          <w:tcPr>
            <w:tcW w:w="75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sz w:val="24"/>
                <w:szCs w:val="24"/>
              </w:rPr>
            </w:pPr>
            <w:r>
              <w:rPr>
                <w:rFonts w:hint="eastAsia" w:ascii="方正书宋简体" w:eastAsia="方正书宋简体" w:cs="Times New Roman"/>
                <w:color w:val="auto"/>
                <w:kern w:val="0"/>
                <w:sz w:val="24"/>
                <w:szCs w:val="24"/>
              </w:rPr>
              <w:t>持续实施化肥零增长行动，推动测土配方施肥，探索开展土壤使用硝化抑制剂环境影响评价，减少农田土壤甲烷、氧化亚氮排放。实施畜禽养殖种养结合模式，推广秸秆青贮与氨化，提高畜禽废弃物资源化利用水平，减少畜禽养殖生产过程厌氧条件，减少畜禽养殖甲烷产生量。</w:t>
            </w:r>
          </w:p>
        </w:tc>
        <w:tc>
          <w:tcPr>
            <w:tcW w:w="24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区农业农村委、区畜牧业发展中心</w:t>
            </w:r>
          </w:p>
        </w:tc>
        <w:tc>
          <w:tcPr>
            <w:tcW w:w="22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2"/>
              </w:rPr>
              <w:t>6</w:t>
            </w:r>
            <w:r>
              <w:rPr>
                <w:rFonts w:ascii="方正书宋简体" w:eastAsia="方正书宋简体" w:cs="Times New Roman"/>
                <w:color w:val="auto"/>
                <w:kern w:val="0"/>
                <w:sz w:val="22"/>
              </w:rPr>
              <w:t>7</w:t>
            </w:r>
          </w:p>
        </w:tc>
        <w:tc>
          <w:tcPr>
            <w:tcW w:w="8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书宋简体" w:eastAsia="方正书宋简体" w:cs="Times New Roman"/>
                <w:color w:val="auto"/>
                <w:kern w:val="0"/>
                <w:sz w:val="24"/>
                <w:szCs w:val="24"/>
              </w:rPr>
            </w:pPr>
          </w:p>
        </w:tc>
        <w:tc>
          <w:tcPr>
            <w:tcW w:w="122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控制废弃物处理甲烷和氧化亚氮排放</w:t>
            </w:r>
          </w:p>
        </w:tc>
        <w:tc>
          <w:tcPr>
            <w:tcW w:w="75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sz w:val="24"/>
                <w:szCs w:val="24"/>
              </w:rPr>
            </w:pPr>
            <w:r>
              <w:rPr>
                <w:rFonts w:hint="eastAsia" w:ascii="方正书宋简体" w:eastAsia="方正书宋简体" w:cs="Times New Roman"/>
                <w:color w:val="auto"/>
                <w:kern w:val="0"/>
                <w:sz w:val="24"/>
                <w:szCs w:val="24"/>
              </w:rPr>
              <w:t>全面推进铜梁区“</w:t>
            </w:r>
            <w:bookmarkStart w:id="52" w:name="_GoBack"/>
            <w:bookmarkEnd w:id="52"/>
            <w:r>
              <w:rPr>
                <w:rFonts w:hint="eastAsia" w:ascii="方正书宋简体" w:eastAsia="方正书宋简体" w:cs="Times New Roman"/>
                <w:color w:val="auto"/>
                <w:kern w:val="0"/>
                <w:sz w:val="24"/>
                <w:szCs w:val="24"/>
              </w:rPr>
              <w:t>无废城市”建设，推进生活垃圾、工业垃圾、建筑垃圾等各类固废分类处理，加强废弃物资源化利用和低碳化处置。</w:t>
            </w:r>
          </w:p>
        </w:tc>
        <w:tc>
          <w:tcPr>
            <w:tcW w:w="24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区生态环境局</w:t>
            </w:r>
          </w:p>
        </w:tc>
        <w:tc>
          <w:tcPr>
            <w:tcW w:w="22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区城市管理局、区经济信息委、高新区管委会、区住房城乡建委等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r>
              <w:rPr>
                <w:rFonts w:ascii="方正书宋简体" w:eastAsia="方正书宋简体" w:cs="Times New Roman"/>
                <w:color w:val="auto"/>
                <w:kern w:val="0"/>
                <w:sz w:val="22"/>
              </w:rPr>
              <w:t>68</w:t>
            </w:r>
          </w:p>
        </w:tc>
        <w:tc>
          <w:tcPr>
            <w:tcW w:w="8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书宋简体" w:eastAsia="方正书宋简体" w:cs="Times New Roman"/>
                <w:color w:val="auto"/>
                <w:kern w:val="0"/>
                <w:sz w:val="24"/>
                <w:szCs w:val="24"/>
              </w:rPr>
            </w:pPr>
          </w:p>
        </w:tc>
        <w:tc>
          <w:tcPr>
            <w:tcW w:w="12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书宋简体" w:eastAsia="方正书宋简体" w:cs="Times New Roman"/>
                <w:color w:val="auto"/>
                <w:kern w:val="0"/>
                <w:sz w:val="24"/>
                <w:szCs w:val="24"/>
              </w:rPr>
            </w:pPr>
          </w:p>
        </w:tc>
        <w:tc>
          <w:tcPr>
            <w:tcW w:w="75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sz w:val="24"/>
                <w:szCs w:val="24"/>
              </w:rPr>
            </w:pPr>
            <w:r>
              <w:rPr>
                <w:rFonts w:hint="eastAsia" w:ascii="方正书宋简体" w:eastAsia="方正书宋简体" w:cs="Times New Roman"/>
                <w:color w:val="auto"/>
                <w:kern w:val="0"/>
                <w:sz w:val="24"/>
                <w:szCs w:val="24"/>
              </w:rPr>
              <w:t>构建以焚烧为主、填埋为辅的生活垃圾处理处置体系，实施生活垃圾填埋场封场及生态修复工作。</w:t>
            </w:r>
          </w:p>
        </w:tc>
        <w:tc>
          <w:tcPr>
            <w:tcW w:w="24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区城市管理局</w:t>
            </w:r>
          </w:p>
        </w:tc>
        <w:tc>
          <w:tcPr>
            <w:tcW w:w="22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庆隆镇、石鱼镇、太平镇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2"/>
              </w:rPr>
            </w:pPr>
            <w:r>
              <w:rPr>
                <w:rFonts w:ascii="方正书宋简体" w:eastAsia="方正书宋简体" w:cs="Times New Roman"/>
                <w:color w:val="auto"/>
                <w:kern w:val="0"/>
                <w:sz w:val="22"/>
              </w:rPr>
              <w:t>69</w:t>
            </w:r>
          </w:p>
        </w:tc>
        <w:tc>
          <w:tcPr>
            <w:tcW w:w="2085" w:type="dxa"/>
            <w:gridSpan w:val="2"/>
            <w:vMerge w:val="restart"/>
            <w:tcBorders>
              <w:top w:val="single" w:color="auto" w:sz="4" w:space="0"/>
              <w:left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控制其他领域非二氧化碳温室气体排放。</w:t>
            </w:r>
          </w:p>
        </w:tc>
        <w:tc>
          <w:tcPr>
            <w:tcW w:w="75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加强电力设备六氟化硫回收处理和再利用。</w:t>
            </w:r>
          </w:p>
        </w:tc>
        <w:tc>
          <w:tcPr>
            <w:tcW w:w="24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国网重庆铜梁供电公司</w:t>
            </w:r>
          </w:p>
        </w:tc>
        <w:tc>
          <w:tcPr>
            <w:tcW w:w="22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2"/>
              </w:rPr>
            </w:pPr>
            <w:r>
              <w:rPr>
                <w:rFonts w:hint="eastAsia" w:ascii="方正书宋简体" w:eastAsia="方正书宋简体" w:cs="Times New Roman"/>
                <w:color w:val="auto"/>
                <w:kern w:val="0"/>
                <w:sz w:val="22"/>
              </w:rPr>
              <w:t>7</w:t>
            </w:r>
            <w:r>
              <w:rPr>
                <w:rFonts w:ascii="方正书宋简体" w:eastAsia="方正书宋简体" w:cs="Times New Roman"/>
                <w:color w:val="auto"/>
                <w:kern w:val="0"/>
                <w:sz w:val="22"/>
              </w:rPr>
              <w:t>0</w:t>
            </w:r>
          </w:p>
        </w:tc>
        <w:tc>
          <w:tcPr>
            <w:tcW w:w="2085" w:type="dxa"/>
            <w:gridSpan w:val="2"/>
            <w:vMerge w:val="continue"/>
            <w:tcBorders>
              <w:left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p>
        </w:tc>
        <w:tc>
          <w:tcPr>
            <w:tcW w:w="75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控制半导体生产过程中含氟</w:t>
            </w:r>
            <w:r>
              <w:rPr>
                <w:rFonts w:hint="eastAsia" w:ascii="方正书宋简体" w:eastAsia="方正书宋简体" w:cs="Times New Roman"/>
                <w:color w:val="auto"/>
                <w:kern w:val="0"/>
                <w:sz w:val="24"/>
                <w:szCs w:val="24"/>
                <w:lang w:val="en-US" w:eastAsia="zh-CN"/>
              </w:rPr>
              <w:t>废气</w:t>
            </w:r>
            <w:r>
              <w:rPr>
                <w:rFonts w:hint="eastAsia" w:ascii="方正书宋简体" w:eastAsia="方正书宋简体" w:cs="Times New Roman"/>
                <w:color w:val="auto"/>
                <w:kern w:val="0"/>
                <w:sz w:val="24"/>
                <w:szCs w:val="24"/>
              </w:rPr>
              <w:t>排放。</w:t>
            </w:r>
          </w:p>
        </w:tc>
        <w:tc>
          <w:tcPr>
            <w:tcW w:w="24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区生态环境局</w:t>
            </w:r>
          </w:p>
        </w:tc>
        <w:tc>
          <w:tcPr>
            <w:tcW w:w="22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2"/>
              </w:rPr>
              <w:t>7</w:t>
            </w:r>
            <w:r>
              <w:rPr>
                <w:rFonts w:ascii="方正书宋简体" w:eastAsia="方正书宋简体" w:cs="Times New Roman"/>
                <w:color w:val="auto"/>
                <w:kern w:val="0"/>
                <w:sz w:val="22"/>
              </w:rPr>
              <w:t>1</w:t>
            </w:r>
          </w:p>
        </w:tc>
        <w:tc>
          <w:tcPr>
            <w:tcW w:w="86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增加生态系统碳汇</w:t>
            </w:r>
          </w:p>
        </w:tc>
        <w:tc>
          <w:tcPr>
            <w:tcW w:w="12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提升林业碳汇能力</w:t>
            </w:r>
          </w:p>
        </w:tc>
        <w:tc>
          <w:tcPr>
            <w:tcW w:w="75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sz w:val="24"/>
                <w:szCs w:val="24"/>
              </w:rPr>
            </w:pPr>
            <w:r>
              <w:rPr>
                <w:rFonts w:hint="eastAsia" w:ascii="方正书宋简体" w:eastAsia="方正书宋简体" w:cs="Times New Roman"/>
                <w:color w:val="auto"/>
                <w:kern w:val="0"/>
                <w:sz w:val="24"/>
                <w:szCs w:val="24"/>
              </w:rPr>
              <w:t>围绕“一区、三廊、五区、多点”森林城市总体布局，统筹推进森林城市建设，着力提升林业碳汇。推动植树造林工作由成片规模造林向零星空地造林、数量扩张向数量与质量并重转变。巩固国土绿化提升行动实施成果，统筹谋划好涪江两岸生态修复和保护，实施好“两岸青山、千里林带”生态工程。强化森林质量提升工作，实施森林抚育、低效林改造、封山育林等工程。到2025年，全区森林蓄积量不低于160万立方米，森林覆盖率达到50%。</w:t>
            </w:r>
          </w:p>
        </w:tc>
        <w:tc>
          <w:tcPr>
            <w:tcW w:w="24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区林业局</w:t>
            </w:r>
          </w:p>
        </w:tc>
        <w:tc>
          <w:tcPr>
            <w:tcW w:w="22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7</w:t>
            </w:r>
            <w:r>
              <w:rPr>
                <w:rFonts w:ascii="方正书宋简体" w:eastAsia="方正书宋简体" w:cs="Times New Roman"/>
                <w:color w:val="auto"/>
                <w:kern w:val="0"/>
                <w:sz w:val="24"/>
                <w:szCs w:val="24"/>
              </w:rPr>
              <w:t>2</w:t>
            </w:r>
          </w:p>
        </w:tc>
        <w:tc>
          <w:tcPr>
            <w:tcW w:w="8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书宋简体" w:eastAsia="方正书宋简体" w:cs="Times New Roman"/>
                <w:color w:val="auto"/>
                <w:kern w:val="0"/>
                <w:sz w:val="24"/>
                <w:szCs w:val="24"/>
              </w:rPr>
            </w:pPr>
          </w:p>
        </w:tc>
        <w:tc>
          <w:tcPr>
            <w:tcW w:w="12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提升湿地碳汇能力</w:t>
            </w:r>
          </w:p>
        </w:tc>
        <w:tc>
          <w:tcPr>
            <w:tcW w:w="75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sz w:val="24"/>
                <w:szCs w:val="24"/>
              </w:rPr>
            </w:pPr>
            <w:r>
              <w:rPr>
                <w:rFonts w:hint="eastAsia" w:ascii="方正书宋简体" w:eastAsia="方正书宋简体" w:cs="Times New Roman"/>
                <w:color w:val="auto"/>
                <w:kern w:val="0"/>
                <w:sz w:val="24"/>
                <w:szCs w:val="24"/>
              </w:rPr>
              <w:t>加强湿地生态系统保护与修复，加强安居国家湿地公园管理，增强小北海、玄天湖、荷和原乡等湿地蓄水补水能力，到2025年，重要湿地保护率不低于50%。加强湿地型自然公园、城市公园建设，建设小微湿地群落示范点。以琼江、涪江“两江六岸”为重点，实施重要水系两侧绿化带建设，加强巴川河、小安溪、淮远河等河流湿地保护与修复，有效连接生态保护红线、森林公园等生态功能区，形成森林湿地群。</w:t>
            </w:r>
          </w:p>
        </w:tc>
        <w:tc>
          <w:tcPr>
            <w:tcW w:w="24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区林业局</w:t>
            </w:r>
          </w:p>
        </w:tc>
        <w:tc>
          <w:tcPr>
            <w:tcW w:w="22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5026" w:type="dxa"/>
            <w:gridSpan w:val="6"/>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b/>
                <w:bCs/>
                <w:color w:val="auto"/>
                <w:kern w:val="0"/>
                <w:sz w:val="24"/>
                <w:szCs w:val="24"/>
              </w:rPr>
            </w:pPr>
            <w:r>
              <w:rPr>
                <w:rFonts w:hint="eastAsia" w:ascii="方正书宋简体" w:eastAsia="方正书宋简体" w:cs="Times New Roman"/>
                <w:b/>
                <w:bCs/>
                <w:color w:val="auto"/>
                <w:kern w:val="0"/>
                <w:sz w:val="24"/>
                <w:szCs w:val="24"/>
              </w:rPr>
              <w:t>（四）加强主动适应气候变化能力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2"/>
              </w:rPr>
            </w:pPr>
            <w:r>
              <w:rPr>
                <w:rFonts w:ascii="方正书宋简体" w:eastAsia="方正书宋简体" w:cs="Times New Roman"/>
                <w:color w:val="auto"/>
                <w:kern w:val="0"/>
                <w:sz w:val="22"/>
              </w:rPr>
              <w:t>73</w:t>
            </w:r>
          </w:p>
        </w:tc>
        <w:tc>
          <w:tcPr>
            <w:tcW w:w="865" w:type="dxa"/>
            <w:vMerge w:val="restart"/>
            <w:tcBorders>
              <w:top w:val="single" w:color="auto" w:sz="4" w:space="0"/>
              <w:left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基于自然解决方案推动城市绿色更新</w:t>
            </w:r>
          </w:p>
        </w:tc>
        <w:tc>
          <w:tcPr>
            <w:tcW w:w="1220" w:type="dxa"/>
            <w:vMerge w:val="restart"/>
            <w:tcBorders>
              <w:top w:val="single" w:color="auto" w:sz="4" w:space="0"/>
              <w:left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推动国土空间低碳化布局</w:t>
            </w:r>
          </w:p>
        </w:tc>
        <w:tc>
          <w:tcPr>
            <w:tcW w:w="75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注重城市低碳发展规划，优化全区功能布局，提高土地利用率，提质城市基础设施，提高建成区基础设施使用效率。</w:t>
            </w:r>
          </w:p>
        </w:tc>
        <w:tc>
          <w:tcPr>
            <w:tcW w:w="24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区发展改革委、区规划自然资源局、区城市管理局</w:t>
            </w:r>
          </w:p>
        </w:tc>
        <w:tc>
          <w:tcPr>
            <w:tcW w:w="22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r>
              <w:rPr>
                <w:rFonts w:ascii="方正书宋简体" w:eastAsia="方正书宋简体" w:cs="Times New Roman"/>
                <w:color w:val="auto"/>
                <w:kern w:val="0"/>
                <w:sz w:val="22"/>
              </w:rPr>
              <w:t>74</w:t>
            </w:r>
          </w:p>
        </w:tc>
        <w:tc>
          <w:tcPr>
            <w:tcW w:w="865" w:type="dxa"/>
            <w:vMerge w:val="continue"/>
            <w:tcBorders>
              <w:left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p>
        </w:tc>
        <w:tc>
          <w:tcPr>
            <w:tcW w:w="1220" w:type="dxa"/>
            <w:vMerge w:val="continue"/>
            <w:tcBorders>
              <w:left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p>
        </w:tc>
        <w:tc>
          <w:tcPr>
            <w:tcW w:w="75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强化“三线一单”生态环境分区管控体系，从空间布局约束、污染物排放控制、环境风险管控和资源利用效率等方面，强化17个环境管控单元的管控要求。</w:t>
            </w:r>
          </w:p>
        </w:tc>
        <w:tc>
          <w:tcPr>
            <w:tcW w:w="24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区生态环境局</w:t>
            </w:r>
          </w:p>
        </w:tc>
        <w:tc>
          <w:tcPr>
            <w:tcW w:w="22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r>
              <w:rPr>
                <w:rFonts w:ascii="方正书宋简体" w:eastAsia="方正书宋简体" w:cs="Times New Roman"/>
                <w:color w:val="auto"/>
                <w:kern w:val="0"/>
                <w:sz w:val="22"/>
              </w:rPr>
              <w:t>75</w:t>
            </w:r>
          </w:p>
        </w:tc>
        <w:tc>
          <w:tcPr>
            <w:tcW w:w="865" w:type="dxa"/>
            <w:vMerge w:val="continue"/>
            <w:tcBorders>
              <w:left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p>
        </w:tc>
        <w:tc>
          <w:tcPr>
            <w:tcW w:w="1220" w:type="dxa"/>
            <w:vMerge w:val="continue"/>
            <w:tcBorders>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p>
        </w:tc>
        <w:tc>
          <w:tcPr>
            <w:tcW w:w="75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发挥铜梁高新区作为全国首批规划环评碳排放评价试点园区的带动作用，为碳排放评价纳入环评体系提供工作基础。</w:t>
            </w:r>
          </w:p>
        </w:tc>
        <w:tc>
          <w:tcPr>
            <w:tcW w:w="24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区生态环境局、高新区管委会</w:t>
            </w:r>
          </w:p>
        </w:tc>
        <w:tc>
          <w:tcPr>
            <w:tcW w:w="22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r>
              <w:rPr>
                <w:rFonts w:ascii="方正书宋简体" w:eastAsia="方正书宋简体" w:cs="Times New Roman"/>
                <w:color w:val="auto"/>
                <w:kern w:val="0"/>
                <w:sz w:val="22"/>
              </w:rPr>
              <w:t>76</w:t>
            </w:r>
          </w:p>
        </w:tc>
        <w:tc>
          <w:tcPr>
            <w:tcW w:w="865" w:type="dxa"/>
            <w:vMerge w:val="continue"/>
            <w:tcBorders>
              <w:left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p>
        </w:tc>
        <w:tc>
          <w:tcPr>
            <w:tcW w:w="1220" w:type="dxa"/>
            <w:vMerge w:val="restart"/>
            <w:tcBorders>
              <w:top w:val="single" w:color="auto" w:sz="4" w:space="0"/>
              <w:left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将适应气候变化融入城市空间布局</w:t>
            </w:r>
          </w:p>
        </w:tc>
        <w:tc>
          <w:tcPr>
            <w:tcW w:w="75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按照市级要求，开展城市气候变化影响和脆弱性评估。</w:t>
            </w:r>
          </w:p>
        </w:tc>
        <w:tc>
          <w:tcPr>
            <w:tcW w:w="24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区气象局</w:t>
            </w:r>
          </w:p>
        </w:tc>
        <w:tc>
          <w:tcPr>
            <w:tcW w:w="22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r>
              <w:rPr>
                <w:rFonts w:ascii="方正书宋简体" w:eastAsia="方正书宋简体" w:cs="Times New Roman"/>
                <w:color w:val="auto"/>
                <w:kern w:val="0"/>
                <w:sz w:val="22"/>
              </w:rPr>
              <w:t>77</w:t>
            </w:r>
          </w:p>
        </w:tc>
        <w:tc>
          <w:tcPr>
            <w:tcW w:w="865" w:type="dxa"/>
            <w:vMerge w:val="continue"/>
            <w:tcBorders>
              <w:left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p>
        </w:tc>
        <w:tc>
          <w:tcPr>
            <w:tcW w:w="1220" w:type="dxa"/>
            <w:vMerge w:val="continue"/>
            <w:tcBorders>
              <w:left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p>
        </w:tc>
        <w:tc>
          <w:tcPr>
            <w:tcW w:w="75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优化城市空间布局，处理好城市景观点、线、面的关系，遵循自然地理格局，促进人与自然和谐共生。</w:t>
            </w:r>
          </w:p>
        </w:tc>
        <w:tc>
          <w:tcPr>
            <w:tcW w:w="24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区规划自然资源局</w:t>
            </w:r>
          </w:p>
        </w:tc>
        <w:tc>
          <w:tcPr>
            <w:tcW w:w="22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r>
              <w:rPr>
                <w:rFonts w:ascii="方正书宋简体" w:eastAsia="方正书宋简体" w:cs="Times New Roman"/>
                <w:color w:val="auto"/>
                <w:kern w:val="0"/>
                <w:sz w:val="22"/>
              </w:rPr>
              <w:t>78</w:t>
            </w:r>
          </w:p>
        </w:tc>
        <w:tc>
          <w:tcPr>
            <w:tcW w:w="865" w:type="dxa"/>
            <w:vMerge w:val="continue"/>
            <w:tcBorders>
              <w:left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p>
        </w:tc>
        <w:tc>
          <w:tcPr>
            <w:tcW w:w="1220" w:type="dxa"/>
            <w:vMerge w:val="continue"/>
            <w:tcBorders>
              <w:left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p>
        </w:tc>
        <w:tc>
          <w:tcPr>
            <w:tcW w:w="75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突出国土空间规划“三线”管控作用，强化重要自然保护地、城市生态空间保护。</w:t>
            </w:r>
          </w:p>
        </w:tc>
        <w:tc>
          <w:tcPr>
            <w:tcW w:w="24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区规划自然资源局</w:t>
            </w:r>
          </w:p>
        </w:tc>
        <w:tc>
          <w:tcPr>
            <w:tcW w:w="22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r>
              <w:rPr>
                <w:rFonts w:ascii="方正书宋简体" w:eastAsia="方正书宋简体" w:cs="Times New Roman"/>
                <w:color w:val="auto"/>
                <w:kern w:val="0"/>
                <w:sz w:val="22"/>
              </w:rPr>
              <w:t>79</w:t>
            </w:r>
          </w:p>
        </w:tc>
        <w:tc>
          <w:tcPr>
            <w:tcW w:w="865" w:type="dxa"/>
            <w:vMerge w:val="continue"/>
            <w:tcBorders>
              <w:left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p>
        </w:tc>
        <w:tc>
          <w:tcPr>
            <w:tcW w:w="1220" w:type="dxa"/>
            <w:vMerge w:val="continue"/>
            <w:tcBorders>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p>
        </w:tc>
        <w:tc>
          <w:tcPr>
            <w:tcW w:w="75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积极顺应城市发展趋势，深化大城智管、大城细管、大城众管，促进城市品质提升。</w:t>
            </w:r>
          </w:p>
        </w:tc>
        <w:tc>
          <w:tcPr>
            <w:tcW w:w="24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区城市管理局</w:t>
            </w:r>
          </w:p>
        </w:tc>
        <w:tc>
          <w:tcPr>
            <w:tcW w:w="22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r>
              <w:rPr>
                <w:rFonts w:ascii="方正书宋简体" w:eastAsia="方正书宋简体" w:cs="Times New Roman"/>
                <w:color w:val="auto"/>
                <w:kern w:val="0"/>
                <w:sz w:val="22"/>
              </w:rPr>
              <w:t>80</w:t>
            </w:r>
          </w:p>
        </w:tc>
        <w:tc>
          <w:tcPr>
            <w:tcW w:w="865" w:type="dxa"/>
            <w:vMerge w:val="continue"/>
            <w:tcBorders>
              <w:left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p>
        </w:tc>
        <w:tc>
          <w:tcPr>
            <w:tcW w:w="1220" w:type="dxa"/>
            <w:vMerge w:val="restart"/>
            <w:tcBorders>
              <w:top w:val="single" w:color="auto" w:sz="4" w:space="0"/>
              <w:left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引入韧性理念推动生态化改造。</w:t>
            </w:r>
          </w:p>
        </w:tc>
        <w:tc>
          <w:tcPr>
            <w:tcW w:w="75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准确把握海绵城市建设内涵，系统化推进海绵城市建设，发挥建筑、道路、绿地、水系等对雨水的吸纳和缓释作用，统筹老城区海绵化改造和新城区海绵城市新建，提升雨、洪消纳能力。</w:t>
            </w:r>
          </w:p>
        </w:tc>
        <w:tc>
          <w:tcPr>
            <w:tcW w:w="24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区住房城乡建委</w:t>
            </w:r>
          </w:p>
        </w:tc>
        <w:tc>
          <w:tcPr>
            <w:tcW w:w="22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r>
              <w:rPr>
                <w:rFonts w:ascii="方正书宋简体" w:eastAsia="方正书宋简体" w:cs="Times New Roman"/>
                <w:color w:val="auto"/>
                <w:kern w:val="0"/>
                <w:sz w:val="22"/>
              </w:rPr>
              <w:t>81</w:t>
            </w:r>
          </w:p>
        </w:tc>
        <w:tc>
          <w:tcPr>
            <w:tcW w:w="865" w:type="dxa"/>
            <w:vMerge w:val="continue"/>
            <w:tcBorders>
              <w:left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p>
        </w:tc>
        <w:tc>
          <w:tcPr>
            <w:tcW w:w="1220" w:type="dxa"/>
            <w:vMerge w:val="continue"/>
            <w:tcBorders>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p>
        </w:tc>
        <w:tc>
          <w:tcPr>
            <w:tcW w:w="75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将公园建设作为缓冲城市中人与自然关系的重要方式，维护好原乡中央公园等城市生态滨河公园，结合淮远新区、蒲吕新城等城市建设,</w:t>
            </w:r>
            <w:r>
              <w:rPr>
                <w:rFonts w:ascii="方正书宋简体" w:eastAsia="方正书宋简体" w:cs="Times New Roman"/>
                <w:color w:val="auto"/>
                <w:kern w:val="0"/>
                <w:sz w:val="24"/>
                <w:szCs w:val="24"/>
              </w:rPr>
              <w:t xml:space="preserve"> </w:t>
            </w:r>
            <w:r>
              <w:rPr>
                <w:rFonts w:hint="eastAsia" w:ascii="方正书宋简体" w:eastAsia="方正书宋简体" w:cs="Times New Roman"/>
                <w:color w:val="auto"/>
                <w:kern w:val="0"/>
                <w:sz w:val="24"/>
                <w:szCs w:val="24"/>
              </w:rPr>
              <w:t>开展滨河公园、跨河景观廊桥、市政设施等建设。</w:t>
            </w:r>
          </w:p>
        </w:tc>
        <w:tc>
          <w:tcPr>
            <w:tcW w:w="24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区住房城乡建委、区城市管理局</w:t>
            </w:r>
          </w:p>
        </w:tc>
        <w:tc>
          <w:tcPr>
            <w:tcW w:w="22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r>
              <w:rPr>
                <w:rFonts w:ascii="方正书宋简体" w:eastAsia="方正书宋简体" w:cs="Times New Roman"/>
                <w:color w:val="auto"/>
                <w:kern w:val="0"/>
                <w:sz w:val="22"/>
              </w:rPr>
              <w:t>82</w:t>
            </w:r>
          </w:p>
        </w:tc>
        <w:tc>
          <w:tcPr>
            <w:tcW w:w="865" w:type="dxa"/>
            <w:vMerge w:val="continue"/>
            <w:tcBorders>
              <w:left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p>
        </w:tc>
        <w:tc>
          <w:tcPr>
            <w:tcW w:w="1220" w:type="dxa"/>
            <w:vMerge w:val="restart"/>
            <w:tcBorders>
              <w:top w:val="single" w:color="auto" w:sz="4" w:space="0"/>
              <w:left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基于自然开展生态修复。</w:t>
            </w:r>
          </w:p>
        </w:tc>
        <w:tc>
          <w:tcPr>
            <w:tcW w:w="75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多举措推进城市绿色更新，将自然的理念落实到城市绿色更新和建设中，以区域相连山脉、水系为骨干，以山水林田湖草为要素,</w:t>
            </w:r>
            <w:r>
              <w:rPr>
                <w:rFonts w:ascii="方正书宋简体" w:eastAsia="方正书宋简体" w:cs="Times New Roman"/>
                <w:color w:val="auto"/>
                <w:kern w:val="0"/>
                <w:sz w:val="24"/>
                <w:szCs w:val="24"/>
              </w:rPr>
              <w:t xml:space="preserve"> </w:t>
            </w:r>
            <w:r>
              <w:rPr>
                <w:rFonts w:hint="eastAsia" w:ascii="方正书宋简体" w:eastAsia="方正书宋简体" w:cs="Times New Roman"/>
                <w:color w:val="auto"/>
                <w:kern w:val="0"/>
                <w:sz w:val="24"/>
                <w:szCs w:val="24"/>
              </w:rPr>
              <w:t>加强生态空间管控，保证生态网络连通性。</w:t>
            </w:r>
          </w:p>
        </w:tc>
        <w:tc>
          <w:tcPr>
            <w:tcW w:w="24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区城市管理局、区住房城乡建委、区林业局等</w:t>
            </w:r>
          </w:p>
        </w:tc>
        <w:tc>
          <w:tcPr>
            <w:tcW w:w="22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r>
              <w:rPr>
                <w:rFonts w:ascii="方正书宋简体" w:eastAsia="方正书宋简体" w:cs="Times New Roman"/>
                <w:color w:val="auto"/>
                <w:kern w:val="0"/>
                <w:sz w:val="22"/>
              </w:rPr>
              <w:t>83</w:t>
            </w:r>
          </w:p>
        </w:tc>
        <w:tc>
          <w:tcPr>
            <w:tcW w:w="865" w:type="dxa"/>
            <w:vMerge w:val="continue"/>
            <w:tcBorders>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p>
        </w:tc>
        <w:tc>
          <w:tcPr>
            <w:tcW w:w="1220" w:type="dxa"/>
            <w:vMerge w:val="continue"/>
            <w:tcBorders>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p>
        </w:tc>
        <w:tc>
          <w:tcPr>
            <w:tcW w:w="75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推进城市“微更新”，采取灰色基础设施改造、绿色空间拓展、空间阻隔消除等措施，营造蓝绿生态空间。</w:t>
            </w:r>
          </w:p>
        </w:tc>
        <w:tc>
          <w:tcPr>
            <w:tcW w:w="24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区城市管理局、区规划自然资源局</w:t>
            </w:r>
          </w:p>
        </w:tc>
        <w:tc>
          <w:tcPr>
            <w:tcW w:w="22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6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r>
              <w:rPr>
                <w:rFonts w:ascii="方正书宋简体" w:eastAsia="方正书宋简体" w:cs="Times New Roman"/>
                <w:color w:val="auto"/>
                <w:kern w:val="0"/>
                <w:sz w:val="22"/>
              </w:rPr>
              <w:t>84</w:t>
            </w:r>
          </w:p>
        </w:tc>
        <w:tc>
          <w:tcPr>
            <w:tcW w:w="86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强化基础设施气候适应能力</w:t>
            </w:r>
          </w:p>
        </w:tc>
        <w:tc>
          <w:tcPr>
            <w:tcW w:w="122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提升市政基础设施适应能力</w:t>
            </w:r>
          </w:p>
        </w:tc>
        <w:tc>
          <w:tcPr>
            <w:tcW w:w="75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sz w:val="24"/>
                <w:szCs w:val="24"/>
              </w:rPr>
            </w:pPr>
            <w:r>
              <w:rPr>
                <w:rFonts w:hint="eastAsia" w:ascii="方正书宋简体" w:eastAsia="方正书宋简体" w:cs="Times New Roman"/>
                <w:color w:val="auto"/>
                <w:kern w:val="0"/>
                <w:sz w:val="24"/>
                <w:szCs w:val="24"/>
              </w:rPr>
              <w:t>城乡规划、重点领域或者区域发展建设规划应当充分考虑气候因素，合理利用空气污染物扩散气象条件，科学设置、调整城市、城镇通风通道。</w:t>
            </w:r>
          </w:p>
        </w:tc>
        <w:tc>
          <w:tcPr>
            <w:tcW w:w="24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区规划自然资源局</w:t>
            </w:r>
          </w:p>
        </w:tc>
        <w:tc>
          <w:tcPr>
            <w:tcW w:w="22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7" w:hRule="atLeast"/>
        </w:trPr>
        <w:tc>
          <w:tcPr>
            <w:tcW w:w="6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r>
              <w:rPr>
                <w:rFonts w:ascii="方正书宋简体" w:eastAsia="方正书宋简体" w:cs="Times New Roman"/>
                <w:color w:val="auto"/>
                <w:kern w:val="0"/>
                <w:sz w:val="22"/>
              </w:rPr>
              <w:t>85</w:t>
            </w:r>
          </w:p>
        </w:tc>
        <w:tc>
          <w:tcPr>
            <w:tcW w:w="8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书宋简体" w:eastAsia="方正书宋简体" w:cs="Times New Roman"/>
                <w:color w:val="auto"/>
                <w:kern w:val="0"/>
                <w:sz w:val="24"/>
                <w:szCs w:val="24"/>
              </w:rPr>
            </w:pPr>
          </w:p>
        </w:tc>
        <w:tc>
          <w:tcPr>
            <w:tcW w:w="12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书宋简体" w:eastAsia="方正书宋简体" w:cs="Times New Roman"/>
                <w:color w:val="auto"/>
                <w:kern w:val="0"/>
                <w:sz w:val="24"/>
                <w:szCs w:val="24"/>
              </w:rPr>
            </w:pPr>
          </w:p>
        </w:tc>
        <w:tc>
          <w:tcPr>
            <w:tcW w:w="75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sz w:val="24"/>
                <w:szCs w:val="24"/>
              </w:rPr>
            </w:pPr>
            <w:r>
              <w:rPr>
                <w:rFonts w:hint="eastAsia" w:ascii="方正书宋简体" w:eastAsia="方正书宋简体" w:cs="Times New Roman"/>
                <w:color w:val="auto"/>
                <w:kern w:val="0"/>
                <w:sz w:val="24"/>
                <w:szCs w:val="24"/>
              </w:rPr>
              <w:t>逐步提升供电、排水、燃气、通信等城市生命线系统建设运行标准。</w:t>
            </w:r>
          </w:p>
        </w:tc>
        <w:tc>
          <w:tcPr>
            <w:tcW w:w="24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区经济信息委、区大数据发展局、区住房城乡建委、国网重庆铜梁供电公司、中国电信铜梁分公司、中国移动铜梁分公司、中国联通铜梁分公司</w:t>
            </w:r>
          </w:p>
        </w:tc>
        <w:tc>
          <w:tcPr>
            <w:tcW w:w="22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r>
              <w:rPr>
                <w:rFonts w:ascii="方正书宋简体" w:eastAsia="方正书宋简体" w:cs="Times New Roman"/>
                <w:color w:val="auto"/>
                <w:kern w:val="0"/>
                <w:sz w:val="22"/>
              </w:rPr>
              <w:t>86</w:t>
            </w:r>
          </w:p>
        </w:tc>
        <w:tc>
          <w:tcPr>
            <w:tcW w:w="8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书宋简体" w:eastAsia="方正书宋简体" w:cs="Times New Roman"/>
                <w:color w:val="auto"/>
                <w:kern w:val="0"/>
                <w:sz w:val="24"/>
                <w:szCs w:val="24"/>
              </w:rPr>
            </w:pPr>
          </w:p>
        </w:tc>
        <w:tc>
          <w:tcPr>
            <w:tcW w:w="12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书宋简体" w:eastAsia="方正书宋简体" w:cs="Times New Roman"/>
                <w:color w:val="auto"/>
                <w:kern w:val="0"/>
                <w:sz w:val="24"/>
                <w:szCs w:val="24"/>
              </w:rPr>
            </w:pPr>
          </w:p>
        </w:tc>
        <w:tc>
          <w:tcPr>
            <w:tcW w:w="75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sz w:val="24"/>
                <w:szCs w:val="24"/>
              </w:rPr>
            </w:pPr>
            <w:r>
              <w:rPr>
                <w:rFonts w:hint="eastAsia" w:ascii="方正书宋简体" w:eastAsia="方正书宋简体" w:cs="Times New Roman"/>
                <w:color w:val="auto"/>
                <w:kern w:val="0"/>
                <w:sz w:val="24"/>
                <w:szCs w:val="24"/>
              </w:rPr>
              <w:t>实施“物联网+智慧排水”计划，建设全区排水系统管理服务信息化平台和大数据中心。</w:t>
            </w:r>
          </w:p>
        </w:tc>
        <w:tc>
          <w:tcPr>
            <w:tcW w:w="24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区住房城乡建委</w:t>
            </w:r>
          </w:p>
        </w:tc>
        <w:tc>
          <w:tcPr>
            <w:tcW w:w="22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r>
              <w:rPr>
                <w:rFonts w:ascii="方正书宋简体" w:eastAsia="方正书宋简体" w:cs="Times New Roman"/>
                <w:color w:val="auto"/>
                <w:kern w:val="0"/>
                <w:sz w:val="22"/>
              </w:rPr>
              <w:t>87</w:t>
            </w:r>
          </w:p>
        </w:tc>
        <w:tc>
          <w:tcPr>
            <w:tcW w:w="8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书宋简体" w:eastAsia="方正书宋简体" w:cs="Times New Roman"/>
                <w:color w:val="auto"/>
                <w:kern w:val="0"/>
                <w:sz w:val="24"/>
                <w:szCs w:val="24"/>
              </w:rPr>
            </w:pPr>
          </w:p>
        </w:tc>
        <w:tc>
          <w:tcPr>
            <w:tcW w:w="12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书宋简体" w:eastAsia="方正书宋简体" w:cs="Times New Roman"/>
                <w:color w:val="auto"/>
                <w:kern w:val="0"/>
                <w:sz w:val="24"/>
                <w:szCs w:val="24"/>
              </w:rPr>
            </w:pPr>
          </w:p>
        </w:tc>
        <w:tc>
          <w:tcPr>
            <w:tcW w:w="75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sz w:val="24"/>
                <w:szCs w:val="24"/>
              </w:rPr>
            </w:pPr>
            <w:r>
              <w:rPr>
                <w:rFonts w:hint="eastAsia" w:ascii="方正书宋简体" w:eastAsia="方正书宋简体" w:cs="Times New Roman"/>
                <w:color w:val="auto"/>
                <w:kern w:val="0"/>
                <w:sz w:val="24"/>
                <w:szCs w:val="24"/>
              </w:rPr>
              <w:t>增强雨洪调蓄能力，到2025年，全区城市建成区50%以上的面积达到海绵城市建设目标要求。</w:t>
            </w:r>
          </w:p>
        </w:tc>
        <w:tc>
          <w:tcPr>
            <w:tcW w:w="24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区住房城乡建委</w:t>
            </w:r>
          </w:p>
        </w:tc>
        <w:tc>
          <w:tcPr>
            <w:tcW w:w="22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trPr>
        <w:tc>
          <w:tcPr>
            <w:tcW w:w="6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2"/>
              </w:rPr>
              <w:t>8</w:t>
            </w:r>
            <w:r>
              <w:rPr>
                <w:rFonts w:ascii="方正书宋简体" w:eastAsia="方正书宋简体" w:cs="Times New Roman"/>
                <w:color w:val="auto"/>
                <w:kern w:val="0"/>
                <w:sz w:val="22"/>
              </w:rPr>
              <w:t>8</w:t>
            </w:r>
          </w:p>
        </w:tc>
        <w:tc>
          <w:tcPr>
            <w:tcW w:w="8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书宋简体" w:eastAsia="方正书宋简体" w:cs="Times New Roman"/>
                <w:color w:val="auto"/>
                <w:kern w:val="0"/>
                <w:sz w:val="24"/>
                <w:szCs w:val="24"/>
              </w:rPr>
            </w:pPr>
          </w:p>
        </w:tc>
        <w:tc>
          <w:tcPr>
            <w:tcW w:w="12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提升水利基础设施适应能力</w:t>
            </w:r>
          </w:p>
        </w:tc>
        <w:tc>
          <w:tcPr>
            <w:tcW w:w="75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sz w:val="24"/>
                <w:szCs w:val="24"/>
              </w:rPr>
            </w:pPr>
            <w:r>
              <w:rPr>
                <w:rFonts w:hint="eastAsia" w:ascii="方正书宋简体" w:eastAsia="方正书宋简体" w:cs="Times New Roman"/>
                <w:color w:val="auto"/>
                <w:kern w:val="0"/>
                <w:sz w:val="24"/>
                <w:szCs w:val="24"/>
              </w:rPr>
              <w:t>深入推进同心桥水库等重大水利工程以及城镇建成区、工业园区、人口聚集区的防洪护岸综合治理，提升辖区防洪能力。实施好大江大河及重要河流水量分配，完善中小河流水量分配方案，提高水资源调控水平和保障能力。健全洪水灾害防御物资储备机制，加强专业型、专用型防洪物资储备，提升防灾物资保障能力。整合水文、水资源、防汛、水库监测、河道生态监测在线监测系统，建设铜梁水利信息中心。</w:t>
            </w:r>
          </w:p>
        </w:tc>
        <w:tc>
          <w:tcPr>
            <w:tcW w:w="24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区水利局</w:t>
            </w:r>
          </w:p>
        </w:tc>
        <w:tc>
          <w:tcPr>
            <w:tcW w:w="22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r>
              <w:rPr>
                <w:rFonts w:ascii="方正书宋简体" w:eastAsia="方正书宋简体" w:cs="Times New Roman"/>
                <w:color w:val="auto"/>
                <w:kern w:val="0"/>
                <w:sz w:val="22"/>
              </w:rPr>
              <w:t>89</w:t>
            </w:r>
          </w:p>
        </w:tc>
        <w:tc>
          <w:tcPr>
            <w:tcW w:w="86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提升重点领域气候适应水平</w:t>
            </w:r>
          </w:p>
        </w:tc>
        <w:tc>
          <w:tcPr>
            <w:tcW w:w="12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提升林业系统气候适应能力</w:t>
            </w:r>
          </w:p>
        </w:tc>
        <w:tc>
          <w:tcPr>
            <w:tcW w:w="75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sz w:val="24"/>
                <w:szCs w:val="24"/>
              </w:rPr>
            </w:pPr>
            <w:r>
              <w:rPr>
                <w:rFonts w:hint="eastAsia" w:ascii="方正书宋简体" w:eastAsia="方正书宋简体" w:cs="Times New Roman"/>
                <w:color w:val="auto"/>
                <w:kern w:val="0"/>
                <w:sz w:val="24"/>
                <w:szCs w:val="24"/>
              </w:rPr>
              <w:t>加大森林及天然林资源保护力度，加强清明、春节等重点时节森林防火管控工作，提升森林火灾和林业有害生物预测预报和发现能力，到2025年，全区森林火灾受害率稳定控制在0.3‰以内。充分发挥铜梁作为国家级林业有害生物中心测报点的骨干作用，加强林业有害生物预测预报，加强与周边区县林业有害生物联防联治，到2025年，全区林业有害生物成灾率控制在</w:t>
            </w:r>
            <w:r>
              <w:rPr>
                <w:rFonts w:ascii="方正书宋简体" w:eastAsia="方正书宋简体" w:cs="Times New Roman"/>
                <w:color w:val="auto"/>
                <w:kern w:val="0"/>
                <w:sz w:val="24"/>
                <w:szCs w:val="24"/>
              </w:rPr>
              <w:t>9</w:t>
            </w:r>
            <w:r>
              <w:rPr>
                <w:rFonts w:hint="eastAsia" w:ascii="方正书宋简体" w:eastAsia="方正书宋简体" w:cs="Times New Roman"/>
                <w:color w:val="auto"/>
                <w:kern w:val="0"/>
                <w:sz w:val="24"/>
                <w:szCs w:val="24"/>
              </w:rPr>
              <w:t>‰以下。</w:t>
            </w:r>
          </w:p>
        </w:tc>
        <w:tc>
          <w:tcPr>
            <w:tcW w:w="24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区林业局</w:t>
            </w:r>
          </w:p>
        </w:tc>
        <w:tc>
          <w:tcPr>
            <w:tcW w:w="22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2"/>
              </w:rPr>
            </w:pPr>
            <w:r>
              <w:rPr>
                <w:rFonts w:ascii="方正书宋简体" w:eastAsia="方正书宋简体" w:cs="Times New Roman"/>
                <w:color w:val="auto"/>
                <w:kern w:val="0"/>
                <w:sz w:val="22"/>
              </w:rPr>
              <w:t>90</w:t>
            </w:r>
          </w:p>
        </w:tc>
        <w:tc>
          <w:tcPr>
            <w:tcW w:w="8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书宋简体" w:eastAsia="方正书宋简体" w:cs="Times New Roman"/>
                <w:color w:val="auto"/>
                <w:kern w:val="0"/>
                <w:sz w:val="24"/>
                <w:szCs w:val="24"/>
              </w:rPr>
            </w:pPr>
          </w:p>
        </w:tc>
        <w:tc>
          <w:tcPr>
            <w:tcW w:w="122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提升农业系统气候适应能力</w:t>
            </w:r>
          </w:p>
        </w:tc>
        <w:tc>
          <w:tcPr>
            <w:tcW w:w="75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sz w:val="24"/>
                <w:szCs w:val="24"/>
              </w:rPr>
            </w:pPr>
            <w:r>
              <w:rPr>
                <w:rFonts w:hint="eastAsia" w:ascii="方正书宋简体" w:eastAsia="方正书宋简体" w:cs="Times New Roman"/>
                <w:color w:val="auto"/>
                <w:kern w:val="0"/>
                <w:sz w:val="24"/>
                <w:szCs w:val="24"/>
              </w:rPr>
              <w:t>加强农业水利基础设施建设，完善灌溉体系，增大渠系水利用系数和水资源利用率。总结干旱、洪涝等气象灾害的发生规律，增强作物抗旱、抗涝能力。继续开展农业保险试点工作。</w:t>
            </w:r>
          </w:p>
        </w:tc>
        <w:tc>
          <w:tcPr>
            <w:tcW w:w="24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区农业农村委</w:t>
            </w:r>
          </w:p>
        </w:tc>
        <w:tc>
          <w:tcPr>
            <w:tcW w:w="22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6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2"/>
              </w:rPr>
              <w:t>9</w:t>
            </w:r>
            <w:r>
              <w:rPr>
                <w:rFonts w:ascii="方正书宋简体" w:eastAsia="方正书宋简体" w:cs="Times New Roman"/>
                <w:color w:val="auto"/>
                <w:kern w:val="0"/>
                <w:sz w:val="22"/>
              </w:rPr>
              <w:t>1</w:t>
            </w:r>
          </w:p>
        </w:tc>
        <w:tc>
          <w:tcPr>
            <w:tcW w:w="8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书宋简体" w:eastAsia="方正书宋简体" w:cs="Times New Roman"/>
                <w:color w:val="auto"/>
                <w:kern w:val="0"/>
                <w:sz w:val="24"/>
                <w:szCs w:val="24"/>
              </w:rPr>
            </w:pPr>
          </w:p>
        </w:tc>
        <w:tc>
          <w:tcPr>
            <w:tcW w:w="12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书宋简体" w:eastAsia="方正书宋简体" w:cs="Times New Roman"/>
                <w:color w:val="auto"/>
                <w:kern w:val="0"/>
                <w:sz w:val="24"/>
                <w:szCs w:val="24"/>
              </w:rPr>
            </w:pPr>
          </w:p>
        </w:tc>
        <w:tc>
          <w:tcPr>
            <w:tcW w:w="75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sz w:val="24"/>
                <w:szCs w:val="24"/>
              </w:rPr>
            </w:pPr>
            <w:r>
              <w:rPr>
                <w:rFonts w:hint="eastAsia" w:ascii="方正书宋简体" w:eastAsia="方正书宋简体" w:cs="Times New Roman"/>
                <w:color w:val="auto"/>
                <w:kern w:val="0"/>
                <w:sz w:val="24"/>
                <w:szCs w:val="24"/>
              </w:rPr>
              <w:t>落实“智慧农业·数字乡村”建设工程，建设3-5个标准化农田气象观测站点，打造2-3个铜梁特色花卉苗木果蔬精细化农业气象服务示范基地，到2025年，全区“直通式”农业气象服务覆盖80%以上新型农业经营主体。</w:t>
            </w:r>
          </w:p>
        </w:tc>
        <w:tc>
          <w:tcPr>
            <w:tcW w:w="24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区农业农村委、区气象局</w:t>
            </w:r>
          </w:p>
        </w:tc>
        <w:tc>
          <w:tcPr>
            <w:tcW w:w="22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2"/>
              </w:rPr>
            </w:pPr>
            <w:r>
              <w:rPr>
                <w:rFonts w:hint="eastAsia" w:ascii="方正书宋简体" w:eastAsia="方正书宋简体" w:cs="Times New Roman"/>
                <w:color w:val="auto"/>
                <w:kern w:val="0"/>
                <w:sz w:val="22"/>
              </w:rPr>
              <w:t>9</w:t>
            </w:r>
            <w:r>
              <w:rPr>
                <w:rFonts w:ascii="方正书宋简体" w:eastAsia="方正书宋简体" w:cs="Times New Roman"/>
                <w:color w:val="auto"/>
                <w:kern w:val="0"/>
                <w:sz w:val="22"/>
              </w:rPr>
              <w:t>2</w:t>
            </w:r>
          </w:p>
        </w:tc>
        <w:tc>
          <w:tcPr>
            <w:tcW w:w="2085"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推动重点区域适应气候变化</w:t>
            </w:r>
          </w:p>
        </w:tc>
        <w:tc>
          <w:tcPr>
            <w:tcW w:w="75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sz w:val="24"/>
                <w:szCs w:val="24"/>
              </w:rPr>
            </w:pPr>
            <w:r>
              <w:rPr>
                <w:rFonts w:hint="eastAsia" w:ascii="方正书宋简体" w:eastAsia="方正书宋简体" w:cs="Times New Roman"/>
                <w:color w:val="auto"/>
                <w:kern w:val="0"/>
                <w:sz w:val="24"/>
                <w:szCs w:val="24"/>
              </w:rPr>
              <w:t>全面落实水土保持“三同时”制度，推进生产建设项目水土保持信用监管。严格遏制人为水土流失，实行遥感监管全覆盖。优化水土保持监测站点布局，开展水土流失动态监测，推进水土保持重要监测点升级改造，提升自动化观测和信息传输能力。加强水土流失治理，实施涪江流域水土流失综合治理，完成市级下达水土流失治理任务。建立健全水土流失水灾害等监测预警体系建设，编制重要江河（水库）预警断面洪水预报及调度方案、重要中小河流洪水风险图、超标准洪水监测预警方案。开展重点城镇山洪灾害调查评价，完善群测群防体系建设。</w:t>
            </w:r>
          </w:p>
        </w:tc>
        <w:tc>
          <w:tcPr>
            <w:tcW w:w="24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区水利局</w:t>
            </w:r>
          </w:p>
        </w:tc>
        <w:tc>
          <w:tcPr>
            <w:tcW w:w="22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6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9</w:t>
            </w:r>
            <w:r>
              <w:rPr>
                <w:rFonts w:ascii="方正书宋简体" w:eastAsia="方正书宋简体" w:cs="Times New Roman"/>
                <w:color w:val="auto"/>
                <w:kern w:val="0"/>
                <w:sz w:val="24"/>
                <w:szCs w:val="24"/>
              </w:rPr>
              <w:t>3</w:t>
            </w:r>
          </w:p>
        </w:tc>
        <w:tc>
          <w:tcPr>
            <w:tcW w:w="86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建立健全气候防灾减灾体系</w:t>
            </w:r>
          </w:p>
        </w:tc>
        <w:tc>
          <w:tcPr>
            <w:tcW w:w="122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建设铜梁智慧气象体系</w:t>
            </w:r>
          </w:p>
        </w:tc>
        <w:tc>
          <w:tcPr>
            <w:tcW w:w="75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sz w:val="24"/>
                <w:szCs w:val="24"/>
              </w:rPr>
            </w:pPr>
            <w:r>
              <w:rPr>
                <w:rFonts w:hint="eastAsia" w:ascii="方正书宋简体" w:eastAsia="方正书宋简体" w:cs="Times New Roman"/>
                <w:color w:val="auto"/>
                <w:kern w:val="0"/>
                <w:sz w:val="24"/>
                <w:szCs w:val="24"/>
              </w:rPr>
              <w:t>依托重庆智慧气象“四天”系统在铜梁落地实施，构建“一平台+三系统”铜梁智慧气象体系。加强各行业主管部门衔接，构建铜梁智慧生态宜居及防灾减灾大数据平台。绘制城市精细化管理气象风险地图，构建铜梁智慧城市气象服务系统。</w:t>
            </w:r>
          </w:p>
        </w:tc>
        <w:tc>
          <w:tcPr>
            <w:tcW w:w="24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区气象局</w:t>
            </w:r>
          </w:p>
        </w:tc>
        <w:tc>
          <w:tcPr>
            <w:tcW w:w="22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区水利局、区农业农村委、区应急局、区城市管理局、区生态环境局、区交通局、区发展改革委等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9</w:t>
            </w:r>
            <w:r>
              <w:rPr>
                <w:rFonts w:ascii="方正书宋简体" w:eastAsia="方正书宋简体" w:cs="Times New Roman"/>
                <w:color w:val="auto"/>
                <w:kern w:val="0"/>
                <w:sz w:val="24"/>
                <w:szCs w:val="24"/>
              </w:rPr>
              <w:t>4</w:t>
            </w:r>
          </w:p>
        </w:tc>
        <w:tc>
          <w:tcPr>
            <w:tcW w:w="8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书宋简体" w:eastAsia="方正书宋简体" w:cs="Times New Roman"/>
                <w:color w:val="auto"/>
                <w:kern w:val="0"/>
                <w:sz w:val="24"/>
                <w:szCs w:val="24"/>
              </w:rPr>
            </w:pPr>
          </w:p>
        </w:tc>
        <w:tc>
          <w:tcPr>
            <w:tcW w:w="12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书宋简体" w:eastAsia="方正书宋简体" w:cs="Times New Roman"/>
                <w:color w:val="auto"/>
                <w:kern w:val="0"/>
                <w:sz w:val="24"/>
                <w:szCs w:val="24"/>
              </w:rPr>
            </w:pPr>
          </w:p>
        </w:tc>
        <w:tc>
          <w:tcPr>
            <w:tcW w:w="75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sz w:val="24"/>
                <w:szCs w:val="24"/>
              </w:rPr>
            </w:pPr>
            <w:r>
              <w:rPr>
                <w:rFonts w:hint="eastAsia" w:ascii="方正书宋简体" w:eastAsia="方正书宋简体" w:cs="Times New Roman"/>
                <w:color w:val="auto"/>
                <w:kern w:val="0"/>
                <w:sz w:val="24"/>
                <w:szCs w:val="24"/>
              </w:rPr>
              <w:t>开展铜梁涪江、琼江等流域洪涝灾害风险评估业务研究，建设智慧水文气象服务系统。</w:t>
            </w:r>
          </w:p>
        </w:tc>
        <w:tc>
          <w:tcPr>
            <w:tcW w:w="24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区气象局</w:t>
            </w:r>
          </w:p>
        </w:tc>
        <w:tc>
          <w:tcPr>
            <w:tcW w:w="22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区水利局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2"/>
              </w:rPr>
            </w:pPr>
            <w:r>
              <w:rPr>
                <w:rFonts w:hint="eastAsia" w:ascii="方正书宋简体" w:eastAsia="方正书宋简体" w:cs="Times New Roman"/>
                <w:color w:val="auto"/>
                <w:kern w:val="0"/>
                <w:sz w:val="22"/>
              </w:rPr>
              <w:t>9</w:t>
            </w:r>
            <w:r>
              <w:rPr>
                <w:rFonts w:ascii="方正书宋简体" w:eastAsia="方正书宋简体" w:cs="Times New Roman"/>
                <w:color w:val="auto"/>
                <w:kern w:val="0"/>
                <w:sz w:val="22"/>
              </w:rPr>
              <w:t>5</w:t>
            </w:r>
          </w:p>
        </w:tc>
        <w:tc>
          <w:tcPr>
            <w:tcW w:w="8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书宋简体" w:eastAsia="方正书宋简体" w:cs="Times New Roman"/>
                <w:color w:val="auto"/>
                <w:kern w:val="0"/>
                <w:sz w:val="24"/>
                <w:szCs w:val="24"/>
              </w:rPr>
            </w:pPr>
          </w:p>
        </w:tc>
        <w:tc>
          <w:tcPr>
            <w:tcW w:w="12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书宋简体" w:eastAsia="方正书宋简体" w:cs="Times New Roman"/>
                <w:color w:val="auto"/>
                <w:kern w:val="0"/>
                <w:sz w:val="24"/>
                <w:szCs w:val="24"/>
              </w:rPr>
            </w:pPr>
          </w:p>
        </w:tc>
        <w:tc>
          <w:tcPr>
            <w:tcW w:w="75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sz w:val="24"/>
                <w:szCs w:val="24"/>
              </w:rPr>
            </w:pPr>
            <w:r>
              <w:rPr>
                <w:rFonts w:hint="eastAsia" w:ascii="方正书宋简体" w:eastAsia="方正书宋简体" w:cs="Times New Roman"/>
                <w:color w:val="auto"/>
                <w:kern w:val="0"/>
                <w:sz w:val="24"/>
                <w:szCs w:val="24"/>
              </w:rPr>
              <w:t>实施辖区内主要经济作物网格化管理，建设铜梁智慧农业气象服务系统。</w:t>
            </w:r>
          </w:p>
        </w:tc>
        <w:tc>
          <w:tcPr>
            <w:tcW w:w="24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区气象局</w:t>
            </w:r>
          </w:p>
        </w:tc>
        <w:tc>
          <w:tcPr>
            <w:tcW w:w="22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区农业农村委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2"/>
              </w:rPr>
            </w:pPr>
            <w:r>
              <w:rPr>
                <w:rFonts w:ascii="方正书宋简体" w:eastAsia="方正书宋简体" w:cs="Times New Roman"/>
                <w:color w:val="auto"/>
                <w:kern w:val="0"/>
                <w:sz w:val="22"/>
              </w:rPr>
              <w:t>96</w:t>
            </w:r>
          </w:p>
        </w:tc>
        <w:tc>
          <w:tcPr>
            <w:tcW w:w="8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书宋简体" w:eastAsia="方正书宋简体" w:cs="Times New Roman"/>
                <w:color w:val="auto"/>
                <w:kern w:val="0"/>
                <w:sz w:val="24"/>
                <w:szCs w:val="24"/>
              </w:rPr>
            </w:pPr>
          </w:p>
        </w:tc>
        <w:tc>
          <w:tcPr>
            <w:tcW w:w="122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加强气候灾害监测评估和预测预警</w:t>
            </w:r>
          </w:p>
        </w:tc>
        <w:tc>
          <w:tcPr>
            <w:tcW w:w="75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sz w:val="24"/>
                <w:szCs w:val="24"/>
              </w:rPr>
            </w:pPr>
            <w:r>
              <w:rPr>
                <w:rFonts w:hint="eastAsia" w:ascii="方正书宋简体" w:eastAsia="方正书宋简体" w:cs="Times New Roman"/>
                <w:color w:val="auto"/>
                <w:kern w:val="0"/>
                <w:sz w:val="24"/>
                <w:szCs w:val="24"/>
              </w:rPr>
              <w:t>强化山洪地质灾害隐患点、城区内涝易发区域、暴雨灾害高风险区等重点区域气象监测预警，推进重点区域基础监测设施建设与升级改造，积极争取相控阵天气雷达落户铜梁。</w:t>
            </w:r>
          </w:p>
        </w:tc>
        <w:tc>
          <w:tcPr>
            <w:tcW w:w="24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区气象局</w:t>
            </w:r>
          </w:p>
        </w:tc>
        <w:tc>
          <w:tcPr>
            <w:tcW w:w="22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r>
              <w:rPr>
                <w:rFonts w:ascii="方正书宋简体" w:eastAsia="方正书宋简体" w:cs="Times New Roman"/>
                <w:color w:val="auto"/>
                <w:kern w:val="0"/>
                <w:sz w:val="22"/>
              </w:rPr>
              <w:t>97</w:t>
            </w:r>
          </w:p>
        </w:tc>
        <w:tc>
          <w:tcPr>
            <w:tcW w:w="8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书宋简体" w:eastAsia="方正书宋简体" w:cs="Times New Roman"/>
                <w:color w:val="auto"/>
                <w:kern w:val="0"/>
                <w:sz w:val="24"/>
                <w:szCs w:val="24"/>
              </w:rPr>
            </w:pPr>
          </w:p>
        </w:tc>
        <w:tc>
          <w:tcPr>
            <w:tcW w:w="12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书宋简体" w:eastAsia="方正书宋简体" w:cs="Times New Roman"/>
                <w:color w:val="auto"/>
                <w:kern w:val="0"/>
                <w:sz w:val="24"/>
                <w:szCs w:val="24"/>
              </w:rPr>
            </w:pPr>
          </w:p>
        </w:tc>
        <w:tc>
          <w:tcPr>
            <w:tcW w:w="75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sz w:val="24"/>
                <w:szCs w:val="24"/>
              </w:rPr>
            </w:pPr>
            <w:r>
              <w:rPr>
                <w:rFonts w:hint="eastAsia" w:ascii="方正书宋简体" w:eastAsia="方正书宋简体" w:cs="Times New Roman"/>
                <w:color w:val="auto"/>
                <w:kern w:val="0"/>
                <w:sz w:val="24"/>
                <w:szCs w:val="24"/>
              </w:rPr>
              <w:t>完善气候灾害预警信息智能发布系统，实现预警信息精准靶向快速推送。加大重点区域、重要农事季节的人工影响天气增雨抗旱、防雹减灾作业力度。</w:t>
            </w:r>
          </w:p>
        </w:tc>
        <w:tc>
          <w:tcPr>
            <w:tcW w:w="24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区气象局</w:t>
            </w:r>
          </w:p>
        </w:tc>
        <w:tc>
          <w:tcPr>
            <w:tcW w:w="22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区应急局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2"/>
              </w:rPr>
              <w:t>98</w:t>
            </w:r>
          </w:p>
        </w:tc>
        <w:tc>
          <w:tcPr>
            <w:tcW w:w="8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书宋简体" w:eastAsia="方正书宋简体" w:cs="Times New Roman"/>
                <w:color w:val="auto"/>
                <w:kern w:val="0"/>
                <w:sz w:val="24"/>
                <w:szCs w:val="24"/>
              </w:rPr>
            </w:pPr>
          </w:p>
        </w:tc>
        <w:tc>
          <w:tcPr>
            <w:tcW w:w="12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完善气候灾害应急预案体系</w:t>
            </w:r>
          </w:p>
        </w:tc>
        <w:tc>
          <w:tcPr>
            <w:tcW w:w="75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sz w:val="24"/>
                <w:szCs w:val="24"/>
              </w:rPr>
            </w:pPr>
            <w:r>
              <w:rPr>
                <w:rFonts w:hint="eastAsia" w:ascii="方正书宋简体" w:eastAsia="方正书宋简体" w:cs="Times New Roman"/>
                <w:color w:val="auto"/>
                <w:kern w:val="0"/>
                <w:sz w:val="24"/>
                <w:szCs w:val="24"/>
              </w:rPr>
              <w:t>落实《重庆市铜梁区突发气象灾害应急预案》（铜府办发〔2021〕30号）。开展气象灾害风险精细化普查，实施差异化气象灾害风险防范措施。建立气象灾害预警分级响应机制，提高救援响应速度、应急救援覆盖率。充分利用铜梁作为国家气象科普基地契机，升级改造人工影响天气作业（科普）基地。</w:t>
            </w:r>
          </w:p>
        </w:tc>
        <w:tc>
          <w:tcPr>
            <w:tcW w:w="24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区气象局</w:t>
            </w:r>
          </w:p>
        </w:tc>
        <w:tc>
          <w:tcPr>
            <w:tcW w:w="22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5026" w:type="dxa"/>
            <w:gridSpan w:val="6"/>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b/>
                <w:bCs/>
                <w:color w:val="auto"/>
                <w:kern w:val="0"/>
                <w:sz w:val="24"/>
                <w:szCs w:val="24"/>
              </w:rPr>
            </w:pPr>
            <w:r>
              <w:rPr>
                <w:rFonts w:hint="eastAsia" w:ascii="方正书宋简体" w:eastAsia="方正书宋简体" w:cs="Times New Roman"/>
                <w:b/>
                <w:bCs/>
                <w:color w:val="auto"/>
                <w:kern w:val="0"/>
                <w:sz w:val="24"/>
                <w:szCs w:val="24"/>
              </w:rPr>
              <w:t>（五）推进应对气候变化治理体系和治理能力现代化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2"/>
              </w:rPr>
            </w:pPr>
            <w:r>
              <w:rPr>
                <w:rFonts w:ascii="方正书宋简体" w:eastAsia="方正书宋简体" w:cs="Times New Roman"/>
                <w:color w:val="auto"/>
                <w:kern w:val="0"/>
                <w:sz w:val="22"/>
              </w:rPr>
              <w:t>99</w:t>
            </w:r>
          </w:p>
        </w:tc>
        <w:tc>
          <w:tcPr>
            <w:tcW w:w="86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建立健全应对气候变化制度</w:t>
            </w:r>
          </w:p>
        </w:tc>
        <w:tc>
          <w:tcPr>
            <w:tcW w:w="12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完善碳排放目标控制制度</w:t>
            </w:r>
          </w:p>
        </w:tc>
        <w:tc>
          <w:tcPr>
            <w:tcW w:w="75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sz w:val="24"/>
                <w:szCs w:val="24"/>
              </w:rPr>
            </w:pPr>
            <w:r>
              <w:rPr>
                <w:rFonts w:hint="eastAsia" w:ascii="方正书宋简体" w:eastAsia="方正书宋简体" w:cs="Times New Roman"/>
                <w:color w:val="auto"/>
                <w:kern w:val="0"/>
                <w:sz w:val="24"/>
                <w:szCs w:val="24"/>
              </w:rPr>
              <w:t>将降低二氧化碳排放强度目标纳入经济社会发展规划、年度计划，制定目标责任评价考核办法，定期对目标完成情况和措施落实情况进行监督。充分结合辖区经济水平、产业结构、能源消费总量、重大基础设施项目，实施碳排放总量削减工作任务。</w:t>
            </w:r>
          </w:p>
        </w:tc>
        <w:tc>
          <w:tcPr>
            <w:tcW w:w="24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区发展改革委、区生态环境局</w:t>
            </w:r>
          </w:p>
        </w:tc>
        <w:tc>
          <w:tcPr>
            <w:tcW w:w="22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r>
              <w:rPr>
                <w:rFonts w:ascii="方正书宋简体" w:eastAsia="方正书宋简体" w:cs="Times New Roman"/>
                <w:color w:val="auto"/>
                <w:kern w:val="0"/>
                <w:sz w:val="22"/>
              </w:rPr>
              <w:t>100</w:t>
            </w:r>
          </w:p>
        </w:tc>
        <w:tc>
          <w:tcPr>
            <w:tcW w:w="8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书宋简体" w:eastAsia="方正书宋简体" w:cs="Times New Roman"/>
                <w:color w:val="auto"/>
                <w:kern w:val="0"/>
                <w:sz w:val="24"/>
                <w:szCs w:val="24"/>
              </w:rPr>
            </w:pPr>
          </w:p>
        </w:tc>
        <w:tc>
          <w:tcPr>
            <w:tcW w:w="1220" w:type="dxa"/>
            <w:vMerge w:val="restart"/>
            <w:tcBorders>
              <w:top w:val="single" w:color="auto" w:sz="4" w:space="0"/>
              <w:left w:val="single" w:color="auto" w:sz="4" w:space="0"/>
              <w:right w:val="single" w:color="auto" w:sz="4" w:space="0"/>
            </w:tcBorders>
            <w:vAlign w:val="center"/>
          </w:tcPr>
          <w:p>
            <w:pPr>
              <w:spacing w:line="300" w:lineRule="exact"/>
              <w:jc w:val="lef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深化应对气候变化统计制度</w:t>
            </w:r>
          </w:p>
        </w:tc>
        <w:tc>
          <w:tcPr>
            <w:tcW w:w="75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常态化编制温室气体清单，加强清单数据核对。</w:t>
            </w:r>
          </w:p>
        </w:tc>
        <w:tc>
          <w:tcPr>
            <w:tcW w:w="24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区生态环境局</w:t>
            </w:r>
          </w:p>
        </w:tc>
        <w:tc>
          <w:tcPr>
            <w:tcW w:w="22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2"/>
              </w:rPr>
              <w:t>101</w:t>
            </w:r>
          </w:p>
        </w:tc>
        <w:tc>
          <w:tcPr>
            <w:tcW w:w="8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书宋简体" w:eastAsia="方正书宋简体" w:cs="Times New Roman"/>
                <w:color w:val="auto"/>
                <w:kern w:val="0"/>
                <w:sz w:val="24"/>
                <w:szCs w:val="24"/>
              </w:rPr>
            </w:pPr>
          </w:p>
        </w:tc>
        <w:tc>
          <w:tcPr>
            <w:tcW w:w="1220" w:type="dxa"/>
            <w:vMerge w:val="continue"/>
            <w:tcBorders>
              <w:left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p>
        </w:tc>
        <w:tc>
          <w:tcPr>
            <w:tcW w:w="75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sz w:val="24"/>
                <w:szCs w:val="24"/>
              </w:rPr>
            </w:pPr>
            <w:r>
              <w:rPr>
                <w:rFonts w:hint="eastAsia" w:ascii="方正书宋简体" w:eastAsia="方正书宋简体" w:cs="Times New Roman"/>
                <w:color w:val="auto"/>
                <w:kern w:val="0"/>
                <w:sz w:val="24"/>
                <w:szCs w:val="24"/>
              </w:rPr>
              <w:t>推动将温室气体排放基础统计指标纳入政府统计指标体系。</w:t>
            </w:r>
          </w:p>
        </w:tc>
        <w:tc>
          <w:tcPr>
            <w:tcW w:w="24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区统计局</w:t>
            </w:r>
          </w:p>
        </w:tc>
        <w:tc>
          <w:tcPr>
            <w:tcW w:w="22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区生态环境局、区林业局、区农业农村委、区水利局、区住房城乡建委等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2"/>
              </w:rPr>
              <w:t>102</w:t>
            </w:r>
          </w:p>
        </w:tc>
        <w:tc>
          <w:tcPr>
            <w:tcW w:w="8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书宋简体" w:eastAsia="方正书宋简体" w:cs="Times New Roman"/>
                <w:color w:val="auto"/>
                <w:kern w:val="0"/>
                <w:sz w:val="24"/>
                <w:szCs w:val="24"/>
              </w:rPr>
            </w:pPr>
          </w:p>
        </w:tc>
        <w:tc>
          <w:tcPr>
            <w:tcW w:w="1220" w:type="dxa"/>
            <w:vMerge w:val="continue"/>
            <w:tcBorders>
              <w:left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p>
        </w:tc>
        <w:tc>
          <w:tcPr>
            <w:tcW w:w="75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探索开展能源平衡表和化石能源碳排放核算，制定化石能源二氧化碳排放年度核算报告。</w:t>
            </w:r>
          </w:p>
        </w:tc>
        <w:tc>
          <w:tcPr>
            <w:tcW w:w="24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区发展改革委、区统计局</w:t>
            </w:r>
          </w:p>
        </w:tc>
        <w:tc>
          <w:tcPr>
            <w:tcW w:w="22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2"/>
              </w:rPr>
            </w:pPr>
            <w:r>
              <w:rPr>
                <w:rFonts w:hint="eastAsia" w:ascii="方正书宋简体" w:eastAsia="方正书宋简体" w:cs="Times New Roman"/>
                <w:color w:val="auto"/>
                <w:kern w:val="0"/>
                <w:sz w:val="22"/>
              </w:rPr>
              <w:t>103</w:t>
            </w:r>
          </w:p>
        </w:tc>
        <w:tc>
          <w:tcPr>
            <w:tcW w:w="8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书宋简体" w:eastAsia="方正书宋简体" w:cs="Times New Roman"/>
                <w:color w:val="auto"/>
                <w:kern w:val="0"/>
                <w:sz w:val="24"/>
                <w:szCs w:val="24"/>
              </w:rPr>
            </w:pPr>
          </w:p>
        </w:tc>
        <w:tc>
          <w:tcPr>
            <w:tcW w:w="1220" w:type="dxa"/>
            <w:vMerge w:val="continue"/>
            <w:tcBorders>
              <w:left w:val="single" w:color="auto" w:sz="4" w:space="0"/>
              <w:right w:val="single" w:color="auto" w:sz="4" w:space="0"/>
            </w:tcBorders>
            <w:vAlign w:val="center"/>
          </w:tcPr>
          <w:p>
            <w:pPr>
              <w:widowControl/>
              <w:jc w:val="left"/>
              <w:rPr>
                <w:rFonts w:ascii="方正书宋简体" w:eastAsia="方正书宋简体" w:cs="Times New Roman"/>
                <w:color w:val="auto"/>
                <w:kern w:val="0"/>
                <w:sz w:val="24"/>
                <w:szCs w:val="24"/>
              </w:rPr>
            </w:pPr>
          </w:p>
        </w:tc>
        <w:tc>
          <w:tcPr>
            <w:tcW w:w="75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sz w:val="24"/>
                <w:szCs w:val="24"/>
              </w:rPr>
            </w:pPr>
            <w:r>
              <w:rPr>
                <w:rFonts w:hint="eastAsia" w:ascii="方正书宋简体" w:eastAsia="方正书宋简体" w:cs="Times New Roman"/>
                <w:color w:val="auto"/>
                <w:kern w:val="0"/>
                <w:sz w:val="24"/>
                <w:szCs w:val="24"/>
              </w:rPr>
              <w:t>探索建立重点企事业碳排放报告制度，指导重点排放单位健全能源消费和碳排放台账记录。</w:t>
            </w:r>
          </w:p>
        </w:tc>
        <w:tc>
          <w:tcPr>
            <w:tcW w:w="24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区发展改革委、区生态环境局、区经济信息委、高新区管委会</w:t>
            </w:r>
          </w:p>
        </w:tc>
        <w:tc>
          <w:tcPr>
            <w:tcW w:w="22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r>
              <w:rPr>
                <w:rFonts w:ascii="方正书宋简体" w:eastAsia="方正书宋简体" w:cs="Times New Roman"/>
                <w:color w:val="auto"/>
                <w:kern w:val="0"/>
                <w:sz w:val="22"/>
              </w:rPr>
              <w:t>104</w:t>
            </w:r>
          </w:p>
        </w:tc>
        <w:tc>
          <w:tcPr>
            <w:tcW w:w="8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书宋简体" w:eastAsia="方正书宋简体" w:cs="Times New Roman"/>
                <w:color w:val="auto"/>
                <w:kern w:val="0"/>
                <w:sz w:val="24"/>
                <w:szCs w:val="24"/>
              </w:rPr>
            </w:pPr>
          </w:p>
        </w:tc>
        <w:tc>
          <w:tcPr>
            <w:tcW w:w="1220" w:type="dxa"/>
            <w:vMerge w:val="continue"/>
            <w:tcBorders>
              <w:left w:val="single" w:color="auto" w:sz="4" w:space="0"/>
              <w:bottom w:val="single" w:color="auto" w:sz="4" w:space="0"/>
              <w:right w:val="single" w:color="auto" w:sz="4" w:space="0"/>
            </w:tcBorders>
            <w:vAlign w:val="center"/>
          </w:tcPr>
          <w:p>
            <w:pPr>
              <w:widowControl/>
              <w:jc w:val="left"/>
              <w:rPr>
                <w:rFonts w:ascii="方正书宋简体" w:eastAsia="方正书宋简体" w:cs="Times New Roman"/>
                <w:color w:val="auto"/>
                <w:kern w:val="0"/>
                <w:sz w:val="24"/>
                <w:szCs w:val="24"/>
              </w:rPr>
            </w:pPr>
          </w:p>
        </w:tc>
        <w:tc>
          <w:tcPr>
            <w:tcW w:w="75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探索开展可再生能源统计核算。</w:t>
            </w:r>
          </w:p>
        </w:tc>
        <w:tc>
          <w:tcPr>
            <w:tcW w:w="24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区发展改革委、区统计局</w:t>
            </w:r>
          </w:p>
        </w:tc>
        <w:tc>
          <w:tcPr>
            <w:tcW w:w="22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2"/>
              </w:rPr>
              <w:t>105</w:t>
            </w:r>
          </w:p>
        </w:tc>
        <w:tc>
          <w:tcPr>
            <w:tcW w:w="8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书宋简体" w:eastAsia="方正书宋简体" w:cs="Times New Roman"/>
                <w:color w:val="auto"/>
                <w:kern w:val="0"/>
                <w:sz w:val="24"/>
                <w:szCs w:val="24"/>
              </w:rPr>
            </w:pPr>
          </w:p>
        </w:tc>
        <w:tc>
          <w:tcPr>
            <w:tcW w:w="12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探索开展温室气体监测</w:t>
            </w:r>
          </w:p>
        </w:tc>
        <w:tc>
          <w:tcPr>
            <w:tcW w:w="75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按照市级部署，开展二氧化碳、甲烷等温室气体浓度监测试点。鼓励水泥等重点行业有条件的企业，开展能源和工业过程温室气体集中排放监测。</w:t>
            </w:r>
          </w:p>
        </w:tc>
        <w:tc>
          <w:tcPr>
            <w:tcW w:w="24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区生态环境局</w:t>
            </w:r>
          </w:p>
        </w:tc>
        <w:tc>
          <w:tcPr>
            <w:tcW w:w="22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2"/>
              </w:rPr>
              <w:t>106</w:t>
            </w:r>
          </w:p>
        </w:tc>
        <w:tc>
          <w:tcPr>
            <w:tcW w:w="8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书宋简体" w:eastAsia="方正书宋简体" w:cs="Times New Roman"/>
                <w:color w:val="auto"/>
                <w:kern w:val="0"/>
                <w:sz w:val="24"/>
                <w:szCs w:val="24"/>
              </w:rPr>
            </w:pPr>
          </w:p>
        </w:tc>
        <w:tc>
          <w:tcPr>
            <w:tcW w:w="1220" w:type="dxa"/>
            <w:vMerge w:val="restart"/>
            <w:tcBorders>
              <w:top w:val="single" w:color="auto" w:sz="4" w:space="0"/>
              <w:left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加强温室气体排放数据管理</w:t>
            </w:r>
          </w:p>
        </w:tc>
        <w:tc>
          <w:tcPr>
            <w:tcW w:w="75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按照市级要求，协同污染源普查制度，开展碳排放普查工作。</w:t>
            </w:r>
          </w:p>
        </w:tc>
        <w:tc>
          <w:tcPr>
            <w:tcW w:w="24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区生态环境局</w:t>
            </w:r>
          </w:p>
        </w:tc>
        <w:tc>
          <w:tcPr>
            <w:tcW w:w="22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2"/>
              </w:rPr>
            </w:pPr>
            <w:r>
              <w:rPr>
                <w:rFonts w:hint="eastAsia" w:ascii="方正书宋简体" w:eastAsia="方正书宋简体" w:cs="Times New Roman"/>
                <w:color w:val="auto"/>
                <w:kern w:val="0"/>
                <w:sz w:val="22"/>
              </w:rPr>
              <w:t>107</w:t>
            </w:r>
          </w:p>
        </w:tc>
        <w:tc>
          <w:tcPr>
            <w:tcW w:w="8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书宋简体" w:eastAsia="方正书宋简体" w:cs="Times New Roman"/>
                <w:color w:val="auto"/>
                <w:kern w:val="0"/>
                <w:sz w:val="24"/>
                <w:szCs w:val="24"/>
              </w:rPr>
            </w:pPr>
          </w:p>
        </w:tc>
        <w:tc>
          <w:tcPr>
            <w:tcW w:w="1220" w:type="dxa"/>
            <w:vMerge w:val="continue"/>
            <w:tcBorders>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p>
        </w:tc>
        <w:tc>
          <w:tcPr>
            <w:tcW w:w="75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推动将全区温室气体清单、碳排放普查、重点企业碳排放和环境统计等多维度数据接入全市温室气体数据云平台。</w:t>
            </w:r>
          </w:p>
        </w:tc>
        <w:tc>
          <w:tcPr>
            <w:tcW w:w="24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区生态环境局、区发展改革委、区统计局</w:t>
            </w:r>
          </w:p>
        </w:tc>
        <w:tc>
          <w:tcPr>
            <w:tcW w:w="22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2"/>
              </w:rPr>
            </w:pPr>
            <w:r>
              <w:rPr>
                <w:rFonts w:hint="eastAsia" w:ascii="方正书宋简体" w:eastAsia="方正书宋简体" w:cs="Times New Roman"/>
                <w:color w:val="auto"/>
                <w:kern w:val="0"/>
                <w:sz w:val="22"/>
              </w:rPr>
              <w:t>1</w:t>
            </w:r>
            <w:r>
              <w:rPr>
                <w:rFonts w:ascii="方正书宋简体" w:eastAsia="方正书宋简体" w:cs="Times New Roman"/>
                <w:color w:val="auto"/>
                <w:kern w:val="0"/>
                <w:sz w:val="22"/>
              </w:rPr>
              <w:t>08</w:t>
            </w:r>
          </w:p>
        </w:tc>
        <w:tc>
          <w:tcPr>
            <w:tcW w:w="8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书宋简体" w:eastAsia="方正书宋简体" w:cs="Times New Roman"/>
                <w:color w:val="auto"/>
                <w:kern w:val="0"/>
                <w:sz w:val="24"/>
                <w:szCs w:val="24"/>
              </w:rPr>
            </w:pPr>
          </w:p>
        </w:tc>
        <w:tc>
          <w:tcPr>
            <w:tcW w:w="1220" w:type="dxa"/>
            <w:vMerge w:val="restart"/>
            <w:tcBorders>
              <w:top w:val="single" w:color="auto" w:sz="4" w:space="0"/>
              <w:left w:val="single" w:color="auto" w:sz="4" w:space="0"/>
              <w:right w:val="single" w:color="auto" w:sz="4" w:space="0"/>
            </w:tcBorders>
            <w:vAlign w:val="center"/>
          </w:tcPr>
          <w:p>
            <w:pPr>
              <w:spacing w:line="300" w:lineRule="exact"/>
              <w:jc w:val="lef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健全应对气候变化信用体系</w:t>
            </w:r>
          </w:p>
        </w:tc>
        <w:tc>
          <w:tcPr>
            <w:tcW w:w="75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对从事各类经营活动的重点排放单位、碳排放三方核查机构及金融机构开展应对气候变化信用评价，及时认定和记录失信行为，并将其纳入社会信用体系。</w:t>
            </w:r>
          </w:p>
        </w:tc>
        <w:tc>
          <w:tcPr>
            <w:tcW w:w="24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区发展改革委、区生态环境局、区人力社保局</w:t>
            </w:r>
          </w:p>
        </w:tc>
        <w:tc>
          <w:tcPr>
            <w:tcW w:w="22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r>
              <w:rPr>
                <w:rFonts w:ascii="方正书宋简体" w:eastAsia="方正书宋简体" w:cs="Times New Roman"/>
                <w:color w:val="auto"/>
                <w:kern w:val="0"/>
                <w:sz w:val="22"/>
              </w:rPr>
              <w:t>109</w:t>
            </w:r>
          </w:p>
        </w:tc>
        <w:tc>
          <w:tcPr>
            <w:tcW w:w="8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书宋简体" w:eastAsia="方正书宋简体" w:cs="Times New Roman"/>
                <w:color w:val="auto"/>
                <w:kern w:val="0"/>
                <w:sz w:val="24"/>
                <w:szCs w:val="24"/>
              </w:rPr>
            </w:pPr>
          </w:p>
        </w:tc>
        <w:tc>
          <w:tcPr>
            <w:tcW w:w="1220" w:type="dxa"/>
            <w:vMerge w:val="continue"/>
            <w:tcBorders>
              <w:left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p>
        </w:tc>
        <w:tc>
          <w:tcPr>
            <w:tcW w:w="75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sz w:val="24"/>
                <w:szCs w:val="24"/>
              </w:rPr>
            </w:pPr>
            <w:r>
              <w:rPr>
                <w:rFonts w:hint="eastAsia" w:ascii="方正书宋简体" w:eastAsia="方正书宋简体" w:cs="Times New Roman"/>
                <w:color w:val="auto"/>
                <w:kern w:val="0"/>
                <w:sz w:val="24"/>
                <w:szCs w:val="24"/>
              </w:rPr>
              <w:t>严格执行《重庆市企业环境信用评价办法》，对未按照规定履行碳排放配额清缴义务的企业给予扣分处理。</w:t>
            </w:r>
          </w:p>
        </w:tc>
        <w:tc>
          <w:tcPr>
            <w:tcW w:w="24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区生态环境局</w:t>
            </w:r>
          </w:p>
        </w:tc>
        <w:tc>
          <w:tcPr>
            <w:tcW w:w="22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1</w:t>
            </w:r>
            <w:r>
              <w:rPr>
                <w:rFonts w:ascii="方正书宋简体" w:eastAsia="方正书宋简体" w:cs="Times New Roman"/>
                <w:color w:val="auto"/>
                <w:kern w:val="0"/>
                <w:sz w:val="24"/>
                <w:szCs w:val="24"/>
              </w:rPr>
              <w:t>10</w:t>
            </w:r>
          </w:p>
        </w:tc>
        <w:tc>
          <w:tcPr>
            <w:tcW w:w="8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书宋简体" w:eastAsia="方正书宋简体" w:cs="Times New Roman"/>
                <w:color w:val="auto"/>
                <w:kern w:val="0"/>
                <w:sz w:val="24"/>
                <w:szCs w:val="24"/>
              </w:rPr>
            </w:pPr>
          </w:p>
        </w:tc>
        <w:tc>
          <w:tcPr>
            <w:tcW w:w="1220" w:type="dxa"/>
            <w:vMerge w:val="continue"/>
            <w:tcBorders>
              <w:left w:val="single" w:color="auto" w:sz="4" w:space="0"/>
              <w:bottom w:val="single" w:color="auto" w:sz="4" w:space="0"/>
              <w:right w:val="single" w:color="auto" w:sz="4" w:space="0"/>
            </w:tcBorders>
            <w:vAlign w:val="center"/>
          </w:tcPr>
          <w:p>
            <w:pPr>
              <w:widowControl/>
              <w:jc w:val="left"/>
              <w:rPr>
                <w:rFonts w:ascii="方正书宋简体" w:eastAsia="方正书宋简体" w:cs="Times New Roman"/>
                <w:color w:val="auto"/>
                <w:kern w:val="0"/>
                <w:sz w:val="24"/>
                <w:szCs w:val="24"/>
              </w:rPr>
            </w:pPr>
          </w:p>
        </w:tc>
        <w:tc>
          <w:tcPr>
            <w:tcW w:w="75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sz w:val="24"/>
                <w:szCs w:val="24"/>
              </w:rPr>
            </w:pPr>
            <w:r>
              <w:rPr>
                <w:rFonts w:hint="eastAsia" w:ascii="方正书宋简体" w:eastAsia="方正书宋简体" w:cs="Times New Roman"/>
                <w:color w:val="auto"/>
                <w:kern w:val="0"/>
                <w:sz w:val="24"/>
                <w:szCs w:val="24"/>
              </w:rPr>
              <w:t>探索建立温室气体排放信息披露制度，鼓励企业和个人主动参与碳中和，开展碳排放信息披露。</w:t>
            </w:r>
          </w:p>
        </w:tc>
        <w:tc>
          <w:tcPr>
            <w:tcW w:w="24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区发展改革委、区生态环境局</w:t>
            </w:r>
          </w:p>
        </w:tc>
        <w:tc>
          <w:tcPr>
            <w:tcW w:w="22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区经济信息委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2"/>
              </w:rPr>
            </w:pPr>
            <w:r>
              <w:rPr>
                <w:rFonts w:hint="eastAsia" w:ascii="方正书宋简体" w:eastAsia="方正书宋简体" w:cs="Times New Roman"/>
                <w:color w:val="auto"/>
                <w:kern w:val="0"/>
                <w:sz w:val="22"/>
              </w:rPr>
              <w:t>111</w:t>
            </w:r>
          </w:p>
        </w:tc>
        <w:tc>
          <w:tcPr>
            <w:tcW w:w="8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书宋简体" w:eastAsia="方正书宋简体" w:cs="Times New Roman"/>
                <w:color w:val="auto"/>
                <w:kern w:val="0"/>
                <w:sz w:val="24"/>
                <w:szCs w:val="24"/>
              </w:rPr>
            </w:pPr>
          </w:p>
        </w:tc>
        <w:tc>
          <w:tcPr>
            <w:tcW w:w="122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构建减污降碳协同治理机制</w:t>
            </w:r>
          </w:p>
        </w:tc>
        <w:tc>
          <w:tcPr>
            <w:tcW w:w="75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sz w:val="24"/>
                <w:szCs w:val="24"/>
              </w:rPr>
            </w:pPr>
            <w:r>
              <w:rPr>
                <w:rFonts w:hint="eastAsia" w:ascii="方正书宋简体" w:eastAsia="方正书宋简体" w:cs="Times New Roman"/>
                <w:color w:val="auto"/>
                <w:kern w:val="0"/>
                <w:sz w:val="24"/>
                <w:szCs w:val="24"/>
              </w:rPr>
              <w:t>加强多部门协同联动减排，督促各部门、单位落实应对气候变化及相关工作职能职责。</w:t>
            </w:r>
          </w:p>
        </w:tc>
        <w:tc>
          <w:tcPr>
            <w:tcW w:w="24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区发展改革委、区生态环境局</w:t>
            </w:r>
          </w:p>
        </w:tc>
        <w:tc>
          <w:tcPr>
            <w:tcW w:w="22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区经济信息委、区交通局、区住房城乡建委、区机关事务局、区文化旅游委、区水利局、区农业农村委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2"/>
              </w:rPr>
              <w:t>112</w:t>
            </w:r>
          </w:p>
        </w:tc>
        <w:tc>
          <w:tcPr>
            <w:tcW w:w="8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2"/>
              </w:rPr>
            </w:pPr>
          </w:p>
        </w:tc>
        <w:tc>
          <w:tcPr>
            <w:tcW w:w="122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2"/>
              </w:rPr>
            </w:pPr>
          </w:p>
        </w:tc>
        <w:tc>
          <w:tcPr>
            <w:tcW w:w="75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2"/>
              </w:rPr>
            </w:pPr>
            <w:r>
              <w:rPr>
                <w:rFonts w:hint="eastAsia" w:ascii="方正书宋简体" w:eastAsia="方正书宋简体" w:cs="Times New Roman"/>
                <w:color w:val="auto"/>
                <w:kern w:val="0"/>
                <w:sz w:val="22"/>
              </w:rPr>
              <w:t>加强碳排放达峰与环境质量改善协同，探索开展碳排放和污染物协同减排。</w:t>
            </w:r>
          </w:p>
        </w:tc>
        <w:tc>
          <w:tcPr>
            <w:tcW w:w="24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2"/>
              </w:rPr>
            </w:pPr>
            <w:r>
              <w:rPr>
                <w:rFonts w:hint="eastAsia" w:ascii="方正书宋简体" w:eastAsia="方正书宋简体" w:cs="Times New Roman"/>
                <w:color w:val="auto"/>
                <w:kern w:val="0"/>
                <w:sz w:val="22"/>
              </w:rPr>
              <w:t>区生态环境局</w:t>
            </w:r>
          </w:p>
        </w:tc>
        <w:tc>
          <w:tcPr>
            <w:tcW w:w="22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2"/>
              </w:rPr>
              <w:t>113</w:t>
            </w:r>
          </w:p>
        </w:tc>
        <w:tc>
          <w:tcPr>
            <w:tcW w:w="8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2"/>
              </w:rPr>
            </w:pPr>
          </w:p>
        </w:tc>
        <w:tc>
          <w:tcPr>
            <w:tcW w:w="122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2"/>
              </w:rPr>
            </w:pPr>
          </w:p>
        </w:tc>
        <w:tc>
          <w:tcPr>
            <w:tcW w:w="75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2"/>
              </w:rPr>
            </w:pPr>
            <w:r>
              <w:rPr>
                <w:rFonts w:hint="eastAsia" w:ascii="方正书宋简体" w:eastAsia="方正书宋简体" w:cs="Times New Roman"/>
                <w:color w:val="auto"/>
                <w:kern w:val="0"/>
                <w:sz w:val="22"/>
              </w:rPr>
              <w:t>在绿色基础设施、森林生态系统保护和可持续管理、可持续农业和粮食系统等领域协同开展适应气候变化和生态保护和修复行动。</w:t>
            </w:r>
          </w:p>
        </w:tc>
        <w:tc>
          <w:tcPr>
            <w:tcW w:w="24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2"/>
              </w:rPr>
            </w:pPr>
            <w:r>
              <w:rPr>
                <w:rFonts w:hint="eastAsia" w:ascii="方正书宋简体" w:eastAsia="方正书宋简体" w:cs="Times New Roman"/>
                <w:color w:val="auto"/>
                <w:kern w:val="0"/>
                <w:sz w:val="22"/>
              </w:rPr>
              <w:t>区生态环境局、区林业局、区交通局、区城乡建委、区发展改革委等</w:t>
            </w:r>
          </w:p>
        </w:tc>
        <w:tc>
          <w:tcPr>
            <w:tcW w:w="22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2"/>
              </w:rPr>
            </w:pPr>
            <w:r>
              <w:rPr>
                <w:rFonts w:hint="eastAsia" w:ascii="方正书宋简体" w:eastAsia="方正书宋简体" w:cs="Times New Roman"/>
                <w:color w:val="auto"/>
                <w:kern w:val="0"/>
                <w:sz w:val="22"/>
              </w:rPr>
              <w:t>114</w:t>
            </w:r>
          </w:p>
        </w:tc>
        <w:tc>
          <w:tcPr>
            <w:tcW w:w="86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强化气候领域科技创新水平</w:t>
            </w:r>
          </w:p>
        </w:tc>
        <w:tc>
          <w:tcPr>
            <w:tcW w:w="1220" w:type="dxa"/>
            <w:vMerge w:val="restart"/>
            <w:tcBorders>
              <w:top w:val="single" w:color="auto" w:sz="4" w:space="0"/>
              <w:left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组织开展重点领域技术攻关</w:t>
            </w:r>
          </w:p>
        </w:tc>
        <w:tc>
          <w:tcPr>
            <w:tcW w:w="75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sz w:val="24"/>
                <w:szCs w:val="24"/>
              </w:rPr>
            </w:pPr>
            <w:r>
              <w:rPr>
                <w:rFonts w:hint="eastAsia" w:ascii="方正书宋简体" w:eastAsia="方正书宋简体" w:cs="Times New Roman"/>
                <w:color w:val="auto"/>
                <w:kern w:val="0"/>
                <w:sz w:val="24"/>
                <w:szCs w:val="24"/>
              </w:rPr>
              <w:t>依托网格化智能预报手段，开展致洪暴雨、强高温事件和持续性干旱等影响生态系统的气象条件和极端气候事件预测研究。</w:t>
            </w:r>
          </w:p>
        </w:tc>
        <w:tc>
          <w:tcPr>
            <w:tcW w:w="24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区气象局</w:t>
            </w:r>
          </w:p>
        </w:tc>
        <w:tc>
          <w:tcPr>
            <w:tcW w:w="22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区水利局、区应急局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2"/>
              </w:rPr>
            </w:pPr>
            <w:r>
              <w:rPr>
                <w:rFonts w:ascii="方正书宋简体" w:eastAsia="方正书宋简体" w:cs="Times New Roman"/>
                <w:color w:val="auto"/>
                <w:kern w:val="0"/>
                <w:sz w:val="22"/>
              </w:rPr>
              <w:t>115</w:t>
            </w:r>
          </w:p>
        </w:tc>
        <w:tc>
          <w:tcPr>
            <w:tcW w:w="8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书宋简体" w:eastAsia="方正书宋简体" w:cs="Times New Roman"/>
                <w:color w:val="auto"/>
                <w:kern w:val="0"/>
                <w:sz w:val="24"/>
                <w:szCs w:val="24"/>
              </w:rPr>
            </w:pPr>
          </w:p>
        </w:tc>
        <w:tc>
          <w:tcPr>
            <w:tcW w:w="1220" w:type="dxa"/>
            <w:vMerge w:val="continue"/>
            <w:tcBorders>
              <w:left w:val="single" w:color="auto" w:sz="4" w:space="0"/>
              <w:right w:val="single" w:color="auto" w:sz="4" w:space="0"/>
            </w:tcBorders>
            <w:vAlign w:val="center"/>
          </w:tcPr>
          <w:p>
            <w:pPr>
              <w:widowControl/>
              <w:jc w:val="left"/>
              <w:rPr>
                <w:rFonts w:ascii="方正书宋简体" w:eastAsia="方正书宋简体" w:cs="Times New Roman"/>
                <w:color w:val="auto"/>
                <w:kern w:val="0"/>
                <w:sz w:val="24"/>
                <w:szCs w:val="24"/>
              </w:rPr>
            </w:pPr>
          </w:p>
        </w:tc>
        <w:tc>
          <w:tcPr>
            <w:tcW w:w="75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sz w:val="24"/>
                <w:szCs w:val="24"/>
              </w:rPr>
            </w:pPr>
            <w:r>
              <w:rPr>
                <w:rFonts w:hint="eastAsia" w:ascii="方正书宋简体" w:eastAsia="方正书宋简体" w:cs="Times New Roman"/>
                <w:color w:val="auto"/>
                <w:kern w:val="0"/>
                <w:sz w:val="24"/>
                <w:szCs w:val="24"/>
              </w:rPr>
              <w:t>做好应对气候变化的支撑和服务工作，将铜梁建成全市智慧气象服务示范区、气象灾害防御示范区、数字乡村气象为农服务示范区。</w:t>
            </w:r>
          </w:p>
        </w:tc>
        <w:tc>
          <w:tcPr>
            <w:tcW w:w="24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区气象局</w:t>
            </w:r>
          </w:p>
        </w:tc>
        <w:tc>
          <w:tcPr>
            <w:tcW w:w="22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区农业农村委、区规划自然资源局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2"/>
              </w:rPr>
            </w:pPr>
            <w:r>
              <w:rPr>
                <w:rFonts w:ascii="方正书宋简体" w:eastAsia="方正书宋简体" w:cs="Times New Roman"/>
                <w:color w:val="auto"/>
                <w:kern w:val="0"/>
                <w:sz w:val="22"/>
              </w:rPr>
              <w:t>116</w:t>
            </w:r>
          </w:p>
        </w:tc>
        <w:tc>
          <w:tcPr>
            <w:tcW w:w="8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2"/>
              </w:rPr>
            </w:pPr>
          </w:p>
        </w:tc>
        <w:tc>
          <w:tcPr>
            <w:tcW w:w="1220" w:type="dxa"/>
            <w:vMerge w:val="continue"/>
            <w:tcBorders>
              <w:left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2"/>
              </w:rPr>
            </w:pPr>
          </w:p>
        </w:tc>
        <w:tc>
          <w:tcPr>
            <w:tcW w:w="75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2"/>
              </w:rPr>
            </w:pPr>
            <w:r>
              <w:rPr>
                <w:rFonts w:hint="eastAsia" w:ascii="方正书宋简体" w:eastAsia="方正书宋简体" w:cs="Times New Roman"/>
                <w:color w:val="auto"/>
                <w:kern w:val="0"/>
                <w:sz w:val="22"/>
              </w:rPr>
              <w:t>支持重点行业节能及余热深度高效利用技术创新。</w:t>
            </w:r>
          </w:p>
        </w:tc>
        <w:tc>
          <w:tcPr>
            <w:tcW w:w="24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2"/>
              </w:rPr>
            </w:pPr>
            <w:r>
              <w:rPr>
                <w:rFonts w:hint="eastAsia" w:ascii="方正书宋简体" w:eastAsia="方正书宋简体" w:cs="Times New Roman"/>
                <w:color w:val="auto"/>
                <w:kern w:val="0"/>
                <w:sz w:val="22"/>
              </w:rPr>
              <w:t>区经济信息委、高新区管委会</w:t>
            </w:r>
          </w:p>
        </w:tc>
        <w:tc>
          <w:tcPr>
            <w:tcW w:w="22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2"/>
              </w:rPr>
            </w:pPr>
            <w:r>
              <w:rPr>
                <w:rFonts w:hint="eastAsia" w:ascii="方正书宋简体" w:eastAsia="方正书宋简体" w:cs="Times New Roman"/>
                <w:color w:val="auto"/>
                <w:kern w:val="0"/>
                <w:sz w:val="22"/>
              </w:rPr>
              <w:t>117</w:t>
            </w:r>
          </w:p>
        </w:tc>
        <w:tc>
          <w:tcPr>
            <w:tcW w:w="8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2"/>
              </w:rPr>
            </w:pPr>
          </w:p>
        </w:tc>
        <w:tc>
          <w:tcPr>
            <w:tcW w:w="1220" w:type="dxa"/>
            <w:vMerge w:val="continue"/>
            <w:tcBorders>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2"/>
              </w:rPr>
            </w:pPr>
          </w:p>
        </w:tc>
        <w:tc>
          <w:tcPr>
            <w:tcW w:w="75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2"/>
              </w:rPr>
            </w:pPr>
            <w:r>
              <w:rPr>
                <w:rFonts w:hint="eastAsia" w:ascii="方正书宋简体" w:eastAsia="方正书宋简体" w:cs="Times New Roman"/>
                <w:color w:val="auto"/>
                <w:kern w:val="0"/>
                <w:sz w:val="22"/>
              </w:rPr>
              <w:t>探索气候可行性论证工作。</w:t>
            </w:r>
          </w:p>
        </w:tc>
        <w:tc>
          <w:tcPr>
            <w:tcW w:w="24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2"/>
              </w:rPr>
            </w:pPr>
            <w:r>
              <w:rPr>
                <w:rFonts w:hint="eastAsia" w:ascii="方正书宋简体" w:eastAsia="方正书宋简体" w:cs="Times New Roman"/>
                <w:color w:val="auto"/>
                <w:kern w:val="0"/>
                <w:sz w:val="22"/>
              </w:rPr>
              <w:t>区气象局</w:t>
            </w:r>
          </w:p>
        </w:tc>
        <w:tc>
          <w:tcPr>
            <w:tcW w:w="22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2"/>
              </w:rPr>
            </w:pPr>
            <w:r>
              <w:rPr>
                <w:rFonts w:ascii="方正书宋简体" w:eastAsia="方正书宋简体" w:cs="Times New Roman"/>
                <w:color w:val="auto"/>
                <w:kern w:val="0"/>
                <w:sz w:val="22"/>
              </w:rPr>
              <w:t>118</w:t>
            </w:r>
          </w:p>
        </w:tc>
        <w:tc>
          <w:tcPr>
            <w:tcW w:w="8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书宋简体" w:eastAsia="方正书宋简体" w:cs="Times New Roman"/>
                <w:color w:val="auto"/>
                <w:kern w:val="0"/>
                <w:sz w:val="24"/>
                <w:szCs w:val="24"/>
              </w:rPr>
            </w:pPr>
          </w:p>
        </w:tc>
        <w:tc>
          <w:tcPr>
            <w:tcW w:w="1220" w:type="dxa"/>
            <w:vMerge w:val="restart"/>
            <w:tcBorders>
              <w:top w:val="single" w:color="auto" w:sz="4" w:space="0"/>
              <w:left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建立低碳技术推广机制</w:t>
            </w:r>
          </w:p>
        </w:tc>
        <w:tc>
          <w:tcPr>
            <w:tcW w:w="75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sz w:val="24"/>
                <w:szCs w:val="24"/>
              </w:rPr>
            </w:pPr>
            <w:r>
              <w:rPr>
                <w:rFonts w:hint="eastAsia" w:ascii="方正书宋简体" w:eastAsia="方正书宋简体" w:cs="Times New Roman"/>
                <w:color w:val="auto"/>
                <w:kern w:val="0"/>
                <w:sz w:val="24"/>
                <w:szCs w:val="24"/>
              </w:rPr>
              <w:t>支持行业龙头企业开展低碳技术研发和成果落地转化，积极参加重点节能低碳技术遴选工作。</w:t>
            </w:r>
          </w:p>
        </w:tc>
        <w:tc>
          <w:tcPr>
            <w:tcW w:w="24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区发展改革委、区经济信息委、区科学技术局</w:t>
            </w:r>
          </w:p>
        </w:tc>
        <w:tc>
          <w:tcPr>
            <w:tcW w:w="22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2"/>
              </w:rPr>
            </w:pPr>
            <w:r>
              <w:rPr>
                <w:rFonts w:hint="eastAsia" w:ascii="方正书宋简体" w:eastAsia="方正书宋简体" w:cs="Times New Roman"/>
                <w:color w:val="auto"/>
                <w:kern w:val="0"/>
                <w:sz w:val="22"/>
              </w:rPr>
              <w:t>119</w:t>
            </w:r>
          </w:p>
        </w:tc>
        <w:tc>
          <w:tcPr>
            <w:tcW w:w="8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书宋简体" w:eastAsia="方正书宋简体" w:cs="Times New Roman"/>
                <w:color w:val="auto"/>
                <w:kern w:val="0"/>
                <w:sz w:val="24"/>
                <w:szCs w:val="24"/>
              </w:rPr>
            </w:pPr>
          </w:p>
        </w:tc>
        <w:tc>
          <w:tcPr>
            <w:tcW w:w="1220" w:type="dxa"/>
            <w:vMerge w:val="continue"/>
            <w:tcBorders>
              <w:left w:val="single" w:color="auto" w:sz="4" w:space="0"/>
              <w:right w:val="single" w:color="auto" w:sz="4" w:space="0"/>
            </w:tcBorders>
            <w:vAlign w:val="center"/>
          </w:tcPr>
          <w:p>
            <w:pPr>
              <w:widowControl/>
              <w:jc w:val="left"/>
              <w:rPr>
                <w:rFonts w:ascii="方正书宋简体" w:eastAsia="方正书宋简体" w:cs="Times New Roman"/>
                <w:color w:val="auto"/>
                <w:kern w:val="0"/>
                <w:sz w:val="24"/>
                <w:szCs w:val="24"/>
              </w:rPr>
            </w:pPr>
          </w:p>
        </w:tc>
        <w:tc>
          <w:tcPr>
            <w:tcW w:w="75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sz w:val="24"/>
                <w:szCs w:val="24"/>
              </w:rPr>
            </w:pPr>
            <w:r>
              <w:rPr>
                <w:rFonts w:hint="eastAsia" w:ascii="方正书宋简体" w:eastAsia="方正书宋简体" w:cs="Times New Roman"/>
                <w:color w:val="auto"/>
                <w:kern w:val="0"/>
                <w:sz w:val="24"/>
                <w:szCs w:val="24"/>
              </w:rPr>
              <w:t>鼓励用能单位、节能服务公司在实施合同能源管理项目过程中采用重点节能低碳技术，采用先进适用的节能新装备、新工艺。</w:t>
            </w:r>
          </w:p>
        </w:tc>
        <w:tc>
          <w:tcPr>
            <w:tcW w:w="24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区发展改革委、区经济信息委</w:t>
            </w:r>
          </w:p>
        </w:tc>
        <w:tc>
          <w:tcPr>
            <w:tcW w:w="22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2"/>
              </w:rPr>
            </w:pPr>
            <w:r>
              <w:rPr>
                <w:rFonts w:hint="eastAsia" w:ascii="方正书宋简体" w:eastAsia="方正书宋简体" w:cs="Times New Roman"/>
                <w:color w:val="auto"/>
                <w:kern w:val="0"/>
                <w:sz w:val="22"/>
              </w:rPr>
              <w:t>120</w:t>
            </w:r>
          </w:p>
        </w:tc>
        <w:tc>
          <w:tcPr>
            <w:tcW w:w="8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2"/>
              </w:rPr>
            </w:pPr>
          </w:p>
        </w:tc>
        <w:tc>
          <w:tcPr>
            <w:tcW w:w="1220" w:type="dxa"/>
            <w:vMerge w:val="continue"/>
            <w:tcBorders>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2"/>
              </w:rPr>
            </w:pPr>
          </w:p>
        </w:tc>
        <w:tc>
          <w:tcPr>
            <w:tcW w:w="75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2"/>
              </w:rPr>
            </w:pPr>
            <w:r>
              <w:rPr>
                <w:rFonts w:hint="eastAsia" w:ascii="方正书宋简体" w:eastAsia="方正书宋简体" w:cs="Times New Roman"/>
                <w:color w:val="auto"/>
                <w:kern w:val="0"/>
                <w:sz w:val="22"/>
              </w:rPr>
              <w:t>支持企业申报清洁能源相关的区级、市级科技项目、科研平台等，鼓励国家高新技术企业开展气候友好型技术创新项目、产品创新。</w:t>
            </w:r>
          </w:p>
        </w:tc>
        <w:tc>
          <w:tcPr>
            <w:tcW w:w="24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2"/>
              </w:rPr>
            </w:pPr>
            <w:r>
              <w:rPr>
                <w:rFonts w:hint="eastAsia" w:ascii="方正书宋简体" w:eastAsia="方正书宋简体" w:cs="Times New Roman"/>
                <w:color w:val="auto"/>
                <w:kern w:val="0"/>
                <w:sz w:val="22"/>
              </w:rPr>
              <w:t>区科学技术局</w:t>
            </w:r>
          </w:p>
        </w:tc>
        <w:tc>
          <w:tcPr>
            <w:tcW w:w="22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2"/>
              </w:rPr>
            </w:pPr>
            <w:r>
              <w:rPr>
                <w:rFonts w:hint="eastAsia" w:ascii="方正书宋简体" w:eastAsia="方正书宋简体" w:cs="Times New Roman"/>
                <w:color w:val="auto"/>
                <w:kern w:val="0"/>
                <w:sz w:val="22"/>
              </w:rPr>
              <w:t>121</w:t>
            </w:r>
          </w:p>
        </w:tc>
        <w:tc>
          <w:tcPr>
            <w:tcW w:w="8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书宋简体" w:eastAsia="方正书宋简体" w:cs="Times New Roman"/>
                <w:color w:val="auto"/>
                <w:kern w:val="0"/>
                <w:sz w:val="24"/>
                <w:szCs w:val="24"/>
              </w:rPr>
            </w:pPr>
          </w:p>
        </w:tc>
        <w:tc>
          <w:tcPr>
            <w:tcW w:w="122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加强关键技术示范应用</w:t>
            </w:r>
          </w:p>
        </w:tc>
        <w:tc>
          <w:tcPr>
            <w:tcW w:w="75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sz w:val="24"/>
                <w:szCs w:val="24"/>
              </w:rPr>
            </w:pPr>
            <w:r>
              <w:rPr>
                <w:rFonts w:hint="eastAsia" w:ascii="方正书宋简体" w:eastAsia="方正书宋简体" w:cs="Times New Roman"/>
                <w:color w:val="auto"/>
                <w:kern w:val="0"/>
                <w:sz w:val="24"/>
                <w:szCs w:val="24"/>
              </w:rPr>
              <w:t>充分发挥环际低碳为龙头的创新技术研发与转化落地的引领作用，加强打造以环际低碳为核心的绿色低碳产业园。</w:t>
            </w:r>
          </w:p>
        </w:tc>
        <w:tc>
          <w:tcPr>
            <w:tcW w:w="24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高新区管委会</w:t>
            </w:r>
          </w:p>
        </w:tc>
        <w:tc>
          <w:tcPr>
            <w:tcW w:w="22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2"/>
              </w:rPr>
            </w:pPr>
            <w:r>
              <w:rPr>
                <w:rFonts w:hint="eastAsia" w:ascii="方正书宋简体" w:eastAsia="方正书宋简体" w:cs="Times New Roman"/>
                <w:color w:val="auto"/>
                <w:kern w:val="0"/>
                <w:sz w:val="22"/>
              </w:rPr>
              <w:t>122</w:t>
            </w:r>
          </w:p>
        </w:tc>
        <w:tc>
          <w:tcPr>
            <w:tcW w:w="8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书宋简体" w:eastAsia="方正书宋简体" w:cs="Times New Roman"/>
                <w:color w:val="auto"/>
                <w:kern w:val="0"/>
                <w:sz w:val="24"/>
                <w:szCs w:val="24"/>
              </w:rPr>
            </w:pPr>
          </w:p>
        </w:tc>
        <w:tc>
          <w:tcPr>
            <w:tcW w:w="12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书宋简体" w:eastAsia="方正书宋简体" w:cs="Times New Roman"/>
                <w:color w:val="auto"/>
                <w:kern w:val="0"/>
                <w:sz w:val="24"/>
                <w:szCs w:val="24"/>
              </w:rPr>
            </w:pPr>
          </w:p>
        </w:tc>
        <w:tc>
          <w:tcPr>
            <w:tcW w:w="75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sz w:val="24"/>
                <w:szCs w:val="24"/>
              </w:rPr>
            </w:pPr>
            <w:r>
              <w:rPr>
                <w:rFonts w:hint="eastAsia" w:ascii="方正书宋简体" w:eastAsia="方正书宋简体" w:cs="Times New Roman"/>
                <w:color w:val="auto"/>
                <w:kern w:val="0"/>
                <w:sz w:val="24"/>
                <w:szCs w:val="24"/>
              </w:rPr>
              <w:t>积极引导科技型企业与重庆大学等知名高校开展校企合作，支持创办国家级、市级工程技术研究中心、协同创新中心和重点实验室等研发机构，推动科技成果在铜梁区内转移转化。</w:t>
            </w:r>
          </w:p>
        </w:tc>
        <w:tc>
          <w:tcPr>
            <w:tcW w:w="24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高新区管委会、区教委、区科学技术局</w:t>
            </w:r>
          </w:p>
        </w:tc>
        <w:tc>
          <w:tcPr>
            <w:tcW w:w="22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2"/>
              </w:rPr>
            </w:pPr>
            <w:r>
              <w:rPr>
                <w:rFonts w:hint="eastAsia" w:ascii="方正书宋简体" w:eastAsia="方正书宋简体" w:cs="Times New Roman"/>
                <w:color w:val="auto"/>
                <w:kern w:val="0"/>
                <w:sz w:val="22"/>
              </w:rPr>
              <w:t>1</w:t>
            </w:r>
            <w:r>
              <w:rPr>
                <w:rFonts w:ascii="方正书宋简体" w:eastAsia="方正书宋简体" w:cs="Times New Roman"/>
                <w:color w:val="auto"/>
                <w:kern w:val="0"/>
                <w:sz w:val="22"/>
              </w:rPr>
              <w:t>23</w:t>
            </w:r>
          </w:p>
        </w:tc>
        <w:tc>
          <w:tcPr>
            <w:tcW w:w="86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建立气候领域人才队伍体系</w:t>
            </w:r>
          </w:p>
        </w:tc>
        <w:tc>
          <w:tcPr>
            <w:tcW w:w="122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加强应对气候变化队伍建设</w:t>
            </w:r>
          </w:p>
        </w:tc>
        <w:tc>
          <w:tcPr>
            <w:tcW w:w="75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sz w:val="24"/>
                <w:szCs w:val="24"/>
              </w:rPr>
            </w:pPr>
            <w:r>
              <w:rPr>
                <w:rFonts w:hint="eastAsia" w:ascii="方正书宋简体" w:eastAsia="方正书宋简体" w:cs="Times New Roman"/>
                <w:color w:val="auto"/>
                <w:kern w:val="0"/>
                <w:sz w:val="24"/>
                <w:szCs w:val="24"/>
              </w:rPr>
              <w:t>建立和完善应对气候变化人才培养激励机制，加强气候变化人才培养，强化参与全国、全市科学评估的人才储备。</w:t>
            </w:r>
          </w:p>
        </w:tc>
        <w:tc>
          <w:tcPr>
            <w:tcW w:w="24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区生态环境局</w:t>
            </w:r>
          </w:p>
        </w:tc>
        <w:tc>
          <w:tcPr>
            <w:tcW w:w="22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区人力社保局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2"/>
              </w:rPr>
            </w:pPr>
            <w:r>
              <w:rPr>
                <w:rFonts w:ascii="方正书宋简体" w:eastAsia="方正书宋简体" w:cs="Times New Roman"/>
                <w:color w:val="auto"/>
                <w:kern w:val="0"/>
                <w:sz w:val="22"/>
              </w:rPr>
              <w:t>124</w:t>
            </w:r>
          </w:p>
        </w:tc>
        <w:tc>
          <w:tcPr>
            <w:tcW w:w="8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书宋简体" w:eastAsia="方正书宋简体" w:cs="Times New Roman"/>
                <w:color w:val="auto"/>
                <w:kern w:val="0"/>
                <w:sz w:val="24"/>
                <w:szCs w:val="24"/>
              </w:rPr>
            </w:pPr>
          </w:p>
        </w:tc>
        <w:tc>
          <w:tcPr>
            <w:tcW w:w="12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书宋简体" w:eastAsia="方正书宋简体" w:cs="Times New Roman"/>
                <w:color w:val="auto"/>
                <w:kern w:val="0"/>
                <w:sz w:val="24"/>
                <w:szCs w:val="24"/>
              </w:rPr>
            </w:pPr>
          </w:p>
        </w:tc>
        <w:tc>
          <w:tcPr>
            <w:tcW w:w="75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sz w:val="24"/>
                <w:szCs w:val="24"/>
              </w:rPr>
            </w:pPr>
            <w:r>
              <w:rPr>
                <w:rFonts w:hint="eastAsia" w:ascii="方正书宋简体" w:eastAsia="方正书宋简体" w:cs="Times New Roman"/>
                <w:color w:val="auto"/>
                <w:kern w:val="0"/>
                <w:sz w:val="24"/>
                <w:szCs w:val="24"/>
              </w:rPr>
              <w:t>加大高端人才引进力度，加快碳排放和碳资产管理专业人才培养，加强统计核算、新闻宣传、战略与政策应对气候变化队伍建设。</w:t>
            </w:r>
          </w:p>
        </w:tc>
        <w:tc>
          <w:tcPr>
            <w:tcW w:w="24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区发展改革委、区统计局、区委宣传部、区生态环境局</w:t>
            </w:r>
          </w:p>
        </w:tc>
        <w:tc>
          <w:tcPr>
            <w:tcW w:w="22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区人力社保局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2"/>
              </w:rPr>
            </w:pPr>
            <w:r>
              <w:rPr>
                <w:rFonts w:ascii="方正书宋简体" w:eastAsia="方正书宋简体" w:cs="Times New Roman"/>
                <w:color w:val="auto"/>
                <w:kern w:val="0"/>
                <w:sz w:val="22"/>
              </w:rPr>
              <w:t>125</w:t>
            </w:r>
          </w:p>
        </w:tc>
        <w:tc>
          <w:tcPr>
            <w:tcW w:w="8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书宋简体" w:eastAsia="方正书宋简体" w:cs="Times New Roman"/>
                <w:color w:val="auto"/>
                <w:kern w:val="0"/>
                <w:sz w:val="24"/>
                <w:szCs w:val="24"/>
              </w:rPr>
            </w:pPr>
          </w:p>
        </w:tc>
        <w:tc>
          <w:tcPr>
            <w:tcW w:w="12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书宋简体" w:eastAsia="方正书宋简体" w:cs="Times New Roman"/>
                <w:color w:val="auto"/>
                <w:kern w:val="0"/>
                <w:sz w:val="24"/>
                <w:szCs w:val="24"/>
              </w:rPr>
            </w:pPr>
          </w:p>
        </w:tc>
        <w:tc>
          <w:tcPr>
            <w:tcW w:w="75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sz w:val="24"/>
                <w:szCs w:val="24"/>
              </w:rPr>
            </w:pPr>
            <w:r>
              <w:rPr>
                <w:rFonts w:hint="eastAsia" w:ascii="方正书宋简体" w:eastAsia="方正书宋简体" w:cs="Times New Roman"/>
                <w:color w:val="auto"/>
                <w:kern w:val="0"/>
                <w:sz w:val="24"/>
                <w:szCs w:val="24"/>
              </w:rPr>
              <w:t>完善气象人才政策和人才培养机制，加强气象灾害防御队伍建设。</w:t>
            </w:r>
          </w:p>
        </w:tc>
        <w:tc>
          <w:tcPr>
            <w:tcW w:w="24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区气象局</w:t>
            </w:r>
          </w:p>
        </w:tc>
        <w:tc>
          <w:tcPr>
            <w:tcW w:w="22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2"/>
              </w:rPr>
            </w:pPr>
            <w:r>
              <w:rPr>
                <w:rFonts w:ascii="方正书宋简体" w:eastAsia="方正书宋简体" w:cs="Times New Roman"/>
                <w:color w:val="auto"/>
                <w:kern w:val="0"/>
                <w:sz w:val="22"/>
              </w:rPr>
              <w:t>126</w:t>
            </w:r>
          </w:p>
        </w:tc>
        <w:tc>
          <w:tcPr>
            <w:tcW w:w="8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书宋简体" w:eastAsia="方正书宋简体" w:cs="Times New Roman"/>
                <w:color w:val="auto"/>
                <w:kern w:val="0"/>
                <w:sz w:val="24"/>
                <w:szCs w:val="24"/>
              </w:rPr>
            </w:pPr>
          </w:p>
        </w:tc>
        <w:tc>
          <w:tcPr>
            <w:tcW w:w="12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书宋简体" w:eastAsia="方正书宋简体" w:cs="Times New Roman"/>
                <w:color w:val="auto"/>
                <w:kern w:val="0"/>
                <w:sz w:val="24"/>
                <w:szCs w:val="24"/>
              </w:rPr>
            </w:pPr>
          </w:p>
        </w:tc>
        <w:tc>
          <w:tcPr>
            <w:tcW w:w="75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sz w:val="24"/>
                <w:szCs w:val="24"/>
              </w:rPr>
            </w:pPr>
            <w:r>
              <w:rPr>
                <w:rFonts w:hint="eastAsia" w:ascii="方正书宋简体" w:eastAsia="方正书宋简体" w:cs="Times New Roman"/>
                <w:color w:val="auto"/>
                <w:kern w:val="0"/>
                <w:sz w:val="24"/>
                <w:szCs w:val="24"/>
              </w:rPr>
              <w:t>引导、支持第三方服务机构和市场中介组织，参与碳达峰、碳中和行动，协助开展规划编制、调整和修订。</w:t>
            </w:r>
          </w:p>
        </w:tc>
        <w:tc>
          <w:tcPr>
            <w:tcW w:w="24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区发展改革委、区生态环境局</w:t>
            </w:r>
          </w:p>
        </w:tc>
        <w:tc>
          <w:tcPr>
            <w:tcW w:w="22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2"/>
              </w:rPr>
            </w:pPr>
            <w:r>
              <w:rPr>
                <w:rFonts w:hint="eastAsia" w:ascii="方正书宋简体" w:eastAsia="方正书宋简体" w:cs="Times New Roman"/>
                <w:color w:val="auto"/>
                <w:kern w:val="0"/>
                <w:sz w:val="22"/>
              </w:rPr>
              <w:t>1</w:t>
            </w:r>
            <w:r>
              <w:rPr>
                <w:rFonts w:ascii="方正书宋简体" w:eastAsia="方正书宋简体" w:cs="Times New Roman"/>
                <w:color w:val="auto"/>
                <w:kern w:val="0"/>
                <w:sz w:val="22"/>
              </w:rPr>
              <w:t>27</w:t>
            </w:r>
          </w:p>
        </w:tc>
        <w:tc>
          <w:tcPr>
            <w:tcW w:w="8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书宋简体" w:eastAsia="方正书宋简体" w:cs="Times New Roman"/>
                <w:color w:val="auto"/>
                <w:kern w:val="0"/>
                <w:sz w:val="24"/>
                <w:szCs w:val="24"/>
              </w:rPr>
            </w:pPr>
          </w:p>
        </w:tc>
        <w:tc>
          <w:tcPr>
            <w:tcW w:w="122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发挥智力支撑作用</w:t>
            </w:r>
          </w:p>
        </w:tc>
        <w:tc>
          <w:tcPr>
            <w:tcW w:w="75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sz w:val="24"/>
                <w:szCs w:val="24"/>
              </w:rPr>
            </w:pPr>
            <w:r>
              <w:rPr>
                <w:rFonts w:hint="eastAsia" w:ascii="方正书宋简体" w:eastAsia="方正书宋简体" w:cs="Times New Roman"/>
                <w:color w:val="auto"/>
                <w:kern w:val="0"/>
                <w:sz w:val="24"/>
                <w:szCs w:val="24"/>
              </w:rPr>
              <w:t>各行业主管部门（单位）积极参加重庆市企业低碳管理能力建设、重庆市低碳发展论坛、企业碳排放核算与核查等交流学习会。</w:t>
            </w:r>
          </w:p>
        </w:tc>
        <w:tc>
          <w:tcPr>
            <w:tcW w:w="24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区发展改革委、区生态环境局</w:t>
            </w:r>
          </w:p>
        </w:tc>
        <w:tc>
          <w:tcPr>
            <w:tcW w:w="22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2"/>
              </w:rPr>
            </w:pPr>
            <w:r>
              <w:rPr>
                <w:rFonts w:hint="eastAsia" w:ascii="方正书宋简体" w:eastAsia="方正书宋简体" w:cs="Times New Roman"/>
                <w:color w:val="auto"/>
                <w:kern w:val="0"/>
                <w:sz w:val="22"/>
              </w:rPr>
              <w:t>1</w:t>
            </w:r>
            <w:r>
              <w:rPr>
                <w:rFonts w:ascii="方正书宋简体" w:eastAsia="方正书宋简体" w:cs="Times New Roman"/>
                <w:color w:val="auto"/>
                <w:kern w:val="0"/>
                <w:sz w:val="22"/>
              </w:rPr>
              <w:t>28</w:t>
            </w:r>
          </w:p>
        </w:tc>
        <w:tc>
          <w:tcPr>
            <w:tcW w:w="8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书宋简体" w:eastAsia="方正书宋简体" w:cs="Times New Roman"/>
                <w:color w:val="auto"/>
                <w:kern w:val="0"/>
                <w:sz w:val="24"/>
                <w:szCs w:val="24"/>
              </w:rPr>
            </w:pPr>
          </w:p>
        </w:tc>
        <w:tc>
          <w:tcPr>
            <w:tcW w:w="12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书宋简体" w:eastAsia="方正书宋简体" w:cs="Times New Roman"/>
                <w:color w:val="auto"/>
                <w:kern w:val="0"/>
                <w:sz w:val="24"/>
                <w:szCs w:val="24"/>
              </w:rPr>
            </w:pPr>
          </w:p>
        </w:tc>
        <w:tc>
          <w:tcPr>
            <w:tcW w:w="75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sz w:val="24"/>
                <w:szCs w:val="24"/>
              </w:rPr>
            </w:pPr>
            <w:r>
              <w:rPr>
                <w:rFonts w:hint="eastAsia" w:ascii="方正书宋简体" w:eastAsia="方正书宋简体" w:cs="Times New Roman"/>
                <w:color w:val="auto"/>
                <w:kern w:val="0"/>
                <w:sz w:val="24"/>
                <w:szCs w:val="24"/>
              </w:rPr>
              <w:t>加强对企业管理者等培训，增强企业家的低碳战略决策能力。</w:t>
            </w:r>
          </w:p>
        </w:tc>
        <w:tc>
          <w:tcPr>
            <w:tcW w:w="24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区人力社保局</w:t>
            </w:r>
          </w:p>
        </w:tc>
        <w:tc>
          <w:tcPr>
            <w:tcW w:w="22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2"/>
              </w:rPr>
            </w:pPr>
            <w:r>
              <w:rPr>
                <w:rFonts w:hint="eastAsia" w:ascii="方正书宋简体" w:eastAsia="方正书宋简体" w:cs="Times New Roman"/>
                <w:color w:val="auto"/>
                <w:kern w:val="0"/>
                <w:sz w:val="22"/>
              </w:rPr>
              <w:t>12</w:t>
            </w:r>
            <w:r>
              <w:rPr>
                <w:rFonts w:ascii="方正书宋简体" w:eastAsia="方正书宋简体" w:cs="Times New Roman"/>
                <w:color w:val="auto"/>
                <w:kern w:val="0"/>
                <w:sz w:val="22"/>
              </w:rPr>
              <w:t>9</w:t>
            </w:r>
          </w:p>
        </w:tc>
        <w:tc>
          <w:tcPr>
            <w:tcW w:w="8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书宋简体" w:eastAsia="方正书宋简体" w:cs="Times New Roman"/>
                <w:color w:val="auto"/>
                <w:kern w:val="0"/>
                <w:sz w:val="24"/>
                <w:szCs w:val="24"/>
              </w:rPr>
            </w:pPr>
          </w:p>
        </w:tc>
        <w:tc>
          <w:tcPr>
            <w:tcW w:w="12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书宋简体" w:eastAsia="方正书宋简体" w:cs="Times New Roman"/>
                <w:color w:val="auto"/>
                <w:kern w:val="0"/>
                <w:sz w:val="24"/>
                <w:szCs w:val="24"/>
              </w:rPr>
            </w:pPr>
          </w:p>
        </w:tc>
        <w:tc>
          <w:tcPr>
            <w:tcW w:w="75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sz w:val="24"/>
                <w:szCs w:val="24"/>
              </w:rPr>
            </w:pPr>
            <w:r>
              <w:rPr>
                <w:rFonts w:hint="eastAsia" w:ascii="方正书宋简体" w:eastAsia="方正书宋简体" w:cs="Times New Roman"/>
                <w:color w:val="auto"/>
                <w:kern w:val="0"/>
                <w:sz w:val="24"/>
                <w:szCs w:val="24"/>
              </w:rPr>
              <w:t>壮大高新区企业家顾问委员会力量，为企业低碳发展、产学研用合作对接提供决策服务支持。鼓励各企业积极培养企业节能、低碳发展专业人才。</w:t>
            </w:r>
          </w:p>
        </w:tc>
        <w:tc>
          <w:tcPr>
            <w:tcW w:w="24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高新区管委会</w:t>
            </w:r>
          </w:p>
        </w:tc>
        <w:tc>
          <w:tcPr>
            <w:tcW w:w="22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5026" w:type="dxa"/>
            <w:gridSpan w:val="6"/>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b/>
                <w:bCs/>
                <w:color w:val="auto"/>
                <w:kern w:val="0"/>
                <w:sz w:val="24"/>
                <w:szCs w:val="24"/>
              </w:rPr>
            </w:pPr>
            <w:r>
              <w:rPr>
                <w:rFonts w:hint="eastAsia" w:ascii="方正书宋简体" w:eastAsia="方正书宋简体" w:cs="Times New Roman"/>
                <w:b/>
                <w:bCs/>
                <w:color w:val="auto"/>
                <w:kern w:val="0"/>
                <w:sz w:val="24"/>
                <w:szCs w:val="24"/>
              </w:rPr>
              <w:t>（六）建立健全应对气候变化激励约束机制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2"/>
              </w:rPr>
            </w:pPr>
            <w:r>
              <w:rPr>
                <w:rFonts w:ascii="方正书宋简体" w:eastAsia="方正书宋简体" w:cs="Times New Roman"/>
                <w:color w:val="auto"/>
                <w:kern w:val="0"/>
                <w:sz w:val="22"/>
              </w:rPr>
              <w:t>130</w:t>
            </w:r>
          </w:p>
        </w:tc>
        <w:tc>
          <w:tcPr>
            <w:tcW w:w="208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完善应对气候变化领域财税政策</w:t>
            </w:r>
          </w:p>
        </w:tc>
        <w:tc>
          <w:tcPr>
            <w:tcW w:w="75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加大对应对气候变化财政投入力度，积极支持绿色环保产业发展、能源高效利用、资源循环利用等气候友好型项目。</w:t>
            </w:r>
          </w:p>
        </w:tc>
        <w:tc>
          <w:tcPr>
            <w:tcW w:w="24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区财政局</w:t>
            </w:r>
          </w:p>
        </w:tc>
        <w:tc>
          <w:tcPr>
            <w:tcW w:w="22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2"/>
              </w:rPr>
            </w:pPr>
            <w:r>
              <w:rPr>
                <w:rFonts w:ascii="方正书宋简体" w:eastAsia="方正书宋简体" w:cs="Times New Roman"/>
                <w:color w:val="auto"/>
                <w:kern w:val="0"/>
                <w:sz w:val="22"/>
              </w:rPr>
              <w:t>131</w:t>
            </w:r>
          </w:p>
        </w:tc>
        <w:tc>
          <w:tcPr>
            <w:tcW w:w="208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p>
        </w:tc>
        <w:tc>
          <w:tcPr>
            <w:tcW w:w="75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建立多元化投资机制，探索开展气候投融资试点，创新金融产品和投融资模式，引导更多社会资金投向应对气候变化领域。</w:t>
            </w:r>
          </w:p>
        </w:tc>
        <w:tc>
          <w:tcPr>
            <w:tcW w:w="24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区财政局、区金融发展中心</w:t>
            </w:r>
          </w:p>
        </w:tc>
        <w:tc>
          <w:tcPr>
            <w:tcW w:w="22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2"/>
              </w:rPr>
            </w:pPr>
            <w:r>
              <w:rPr>
                <w:rFonts w:ascii="方正书宋简体" w:eastAsia="方正书宋简体" w:cs="Times New Roman"/>
                <w:color w:val="auto"/>
                <w:kern w:val="0"/>
                <w:sz w:val="22"/>
              </w:rPr>
              <w:t>132</w:t>
            </w:r>
          </w:p>
        </w:tc>
        <w:tc>
          <w:tcPr>
            <w:tcW w:w="208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p>
        </w:tc>
        <w:tc>
          <w:tcPr>
            <w:tcW w:w="75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严格落实《环境保护税法》，落实对符合条件的节能、降碳、环保、生态建设、绿色建筑、战略性新兴产业等领域的税收优惠政策。</w:t>
            </w:r>
          </w:p>
        </w:tc>
        <w:tc>
          <w:tcPr>
            <w:tcW w:w="24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区税务局、区生态环境局</w:t>
            </w:r>
          </w:p>
        </w:tc>
        <w:tc>
          <w:tcPr>
            <w:tcW w:w="22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2"/>
              </w:rPr>
            </w:pPr>
            <w:r>
              <w:rPr>
                <w:rFonts w:ascii="方正书宋简体" w:eastAsia="方正书宋简体" w:cs="Times New Roman"/>
                <w:color w:val="auto"/>
                <w:kern w:val="0"/>
                <w:sz w:val="22"/>
              </w:rPr>
              <w:t>133</w:t>
            </w:r>
          </w:p>
        </w:tc>
        <w:tc>
          <w:tcPr>
            <w:tcW w:w="208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书宋简体" w:eastAsia="方正书宋简体" w:cs="Times New Roman"/>
                <w:color w:val="auto"/>
                <w:kern w:val="0"/>
                <w:sz w:val="24"/>
                <w:szCs w:val="24"/>
              </w:rPr>
            </w:pPr>
          </w:p>
        </w:tc>
        <w:tc>
          <w:tcPr>
            <w:tcW w:w="75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进一步完善能源价格政策，严格实施差别电价、惩罚性电价、峰谷电价、阶梯气价等。探索建立基于单位产值能耗、污染物排放的差别化电价政策。</w:t>
            </w:r>
          </w:p>
        </w:tc>
        <w:tc>
          <w:tcPr>
            <w:tcW w:w="24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区发展改革委</w:t>
            </w:r>
          </w:p>
        </w:tc>
        <w:tc>
          <w:tcPr>
            <w:tcW w:w="22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2"/>
              </w:rPr>
            </w:pPr>
            <w:r>
              <w:rPr>
                <w:rFonts w:ascii="方正书宋简体" w:eastAsia="方正书宋简体" w:cs="Times New Roman"/>
                <w:color w:val="auto"/>
                <w:kern w:val="0"/>
                <w:sz w:val="22"/>
              </w:rPr>
              <w:t>134</w:t>
            </w:r>
          </w:p>
        </w:tc>
        <w:tc>
          <w:tcPr>
            <w:tcW w:w="2085" w:type="dxa"/>
            <w:gridSpan w:val="2"/>
            <w:vMerge w:val="restart"/>
            <w:tcBorders>
              <w:top w:val="single" w:color="auto" w:sz="4" w:space="0"/>
              <w:left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增加绿色低碳产品采购</w:t>
            </w:r>
          </w:p>
        </w:tc>
        <w:tc>
          <w:tcPr>
            <w:tcW w:w="75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完善政府绿色采购体系，建立健全绿色供应商、绿色产品管理名录库，依据品目清单和认证证书进行优先采购。对于未列入品目清单的产品类别，引导采购人在采购需求中提出生态环境保护要求。</w:t>
            </w:r>
          </w:p>
        </w:tc>
        <w:tc>
          <w:tcPr>
            <w:tcW w:w="24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区财政局</w:t>
            </w:r>
          </w:p>
        </w:tc>
        <w:tc>
          <w:tcPr>
            <w:tcW w:w="22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区级各部门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2"/>
              </w:rPr>
            </w:pPr>
            <w:r>
              <w:rPr>
                <w:rFonts w:hint="eastAsia" w:ascii="方正书宋简体" w:eastAsia="方正书宋简体" w:cs="Times New Roman"/>
                <w:color w:val="auto"/>
                <w:kern w:val="0"/>
                <w:sz w:val="22"/>
              </w:rPr>
              <w:t>13</w:t>
            </w:r>
            <w:r>
              <w:rPr>
                <w:rFonts w:ascii="方正书宋简体" w:eastAsia="方正书宋简体" w:cs="Times New Roman"/>
                <w:color w:val="auto"/>
                <w:kern w:val="0"/>
                <w:sz w:val="22"/>
              </w:rPr>
              <w:t>5</w:t>
            </w:r>
          </w:p>
        </w:tc>
        <w:tc>
          <w:tcPr>
            <w:tcW w:w="2085" w:type="dxa"/>
            <w:gridSpan w:val="2"/>
            <w:vMerge w:val="continue"/>
            <w:tcBorders>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p>
        </w:tc>
        <w:tc>
          <w:tcPr>
            <w:tcW w:w="75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加强对企业和居民采购绿色产品的引导，鼓励大型商超优先引入绿色低碳产品，设立绿色产品销售专区。</w:t>
            </w:r>
          </w:p>
        </w:tc>
        <w:tc>
          <w:tcPr>
            <w:tcW w:w="24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区商务委</w:t>
            </w:r>
          </w:p>
        </w:tc>
        <w:tc>
          <w:tcPr>
            <w:tcW w:w="22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2"/>
              </w:rPr>
            </w:pPr>
            <w:r>
              <w:rPr>
                <w:rFonts w:hint="eastAsia" w:ascii="方正书宋简体" w:eastAsia="方正书宋简体" w:cs="Times New Roman"/>
                <w:color w:val="auto"/>
                <w:kern w:val="0"/>
                <w:sz w:val="22"/>
              </w:rPr>
              <w:t>13</w:t>
            </w:r>
            <w:r>
              <w:rPr>
                <w:rFonts w:ascii="方正书宋简体" w:eastAsia="方正书宋简体" w:cs="Times New Roman"/>
                <w:color w:val="auto"/>
                <w:kern w:val="0"/>
                <w:sz w:val="22"/>
              </w:rPr>
              <w:t>6</w:t>
            </w:r>
          </w:p>
        </w:tc>
        <w:tc>
          <w:tcPr>
            <w:tcW w:w="2085"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夯实碳交易工作基础</w:t>
            </w:r>
          </w:p>
        </w:tc>
        <w:tc>
          <w:tcPr>
            <w:tcW w:w="75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做好项目储备，落实《温室气体自愿减排交易管理暂行办法》（发改气候〔</w:t>
            </w:r>
            <w:r>
              <w:rPr>
                <w:rFonts w:ascii="方正书宋简体" w:eastAsia="方正书宋简体" w:cs="Times New Roman"/>
                <w:color w:val="auto"/>
                <w:kern w:val="0"/>
                <w:sz w:val="24"/>
                <w:szCs w:val="24"/>
              </w:rPr>
              <w:t>2012</w:t>
            </w:r>
            <w:r>
              <w:rPr>
                <w:rFonts w:hint="eastAsia" w:ascii="方正书宋简体" w:eastAsia="方正书宋简体" w:cs="Times New Roman"/>
                <w:color w:val="auto"/>
                <w:kern w:val="0"/>
                <w:sz w:val="24"/>
                <w:szCs w:val="24"/>
              </w:rPr>
              <w:t>〕</w:t>
            </w:r>
            <w:r>
              <w:rPr>
                <w:rFonts w:ascii="方正书宋简体" w:eastAsia="方正书宋简体" w:cs="Times New Roman"/>
                <w:color w:val="auto"/>
                <w:kern w:val="0"/>
                <w:sz w:val="24"/>
                <w:szCs w:val="24"/>
              </w:rPr>
              <w:t>1668</w:t>
            </w:r>
            <w:r>
              <w:rPr>
                <w:rFonts w:hint="eastAsia" w:ascii="方正书宋简体" w:eastAsia="方正书宋简体" w:cs="Times New Roman"/>
                <w:color w:val="auto"/>
                <w:kern w:val="0"/>
                <w:sz w:val="24"/>
                <w:szCs w:val="24"/>
              </w:rPr>
              <w:t>号），鼓励机构、企业、团体和个人开发温室气体自愿减排项目并参与温室气体自愿减排量交易。督促企业完善碳报告制度，健全企业内碳排放监测、报告、核查、复查工作体系，引导企业逐步建立碳排放台账制度。以辖区内环保服务类型企业为重点，支持企业安排人员开展碳排放管理员培训、考核。</w:t>
            </w:r>
          </w:p>
        </w:tc>
        <w:tc>
          <w:tcPr>
            <w:tcW w:w="24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区生态环境局、区发展改革委</w:t>
            </w:r>
          </w:p>
        </w:tc>
        <w:tc>
          <w:tcPr>
            <w:tcW w:w="22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2"/>
              </w:rPr>
            </w:pPr>
            <w:r>
              <w:rPr>
                <w:rFonts w:hint="eastAsia" w:ascii="方正书宋简体" w:eastAsia="方正书宋简体" w:cs="Times New Roman"/>
                <w:color w:val="auto"/>
                <w:kern w:val="0"/>
                <w:sz w:val="22"/>
              </w:rPr>
              <w:t>1</w:t>
            </w:r>
            <w:r>
              <w:rPr>
                <w:rFonts w:ascii="方正书宋简体" w:eastAsia="方正书宋简体" w:cs="Times New Roman"/>
                <w:color w:val="auto"/>
                <w:kern w:val="0"/>
                <w:sz w:val="22"/>
              </w:rPr>
              <w:t>37</w:t>
            </w:r>
          </w:p>
        </w:tc>
        <w:tc>
          <w:tcPr>
            <w:tcW w:w="2085"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积极参与碳市场建设</w:t>
            </w:r>
          </w:p>
        </w:tc>
        <w:tc>
          <w:tcPr>
            <w:tcW w:w="75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严格落实《重庆市碳排放权交易管理暂行办法》，落实重庆市碳排放配额分配管理机制，积极参与重庆市碳排放权交易。加强辖区内温室气体排放报告及核查、碳排放配额清缴等相关活动监督管理。积极组织重点排放单位开展自查，健全定期核实和随机抽查工作机制，加强企业碳排放数据质量的监督管理。强化排放单位温室气体排放报告核查结果运用，采取“双随机、一公开”方式，确定监督检查重点和频次。</w:t>
            </w:r>
          </w:p>
        </w:tc>
        <w:tc>
          <w:tcPr>
            <w:tcW w:w="24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区生态环境局</w:t>
            </w:r>
          </w:p>
        </w:tc>
        <w:tc>
          <w:tcPr>
            <w:tcW w:w="22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2"/>
              </w:rPr>
            </w:pPr>
            <w:r>
              <w:rPr>
                <w:rFonts w:ascii="方正书宋简体" w:eastAsia="方正书宋简体" w:cs="Times New Roman"/>
                <w:color w:val="auto"/>
                <w:kern w:val="0"/>
                <w:sz w:val="22"/>
              </w:rPr>
              <w:t>138</w:t>
            </w:r>
          </w:p>
        </w:tc>
        <w:tc>
          <w:tcPr>
            <w:tcW w:w="208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落实“碳汇通”生态产品价值实现机制</w:t>
            </w:r>
          </w:p>
        </w:tc>
        <w:tc>
          <w:tcPr>
            <w:tcW w:w="75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严格执行《重庆市“碳惠通”生态产品价值实现平台管理办法（试行）》，鼓励辖区内满足条件的非水可再生能源、绿色建筑、交通领域的碳减排，森林碳汇、农林领域的甲烷减少及利用，垃圾填埋处理及污水处理等方式的甲烷利用等申请“碳惠通”项目。</w:t>
            </w:r>
          </w:p>
        </w:tc>
        <w:tc>
          <w:tcPr>
            <w:tcW w:w="24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区生态环境局</w:t>
            </w:r>
          </w:p>
        </w:tc>
        <w:tc>
          <w:tcPr>
            <w:tcW w:w="22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2"/>
              </w:rPr>
            </w:pPr>
            <w:r>
              <w:rPr>
                <w:rFonts w:ascii="方正书宋简体" w:eastAsia="方正书宋简体" w:cs="Times New Roman"/>
                <w:color w:val="auto"/>
                <w:kern w:val="0"/>
                <w:sz w:val="22"/>
              </w:rPr>
              <w:t>139</w:t>
            </w:r>
          </w:p>
        </w:tc>
        <w:tc>
          <w:tcPr>
            <w:tcW w:w="208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书宋简体" w:eastAsia="方正书宋简体" w:cs="Times New Roman"/>
                <w:color w:val="auto"/>
                <w:kern w:val="0"/>
                <w:sz w:val="24"/>
                <w:szCs w:val="24"/>
              </w:rPr>
            </w:pPr>
          </w:p>
        </w:tc>
        <w:tc>
          <w:tcPr>
            <w:tcW w:w="75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鼓励企事业单位、团体、协会等社会组织按照评价规范要求参与“碳惠通”低碳场景创建工作，推动居民购买“碳惠通”产品，以碳积分形式，享受平台上合作商家的商品、服务优惠等。</w:t>
            </w:r>
          </w:p>
        </w:tc>
        <w:tc>
          <w:tcPr>
            <w:tcW w:w="24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区生态环境局、区商务委</w:t>
            </w:r>
          </w:p>
        </w:tc>
        <w:tc>
          <w:tcPr>
            <w:tcW w:w="22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2"/>
              </w:rPr>
            </w:pPr>
            <w:r>
              <w:rPr>
                <w:rFonts w:hint="eastAsia" w:ascii="方正书宋简体" w:eastAsia="方正书宋简体" w:cs="Times New Roman"/>
                <w:color w:val="auto"/>
                <w:kern w:val="0"/>
                <w:sz w:val="22"/>
              </w:rPr>
              <w:t>1</w:t>
            </w:r>
            <w:r>
              <w:rPr>
                <w:rFonts w:ascii="方正书宋简体" w:eastAsia="方正书宋简体" w:cs="Times New Roman"/>
                <w:color w:val="auto"/>
                <w:kern w:val="0"/>
                <w:sz w:val="22"/>
              </w:rPr>
              <w:t>40</w:t>
            </w:r>
          </w:p>
        </w:tc>
        <w:tc>
          <w:tcPr>
            <w:tcW w:w="208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积极推进气候投融资工作</w:t>
            </w:r>
          </w:p>
        </w:tc>
        <w:tc>
          <w:tcPr>
            <w:tcW w:w="75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推动金融市场发展，支持和激励各类金融机构开发气候友好型的绿色金融产品。以碳金融创新为核心，积极开发绿色信贷、绿色债券、绿色基金、绿色保险等各类绿色金融工具，探索开发一批可持续、可推广的气候投融资模式，引导金融资本投入试点项目建设。</w:t>
            </w:r>
          </w:p>
        </w:tc>
        <w:tc>
          <w:tcPr>
            <w:tcW w:w="24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区财政局、区金融发展中心</w:t>
            </w:r>
          </w:p>
        </w:tc>
        <w:tc>
          <w:tcPr>
            <w:tcW w:w="22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2"/>
              </w:rPr>
            </w:pPr>
            <w:r>
              <w:rPr>
                <w:rFonts w:hint="eastAsia" w:ascii="方正书宋简体" w:eastAsia="方正书宋简体" w:cs="Times New Roman"/>
                <w:color w:val="auto"/>
                <w:kern w:val="0"/>
                <w:sz w:val="22"/>
              </w:rPr>
              <w:t>1</w:t>
            </w:r>
            <w:r>
              <w:rPr>
                <w:rFonts w:ascii="方正书宋简体" w:eastAsia="方正书宋简体" w:cs="Times New Roman"/>
                <w:color w:val="auto"/>
                <w:kern w:val="0"/>
                <w:sz w:val="22"/>
              </w:rPr>
              <w:t>41</w:t>
            </w:r>
          </w:p>
        </w:tc>
        <w:tc>
          <w:tcPr>
            <w:tcW w:w="208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书宋简体" w:eastAsia="方正书宋简体" w:cs="Times New Roman"/>
                <w:color w:val="auto"/>
                <w:kern w:val="0"/>
                <w:sz w:val="24"/>
                <w:szCs w:val="24"/>
              </w:rPr>
            </w:pPr>
          </w:p>
        </w:tc>
        <w:tc>
          <w:tcPr>
            <w:tcW w:w="75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规范运用政府和社会资本合作（PPP）模式等项目投资、建设、运营机制，充分发挥政府资金杠杆作用，带动社会资本投入。</w:t>
            </w:r>
          </w:p>
        </w:tc>
        <w:tc>
          <w:tcPr>
            <w:tcW w:w="24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区发展改革委、区财政局</w:t>
            </w:r>
          </w:p>
        </w:tc>
        <w:tc>
          <w:tcPr>
            <w:tcW w:w="22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2"/>
              </w:rPr>
            </w:pPr>
            <w:r>
              <w:rPr>
                <w:rFonts w:hint="eastAsia" w:ascii="方正书宋简体" w:eastAsia="方正书宋简体" w:cs="Times New Roman"/>
                <w:color w:val="auto"/>
                <w:kern w:val="0"/>
                <w:sz w:val="22"/>
              </w:rPr>
              <w:t>1</w:t>
            </w:r>
            <w:r>
              <w:rPr>
                <w:rFonts w:ascii="方正书宋简体" w:eastAsia="方正书宋简体" w:cs="Times New Roman"/>
                <w:color w:val="auto"/>
                <w:kern w:val="0"/>
                <w:sz w:val="22"/>
              </w:rPr>
              <w:t>42</w:t>
            </w:r>
          </w:p>
        </w:tc>
        <w:tc>
          <w:tcPr>
            <w:tcW w:w="208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书宋简体" w:eastAsia="方正书宋简体" w:cs="Times New Roman"/>
                <w:color w:val="auto"/>
                <w:kern w:val="0"/>
                <w:sz w:val="24"/>
                <w:szCs w:val="24"/>
              </w:rPr>
            </w:pPr>
          </w:p>
        </w:tc>
        <w:tc>
          <w:tcPr>
            <w:tcW w:w="75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支持符合条件的气候友好型企业通过资本市场进行融资和再融资。鼓励通过市场化方式推动小微企业和社会公众参与应对气候变化行动。</w:t>
            </w:r>
          </w:p>
        </w:tc>
        <w:tc>
          <w:tcPr>
            <w:tcW w:w="24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区发展改革委、区生态环境局、区金融发展中心</w:t>
            </w:r>
          </w:p>
        </w:tc>
        <w:tc>
          <w:tcPr>
            <w:tcW w:w="22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5026" w:type="dxa"/>
            <w:gridSpan w:val="6"/>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b/>
                <w:bCs/>
                <w:color w:val="auto"/>
                <w:kern w:val="0"/>
                <w:sz w:val="24"/>
                <w:szCs w:val="24"/>
              </w:rPr>
            </w:pPr>
            <w:r>
              <w:rPr>
                <w:rFonts w:hint="eastAsia" w:ascii="方正书宋简体" w:eastAsia="方正书宋简体" w:cs="Times New Roman"/>
                <w:b/>
                <w:bCs/>
                <w:color w:val="auto"/>
                <w:kern w:val="0"/>
                <w:sz w:val="24"/>
                <w:szCs w:val="24"/>
              </w:rPr>
              <w:t>（七）开展应对气候变化试点示范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6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2"/>
              </w:rPr>
            </w:pPr>
            <w:r>
              <w:rPr>
                <w:rFonts w:ascii="方正书宋简体" w:eastAsia="方正书宋简体" w:cs="Times New Roman"/>
                <w:color w:val="auto"/>
                <w:kern w:val="0"/>
                <w:sz w:val="22"/>
              </w:rPr>
              <w:t>143</w:t>
            </w:r>
          </w:p>
        </w:tc>
        <w:tc>
          <w:tcPr>
            <w:tcW w:w="2085"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探索开展气候适应型城市建设</w:t>
            </w:r>
          </w:p>
        </w:tc>
        <w:tc>
          <w:tcPr>
            <w:tcW w:w="75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探索推动低碳城市建设工作，科学制定城市规划，运用NBS、EOD等模式手段，增强城市气候韧性。将低碳发展纳入本地区国民经济和社会发展年度计划和政府重点工作，将低碳理念纳入至全区城市交通、能源、供排水、污水、垃圾处理等基础设施建设以及经济社会、资源环境等多个领域总体规划和专项规划中，加快构建以低碳为特征的工业、能源、建筑、交通等产业体系和低碳生活方式。结合铜梁受气候变化影响和适应气候变化工作特点，探索开展气候适应型城市试点工作。</w:t>
            </w:r>
          </w:p>
        </w:tc>
        <w:tc>
          <w:tcPr>
            <w:tcW w:w="24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区发展改革委、区生态环境局、区交通局、区住房城乡建委、区经济信息委、区商务委、区规划自然资源局区规划自然资源局</w:t>
            </w:r>
          </w:p>
        </w:tc>
        <w:tc>
          <w:tcPr>
            <w:tcW w:w="2257" w:type="dxa"/>
            <w:tcBorders>
              <w:top w:val="single" w:color="auto" w:sz="4" w:space="0"/>
              <w:left w:val="single" w:color="auto" w:sz="4" w:space="0"/>
              <w:bottom w:val="single" w:color="auto" w:sz="4" w:space="0"/>
              <w:right w:val="single" w:color="auto" w:sz="4" w:space="0"/>
            </w:tcBorders>
            <w:vAlign w:val="center"/>
          </w:tcPr>
          <w:p>
            <w:pPr>
              <w:rPr>
                <w:rFonts w:ascii="方正书宋简体" w:eastAsia="方正书宋简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6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2"/>
              </w:rPr>
            </w:pPr>
            <w:r>
              <w:rPr>
                <w:rFonts w:ascii="方正书宋简体" w:eastAsia="方正书宋简体" w:cs="Times New Roman"/>
                <w:color w:val="auto"/>
                <w:kern w:val="0"/>
                <w:sz w:val="22"/>
              </w:rPr>
              <w:t>144</w:t>
            </w:r>
          </w:p>
        </w:tc>
        <w:tc>
          <w:tcPr>
            <w:tcW w:w="2085" w:type="dxa"/>
            <w:gridSpan w:val="2"/>
            <w:vMerge w:val="restart"/>
            <w:tcBorders>
              <w:top w:val="single" w:color="auto" w:sz="4" w:space="0"/>
              <w:left w:val="single" w:color="auto" w:sz="4" w:space="0"/>
              <w:right w:val="single" w:color="auto" w:sz="4" w:space="0"/>
            </w:tcBorders>
            <w:vAlign w:val="center"/>
          </w:tcPr>
          <w:p>
            <w:pPr>
              <w:spacing w:line="300" w:lineRule="exact"/>
              <w:jc w:val="lef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建设“近零碳”排放示范工程</w:t>
            </w:r>
          </w:p>
        </w:tc>
        <w:tc>
          <w:tcPr>
            <w:tcW w:w="75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依托铜梁高新区作为全国循环化改造重点支持园区优势，开展低碳园区建设，优化园区空间布局、严格实行低碳门槛管理、构建循环经济产业链及合理控制工业过程排放，推进减碳治污协同增效。新建建筑100%执行绿色建筑标准，大型公共建筑须执行二星以上绿色建筑标准。加强光伏技术研发应用，提高园区新能源应用比例等。鼓励重庆铜梁西南水泥有限公司开展低成本、规模适度的CCUS试点示范。</w:t>
            </w:r>
          </w:p>
        </w:tc>
        <w:tc>
          <w:tcPr>
            <w:tcW w:w="24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高新区管委会</w:t>
            </w:r>
          </w:p>
        </w:tc>
        <w:tc>
          <w:tcPr>
            <w:tcW w:w="22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区发展改革委、区经济信息委、区住房城乡建委、区生态环境局等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6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2"/>
              </w:rPr>
            </w:pPr>
            <w:r>
              <w:rPr>
                <w:rFonts w:ascii="方正书宋简体" w:eastAsia="方正书宋简体" w:cs="Times New Roman"/>
                <w:color w:val="auto"/>
                <w:kern w:val="0"/>
                <w:sz w:val="22"/>
              </w:rPr>
              <w:t>145</w:t>
            </w:r>
          </w:p>
        </w:tc>
        <w:tc>
          <w:tcPr>
            <w:tcW w:w="2085" w:type="dxa"/>
            <w:gridSpan w:val="2"/>
            <w:vMerge w:val="continue"/>
            <w:tcBorders>
              <w:left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4"/>
                <w:szCs w:val="24"/>
              </w:rPr>
            </w:pPr>
          </w:p>
        </w:tc>
        <w:tc>
          <w:tcPr>
            <w:tcW w:w="75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推动在生态文明建设示范镇中优选1-2个城镇开展近零碳排放试点。</w:t>
            </w:r>
          </w:p>
        </w:tc>
        <w:tc>
          <w:tcPr>
            <w:tcW w:w="24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区生态环境局</w:t>
            </w:r>
          </w:p>
        </w:tc>
        <w:tc>
          <w:tcPr>
            <w:tcW w:w="2257" w:type="dxa"/>
            <w:tcBorders>
              <w:top w:val="single" w:color="auto" w:sz="4" w:space="0"/>
              <w:left w:val="single" w:color="auto" w:sz="4" w:space="0"/>
              <w:bottom w:val="single" w:color="auto" w:sz="4" w:space="0"/>
              <w:right w:val="single" w:color="auto" w:sz="4" w:space="0"/>
            </w:tcBorders>
            <w:vAlign w:val="center"/>
          </w:tcPr>
          <w:p>
            <w:pPr>
              <w:rPr>
                <w:rFonts w:ascii="方正书宋简体" w:eastAsia="方正书宋简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2"/>
              </w:rPr>
            </w:pPr>
            <w:r>
              <w:rPr>
                <w:rFonts w:ascii="方正书宋简体" w:eastAsia="方正书宋简体" w:cs="Times New Roman"/>
                <w:color w:val="auto"/>
                <w:kern w:val="0"/>
                <w:sz w:val="22"/>
              </w:rPr>
              <w:t>146</w:t>
            </w:r>
          </w:p>
        </w:tc>
        <w:tc>
          <w:tcPr>
            <w:tcW w:w="2085" w:type="dxa"/>
            <w:gridSpan w:val="2"/>
            <w:vMerge w:val="continue"/>
            <w:tcBorders>
              <w:left w:val="single" w:color="auto" w:sz="4" w:space="0"/>
              <w:right w:val="single" w:color="auto" w:sz="4" w:space="0"/>
            </w:tcBorders>
            <w:vAlign w:val="center"/>
          </w:tcPr>
          <w:p>
            <w:pPr>
              <w:widowControl/>
              <w:jc w:val="left"/>
              <w:rPr>
                <w:rFonts w:ascii="方正书宋简体" w:eastAsia="方正书宋简体" w:cs="Times New Roman"/>
                <w:color w:val="auto"/>
                <w:kern w:val="0"/>
                <w:sz w:val="24"/>
                <w:szCs w:val="24"/>
              </w:rPr>
            </w:pPr>
          </w:p>
        </w:tc>
        <w:tc>
          <w:tcPr>
            <w:tcW w:w="75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推动在乡村振兴示范村等生态文明示范村中优选1-2个社区开展近零碳试点。</w:t>
            </w:r>
          </w:p>
        </w:tc>
        <w:tc>
          <w:tcPr>
            <w:tcW w:w="24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区农业农村委</w:t>
            </w:r>
          </w:p>
        </w:tc>
        <w:tc>
          <w:tcPr>
            <w:tcW w:w="2257" w:type="dxa"/>
            <w:tcBorders>
              <w:top w:val="single" w:color="auto" w:sz="4" w:space="0"/>
              <w:left w:val="single" w:color="auto" w:sz="4" w:space="0"/>
              <w:bottom w:val="single" w:color="auto" w:sz="4" w:space="0"/>
              <w:right w:val="single" w:color="auto" w:sz="4" w:space="0"/>
            </w:tcBorders>
            <w:vAlign w:val="center"/>
          </w:tcPr>
          <w:p>
            <w:pPr>
              <w:rPr>
                <w:rFonts w:ascii="方正书宋简体" w:eastAsia="方正书宋简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2"/>
              </w:rPr>
            </w:pPr>
            <w:r>
              <w:rPr>
                <w:rFonts w:ascii="方正书宋简体" w:eastAsia="方正书宋简体" w:cs="Times New Roman"/>
                <w:color w:val="auto"/>
                <w:kern w:val="0"/>
                <w:sz w:val="22"/>
              </w:rPr>
              <w:t>147</w:t>
            </w:r>
          </w:p>
        </w:tc>
        <w:tc>
          <w:tcPr>
            <w:tcW w:w="2085" w:type="dxa"/>
            <w:gridSpan w:val="2"/>
            <w:vMerge w:val="continue"/>
            <w:tcBorders>
              <w:left w:val="single" w:color="auto" w:sz="4" w:space="0"/>
              <w:right w:val="single" w:color="auto" w:sz="4" w:space="0"/>
            </w:tcBorders>
            <w:vAlign w:val="center"/>
          </w:tcPr>
          <w:p>
            <w:pPr>
              <w:widowControl/>
              <w:jc w:val="left"/>
              <w:rPr>
                <w:rFonts w:ascii="方正书宋简体" w:eastAsia="方正书宋简体" w:cs="Times New Roman"/>
                <w:color w:val="auto"/>
                <w:kern w:val="0"/>
                <w:sz w:val="24"/>
                <w:szCs w:val="24"/>
              </w:rPr>
            </w:pPr>
          </w:p>
        </w:tc>
        <w:tc>
          <w:tcPr>
            <w:tcW w:w="75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推动在绿色学校中优选1-2个开展近零碳排放区示范工程建设。</w:t>
            </w:r>
          </w:p>
        </w:tc>
        <w:tc>
          <w:tcPr>
            <w:tcW w:w="24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区教委</w:t>
            </w:r>
          </w:p>
        </w:tc>
        <w:tc>
          <w:tcPr>
            <w:tcW w:w="2257" w:type="dxa"/>
            <w:tcBorders>
              <w:top w:val="single" w:color="auto" w:sz="4" w:space="0"/>
              <w:left w:val="single" w:color="auto" w:sz="4" w:space="0"/>
              <w:bottom w:val="single" w:color="auto" w:sz="4" w:space="0"/>
              <w:right w:val="single" w:color="auto" w:sz="4" w:space="0"/>
            </w:tcBorders>
            <w:vAlign w:val="center"/>
          </w:tcPr>
          <w:p>
            <w:pPr>
              <w:rPr>
                <w:rFonts w:ascii="方正书宋简体" w:eastAsia="方正书宋简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6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2"/>
              </w:rPr>
            </w:pPr>
            <w:r>
              <w:rPr>
                <w:rFonts w:ascii="方正书宋简体" w:eastAsia="方正书宋简体" w:cs="Times New Roman"/>
                <w:color w:val="auto"/>
                <w:kern w:val="0"/>
                <w:sz w:val="22"/>
              </w:rPr>
              <w:t>148</w:t>
            </w:r>
          </w:p>
        </w:tc>
        <w:tc>
          <w:tcPr>
            <w:tcW w:w="2085" w:type="dxa"/>
            <w:gridSpan w:val="2"/>
            <w:vMerge w:val="continue"/>
            <w:tcBorders>
              <w:left w:val="single" w:color="auto" w:sz="4" w:space="0"/>
              <w:right w:val="single" w:color="auto" w:sz="4" w:space="0"/>
            </w:tcBorders>
            <w:vAlign w:val="center"/>
          </w:tcPr>
          <w:p>
            <w:pPr>
              <w:widowControl/>
              <w:jc w:val="left"/>
              <w:rPr>
                <w:rFonts w:ascii="方正书宋简体" w:eastAsia="方正书宋简体" w:cs="Times New Roman"/>
                <w:color w:val="auto"/>
                <w:kern w:val="0"/>
                <w:sz w:val="24"/>
                <w:szCs w:val="24"/>
              </w:rPr>
            </w:pPr>
          </w:p>
        </w:tc>
        <w:tc>
          <w:tcPr>
            <w:tcW w:w="75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推动在绿色商场、绿色饭店中优选1-2个开展近零碳试点。</w:t>
            </w:r>
          </w:p>
        </w:tc>
        <w:tc>
          <w:tcPr>
            <w:tcW w:w="24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区商务委</w:t>
            </w:r>
          </w:p>
        </w:tc>
        <w:tc>
          <w:tcPr>
            <w:tcW w:w="2257" w:type="dxa"/>
            <w:tcBorders>
              <w:top w:val="single" w:color="auto" w:sz="4" w:space="0"/>
              <w:left w:val="single" w:color="auto" w:sz="4" w:space="0"/>
              <w:bottom w:val="single" w:color="auto" w:sz="4" w:space="0"/>
              <w:right w:val="single" w:color="auto" w:sz="4" w:space="0"/>
            </w:tcBorders>
            <w:vAlign w:val="center"/>
          </w:tcPr>
          <w:p>
            <w:pPr>
              <w:rPr>
                <w:rFonts w:ascii="方正书宋简体" w:eastAsia="方正书宋简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6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2"/>
              </w:rPr>
            </w:pPr>
            <w:r>
              <w:rPr>
                <w:rFonts w:hint="eastAsia" w:ascii="方正书宋简体" w:eastAsia="方正书宋简体" w:cs="Times New Roman"/>
                <w:color w:val="auto"/>
                <w:kern w:val="0"/>
                <w:sz w:val="22"/>
              </w:rPr>
              <w:t>1</w:t>
            </w:r>
            <w:r>
              <w:rPr>
                <w:rFonts w:ascii="方正书宋简体" w:eastAsia="方正书宋简体" w:cs="Times New Roman"/>
                <w:color w:val="auto"/>
                <w:kern w:val="0"/>
                <w:sz w:val="22"/>
              </w:rPr>
              <w:t>49</w:t>
            </w:r>
          </w:p>
        </w:tc>
        <w:tc>
          <w:tcPr>
            <w:tcW w:w="2085" w:type="dxa"/>
            <w:gridSpan w:val="2"/>
            <w:vMerge w:val="continue"/>
            <w:tcBorders>
              <w:left w:val="single" w:color="auto" w:sz="4" w:space="0"/>
              <w:right w:val="single" w:color="auto" w:sz="4" w:space="0"/>
            </w:tcBorders>
            <w:vAlign w:val="center"/>
          </w:tcPr>
          <w:p>
            <w:pPr>
              <w:widowControl/>
              <w:jc w:val="left"/>
              <w:rPr>
                <w:rFonts w:ascii="方正书宋简体" w:eastAsia="方正书宋简体" w:cs="Times New Roman"/>
                <w:color w:val="auto"/>
                <w:kern w:val="0"/>
                <w:sz w:val="24"/>
                <w:szCs w:val="24"/>
              </w:rPr>
            </w:pPr>
          </w:p>
        </w:tc>
        <w:tc>
          <w:tcPr>
            <w:tcW w:w="75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推动在4A级旅游景区中优选1-2个开展近零碳试点。</w:t>
            </w:r>
          </w:p>
        </w:tc>
        <w:tc>
          <w:tcPr>
            <w:tcW w:w="24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区文化旅游委</w:t>
            </w:r>
          </w:p>
        </w:tc>
        <w:tc>
          <w:tcPr>
            <w:tcW w:w="22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方正书宋简体" w:eastAsia="方正书宋简体" w:cs="Times New Roman"/>
                <w:color w:val="auto"/>
                <w:kern w:val="0"/>
                <w:sz w:val="22"/>
              </w:rPr>
            </w:pPr>
            <w:r>
              <w:rPr>
                <w:rFonts w:hint="eastAsia" w:ascii="方正书宋简体" w:eastAsia="方正书宋简体" w:cs="Times New Roman"/>
                <w:color w:val="auto"/>
                <w:kern w:val="0"/>
                <w:sz w:val="22"/>
              </w:rPr>
              <w:t>1</w:t>
            </w:r>
            <w:r>
              <w:rPr>
                <w:rFonts w:ascii="方正书宋简体" w:eastAsia="方正书宋简体" w:cs="Times New Roman"/>
                <w:color w:val="auto"/>
                <w:kern w:val="0"/>
                <w:sz w:val="22"/>
              </w:rPr>
              <w:t>50</w:t>
            </w:r>
          </w:p>
        </w:tc>
        <w:tc>
          <w:tcPr>
            <w:tcW w:w="2085" w:type="dxa"/>
            <w:gridSpan w:val="2"/>
            <w:vMerge w:val="continue"/>
            <w:tcBorders>
              <w:left w:val="single" w:color="auto" w:sz="4" w:space="0"/>
              <w:bottom w:val="single" w:color="auto" w:sz="4" w:space="0"/>
              <w:right w:val="single" w:color="auto" w:sz="4" w:space="0"/>
            </w:tcBorders>
            <w:vAlign w:val="center"/>
          </w:tcPr>
          <w:p>
            <w:pPr>
              <w:widowControl/>
              <w:jc w:val="left"/>
              <w:rPr>
                <w:rFonts w:ascii="方正书宋简体" w:eastAsia="方正书宋简体" w:cs="Times New Roman"/>
                <w:color w:val="auto"/>
                <w:kern w:val="0"/>
                <w:sz w:val="24"/>
                <w:szCs w:val="24"/>
              </w:rPr>
            </w:pPr>
          </w:p>
        </w:tc>
        <w:tc>
          <w:tcPr>
            <w:tcW w:w="75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鼓励在铜举行的演出、赛事、会议、论坛、展览等大型活动在筹备阶段制订碳中和实施计划，提出减排措施，组织开展减排行动，通过购买碳配额、碳信用的方式或通过新建林业项目产生碳汇量的方式抵消大型活动实际产生的温室气体排放量，实现大型活动碳中和。</w:t>
            </w:r>
          </w:p>
        </w:tc>
        <w:tc>
          <w:tcPr>
            <w:tcW w:w="24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区文化旅游委、区商务委、区委宣传部</w:t>
            </w:r>
          </w:p>
        </w:tc>
        <w:tc>
          <w:tcPr>
            <w:tcW w:w="22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方正书宋简体" w:eastAsia="方正书宋简体" w:cs="Times New Roman"/>
                <w:color w:val="auto"/>
                <w:kern w:val="0"/>
                <w:sz w:val="24"/>
                <w:szCs w:val="24"/>
              </w:rPr>
            </w:pPr>
            <w:r>
              <w:rPr>
                <w:rFonts w:hint="eastAsia" w:ascii="方正书宋简体" w:eastAsia="方正书宋简体" w:cs="Times New Roman"/>
                <w:color w:val="auto"/>
                <w:kern w:val="0"/>
                <w:sz w:val="24"/>
                <w:szCs w:val="24"/>
              </w:rPr>
              <w:t>区生态环境局</w:t>
            </w:r>
          </w:p>
        </w:tc>
      </w:tr>
    </w:tbl>
    <w:p>
      <w:pPr>
        <w:widowControl/>
        <w:spacing w:line="300" w:lineRule="exact"/>
        <w:jc w:val="left"/>
        <w:rPr>
          <w:rFonts w:ascii="仿宋_GB2312" w:hAnsi="等线" w:cs="宋体"/>
          <w:color w:val="auto"/>
          <w:kern w:val="0"/>
          <w:sz w:val="24"/>
          <w:szCs w:val="24"/>
        </w:rPr>
      </w:pPr>
    </w:p>
    <w:p>
      <w:pPr>
        <w:widowControl/>
        <w:spacing w:line="300" w:lineRule="exact"/>
        <w:jc w:val="left"/>
        <w:rPr>
          <w:rFonts w:ascii="仿宋_GB2312" w:hAnsi="等线" w:cs="宋体"/>
          <w:color w:val="auto"/>
          <w:kern w:val="0"/>
          <w:sz w:val="24"/>
          <w:szCs w:val="24"/>
        </w:rPr>
      </w:pPr>
    </w:p>
    <w:p>
      <w:pPr>
        <w:widowControl/>
        <w:spacing w:line="300" w:lineRule="exact"/>
        <w:jc w:val="left"/>
        <w:rPr>
          <w:rFonts w:ascii="仿宋_GB2312" w:hAnsi="等线" w:cs="宋体"/>
          <w:color w:val="auto"/>
          <w:kern w:val="0"/>
          <w:sz w:val="24"/>
          <w:szCs w:val="24"/>
        </w:rPr>
        <w:sectPr>
          <w:pgSz w:w="16838" w:h="11906" w:orient="landscape"/>
          <w:pgMar w:top="1588" w:right="2098" w:bottom="1474" w:left="1985" w:header="851" w:footer="992" w:gutter="113"/>
          <w:pgNumType w:fmt="numberInDash"/>
          <w:cols w:space="425" w:num="1"/>
          <w:docGrid w:type="lines" w:linePitch="579" w:charSpace="-1675"/>
        </w:sectPr>
      </w:pPr>
    </w:p>
    <w:p>
      <w:pPr>
        <w:ind w:firstLine="640" w:firstLineChars="0"/>
        <w:rPr>
          <w:rFonts w:hint="eastAsia"/>
        </w:rPr>
      </w:pPr>
    </w:p>
    <w:p>
      <w:pPr>
        <w:ind w:firstLine="640" w:firstLineChars="0"/>
        <w:rPr>
          <w:rFonts w:hint="eastAsia"/>
        </w:rPr>
      </w:pPr>
    </w:p>
    <w:p>
      <w:pPr>
        <w:ind w:firstLine="640" w:firstLineChars="0"/>
        <w:rPr>
          <w:rFonts w:hint="eastAsia"/>
        </w:rPr>
      </w:pPr>
    </w:p>
    <w:p>
      <w:pPr>
        <w:ind w:firstLine="640" w:firstLineChars="0"/>
        <w:rPr>
          <w:rFonts w:hint="eastAsia"/>
        </w:rPr>
      </w:pPr>
    </w:p>
    <w:p>
      <w:pPr>
        <w:ind w:firstLine="640" w:firstLineChars="0"/>
        <w:rPr>
          <w:rFonts w:hint="eastAsia"/>
        </w:rPr>
      </w:pPr>
    </w:p>
    <w:p>
      <w:pPr>
        <w:ind w:firstLine="640" w:firstLineChars="0"/>
        <w:rPr>
          <w:rFonts w:hint="eastAsia"/>
        </w:rPr>
      </w:pPr>
    </w:p>
    <w:p>
      <w:pPr>
        <w:ind w:firstLine="640" w:firstLineChars="0"/>
        <w:rPr>
          <w:rFonts w:hint="eastAsia"/>
        </w:rPr>
      </w:pPr>
    </w:p>
    <w:p>
      <w:pPr>
        <w:ind w:firstLine="640" w:firstLineChars="0"/>
        <w:rPr>
          <w:rFonts w:hint="eastAsia"/>
        </w:rPr>
      </w:pPr>
    </w:p>
    <w:p>
      <w:pPr>
        <w:ind w:firstLine="640" w:firstLineChars="0"/>
        <w:rPr>
          <w:rFonts w:hint="eastAsia"/>
        </w:rPr>
      </w:pPr>
    </w:p>
    <w:p>
      <w:pPr>
        <w:ind w:firstLine="640" w:firstLineChars="0"/>
        <w:rPr>
          <w:rFonts w:hint="eastAsia"/>
        </w:rPr>
      </w:pPr>
    </w:p>
    <w:p>
      <w:pPr>
        <w:ind w:firstLine="640" w:firstLineChars="0"/>
        <w:rPr>
          <w:rFonts w:hint="eastAsia"/>
        </w:rPr>
      </w:pPr>
    </w:p>
    <w:p>
      <w:pPr>
        <w:ind w:firstLine="640" w:firstLineChars="0"/>
        <w:rPr>
          <w:rFonts w:hint="eastAsia"/>
        </w:rPr>
      </w:pPr>
    </w:p>
    <w:p>
      <w:pPr>
        <w:ind w:firstLine="640" w:firstLineChars="0"/>
        <w:rPr>
          <w:rFonts w:hint="eastAsia"/>
        </w:rPr>
      </w:pPr>
    </w:p>
    <w:p>
      <w:pPr>
        <w:ind w:firstLine="640" w:firstLineChars="0"/>
        <w:rPr>
          <w:rFonts w:hint="eastAsia"/>
        </w:rPr>
      </w:pPr>
    </w:p>
    <w:p>
      <w:pPr>
        <w:ind w:firstLine="640" w:firstLineChars="0"/>
        <w:rPr>
          <w:rFonts w:hint="eastAsia"/>
        </w:rPr>
      </w:pPr>
    </w:p>
    <w:p>
      <w:pPr>
        <w:ind w:firstLine="640" w:firstLineChars="0"/>
        <w:rPr>
          <w:rFonts w:hint="eastAsia"/>
        </w:rPr>
      </w:pPr>
    </w:p>
    <w:p>
      <w:pPr>
        <w:ind w:firstLine="640" w:firstLineChars="0"/>
        <w:rPr>
          <w:rFonts w:hint="eastAsia"/>
        </w:rPr>
      </w:pPr>
    </w:p>
    <w:p>
      <w:pPr>
        <w:ind w:firstLine="640" w:firstLineChars="0"/>
        <w:rPr>
          <w:rFonts w:hint="eastAsia"/>
        </w:rPr>
      </w:pPr>
    </w:p>
    <w:p>
      <w:pPr>
        <w:ind w:firstLine="640" w:firstLineChars="0"/>
        <w:rPr>
          <w:rFonts w:hint="eastAsia"/>
        </w:rPr>
      </w:pPr>
    </w:p>
    <w:p>
      <w:pPr>
        <w:ind w:firstLine="640" w:firstLineChars="0"/>
        <w:rPr>
          <w:rFonts w:hint="eastAsia"/>
        </w:rPr>
      </w:pPr>
    </w:p>
    <w:p>
      <w:pPr>
        <w:ind w:firstLine="640" w:firstLineChars="0"/>
        <w:rPr>
          <w:rFonts w:hint="eastAsia"/>
        </w:rPr>
      </w:pPr>
    </w:p>
    <w:p>
      <w:pPr>
        <w:ind w:firstLine="640" w:firstLineChars="0"/>
        <w:rPr>
          <w:rFonts w:hint="eastAsia"/>
        </w:rPr>
      </w:pPr>
    </w:p>
    <w:p>
      <w:pPr>
        <w:ind w:firstLine="640" w:firstLineChars="0"/>
        <w:rPr>
          <w:rFonts w:hint="eastAsia"/>
        </w:rPr>
      </w:pPr>
    </w:p>
    <w:p>
      <w:pPr>
        <w:ind w:firstLine="640" w:firstLineChars="0"/>
        <w:rPr>
          <w:rFonts w:hint="eastAsia"/>
        </w:rPr>
      </w:pPr>
    </w:p>
    <w:p>
      <w:pPr>
        <w:ind w:firstLine="640" w:firstLineChars="0"/>
        <w:rPr>
          <w:rFonts w:hint="eastAsia"/>
        </w:rPr>
      </w:pPr>
    </w:p>
    <w:p>
      <w:pPr>
        <w:ind w:firstLine="640" w:firstLineChars="0"/>
        <w:rPr>
          <w:rFonts w:hint="eastAsia"/>
        </w:rPr>
      </w:pPr>
    </w:p>
    <w:p>
      <w:pPr>
        <w:ind w:firstLine="640" w:firstLineChars="0"/>
        <w:rPr>
          <w:rFonts w:hint="eastAsia"/>
        </w:rPr>
      </w:pPr>
    </w:p>
    <w:p>
      <w:pPr>
        <w:ind w:firstLine="640" w:firstLineChars="0"/>
        <w:rPr>
          <w:rFonts w:hint="eastAsia"/>
        </w:rPr>
      </w:pPr>
    </w:p>
    <w:p>
      <w:pPr>
        <w:ind w:firstLine="640" w:firstLineChars="0"/>
        <w:rPr>
          <w:rFonts w:hint="eastAsia"/>
        </w:rPr>
      </w:pPr>
    </w:p>
    <w:p>
      <w:pPr>
        <w:ind w:firstLine="640" w:firstLineChars="0"/>
        <w:rPr>
          <w:rFonts w:hint="eastAsia"/>
        </w:rPr>
      </w:pPr>
    </w:p>
    <w:p>
      <w:pPr>
        <w:ind w:firstLine="640" w:firstLineChars="0"/>
        <w:rPr>
          <w:rFonts w:hint="eastAsia"/>
        </w:rPr>
      </w:pPr>
    </w:p>
    <w:p>
      <w:pPr>
        <w:ind w:firstLine="640" w:firstLineChars="0"/>
        <w:rPr>
          <w:rFonts w:hint="eastAsia"/>
        </w:rPr>
      </w:pPr>
    </w:p>
    <w:p>
      <w:pPr>
        <w:ind w:firstLine="640" w:firstLineChars="0"/>
        <w:rPr>
          <w:rFonts w:hint="eastAsia"/>
        </w:rPr>
      </w:pPr>
    </w:p>
    <w:p>
      <w:pPr>
        <w:ind w:firstLine="640" w:firstLineChars="0"/>
        <w:rPr>
          <w:rFonts w:hint="eastAsia"/>
        </w:rPr>
      </w:pPr>
    </w:p>
    <w:p>
      <w:pPr>
        <w:ind w:firstLine="640" w:firstLineChars="0"/>
        <w:rPr>
          <w:rFonts w:hint="eastAsia"/>
        </w:rPr>
      </w:pPr>
    </w:p>
    <w:p>
      <w:pPr>
        <w:ind w:firstLine="640" w:firstLineChars="0"/>
        <w:rPr>
          <w:rFonts w:hint="eastAsia"/>
        </w:rPr>
      </w:pPr>
    </w:p>
    <w:p>
      <w:pPr>
        <w:ind w:firstLine="640" w:firstLineChars="0"/>
        <w:rPr>
          <w:rFonts w:hint="eastAsia"/>
        </w:rPr>
      </w:pPr>
    </w:p>
    <w:p>
      <w:pPr>
        <w:ind w:firstLine="640" w:firstLineChars="0"/>
        <w:rPr>
          <w:rFonts w:hint="eastAsia"/>
        </w:rPr>
      </w:pPr>
    </w:p>
    <w:p>
      <w:pPr>
        <w:ind w:firstLine="640" w:firstLineChars="0"/>
        <w:rPr>
          <w:rFonts w:hint="eastAsia"/>
        </w:rPr>
      </w:pPr>
    </w:p>
    <w:p>
      <w:pPr>
        <w:widowControl/>
        <w:spacing w:line="300" w:lineRule="exact"/>
        <w:jc w:val="left"/>
        <w:rPr>
          <w:rFonts w:ascii="仿宋_GB2312" w:hAnsi="等线" w:cs="宋体"/>
          <w:color w:val="auto"/>
          <w:kern w:val="0"/>
          <w:sz w:val="24"/>
          <w:szCs w:val="24"/>
        </w:rPr>
      </w:pPr>
    </w:p>
    <w:sectPr>
      <w:pgSz w:w="11906" w:h="16838"/>
      <w:pgMar w:top="2098" w:right="1474" w:bottom="1985" w:left="1588" w:header="851" w:footer="992" w:gutter="113"/>
      <w:pgNumType w:fmt="numberInDash"/>
      <w:cols w:space="425" w:num="1"/>
      <w:docGrid w:type="lines" w:linePitch="579"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等线 Light">
    <w:altName w:val="汉仪中圆B5"/>
    <w:panose1 w:val="02010600030101010101"/>
    <w:charset w:val="86"/>
    <w:family w:val="auto"/>
    <w:pitch w:val="default"/>
    <w:sig w:usb0="00000000" w:usb1="00000000" w:usb2="00000016" w:usb3="00000000" w:csb0="0004000F" w:csb1="00000000"/>
  </w:font>
  <w:font w:name="方正仿宋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等线">
    <w:altName w:val="汉仪中圆B5"/>
    <w:panose1 w:val="02010600030101010101"/>
    <w:charset w:val="86"/>
    <w:family w:val="auto"/>
    <w:pitch w:val="default"/>
    <w:sig w:usb0="00000000" w:usb1="00000000" w:usb2="00000016" w:usb3="00000000" w:csb0="0004000F" w:csb1="00000000"/>
  </w:font>
  <w:font w:name="方正书宋简体">
    <w:altName w:val="方正书宋_GBK"/>
    <w:panose1 w:val="02010601030101010101"/>
    <w:charset w:val="86"/>
    <w:family w:val="script"/>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等线 Light">
    <w:altName w:val="汉仪仿宋S"/>
    <w:panose1 w:val="00000000000000000000"/>
    <w:charset w:val="00"/>
    <w:family w:val="auto"/>
    <w:pitch w:val="default"/>
    <w:sig w:usb0="00000000" w:usb1="00000000" w:usb2="00000000" w:usb3="00000000" w:csb0="00000000" w:csb1="00000000"/>
  </w:font>
  <w:font w:name="汉仪仿宋S">
    <w:panose1 w:val="00020600040101000101"/>
    <w:charset w:val="86"/>
    <w:family w:val="auto"/>
    <w:pitch w:val="default"/>
    <w:sig w:usb0="A00002BF" w:usb1="38CF7CFA" w:usb2="00000016" w:usb3="00000000" w:csb0="0004009F" w:csb1="00000000"/>
  </w:font>
  <w:font w:name="等线">
    <w:altName w:val="汉仪仿宋S"/>
    <w:panose1 w:val="00000000000000000000"/>
    <w:charset w:val="00"/>
    <w:family w:val="auto"/>
    <w:pitch w:val="default"/>
    <w:sig w:usb0="00000000" w:usb1="00000000" w:usb2="00000000" w:usb3="00000000" w:csb0="00000000" w:csb1="00000000"/>
  </w:font>
  <w:font w:name="汉仪中圆B5">
    <w:panose1 w:val="02010600000101010101"/>
    <w:charset w:val="88"/>
    <w:family w:val="auto"/>
    <w:pitch w:val="default"/>
    <w:sig w:usb0="00000001" w:usb1="080E0800" w:usb2="00000002"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610550714"/>
                          </w:sdtPr>
                          <w:sdtContent>
                            <w:p>
                              <w:pPr>
                                <w:pStyle w:val="7"/>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w:t>
                              </w:r>
                              <w:r>
                                <w:rPr>
                                  <w:rFonts w:hint="eastAsia" w:ascii="宋体" w:hAnsi="宋体" w:eastAsia="宋体" w:cs="宋体"/>
                                  <w:sz w:val="28"/>
                                  <w:szCs w:val="28"/>
                                </w:rPr>
                                <w:fldChar w:fldCharType="end"/>
                              </w:r>
                            </w:p>
                          </w:sdtContent>
                        </w:sdt>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CLMQHAIAACk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QizEBwCAAApBAAADgAAAAAAAAABACAAAAA1AQAAZHJzL2Uyb0RvYy54bWxQSwUG&#10;AAAAAAYABgBZAQAAwwUAAAAA&#10;">
              <v:fill on="f" focussize="0,0"/>
              <v:stroke on="f" weight="0.5pt"/>
              <v:imagedata o:title=""/>
              <o:lock v:ext="edit" aspectratio="f"/>
              <v:textbox inset="0mm,0mm,0mm,0mm" style="mso-fit-shape-to-text:t;">
                <w:txbxContent>
                  <w:sdt>
                    <w:sdtPr>
                      <w:id w:val="1610550714"/>
                    </w:sdtPr>
                    <w:sdtContent>
                      <w:p>
                        <w:pPr>
                          <w:pStyle w:val="7"/>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w:t>
                        </w:r>
                        <w:r>
                          <w:rPr>
                            <w:rFonts w:hint="eastAsia" w:ascii="宋体" w:hAnsi="宋体" w:eastAsia="宋体" w:cs="宋体"/>
                            <w:sz w:val="28"/>
                            <w:szCs w:val="28"/>
                          </w:rPr>
                          <w:fldChar w:fldCharType="end"/>
                        </w:r>
                      </w:p>
                    </w:sdtContent>
                  </w:sdt>
                  <w:p/>
                </w:txbxContent>
              </v:textbox>
            </v:shape>
          </w:pict>
        </mc:Fallback>
      </mc:AlternateContent>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sz w:val="24"/>
        <w:szCs w:val="24"/>
      </w:rPr>
    </w:pPr>
    <w:r>
      <w:rPr>
        <w:sz w:val="24"/>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10938756"/>
                          </w:sdtPr>
                          <w:sdtEndPr>
                            <w:rPr>
                              <w:sz w:val="24"/>
                              <w:szCs w:val="24"/>
                            </w:rPr>
                          </w:sdtEndPr>
                          <w:sdtContent>
                            <w:p>
                              <w:pPr>
                                <w:pStyle w:val="7"/>
                                <w:jc w:val="center"/>
                                <w:rPr>
                                  <w:sz w:val="24"/>
                                  <w:szCs w:val="24"/>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w:t>
                              </w:r>
                              <w:r>
                                <w:rPr>
                                  <w:rFonts w:hint="eastAsia" w:ascii="宋体" w:hAnsi="宋体" w:eastAsia="宋体" w:cs="宋体"/>
                                  <w:sz w:val="28"/>
                                  <w:szCs w:val="28"/>
                                </w:rPr>
                                <w:fldChar w:fldCharType="end"/>
                              </w:r>
                            </w:p>
                          </w:sdtContent>
                        </w:sdt>
                        <w:p>
                          <w:pPr>
                            <w:rPr>
                              <w:sz w:val="24"/>
                              <w:szCs w:val="24"/>
                            </w:rPr>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8TPSHQIAACkEAAAOAAAAZHJz&#10;L2Uyb0RvYy54bWytU82O0zAQviPxDpbvNGlRV1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9eT/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IDxM9IdAgAAKQQAAA4AAAAAAAAAAQAgAAAANQEAAGRycy9lMm9Eb2MueG1sUEsF&#10;BgAAAAAGAAYAWQEAAMQFAAAAAA==&#10;">
              <v:fill on="f" focussize="0,0"/>
              <v:stroke on="f" weight="0.5pt"/>
              <v:imagedata o:title=""/>
              <o:lock v:ext="edit" aspectratio="f"/>
              <v:textbox inset="0mm,0mm,0mm,0mm" style="mso-fit-shape-to-text:t;">
                <w:txbxContent>
                  <w:sdt>
                    <w:sdtPr>
                      <w:id w:val="110938756"/>
                    </w:sdtPr>
                    <w:sdtEndPr>
                      <w:rPr>
                        <w:sz w:val="24"/>
                        <w:szCs w:val="24"/>
                      </w:rPr>
                    </w:sdtEndPr>
                    <w:sdtContent>
                      <w:p>
                        <w:pPr>
                          <w:pStyle w:val="7"/>
                          <w:jc w:val="center"/>
                          <w:rPr>
                            <w:sz w:val="24"/>
                            <w:szCs w:val="24"/>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w:t>
                        </w:r>
                        <w:r>
                          <w:rPr>
                            <w:rFonts w:hint="eastAsia" w:ascii="宋体" w:hAnsi="宋体" w:eastAsia="宋体" w:cs="宋体"/>
                            <w:sz w:val="28"/>
                            <w:szCs w:val="28"/>
                          </w:rPr>
                          <w:fldChar w:fldCharType="end"/>
                        </w:r>
                      </w:p>
                    </w:sdtContent>
                  </w:sdt>
                  <w:p>
                    <w:pPr>
                      <w:rPr>
                        <w:sz w:val="24"/>
                        <w:szCs w:val="24"/>
                      </w:rPr>
                    </w:pPr>
                  </w:p>
                </w:txbxContent>
              </v:textbox>
            </v:shape>
          </w:pict>
        </mc:Fallback>
      </mc:AlternateContent>
    </w:r>
  </w:p>
  <w:p>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10"/>
        <w:rPr>
          <w:rFonts w:ascii="方正仿宋_GBK" w:eastAsia="方正仿宋_GBK"/>
        </w:rPr>
      </w:pPr>
      <w:r>
        <w:rPr>
          <w:rStyle w:val="20"/>
          <w:rFonts w:ascii="方正仿宋_GBK" w:eastAsia="方正仿宋_GBK"/>
        </w:rPr>
        <w:footnoteRef/>
      </w:r>
      <w:r>
        <w:rPr>
          <w:rFonts w:ascii="方正仿宋_GBK" w:eastAsia="方正仿宋_GBK"/>
        </w:rPr>
        <w:t xml:space="preserve"> </w:t>
      </w:r>
      <w:r>
        <w:rPr>
          <w:rFonts w:eastAsia="方正仿宋_GBK" w:cs="Times New Roman"/>
        </w:rPr>
        <w:t>CCUS</w:t>
      </w:r>
      <w:r>
        <w:rPr>
          <w:rFonts w:hint="eastAsia" w:ascii="方正仿宋_GBK" w:eastAsia="方正仿宋_GBK"/>
        </w:rPr>
        <w:t>指碳捕获、利用与封存技术，即把生产过程中排放的二氧化碳进行提纯，继而投入到新的生产过程中，可以循环再利用。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985222"/>
    <w:multiLevelType w:val="multilevel"/>
    <w:tmpl w:val="70985222"/>
    <w:lvl w:ilvl="0" w:tentative="0">
      <w:start w:val="2"/>
      <w:numFmt w:val="japaneseCounting"/>
      <w:pStyle w:val="34"/>
      <w:lvlText w:val="%1、"/>
      <w:lvlJc w:val="left"/>
      <w:pPr>
        <w:tabs>
          <w:tab w:val="left" w:pos="1352"/>
        </w:tabs>
        <w:ind w:left="1352" w:hanging="720"/>
      </w:pPr>
      <w:rPr>
        <w:rFonts w:hint="default"/>
      </w:rPr>
    </w:lvl>
    <w:lvl w:ilvl="1" w:tentative="0">
      <w:start w:val="1"/>
      <w:numFmt w:val="lowerLetter"/>
      <w:lvlText w:val="%2)"/>
      <w:lvlJc w:val="left"/>
      <w:pPr>
        <w:tabs>
          <w:tab w:val="left" w:pos="1472"/>
        </w:tabs>
        <w:ind w:left="1472" w:hanging="420"/>
      </w:pPr>
    </w:lvl>
    <w:lvl w:ilvl="2" w:tentative="0">
      <w:start w:val="1"/>
      <w:numFmt w:val="lowerRoman"/>
      <w:lvlText w:val="%3."/>
      <w:lvlJc w:val="right"/>
      <w:pPr>
        <w:tabs>
          <w:tab w:val="left" w:pos="1892"/>
        </w:tabs>
        <w:ind w:left="1892" w:hanging="420"/>
      </w:pPr>
    </w:lvl>
    <w:lvl w:ilvl="3" w:tentative="0">
      <w:start w:val="1"/>
      <w:numFmt w:val="decimal"/>
      <w:lvlText w:val="%4."/>
      <w:lvlJc w:val="left"/>
      <w:pPr>
        <w:tabs>
          <w:tab w:val="left" w:pos="2312"/>
        </w:tabs>
        <w:ind w:left="2312" w:hanging="420"/>
      </w:pPr>
    </w:lvl>
    <w:lvl w:ilvl="4" w:tentative="0">
      <w:start w:val="1"/>
      <w:numFmt w:val="lowerLetter"/>
      <w:lvlText w:val="%5)"/>
      <w:lvlJc w:val="left"/>
      <w:pPr>
        <w:tabs>
          <w:tab w:val="left" w:pos="2732"/>
        </w:tabs>
        <w:ind w:left="2732" w:hanging="420"/>
      </w:pPr>
    </w:lvl>
    <w:lvl w:ilvl="5" w:tentative="0">
      <w:start w:val="1"/>
      <w:numFmt w:val="lowerRoman"/>
      <w:lvlText w:val="%6."/>
      <w:lvlJc w:val="right"/>
      <w:pPr>
        <w:tabs>
          <w:tab w:val="left" w:pos="3152"/>
        </w:tabs>
        <w:ind w:left="3152" w:hanging="420"/>
      </w:pPr>
    </w:lvl>
    <w:lvl w:ilvl="6" w:tentative="0">
      <w:start w:val="1"/>
      <w:numFmt w:val="decimal"/>
      <w:lvlText w:val="%7."/>
      <w:lvlJc w:val="left"/>
      <w:pPr>
        <w:tabs>
          <w:tab w:val="left" w:pos="3572"/>
        </w:tabs>
        <w:ind w:left="3572" w:hanging="420"/>
      </w:pPr>
    </w:lvl>
    <w:lvl w:ilvl="7" w:tentative="0">
      <w:start w:val="1"/>
      <w:numFmt w:val="lowerLetter"/>
      <w:lvlText w:val="%8)"/>
      <w:lvlJc w:val="left"/>
      <w:pPr>
        <w:tabs>
          <w:tab w:val="left" w:pos="3992"/>
        </w:tabs>
        <w:ind w:left="3992" w:hanging="420"/>
      </w:pPr>
    </w:lvl>
    <w:lvl w:ilvl="8" w:tentative="0">
      <w:start w:val="1"/>
      <w:numFmt w:val="lowerRoman"/>
      <w:lvlText w:val="%9."/>
      <w:lvlJc w:val="right"/>
      <w:pPr>
        <w:tabs>
          <w:tab w:val="left" w:pos="4412"/>
        </w:tabs>
        <w:ind w:left="441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HorizontalSpacing w:val="156"/>
  <w:drawingGridVerticalSpacing w:val="579"/>
  <w:displayHorizontalDrawingGridEvery w:val="0"/>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I2NTk3YjU3ZTgyNTY5YThiOThkNmQ3MmQ1ZjM1MzAifQ=="/>
  </w:docVars>
  <w:rsids>
    <w:rsidRoot w:val="00BF6B82"/>
    <w:rsid w:val="00000D35"/>
    <w:rsid w:val="0000120C"/>
    <w:rsid w:val="00001602"/>
    <w:rsid w:val="00001751"/>
    <w:rsid w:val="000018B7"/>
    <w:rsid w:val="000024A9"/>
    <w:rsid w:val="00002AB2"/>
    <w:rsid w:val="00002E61"/>
    <w:rsid w:val="00003A53"/>
    <w:rsid w:val="0000410D"/>
    <w:rsid w:val="00004131"/>
    <w:rsid w:val="000050A8"/>
    <w:rsid w:val="0000526E"/>
    <w:rsid w:val="00005761"/>
    <w:rsid w:val="000058FD"/>
    <w:rsid w:val="00005985"/>
    <w:rsid w:val="00005CCB"/>
    <w:rsid w:val="000061D2"/>
    <w:rsid w:val="00006465"/>
    <w:rsid w:val="00007791"/>
    <w:rsid w:val="00007FB9"/>
    <w:rsid w:val="00010217"/>
    <w:rsid w:val="00010AFE"/>
    <w:rsid w:val="00011824"/>
    <w:rsid w:val="00011DC1"/>
    <w:rsid w:val="00011DDE"/>
    <w:rsid w:val="00011F6B"/>
    <w:rsid w:val="00014900"/>
    <w:rsid w:val="00014B16"/>
    <w:rsid w:val="00014B91"/>
    <w:rsid w:val="00015195"/>
    <w:rsid w:val="0001532F"/>
    <w:rsid w:val="00015A1C"/>
    <w:rsid w:val="00016090"/>
    <w:rsid w:val="00016C2D"/>
    <w:rsid w:val="000170ED"/>
    <w:rsid w:val="00017704"/>
    <w:rsid w:val="00020794"/>
    <w:rsid w:val="00020C52"/>
    <w:rsid w:val="00021944"/>
    <w:rsid w:val="00021AEE"/>
    <w:rsid w:val="00022468"/>
    <w:rsid w:val="0002348B"/>
    <w:rsid w:val="00025552"/>
    <w:rsid w:val="0002578B"/>
    <w:rsid w:val="00026573"/>
    <w:rsid w:val="00026AFD"/>
    <w:rsid w:val="000272A4"/>
    <w:rsid w:val="00027382"/>
    <w:rsid w:val="00027AEE"/>
    <w:rsid w:val="00027BAF"/>
    <w:rsid w:val="000305B6"/>
    <w:rsid w:val="000306CD"/>
    <w:rsid w:val="00030BD8"/>
    <w:rsid w:val="000314AB"/>
    <w:rsid w:val="000317D4"/>
    <w:rsid w:val="0003199E"/>
    <w:rsid w:val="0003269B"/>
    <w:rsid w:val="00032CD2"/>
    <w:rsid w:val="00032D23"/>
    <w:rsid w:val="00032FE2"/>
    <w:rsid w:val="0003329B"/>
    <w:rsid w:val="00033D75"/>
    <w:rsid w:val="00034017"/>
    <w:rsid w:val="000341A6"/>
    <w:rsid w:val="00034B5B"/>
    <w:rsid w:val="00035FEA"/>
    <w:rsid w:val="00037172"/>
    <w:rsid w:val="00037179"/>
    <w:rsid w:val="0004014E"/>
    <w:rsid w:val="000409F7"/>
    <w:rsid w:val="00041C5F"/>
    <w:rsid w:val="000420FB"/>
    <w:rsid w:val="00044082"/>
    <w:rsid w:val="000449A2"/>
    <w:rsid w:val="00044DF0"/>
    <w:rsid w:val="00044FE8"/>
    <w:rsid w:val="00045414"/>
    <w:rsid w:val="00045725"/>
    <w:rsid w:val="00045C0D"/>
    <w:rsid w:val="00046EFF"/>
    <w:rsid w:val="000474A0"/>
    <w:rsid w:val="00050CCC"/>
    <w:rsid w:val="00050FDE"/>
    <w:rsid w:val="00051175"/>
    <w:rsid w:val="00052A0E"/>
    <w:rsid w:val="00052B27"/>
    <w:rsid w:val="00052D2E"/>
    <w:rsid w:val="00053597"/>
    <w:rsid w:val="00053D16"/>
    <w:rsid w:val="00054BD4"/>
    <w:rsid w:val="00055301"/>
    <w:rsid w:val="0005544A"/>
    <w:rsid w:val="00055FBD"/>
    <w:rsid w:val="00056C2D"/>
    <w:rsid w:val="00060546"/>
    <w:rsid w:val="00061673"/>
    <w:rsid w:val="00062BE8"/>
    <w:rsid w:val="000633BF"/>
    <w:rsid w:val="000634A7"/>
    <w:rsid w:val="000638EE"/>
    <w:rsid w:val="000649B2"/>
    <w:rsid w:val="000653BF"/>
    <w:rsid w:val="00066843"/>
    <w:rsid w:val="00067EE6"/>
    <w:rsid w:val="00067EF4"/>
    <w:rsid w:val="00071447"/>
    <w:rsid w:val="000717B3"/>
    <w:rsid w:val="0007484F"/>
    <w:rsid w:val="00074A17"/>
    <w:rsid w:val="00075890"/>
    <w:rsid w:val="000760DE"/>
    <w:rsid w:val="0007633C"/>
    <w:rsid w:val="00076364"/>
    <w:rsid w:val="000766F9"/>
    <w:rsid w:val="000800E2"/>
    <w:rsid w:val="00081A7E"/>
    <w:rsid w:val="00081BC6"/>
    <w:rsid w:val="00081D6F"/>
    <w:rsid w:val="00082041"/>
    <w:rsid w:val="00082580"/>
    <w:rsid w:val="00082AB0"/>
    <w:rsid w:val="000833EB"/>
    <w:rsid w:val="00083700"/>
    <w:rsid w:val="00083960"/>
    <w:rsid w:val="00083A58"/>
    <w:rsid w:val="00084162"/>
    <w:rsid w:val="00086214"/>
    <w:rsid w:val="00086492"/>
    <w:rsid w:val="00087B83"/>
    <w:rsid w:val="00090478"/>
    <w:rsid w:val="00090D5F"/>
    <w:rsid w:val="00091026"/>
    <w:rsid w:val="00091247"/>
    <w:rsid w:val="00092068"/>
    <w:rsid w:val="000924D8"/>
    <w:rsid w:val="00092C08"/>
    <w:rsid w:val="00093110"/>
    <w:rsid w:val="00093A7D"/>
    <w:rsid w:val="00094125"/>
    <w:rsid w:val="00094D57"/>
    <w:rsid w:val="00095DF2"/>
    <w:rsid w:val="00097CD1"/>
    <w:rsid w:val="000A049B"/>
    <w:rsid w:val="000A0F20"/>
    <w:rsid w:val="000A1177"/>
    <w:rsid w:val="000A11B4"/>
    <w:rsid w:val="000A15DF"/>
    <w:rsid w:val="000A18B1"/>
    <w:rsid w:val="000A28B4"/>
    <w:rsid w:val="000A2A0A"/>
    <w:rsid w:val="000A2C44"/>
    <w:rsid w:val="000A35BD"/>
    <w:rsid w:val="000A37DE"/>
    <w:rsid w:val="000A38C8"/>
    <w:rsid w:val="000A78BA"/>
    <w:rsid w:val="000A7F93"/>
    <w:rsid w:val="000B0CF9"/>
    <w:rsid w:val="000B0E70"/>
    <w:rsid w:val="000B0F23"/>
    <w:rsid w:val="000B3EFE"/>
    <w:rsid w:val="000B4555"/>
    <w:rsid w:val="000B5559"/>
    <w:rsid w:val="000B584C"/>
    <w:rsid w:val="000B5AE8"/>
    <w:rsid w:val="000B5FCE"/>
    <w:rsid w:val="000B6D95"/>
    <w:rsid w:val="000B6E6B"/>
    <w:rsid w:val="000B7FD2"/>
    <w:rsid w:val="000B7FDB"/>
    <w:rsid w:val="000C0C36"/>
    <w:rsid w:val="000C113B"/>
    <w:rsid w:val="000C218D"/>
    <w:rsid w:val="000C2751"/>
    <w:rsid w:val="000C461E"/>
    <w:rsid w:val="000C4940"/>
    <w:rsid w:val="000C4BA8"/>
    <w:rsid w:val="000C5D0B"/>
    <w:rsid w:val="000C6468"/>
    <w:rsid w:val="000C69CC"/>
    <w:rsid w:val="000C6CAE"/>
    <w:rsid w:val="000D0A7B"/>
    <w:rsid w:val="000D0D8C"/>
    <w:rsid w:val="000D0F22"/>
    <w:rsid w:val="000D16B4"/>
    <w:rsid w:val="000D1797"/>
    <w:rsid w:val="000D1C07"/>
    <w:rsid w:val="000D203C"/>
    <w:rsid w:val="000D247D"/>
    <w:rsid w:val="000D2CCA"/>
    <w:rsid w:val="000D3784"/>
    <w:rsid w:val="000D3826"/>
    <w:rsid w:val="000D3DFC"/>
    <w:rsid w:val="000D3E3A"/>
    <w:rsid w:val="000D5156"/>
    <w:rsid w:val="000D58F9"/>
    <w:rsid w:val="000D6715"/>
    <w:rsid w:val="000D6949"/>
    <w:rsid w:val="000D71A5"/>
    <w:rsid w:val="000D7BC8"/>
    <w:rsid w:val="000E5D4B"/>
    <w:rsid w:val="000E67AA"/>
    <w:rsid w:val="000E7035"/>
    <w:rsid w:val="000E7229"/>
    <w:rsid w:val="000E73A2"/>
    <w:rsid w:val="000E7475"/>
    <w:rsid w:val="000E7B71"/>
    <w:rsid w:val="000E7C2D"/>
    <w:rsid w:val="000F147F"/>
    <w:rsid w:val="000F1560"/>
    <w:rsid w:val="000F2214"/>
    <w:rsid w:val="000F3376"/>
    <w:rsid w:val="000F33E4"/>
    <w:rsid w:val="000F35B4"/>
    <w:rsid w:val="000F3CAA"/>
    <w:rsid w:val="000F3D65"/>
    <w:rsid w:val="000F58A0"/>
    <w:rsid w:val="000F629C"/>
    <w:rsid w:val="000F66FF"/>
    <w:rsid w:val="000F70D2"/>
    <w:rsid w:val="000F7347"/>
    <w:rsid w:val="00100755"/>
    <w:rsid w:val="00100E87"/>
    <w:rsid w:val="001010B7"/>
    <w:rsid w:val="001016D9"/>
    <w:rsid w:val="00101C1A"/>
    <w:rsid w:val="00102075"/>
    <w:rsid w:val="001022ED"/>
    <w:rsid w:val="00102EBF"/>
    <w:rsid w:val="00103111"/>
    <w:rsid w:val="0010378E"/>
    <w:rsid w:val="0010479F"/>
    <w:rsid w:val="00104BEC"/>
    <w:rsid w:val="00104E86"/>
    <w:rsid w:val="00105877"/>
    <w:rsid w:val="00105B1F"/>
    <w:rsid w:val="001075EF"/>
    <w:rsid w:val="0010797B"/>
    <w:rsid w:val="00107AAF"/>
    <w:rsid w:val="00107C37"/>
    <w:rsid w:val="001112D9"/>
    <w:rsid w:val="0011165B"/>
    <w:rsid w:val="00111E50"/>
    <w:rsid w:val="00112056"/>
    <w:rsid w:val="001124AA"/>
    <w:rsid w:val="0011360A"/>
    <w:rsid w:val="00113BEC"/>
    <w:rsid w:val="001140EA"/>
    <w:rsid w:val="00114C89"/>
    <w:rsid w:val="00115718"/>
    <w:rsid w:val="00116185"/>
    <w:rsid w:val="00117E0D"/>
    <w:rsid w:val="001202ED"/>
    <w:rsid w:val="00121C7B"/>
    <w:rsid w:val="00122498"/>
    <w:rsid w:val="00122502"/>
    <w:rsid w:val="0012258B"/>
    <w:rsid w:val="00122647"/>
    <w:rsid w:val="0012330C"/>
    <w:rsid w:val="00123D90"/>
    <w:rsid w:val="00123E80"/>
    <w:rsid w:val="00123FA2"/>
    <w:rsid w:val="001241CF"/>
    <w:rsid w:val="00124AB6"/>
    <w:rsid w:val="001255BD"/>
    <w:rsid w:val="00126509"/>
    <w:rsid w:val="001268A1"/>
    <w:rsid w:val="00127111"/>
    <w:rsid w:val="0012773A"/>
    <w:rsid w:val="00130672"/>
    <w:rsid w:val="00130BA8"/>
    <w:rsid w:val="001314BF"/>
    <w:rsid w:val="001315B0"/>
    <w:rsid w:val="00131C14"/>
    <w:rsid w:val="001324D8"/>
    <w:rsid w:val="00132711"/>
    <w:rsid w:val="00132897"/>
    <w:rsid w:val="00132F25"/>
    <w:rsid w:val="00133186"/>
    <w:rsid w:val="00133D3E"/>
    <w:rsid w:val="00135687"/>
    <w:rsid w:val="00136515"/>
    <w:rsid w:val="0013687B"/>
    <w:rsid w:val="00136A83"/>
    <w:rsid w:val="00137D9F"/>
    <w:rsid w:val="00140210"/>
    <w:rsid w:val="001403D8"/>
    <w:rsid w:val="00141152"/>
    <w:rsid w:val="00141833"/>
    <w:rsid w:val="0014305D"/>
    <w:rsid w:val="001436A7"/>
    <w:rsid w:val="0014370D"/>
    <w:rsid w:val="00143936"/>
    <w:rsid w:val="001448A0"/>
    <w:rsid w:val="0014542D"/>
    <w:rsid w:val="00146107"/>
    <w:rsid w:val="0014666D"/>
    <w:rsid w:val="001467FB"/>
    <w:rsid w:val="00146B67"/>
    <w:rsid w:val="0015087B"/>
    <w:rsid w:val="0015088B"/>
    <w:rsid w:val="00150C61"/>
    <w:rsid w:val="00150F7E"/>
    <w:rsid w:val="00151D5A"/>
    <w:rsid w:val="001522D2"/>
    <w:rsid w:val="001523D5"/>
    <w:rsid w:val="001531A4"/>
    <w:rsid w:val="001531B2"/>
    <w:rsid w:val="00153347"/>
    <w:rsid w:val="001548B1"/>
    <w:rsid w:val="001552D3"/>
    <w:rsid w:val="0015574E"/>
    <w:rsid w:val="00156239"/>
    <w:rsid w:val="00157207"/>
    <w:rsid w:val="00157A51"/>
    <w:rsid w:val="00157BD4"/>
    <w:rsid w:val="00157FF3"/>
    <w:rsid w:val="0016032F"/>
    <w:rsid w:val="00160AA6"/>
    <w:rsid w:val="00160BC8"/>
    <w:rsid w:val="00162743"/>
    <w:rsid w:val="00162ADC"/>
    <w:rsid w:val="00162CDD"/>
    <w:rsid w:val="00163464"/>
    <w:rsid w:val="00163830"/>
    <w:rsid w:val="00163991"/>
    <w:rsid w:val="0016448E"/>
    <w:rsid w:val="00164AC0"/>
    <w:rsid w:val="00165DA0"/>
    <w:rsid w:val="00165E63"/>
    <w:rsid w:val="0016658D"/>
    <w:rsid w:val="001674FF"/>
    <w:rsid w:val="00167C3C"/>
    <w:rsid w:val="0017181A"/>
    <w:rsid w:val="0017251D"/>
    <w:rsid w:val="001726C4"/>
    <w:rsid w:val="00172830"/>
    <w:rsid w:val="00172B1F"/>
    <w:rsid w:val="001733AA"/>
    <w:rsid w:val="001734A6"/>
    <w:rsid w:val="00173D47"/>
    <w:rsid w:val="001750E7"/>
    <w:rsid w:val="00175345"/>
    <w:rsid w:val="001753A2"/>
    <w:rsid w:val="00175446"/>
    <w:rsid w:val="00175A5F"/>
    <w:rsid w:val="00176734"/>
    <w:rsid w:val="00177063"/>
    <w:rsid w:val="00177126"/>
    <w:rsid w:val="00177DE7"/>
    <w:rsid w:val="00180C51"/>
    <w:rsid w:val="00180FEF"/>
    <w:rsid w:val="00181B51"/>
    <w:rsid w:val="00182894"/>
    <w:rsid w:val="001830DB"/>
    <w:rsid w:val="00183D50"/>
    <w:rsid w:val="00183D95"/>
    <w:rsid w:val="00184397"/>
    <w:rsid w:val="00184473"/>
    <w:rsid w:val="0018460C"/>
    <w:rsid w:val="00184D32"/>
    <w:rsid w:val="00186B80"/>
    <w:rsid w:val="00186F4A"/>
    <w:rsid w:val="0019008C"/>
    <w:rsid w:val="00191A5B"/>
    <w:rsid w:val="00191B1C"/>
    <w:rsid w:val="00192045"/>
    <w:rsid w:val="001923C3"/>
    <w:rsid w:val="00192F7F"/>
    <w:rsid w:val="00192F9B"/>
    <w:rsid w:val="00193136"/>
    <w:rsid w:val="00193616"/>
    <w:rsid w:val="00193DEC"/>
    <w:rsid w:val="00193F95"/>
    <w:rsid w:val="00194507"/>
    <w:rsid w:val="001957C7"/>
    <w:rsid w:val="0019693F"/>
    <w:rsid w:val="00197577"/>
    <w:rsid w:val="00197EB3"/>
    <w:rsid w:val="001A2817"/>
    <w:rsid w:val="001A2AC9"/>
    <w:rsid w:val="001A2C28"/>
    <w:rsid w:val="001A2FA6"/>
    <w:rsid w:val="001A4513"/>
    <w:rsid w:val="001A4746"/>
    <w:rsid w:val="001A4819"/>
    <w:rsid w:val="001A5AF4"/>
    <w:rsid w:val="001A6A3C"/>
    <w:rsid w:val="001A70C4"/>
    <w:rsid w:val="001A79ED"/>
    <w:rsid w:val="001B1513"/>
    <w:rsid w:val="001B3C5E"/>
    <w:rsid w:val="001B526B"/>
    <w:rsid w:val="001B58E8"/>
    <w:rsid w:val="001B6CF8"/>
    <w:rsid w:val="001B7899"/>
    <w:rsid w:val="001B7E9D"/>
    <w:rsid w:val="001C05FC"/>
    <w:rsid w:val="001C15B4"/>
    <w:rsid w:val="001C1839"/>
    <w:rsid w:val="001C1D3F"/>
    <w:rsid w:val="001C2F1A"/>
    <w:rsid w:val="001C31AD"/>
    <w:rsid w:val="001C3925"/>
    <w:rsid w:val="001C3F9E"/>
    <w:rsid w:val="001C49D2"/>
    <w:rsid w:val="001C4B89"/>
    <w:rsid w:val="001C4F66"/>
    <w:rsid w:val="001C5689"/>
    <w:rsid w:val="001C69FB"/>
    <w:rsid w:val="001C6E77"/>
    <w:rsid w:val="001C70DB"/>
    <w:rsid w:val="001C7125"/>
    <w:rsid w:val="001C714D"/>
    <w:rsid w:val="001C7E6D"/>
    <w:rsid w:val="001D0327"/>
    <w:rsid w:val="001D12C9"/>
    <w:rsid w:val="001D17AD"/>
    <w:rsid w:val="001D1A2D"/>
    <w:rsid w:val="001D2BCA"/>
    <w:rsid w:val="001D3095"/>
    <w:rsid w:val="001D37D2"/>
    <w:rsid w:val="001D38F3"/>
    <w:rsid w:val="001D41A7"/>
    <w:rsid w:val="001D455F"/>
    <w:rsid w:val="001D584D"/>
    <w:rsid w:val="001D642A"/>
    <w:rsid w:val="001D6591"/>
    <w:rsid w:val="001D6804"/>
    <w:rsid w:val="001D6832"/>
    <w:rsid w:val="001D699C"/>
    <w:rsid w:val="001D6E2D"/>
    <w:rsid w:val="001D756D"/>
    <w:rsid w:val="001E03CD"/>
    <w:rsid w:val="001E04B1"/>
    <w:rsid w:val="001E10F5"/>
    <w:rsid w:val="001E1ECA"/>
    <w:rsid w:val="001E26AD"/>
    <w:rsid w:val="001E29E2"/>
    <w:rsid w:val="001E2B5C"/>
    <w:rsid w:val="001E377B"/>
    <w:rsid w:val="001E4813"/>
    <w:rsid w:val="001E5516"/>
    <w:rsid w:val="001E5B73"/>
    <w:rsid w:val="001E696E"/>
    <w:rsid w:val="001F0D1F"/>
    <w:rsid w:val="001F123B"/>
    <w:rsid w:val="001F21FC"/>
    <w:rsid w:val="001F28F0"/>
    <w:rsid w:val="001F2FC6"/>
    <w:rsid w:val="001F3073"/>
    <w:rsid w:val="001F320D"/>
    <w:rsid w:val="001F3284"/>
    <w:rsid w:val="001F344E"/>
    <w:rsid w:val="001F4362"/>
    <w:rsid w:val="001F4858"/>
    <w:rsid w:val="001F4B2A"/>
    <w:rsid w:val="001F4DAF"/>
    <w:rsid w:val="001F4FBB"/>
    <w:rsid w:val="001F5BC9"/>
    <w:rsid w:val="001F6F71"/>
    <w:rsid w:val="00200649"/>
    <w:rsid w:val="0020181A"/>
    <w:rsid w:val="0020183D"/>
    <w:rsid w:val="00201EF4"/>
    <w:rsid w:val="0020213D"/>
    <w:rsid w:val="00202DD2"/>
    <w:rsid w:val="002035FD"/>
    <w:rsid w:val="00203DA6"/>
    <w:rsid w:val="00203EF6"/>
    <w:rsid w:val="00205015"/>
    <w:rsid w:val="002056FD"/>
    <w:rsid w:val="00205A5F"/>
    <w:rsid w:val="00206379"/>
    <w:rsid w:val="00206757"/>
    <w:rsid w:val="00206FCD"/>
    <w:rsid w:val="00207ECD"/>
    <w:rsid w:val="00210043"/>
    <w:rsid w:val="00210299"/>
    <w:rsid w:val="0021152D"/>
    <w:rsid w:val="002115AE"/>
    <w:rsid w:val="00212765"/>
    <w:rsid w:val="00212889"/>
    <w:rsid w:val="002132E4"/>
    <w:rsid w:val="00214988"/>
    <w:rsid w:val="00214C48"/>
    <w:rsid w:val="00214FC9"/>
    <w:rsid w:val="00215150"/>
    <w:rsid w:val="00215C30"/>
    <w:rsid w:val="00216480"/>
    <w:rsid w:val="00216B17"/>
    <w:rsid w:val="00216CF2"/>
    <w:rsid w:val="00217346"/>
    <w:rsid w:val="0021750A"/>
    <w:rsid w:val="00220745"/>
    <w:rsid w:val="00220D3D"/>
    <w:rsid w:val="00220F50"/>
    <w:rsid w:val="00222A1F"/>
    <w:rsid w:val="0022330F"/>
    <w:rsid w:val="00223750"/>
    <w:rsid w:val="002248C7"/>
    <w:rsid w:val="0022524A"/>
    <w:rsid w:val="002269FB"/>
    <w:rsid w:val="00226B5A"/>
    <w:rsid w:val="00227FE0"/>
    <w:rsid w:val="00230486"/>
    <w:rsid w:val="00230A08"/>
    <w:rsid w:val="00230E53"/>
    <w:rsid w:val="00231A31"/>
    <w:rsid w:val="00231C2D"/>
    <w:rsid w:val="00231D4C"/>
    <w:rsid w:val="002335E8"/>
    <w:rsid w:val="00233847"/>
    <w:rsid w:val="00233AB0"/>
    <w:rsid w:val="00233EEF"/>
    <w:rsid w:val="002342C2"/>
    <w:rsid w:val="00234BBF"/>
    <w:rsid w:val="002353C7"/>
    <w:rsid w:val="00235484"/>
    <w:rsid w:val="002355F7"/>
    <w:rsid w:val="0023669E"/>
    <w:rsid w:val="002368D1"/>
    <w:rsid w:val="00236DCE"/>
    <w:rsid w:val="00236FD7"/>
    <w:rsid w:val="0023721E"/>
    <w:rsid w:val="0023723B"/>
    <w:rsid w:val="002376F1"/>
    <w:rsid w:val="00237AC4"/>
    <w:rsid w:val="00237DDD"/>
    <w:rsid w:val="00240BD0"/>
    <w:rsid w:val="0024139F"/>
    <w:rsid w:val="00242671"/>
    <w:rsid w:val="002426AE"/>
    <w:rsid w:val="00242C0E"/>
    <w:rsid w:val="0024310B"/>
    <w:rsid w:val="002431BC"/>
    <w:rsid w:val="00243DF1"/>
    <w:rsid w:val="00245228"/>
    <w:rsid w:val="0024571B"/>
    <w:rsid w:val="002457FC"/>
    <w:rsid w:val="00245CC6"/>
    <w:rsid w:val="002466E5"/>
    <w:rsid w:val="00246B07"/>
    <w:rsid w:val="00247561"/>
    <w:rsid w:val="00247B17"/>
    <w:rsid w:val="002503F7"/>
    <w:rsid w:val="002507F2"/>
    <w:rsid w:val="0025091A"/>
    <w:rsid w:val="002511F0"/>
    <w:rsid w:val="00251273"/>
    <w:rsid w:val="00251C6D"/>
    <w:rsid w:val="00252321"/>
    <w:rsid w:val="002527DC"/>
    <w:rsid w:val="00254623"/>
    <w:rsid w:val="002547CB"/>
    <w:rsid w:val="00256291"/>
    <w:rsid w:val="00257339"/>
    <w:rsid w:val="00257E7B"/>
    <w:rsid w:val="00257ED5"/>
    <w:rsid w:val="00260046"/>
    <w:rsid w:val="002603AD"/>
    <w:rsid w:val="002606D9"/>
    <w:rsid w:val="002612E0"/>
    <w:rsid w:val="002613A9"/>
    <w:rsid w:val="00261FEE"/>
    <w:rsid w:val="002626E4"/>
    <w:rsid w:val="00262C8C"/>
    <w:rsid w:val="00262C94"/>
    <w:rsid w:val="00262F22"/>
    <w:rsid w:val="00263B09"/>
    <w:rsid w:val="002647E6"/>
    <w:rsid w:val="00264852"/>
    <w:rsid w:val="00265509"/>
    <w:rsid w:val="00266106"/>
    <w:rsid w:val="00266C68"/>
    <w:rsid w:val="00267EED"/>
    <w:rsid w:val="00270058"/>
    <w:rsid w:val="002710F5"/>
    <w:rsid w:val="00271CA7"/>
    <w:rsid w:val="002743AA"/>
    <w:rsid w:val="00275243"/>
    <w:rsid w:val="0027656E"/>
    <w:rsid w:val="00277C73"/>
    <w:rsid w:val="00277D6A"/>
    <w:rsid w:val="00280491"/>
    <w:rsid w:val="0028076D"/>
    <w:rsid w:val="00280AFB"/>
    <w:rsid w:val="00280DA5"/>
    <w:rsid w:val="0028159F"/>
    <w:rsid w:val="00281EF5"/>
    <w:rsid w:val="00282116"/>
    <w:rsid w:val="002822D4"/>
    <w:rsid w:val="002828AF"/>
    <w:rsid w:val="00282A22"/>
    <w:rsid w:val="00282B55"/>
    <w:rsid w:val="00283053"/>
    <w:rsid w:val="00283950"/>
    <w:rsid w:val="00284165"/>
    <w:rsid w:val="00285922"/>
    <w:rsid w:val="00286E54"/>
    <w:rsid w:val="00287A1A"/>
    <w:rsid w:val="00290571"/>
    <w:rsid w:val="00291584"/>
    <w:rsid w:val="0029207F"/>
    <w:rsid w:val="00293ACD"/>
    <w:rsid w:val="0029471A"/>
    <w:rsid w:val="00295A26"/>
    <w:rsid w:val="00295B2B"/>
    <w:rsid w:val="0029629E"/>
    <w:rsid w:val="00296F24"/>
    <w:rsid w:val="002A17E8"/>
    <w:rsid w:val="002A22E3"/>
    <w:rsid w:val="002A2526"/>
    <w:rsid w:val="002A2F56"/>
    <w:rsid w:val="002A30B5"/>
    <w:rsid w:val="002A3410"/>
    <w:rsid w:val="002A3A31"/>
    <w:rsid w:val="002A3E83"/>
    <w:rsid w:val="002A40D1"/>
    <w:rsid w:val="002A479A"/>
    <w:rsid w:val="002A4AF4"/>
    <w:rsid w:val="002A533D"/>
    <w:rsid w:val="002A5D41"/>
    <w:rsid w:val="002A66E8"/>
    <w:rsid w:val="002A6967"/>
    <w:rsid w:val="002A7116"/>
    <w:rsid w:val="002A731B"/>
    <w:rsid w:val="002A7C67"/>
    <w:rsid w:val="002B0165"/>
    <w:rsid w:val="002B0B24"/>
    <w:rsid w:val="002B0FAC"/>
    <w:rsid w:val="002B1F66"/>
    <w:rsid w:val="002B20E0"/>
    <w:rsid w:val="002B3196"/>
    <w:rsid w:val="002B3B56"/>
    <w:rsid w:val="002B3EAB"/>
    <w:rsid w:val="002B6541"/>
    <w:rsid w:val="002B6794"/>
    <w:rsid w:val="002B75BF"/>
    <w:rsid w:val="002B796F"/>
    <w:rsid w:val="002B7F1A"/>
    <w:rsid w:val="002C0251"/>
    <w:rsid w:val="002C0D1E"/>
    <w:rsid w:val="002C1288"/>
    <w:rsid w:val="002C1368"/>
    <w:rsid w:val="002C2013"/>
    <w:rsid w:val="002C290B"/>
    <w:rsid w:val="002C351A"/>
    <w:rsid w:val="002C587A"/>
    <w:rsid w:val="002C58BA"/>
    <w:rsid w:val="002C654C"/>
    <w:rsid w:val="002C68B1"/>
    <w:rsid w:val="002C7BAC"/>
    <w:rsid w:val="002D09BF"/>
    <w:rsid w:val="002D0D92"/>
    <w:rsid w:val="002D2D3F"/>
    <w:rsid w:val="002D2DA6"/>
    <w:rsid w:val="002D3494"/>
    <w:rsid w:val="002D3C8D"/>
    <w:rsid w:val="002D3F4B"/>
    <w:rsid w:val="002D40CA"/>
    <w:rsid w:val="002D475D"/>
    <w:rsid w:val="002D48F3"/>
    <w:rsid w:val="002D50EA"/>
    <w:rsid w:val="002D5794"/>
    <w:rsid w:val="002D5C76"/>
    <w:rsid w:val="002D7186"/>
    <w:rsid w:val="002D7ABE"/>
    <w:rsid w:val="002D7CFC"/>
    <w:rsid w:val="002E0F7E"/>
    <w:rsid w:val="002E144D"/>
    <w:rsid w:val="002E21ED"/>
    <w:rsid w:val="002E29A9"/>
    <w:rsid w:val="002E2D57"/>
    <w:rsid w:val="002E40A0"/>
    <w:rsid w:val="002E45BB"/>
    <w:rsid w:val="002E54BA"/>
    <w:rsid w:val="002E59AA"/>
    <w:rsid w:val="002E6968"/>
    <w:rsid w:val="002E6981"/>
    <w:rsid w:val="002E6D0B"/>
    <w:rsid w:val="002F018D"/>
    <w:rsid w:val="002F0D86"/>
    <w:rsid w:val="002F10D4"/>
    <w:rsid w:val="002F2E91"/>
    <w:rsid w:val="002F36EE"/>
    <w:rsid w:val="002F3EF7"/>
    <w:rsid w:val="002F4079"/>
    <w:rsid w:val="002F436E"/>
    <w:rsid w:val="002F4651"/>
    <w:rsid w:val="002F5018"/>
    <w:rsid w:val="002F5811"/>
    <w:rsid w:val="002F5F2F"/>
    <w:rsid w:val="002F6FD0"/>
    <w:rsid w:val="002F75F4"/>
    <w:rsid w:val="002F7653"/>
    <w:rsid w:val="0030128D"/>
    <w:rsid w:val="0030137F"/>
    <w:rsid w:val="0030177B"/>
    <w:rsid w:val="003017A4"/>
    <w:rsid w:val="00302141"/>
    <w:rsid w:val="00302898"/>
    <w:rsid w:val="00303D35"/>
    <w:rsid w:val="00304787"/>
    <w:rsid w:val="00305773"/>
    <w:rsid w:val="00305AF7"/>
    <w:rsid w:val="00306993"/>
    <w:rsid w:val="0031027E"/>
    <w:rsid w:val="003106DF"/>
    <w:rsid w:val="00311C72"/>
    <w:rsid w:val="003127FA"/>
    <w:rsid w:val="00313327"/>
    <w:rsid w:val="00313D62"/>
    <w:rsid w:val="00313D8F"/>
    <w:rsid w:val="00313F35"/>
    <w:rsid w:val="00313F96"/>
    <w:rsid w:val="00314908"/>
    <w:rsid w:val="00316D13"/>
    <w:rsid w:val="00317446"/>
    <w:rsid w:val="00317604"/>
    <w:rsid w:val="003176C3"/>
    <w:rsid w:val="00317BDC"/>
    <w:rsid w:val="00320356"/>
    <w:rsid w:val="00320DD3"/>
    <w:rsid w:val="00321596"/>
    <w:rsid w:val="00321C68"/>
    <w:rsid w:val="00322320"/>
    <w:rsid w:val="00322897"/>
    <w:rsid w:val="0032483F"/>
    <w:rsid w:val="00325DDE"/>
    <w:rsid w:val="00326153"/>
    <w:rsid w:val="003263F9"/>
    <w:rsid w:val="00326766"/>
    <w:rsid w:val="0033033D"/>
    <w:rsid w:val="003312EE"/>
    <w:rsid w:val="0033133C"/>
    <w:rsid w:val="00331591"/>
    <w:rsid w:val="00332920"/>
    <w:rsid w:val="00332ABC"/>
    <w:rsid w:val="00333513"/>
    <w:rsid w:val="0033352F"/>
    <w:rsid w:val="003336D2"/>
    <w:rsid w:val="00334470"/>
    <w:rsid w:val="00334771"/>
    <w:rsid w:val="00334BDE"/>
    <w:rsid w:val="00335802"/>
    <w:rsid w:val="003358C3"/>
    <w:rsid w:val="003364F8"/>
    <w:rsid w:val="00336B64"/>
    <w:rsid w:val="003403B1"/>
    <w:rsid w:val="0034118E"/>
    <w:rsid w:val="003412E3"/>
    <w:rsid w:val="0034269D"/>
    <w:rsid w:val="003428CC"/>
    <w:rsid w:val="00344B64"/>
    <w:rsid w:val="00344C93"/>
    <w:rsid w:val="003450CD"/>
    <w:rsid w:val="00345112"/>
    <w:rsid w:val="00345668"/>
    <w:rsid w:val="00346BF4"/>
    <w:rsid w:val="0034777A"/>
    <w:rsid w:val="00347A50"/>
    <w:rsid w:val="00347A93"/>
    <w:rsid w:val="00347D8D"/>
    <w:rsid w:val="00347E54"/>
    <w:rsid w:val="0035079E"/>
    <w:rsid w:val="00350829"/>
    <w:rsid w:val="003509E0"/>
    <w:rsid w:val="00350A58"/>
    <w:rsid w:val="00351BC0"/>
    <w:rsid w:val="00351D62"/>
    <w:rsid w:val="00352369"/>
    <w:rsid w:val="0035286C"/>
    <w:rsid w:val="003539C7"/>
    <w:rsid w:val="00354612"/>
    <w:rsid w:val="00355D18"/>
    <w:rsid w:val="00355EB8"/>
    <w:rsid w:val="00355F3A"/>
    <w:rsid w:val="003561FD"/>
    <w:rsid w:val="00356A7B"/>
    <w:rsid w:val="00356CD5"/>
    <w:rsid w:val="003603E5"/>
    <w:rsid w:val="00361098"/>
    <w:rsid w:val="00361E7E"/>
    <w:rsid w:val="00362BAD"/>
    <w:rsid w:val="003632CB"/>
    <w:rsid w:val="0036426D"/>
    <w:rsid w:val="003644F1"/>
    <w:rsid w:val="003647F4"/>
    <w:rsid w:val="0036516D"/>
    <w:rsid w:val="0036534F"/>
    <w:rsid w:val="003659DB"/>
    <w:rsid w:val="0037054A"/>
    <w:rsid w:val="00372468"/>
    <w:rsid w:val="00372DD8"/>
    <w:rsid w:val="003753B6"/>
    <w:rsid w:val="0037587F"/>
    <w:rsid w:val="00375927"/>
    <w:rsid w:val="003773F4"/>
    <w:rsid w:val="0037780B"/>
    <w:rsid w:val="00377FE2"/>
    <w:rsid w:val="0038011A"/>
    <w:rsid w:val="00380360"/>
    <w:rsid w:val="0038159C"/>
    <w:rsid w:val="00382787"/>
    <w:rsid w:val="0038316B"/>
    <w:rsid w:val="00383511"/>
    <w:rsid w:val="00383678"/>
    <w:rsid w:val="003836FE"/>
    <w:rsid w:val="00383D17"/>
    <w:rsid w:val="0038429C"/>
    <w:rsid w:val="00384440"/>
    <w:rsid w:val="00384E63"/>
    <w:rsid w:val="00385689"/>
    <w:rsid w:val="00386570"/>
    <w:rsid w:val="003870D0"/>
    <w:rsid w:val="0038748A"/>
    <w:rsid w:val="00390181"/>
    <w:rsid w:val="003909AC"/>
    <w:rsid w:val="00390F45"/>
    <w:rsid w:val="00391B25"/>
    <w:rsid w:val="00391F9B"/>
    <w:rsid w:val="00392AC5"/>
    <w:rsid w:val="00392B67"/>
    <w:rsid w:val="00392C1E"/>
    <w:rsid w:val="003934CD"/>
    <w:rsid w:val="0039425A"/>
    <w:rsid w:val="00394919"/>
    <w:rsid w:val="00395856"/>
    <w:rsid w:val="003968B6"/>
    <w:rsid w:val="00396C61"/>
    <w:rsid w:val="00396D62"/>
    <w:rsid w:val="00396DED"/>
    <w:rsid w:val="003A0718"/>
    <w:rsid w:val="003A18C0"/>
    <w:rsid w:val="003A1E03"/>
    <w:rsid w:val="003A2897"/>
    <w:rsid w:val="003A289A"/>
    <w:rsid w:val="003A34DC"/>
    <w:rsid w:val="003A37F9"/>
    <w:rsid w:val="003A39AF"/>
    <w:rsid w:val="003A4FF1"/>
    <w:rsid w:val="003A596C"/>
    <w:rsid w:val="003A5AA8"/>
    <w:rsid w:val="003A5C71"/>
    <w:rsid w:val="003A5DFF"/>
    <w:rsid w:val="003A5F48"/>
    <w:rsid w:val="003A6CA8"/>
    <w:rsid w:val="003A7A4B"/>
    <w:rsid w:val="003B1BAE"/>
    <w:rsid w:val="003B233F"/>
    <w:rsid w:val="003B3D5D"/>
    <w:rsid w:val="003B54CF"/>
    <w:rsid w:val="003B58F0"/>
    <w:rsid w:val="003B5B7F"/>
    <w:rsid w:val="003B5C29"/>
    <w:rsid w:val="003B5DD2"/>
    <w:rsid w:val="003B6EC4"/>
    <w:rsid w:val="003C0439"/>
    <w:rsid w:val="003C05A6"/>
    <w:rsid w:val="003C08AC"/>
    <w:rsid w:val="003C19B6"/>
    <w:rsid w:val="003C1F9C"/>
    <w:rsid w:val="003C2327"/>
    <w:rsid w:val="003C248B"/>
    <w:rsid w:val="003C26DC"/>
    <w:rsid w:val="003C4913"/>
    <w:rsid w:val="003C6DD7"/>
    <w:rsid w:val="003C70A5"/>
    <w:rsid w:val="003C71D0"/>
    <w:rsid w:val="003C7255"/>
    <w:rsid w:val="003C79FB"/>
    <w:rsid w:val="003C7AA3"/>
    <w:rsid w:val="003D08CA"/>
    <w:rsid w:val="003D104C"/>
    <w:rsid w:val="003D1113"/>
    <w:rsid w:val="003D1E78"/>
    <w:rsid w:val="003D1FB9"/>
    <w:rsid w:val="003D2EAA"/>
    <w:rsid w:val="003D384B"/>
    <w:rsid w:val="003D3B86"/>
    <w:rsid w:val="003D545E"/>
    <w:rsid w:val="003D5947"/>
    <w:rsid w:val="003D5A9A"/>
    <w:rsid w:val="003D68EB"/>
    <w:rsid w:val="003D696E"/>
    <w:rsid w:val="003D6AD1"/>
    <w:rsid w:val="003D6B31"/>
    <w:rsid w:val="003D72F3"/>
    <w:rsid w:val="003D7CF3"/>
    <w:rsid w:val="003E04AD"/>
    <w:rsid w:val="003E11B9"/>
    <w:rsid w:val="003E413A"/>
    <w:rsid w:val="003E4C78"/>
    <w:rsid w:val="003E54FC"/>
    <w:rsid w:val="003E563F"/>
    <w:rsid w:val="003E5AEC"/>
    <w:rsid w:val="003E5D78"/>
    <w:rsid w:val="003E69DB"/>
    <w:rsid w:val="003F1D0C"/>
    <w:rsid w:val="003F219E"/>
    <w:rsid w:val="003F2573"/>
    <w:rsid w:val="003F2741"/>
    <w:rsid w:val="003F31A6"/>
    <w:rsid w:val="003F37F3"/>
    <w:rsid w:val="003F3A61"/>
    <w:rsid w:val="003F3CE5"/>
    <w:rsid w:val="003F41D7"/>
    <w:rsid w:val="003F5863"/>
    <w:rsid w:val="003F5B03"/>
    <w:rsid w:val="003F6221"/>
    <w:rsid w:val="003F67AE"/>
    <w:rsid w:val="00400579"/>
    <w:rsid w:val="00402289"/>
    <w:rsid w:val="00402363"/>
    <w:rsid w:val="004031FB"/>
    <w:rsid w:val="00403EDA"/>
    <w:rsid w:val="0040405A"/>
    <w:rsid w:val="00404409"/>
    <w:rsid w:val="00405245"/>
    <w:rsid w:val="00406C81"/>
    <w:rsid w:val="00406E4B"/>
    <w:rsid w:val="00406EDD"/>
    <w:rsid w:val="0040701D"/>
    <w:rsid w:val="00407112"/>
    <w:rsid w:val="0041112A"/>
    <w:rsid w:val="004111B1"/>
    <w:rsid w:val="00411521"/>
    <w:rsid w:val="00411C49"/>
    <w:rsid w:val="00411E7A"/>
    <w:rsid w:val="004122A8"/>
    <w:rsid w:val="004122CD"/>
    <w:rsid w:val="00413257"/>
    <w:rsid w:val="00413B1D"/>
    <w:rsid w:val="00413F9F"/>
    <w:rsid w:val="00414175"/>
    <w:rsid w:val="00415736"/>
    <w:rsid w:val="00415D65"/>
    <w:rsid w:val="00416E35"/>
    <w:rsid w:val="00417C85"/>
    <w:rsid w:val="004215E1"/>
    <w:rsid w:val="00421B21"/>
    <w:rsid w:val="00421D73"/>
    <w:rsid w:val="004221AF"/>
    <w:rsid w:val="004221C9"/>
    <w:rsid w:val="00424987"/>
    <w:rsid w:val="00424F2C"/>
    <w:rsid w:val="00424F89"/>
    <w:rsid w:val="00426ABB"/>
    <w:rsid w:val="00427378"/>
    <w:rsid w:val="00430714"/>
    <w:rsid w:val="00431046"/>
    <w:rsid w:val="00431C2F"/>
    <w:rsid w:val="00431C70"/>
    <w:rsid w:val="00431F87"/>
    <w:rsid w:val="00432552"/>
    <w:rsid w:val="0043383F"/>
    <w:rsid w:val="00433C81"/>
    <w:rsid w:val="00433E04"/>
    <w:rsid w:val="004345D9"/>
    <w:rsid w:val="00435C1F"/>
    <w:rsid w:val="004369E1"/>
    <w:rsid w:val="00436C66"/>
    <w:rsid w:val="00436D4F"/>
    <w:rsid w:val="004374D1"/>
    <w:rsid w:val="00437F8E"/>
    <w:rsid w:val="0044088D"/>
    <w:rsid w:val="004410FA"/>
    <w:rsid w:val="004413D1"/>
    <w:rsid w:val="00441482"/>
    <w:rsid w:val="00441B99"/>
    <w:rsid w:val="00441D4A"/>
    <w:rsid w:val="00441FA5"/>
    <w:rsid w:val="00441FE5"/>
    <w:rsid w:val="00442D53"/>
    <w:rsid w:val="004439AE"/>
    <w:rsid w:val="00443AB2"/>
    <w:rsid w:val="00444E11"/>
    <w:rsid w:val="00445BCF"/>
    <w:rsid w:val="00446090"/>
    <w:rsid w:val="00446F11"/>
    <w:rsid w:val="00450604"/>
    <w:rsid w:val="00450B3A"/>
    <w:rsid w:val="00451CBF"/>
    <w:rsid w:val="00452767"/>
    <w:rsid w:val="00452E4E"/>
    <w:rsid w:val="004530F7"/>
    <w:rsid w:val="004532F4"/>
    <w:rsid w:val="00453593"/>
    <w:rsid w:val="00453EA3"/>
    <w:rsid w:val="0045450E"/>
    <w:rsid w:val="00454611"/>
    <w:rsid w:val="00454959"/>
    <w:rsid w:val="004556D5"/>
    <w:rsid w:val="004561E8"/>
    <w:rsid w:val="00457DA5"/>
    <w:rsid w:val="0046011D"/>
    <w:rsid w:val="0046039A"/>
    <w:rsid w:val="00461D05"/>
    <w:rsid w:val="00461FE0"/>
    <w:rsid w:val="00463722"/>
    <w:rsid w:val="00463E34"/>
    <w:rsid w:val="00464076"/>
    <w:rsid w:val="00466719"/>
    <w:rsid w:val="004672AB"/>
    <w:rsid w:val="00470B12"/>
    <w:rsid w:val="00470DCA"/>
    <w:rsid w:val="00471630"/>
    <w:rsid w:val="0047297A"/>
    <w:rsid w:val="004733FC"/>
    <w:rsid w:val="004735BA"/>
    <w:rsid w:val="0047374F"/>
    <w:rsid w:val="00473CDA"/>
    <w:rsid w:val="0047484B"/>
    <w:rsid w:val="00474CC6"/>
    <w:rsid w:val="00474F02"/>
    <w:rsid w:val="00475920"/>
    <w:rsid w:val="00475C2C"/>
    <w:rsid w:val="004764E7"/>
    <w:rsid w:val="00476906"/>
    <w:rsid w:val="00477B1F"/>
    <w:rsid w:val="00477CCB"/>
    <w:rsid w:val="00480469"/>
    <w:rsid w:val="00480479"/>
    <w:rsid w:val="004808F5"/>
    <w:rsid w:val="00481214"/>
    <w:rsid w:val="00481C00"/>
    <w:rsid w:val="00482228"/>
    <w:rsid w:val="0048289C"/>
    <w:rsid w:val="00482D37"/>
    <w:rsid w:val="00482D92"/>
    <w:rsid w:val="00482DF7"/>
    <w:rsid w:val="00483130"/>
    <w:rsid w:val="00483FB0"/>
    <w:rsid w:val="0048411C"/>
    <w:rsid w:val="004846A1"/>
    <w:rsid w:val="0048549C"/>
    <w:rsid w:val="00487E14"/>
    <w:rsid w:val="004907F3"/>
    <w:rsid w:val="004909FD"/>
    <w:rsid w:val="004912A8"/>
    <w:rsid w:val="00491A02"/>
    <w:rsid w:val="004922A0"/>
    <w:rsid w:val="00493105"/>
    <w:rsid w:val="0049357D"/>
    <w:rsid w:val="00493711"/>
    <w:rsid w:val="00493BD1"/>
    <w:rsid w:val="004942FA"/>
    <w:rsid w:val="00494B85"/>
    <w:rsid w:val="004955E2"/>
    <w:rsid w:val="00495773"/>
    <w:rsid w:val="00496DF0"/>
    <w:rsid w:val="00496E13"/>
    <w:rsid w:val="004971C3"/>
    <w:rsid w:val="00497DBF"/>
    <w:rsid w:val="00497E08"/>
    <w:rsid w:val="004A1017"/>
    <w:rsid w:val="004A1200"/>
    <w:rsid w:val="004A19AA"/>
    <w:rsid w:val="004A19B0"/>
    <w:rsid w:val="004A234C"/>
    <w:rsid w:val="004A25A5"/>
    <w:rsid w:val="004A298C"/>
    <w:rsid w:val="004A2C29"/>
    <w:rsid w:val="004A3622"/>
    <w:rsid w:val="004A3F9F"/>
    <w:rsid w:val="004A49F5"/>
    <w:rsid w:val="004A4EE7"/>
    <w:rsid w:val="004A4F7F"/>
    <w:rsid w:val="004A5A86"/>
    <w:rsid w:val="004A6DD3"/>
    <w:rsid w:val="004A7036"/>
    <w:rsid w:val="004A70AF"/>
    <w:rsid w:val="004A7DCB"/>
    <w:rsid w:val="004B05BB"/>
    <w:rsid w:val="004B07BA"/>
    <w:rsid w:val="004B1910"/>
    <w:rsid w:val="004B2916"/>
    <w:rsid w:val="004B2CC6"/>
    <w:rsid w:val="004B2F80"/>
    <w:rsid w:val="004B3203"/>
    <w:rsid w:val="004B42A9"/>
    <w:rsid w:val="004B5097"/>
    <w:rsid w:val="004B545A"/>
    <w:rsid w:val="004B5F12"/>
    <w:rsid w:val="004B628B"/>
    <w:rsid w:val="004B647A"/>
    <w:rsid w:val="004B66CF"/>
    <w:rsid w:val="004B6710"/>
    <w:rsid w:val="004B6ECF"/>
    <w:rsid w:val="004B7FDD"/>
    <w:rsid w:val="004C1709"/>
    <w:rsid w:val="004C282E"/>
    <w:rsid w:val="004C2C8E"/>
    <w:rsid w:val="004C3023"/>
    <w:rsid w:val="004C36F6"/>
    <w:rsid w:val="004C3FB8"/>
    <w:rsid w:val="004C4DD8"/>
    <w:rsid w:val="004C50EF"/>
    <w:rsid w:val="004C5BBF"/>
    <w:rsid w:val="004C6051"/>
    <w:rsid w:val="004C62DC"/>
    <w:rsid w:val="004C635F"/>
    <w:rsid w:val="004C6E16"/>
    <w:rsid w:val="004C7374"/>
    <w:rsid w:val="004C73A9"/>
    <w:rsid w:val="004C7CE2"/>
    <w:rsid w:val="004D007A"/>
    <w:rsid w:val="004D0CDA"/>
    <w:rsid w:val="004D0CFE"/>
    <w:rsid w:val="004D17D3"/>
    <w:rsid w:val="004D1DF6"/>
    <w:rsid w:val="004D1FCB"/>
    <w:rsid w:val="004D1FFA"/>
    <w:rsid w:val="004D21C9"/>
    <w:rsid w:val="004D22C6"/>
    <w:rsid w:val="004D2FA9"/>
    <w:rsid w:val="004D34C8"/>
    <w:rsid w:val="004D356A"/>
    <w:rsid w:val="004D4D42"/>
    <w:rsid w:val="004D5332"/>
    <w:rsid w:val="004D6501"/>
    <w:rsid w:val="004D6C41"/>
    <w:rsid w:val="004D70D4"/>
    <w:rsid w:val="004D7909"/>
    <w:rsid w:val="004E1D65"/>
    <w:rsid w:val="004E209A"/>
    <w:rsid w:val="004E24E2"/>
    <w:rsid w:val="004E2824"/>
    <w:rsid w:val="004E29F4"/>
    <w:rsid w:val="004E2B0E"/>
    <w:rsid w:val="004E3112"/>
    <w:rsid w:val="004E3141"/>
    <w:rsid w:val="004E3216"/>
    <w:rsid w:val="004E3976"/>
    <w:rsid w:val="004E3C40"/>
    <w:rsid w:val="004E3D33"/>
    <w:rsid w:val="004E3DB7"/>
    <w:rsid w:val="004E4AAB"/>
    <w:rsid w:val="004E5A44"/>
    <w:rsid w:val="004E6630"/>
    <w:rsid w:val="004E78FA"/>
    <w:rsid w:val="004F0A2C"/>
    <w:rsid w:val="004F0E7A"/>
    <w:rsid w:val="004F0ED4"/>
    <w:rsid w:val="004F1188"/>
    <w:rsid w:val="004F3228"/>
    <w:rsid w:val="004F39B3"/>
    <w:rsid w:val="004F4DFE"/>
    <w:rsid w:val="004F50BF"/>
    <w:rsid w:val="004F55E4"/>
    <w:rsid w:val="004F6208"/>
    <w:rsid w:val="004F7384"/>
    <w:rsid w:val="004F7497"/>
    <w:rsid w:val="004F7E97"/>
    <w:rsid w:val="004F7FC6"/>
    <w:rsid w:val="005018BF"/>
    <w:rsid w:val="005019C7"/>
    <w:rsid w:val="00502756"/>
    <w:rsid w:val="00502E2B"/>
    <w:rsid w:val="00503140"/>
    <w:rsid w:val="00503C04"/>
    <w:rsid w:val="005045AE"/>
    <w:rsid w:val="00504657"/>
    <w:rsid w:val="00505026"/>
    <w:rsid w:val="00505906"/>
    <w:rsid w:val="00506149"/>
    <w:rsid w:val="00507A8A"/>
    <w:rsid w:val="00511558"/>
    <w:rsid w:val="00511C33"/>
    <w:rsid w:val="00513665"/>
    <w:rsid w:val="00513E17"/>
    <w:rsid w:val="0051489F"/>
    <w:rsid w:val="0051530A"/>
    <w:rsid w:val="00515787"/>
    <w:rsid w:val="00515929"/>
    <w:rsid w:val="00515E8A"/>
    <w:rsid w:val="00516613"/>
    <w:rsid w:val="00520D69"/>
    <w:rsid w:val="00521268"/>
    <w:rsid w:val="00522658"/>
    <w:rsid w:val="00523014"/>
    <w:rsid w:val="00523056"/>
    <w:rsid w:val="00523064"/>
    <w:rsid w:val="00523373"/>
    <w:rsid w:val="00523BBB"/>
    <w:rsid w:val="00524162"/>
    <w:rsid w:val="00525278"/>
    <w:rsid w:val="005261E5"/>
    <w:rsid w:val="0052713D"/>
    <w:rsid w:val="005278EA"/>
    <w:rsid w:val="00527DB5"/>
    <w:rsid w:val="00530A0A"/>
    <w:rsid w:val="00530E72"/>
    <w:rsid w:val="0053194A"/>
    <w:rsid w:val="00532567"/>
    <w:rsid w:val="00532DAA"/>
    <w:rsid w:val="005330FB"/>
    <w:rsid w:val="00533225"/>
    <w:rsid w:val="00533CC4"/>
    <w:rsid w:val="005354E5"/>
    <w:rsid w:val="0053565C"/>
    <w:rsid w:val="00535818"/>
    <w:rsid w:val="00535BF8"/>
    <w:rsid w:val="00535F4E"/>
    <w:rsid w:val="00536538"/>
    <w:rsid w:val="00537061"/>
    <w:rsid w:val="00537704"/>
    <w:rsid w:val="00540A67"/>
    <w:rsid w:val="005413E6"/>
    <w:rsid w:val="0054193F"/>
    <w:rsid w:val="005426A8"/>
    <w:rsid w:val="00542AEF"/>
    <w:rsid w:val="00543AA0"/>
    <w:rsid w:val="005445C6"/>
    <w:rsid w:val="005447EE"/>
    <w:rsid w:val="00544864"/>
    <w:rsid w:val="0054538E"/>
    <w:rsid w:val="005459B5"/>
    <w:rsid w:val="005459F1"/>
    <w:rsid w:val="00545A19"/>
    <w:rsid w:val="00545D84"/>
    <w:rsid w:val="00546115"/>
    <w:rsid w:val="00546B00"/>
    <w:rsid w:val="00547E3F"/>
    <w:rsid w:val="005500A6"/>
    <w:rsid w:val="0055067C"/>
    <w:rsid w:val="005507FF"/>
    <w:rsid w:val="00550BC2"/>
    <w:rsid w:val="00551199"/>
    <w:rsid w:val="005522C4"/>
    <w:rsid w:val="005541F9"/>
    <w:rsid w:val="00554987"/>
    <w:rsid w:val="00554E70"/>
    <w:rsid w:val="00554F6F"/>
    <w:rsid w:val="005555EC"/>
    <w:rsid w:val="00555FFC"/>
    <w:rsid w:val="00556050"/>
    <w:rsid w:val="00556FD9"/>
    <w:rsid w:val="00557C95"/>
    <w:rsid w:val="00560530"/>
    <w:rsid w:val="00560FA1"/>
    <w:rsid w:val="00561F38"/>
    <w:rsid w:val="00562502"/>
    <w:rsid w:val="0056252D"/>
    <w:rsid w:val="005629D5"/>
    <w:rsid w:val="00563A21"/>
    <w:rsid w:val="00564A78"/>
    <w:rsid w:val="00566FE5"/>
    <w:rsid w:val="00567C94"/>
    <w:rsid w:val="00567E57"/>
    <w:rsid w:val="00567F78"/>
    <w:rsid w:val="005706DD"/>
    <w:rsid w:val="00570FC5"/>
    <w:rsid w:val="00571208"/>
    <w:rsid w:val="005724A2"/>
    <w:rsid w:val="00572756"/>
    <w:rsid w:val="00575516"/>
    <w:rsid w:val="005757CB"/>
    <w:rsid w:val="00575928"/>
    <w:rsid w:val="00575F8C"/>
    <w:rsid w:val="00576EF8"/>
    <w:rsid w:val="00580249"/>
    <w:rsid w:val="005803BB"/>
    <w:rsid w:val="00580462"/>
    <w:rsid w:val="0058053F"/>
    <w:rsid w:val="005807CB"/>
    <w:rsid w:val="005818AC"/>
    <w:rsid w:val="0058294B"/>
    <w:rsid w:val="00583B58"/>
    <w:rsid w:val="005844C4"/>
    <w:rsid w:val="00584741"/>
    <w:rsid w:val="00585293"/>
    <w:rsid w:val="0058552B"/>
    <w:rsid w:val="00585AFA"/>
    <w:rsid w:val="00586CA2"/>
    <w:rsid w:val="00587799"/>
    <w:rsid w:val="00587C2D"/>
    <w:rsid w:val="0059036E"/>
    <w:rsid w:val="00590CBE"/>
    <w:rsid w:val="00590FF9"/>
    <w:rsid w:val="00591D8F"/>
    <w:rsid w:val="005924E2"/>
    <w:rsid w:val="00593018"/>
    <w:rsid w:val="00593BEF"/>
    <w:rsid w:val="00594E06"/>
    <w:rsid w:val="00594F75"/>
    <w:rsid w:val="0059512C"/>
    <w:rsid w:val="005951A4"/>
    <w:rsid w:val="005952B7"/>
    <w:rsid w:val="005974F8"/>
    <w:rsid w:val="005A0A84"/>
    <w:rsid w:val="005A1C84"/>
    <w:rsid w:val="005A21D6"/>
    <w:rsid w:val="005A239F"/>
    <w:rsid w:val="005A26AB"/>
    <w:rsid w:val="005A2836"/>
    <w:rsid w:val="005A2ADB"/>
    <w:rsid w:val="005A3C42"/>
    <w:rsid w:val="005A3E13"/>
    <w:rsid w:val="005A465C"/>
    <w:rsid w:val="005A4938"/>
    <w:rsid w:val="005A4EAE"/>
    <w:rsid w:val="005A585E"/>
    <w:rsid w:val="005A6193"/>
    <w:rsid w:val="005A674D"/>
    <w:rsid w:val="005A6DF7"/>
    <w:rsid w:val="005A77AF"/>
    <w:rsid w:val="005B0246"/>
    <w:rsid w:val="005B02D1"/>
    <w:rsid w:val="005B047E"/>
    <w:rsid w:val="005B1017"/>
    <w:rsid w:val="005B135D"/>
    <w:rsid w:val="005B18A8"/>
    <w:rsid w:val="005B27CB"/>
    <w:rsid w:val="005B30D8"/>
    <w:rsid w:val="005B36A8"/>
    <w:rsid w:val="005B390E"/>
    <w:rsid w:val="005B3AD7"/>
    <w:rsid w:val="005B6C65"/>
    <w:rsid w:val="005B7ABC"/>
    <w:rsid w:val="005B7F35"/>
    <w:rsid w:val="005C091A"/>
    <w:rsid w:val="005C1BB5"/>
    <w:rsid w:val="005C2145"/>
    <w:rsid w:val="005C2290"/>
    <w:rsid w:val="005C2884"/>
    <w:rsid w:val="005C2AC7"/>
    <w:rsid w:val="005C3025"/>
    <w:rsid w:val="005C3393"/>
    <w:rsid w:val="005C35B3"/>
    <w:rsid w:val="005C3E54"/>
    <w:rsid w:val="005C5557"/>
    <w:rsid w:val="005C5710"/>
    <w:rsid w:val="005C5B0B"/>
    <w:rsid w:val="005C610C"/>
    <w:rsid w:val="005C65A1"/>
    <w:rsid w:val="005C6AAC"/>
    <w:rsid w:val="005C6D54"/>
    <w:rsid w:val="005C7897"/>
    <w:rsid w:val="005C7CBC"/>
    <w:rsid w:val="005C7FD5"/>
    <w:rsid w:val="005D0954"/>
    <w:rsid w:val="005D09D2"/>
    <w:rsid w:val="005D0EAA"/>
    <w:rsid w:val="005D23AF"/>
    <w:rsid w:val="005D3B17"/>
    <w:rsid w:val="005D4195"/>
    <w:rsid w:val="005D474D"/>
    <w:rsid w:val="005D4BDF"/>
    <w:rsid w:val="005D67E7"/>
    <w:rsid w:val="005D6AD3"/>
    <w:rsid w:val="005D71F3"/>
    <w:rsid w:val="005D77D1"/>
    <w:rsid w:val="005D7B8D"/>
    <w:rsid w:val="005D7FAF"/>
    <w:rsid w:val="005E03DF"/>
    <w:rsid w:val="005E0A38"/>
    <w:rsid w:val="005E2566"/>
    <w:rsid w:val="005E29E3"/>
    <w:rsid w:val="005E2D9F"/>
    <w:rsid w:val="005E3B3C"/>
    <w:rsid w:val="005E3EAE"/>
    <w:rsid w:val="005E454A"/>
    <w:rsid w:val="005E47E9"/>
    <w:rsid w:val="005E4833"/>
    <w:rsid w:val="005E53AE"/>
    <w:rsid w:val="005E5543"/>
    <w:rsid w:val="005E5CA1"/>
    <w:rsid w:val="005E6B92"/>
    <w:rsid w:val="005E73DF"/>
    <w:rsid w:val="005E7BA3"/>
    <w:rsid w:val="005E7EEF"/>
    <w:rsid w:val="005F04CE"/>
    <w:rsid w:val="005F0ED7"/>
    <w:rsid w:val="005F1007"/>
    <w:rsid w:val="005F104E"/>
    <w:rsid w:val="005F108E"/>
    <w:rsid w:val="005F14C4"/>
    <w:rsid w:val="005F1DCB"/>
    <w:rsid w:val="005F20AF"/>
    <w:rsid w:val="005F2366"/>
    <w:rsid w:val="005F3748"/>
    <w:rsid w:val="005F3EE7"/>
    <w:rsid w:val="005F50F2"/>
    <w:rsid w:val="005F55C8"/>
    <w:rsid w:val="005F5615"/>
    <w:rsid w:val="005F5B5E"/>
    <w:rsid w:val="005F5B96"/>
    <w:rsid w:val="005F5BE1"/>
    <w:rsid w:val="005F5D08"/>
    <w:rsid w:val="005F609E"/>
    <w:rsid w:val="005F612B"/>
    <w:rsid w:val="005F74A6"/>
    <w:rsid w:val="005F76C0"/>
    <w:rsid w:val="006002AC"/>
    <w:rsid w:val="00601702"/>
    <w:rsid w:val="00601B88"/>
    <w:rsid w:val="0060239F"/>
    <w:rsid w:val="0060367B"/>
    <w:rsid w:val="00603844"/>
    <w:rsid w:val="006038DA"/>
    <w:rsid w:val="00603E70"/>
    <w:rsid w:val="00604481"/>
    <w:rsid w:val="00604B45"/>
    <w:rsid w:val="006053F7"/>
    <w:rsid w:val="006055BD"/>
    <w:rsid w:val="00605E10"/>
    <w:rsid w:val="00605E40"/>
    <w:rsid w:val="00605F4F"/>
    <w:rsid w:val="00606F13"/>
    <w:rsid w:val="00610969"/>
    <w:rsid w:val="006121DD"/>
    <w:rsid w:val="00612558"/>
    <w:rsid w:val="006136DB"/>
    <w:rsid w:val="0061480C"/>
    <w:rsid w:val="00614D33"/>
    <w:rsid w:val="006158B0"/>
    <w:rsid w:val="00616F1A"/>
    <w:rsid w:val="00620700"/>
    <w:rsid w:val="00621EF6"/>
    <w:rsid w:val="0062223A"/>
    <w:rsid w:val="00622404"/>
    <w:rsid w:val="0062353A"/>
    <w:rsid w:val="0062460B"/>
    <w:rsid w:val="00624990"/>
    <w:rsid w:val="00624C3E"/>
    <w:rsid w:val="00625968"/>
    <w:rsid w:val="006259B9"/>
    <w:rsid w:val="0062637A"/>
    <w:rsid w:val="0062648E"/>
    <w:rsid w:val="00626898"/>
    <w:rsid w:val="00627669"/>
    <w:rsid w:val="00630A92"/>
    <w:rsid w:val="00630B39"/>
    <w:rsid w:val="006311D9"/>
    <w:rsid w:val="00631274"/>
    <w:rsid w:val="006313F3"/>
    <w:rsid w:val="0063140A"/>
    <w:rsid w:val="00631606"/>
    <w:rsid w:val="00632375"/>
    <w:rsid w:val="00632B4A"/>
    <w:rsid w:val="00632D99"/>
    <w:rsid w:val="006340F5"/>
    <w:rsid w:val="00634139"/>
    <w:rsid w:val="00634433"/>
    <w:rsid w:val="00634C56"/>
    <w:rsid w:val="00634E1D"/>
    <w:rsid w:val="00635374"/>
    <w:rsid w:val="006353D8"/>
    <w:rsid w:val="006355BF"/>
    <w:rsid w:val="00635A0A"/>
    <w:rsid w:val="00635C2C"/>
    <w:rsid w:val="00636223"/>
    <w:rsid w:val="006362C2"/>
    <w:rsid w:val="00636A01"/>
    <w:rsid w:val="00636EA2"/>
    <w:rsid w:val="00636FB6"/>
    <w:rsid w:val="006374FA"/>
    <w:rsid w:val="006409BC"/>
    <w:rsid w:val="00640A18"/>
    <w:rsid w:val="00641028"/>
    <w:rsid w:val="00641311"/>
    <w:rsid w:val="00641B49"/>
    <w:rsid w:val="006420ED"/>
    <w:rsid w:val="00642B15"/>
    <w:rsid w:val="00643A9B"/>
    <w:rsid w:val="00643C97"/>
    <w:rsid w:val="00643FF3"/>
    <w:rsid w:val="00644EBF"/>
    <w:rsid w:val="006452BB"/>
    <w:rsid w:val="0064545C"/>
    <w:rsid w:val="00645F64"/>
    <w:rsid w:val="0064612A"/>
    <w:rsid w:val="006463BF"/>
    <w:rsid w:val="0064655C"/>
    <w:rsid w:val="00646864"/>
    <w:rsid w:val="00646D3C"/>
    <w:rsid w:val="00646EE4"/>
    <w:rsid w:val="00647ADA"/>
    <w:rsid w:val="00647FE1"/>
    <w:rsid w:val="006508C3"/>
    <w:rsid w:val="00651514"/>
    <w:rsid w:val="00651D7B"/>
    <w:rsid w:val="00651E8A"/>
    <w:rsid w:val="0065260A"/>
    <w:rsid w:val="00652C0E"/>
    <w:rsid w:val="00653125"/>
    <w:rsid w:val="00653433"/>
    <w:rsid w:val="006536F8"/>
    <w:rsid w:val="00653F02"/>
    <w:rsid w:val="0065422B"/>
    <w:rsid w:val="006544D0"/>
    <w:rsid w:val="00654833"/>
    <w:rsid w:val="006548BA"/>
    <w:rsid w:val="006556C6"/>
    <w:rsid w:val="0065619C"/>
    <w:rsid w:val="006566D7"/>
    <w:rsid w:val="00657A71"/>
    <w:rsid w:val="006601D1"/>
    <w:rsid w:val="006607E0"/>
    <w:rsid w:val="00660BC3"/>
    <w:rsid w:val="0066165E"/>
    <w:rsid w:val="0066171F"/>
    <w:rsid w:val="0066220B"/>
    <w:rsid w:val="0066236B"/>
    <w:rsid w:val="006634E9"/>
    <w:rsid w:val="00663CE8"/>
    <w:rsid w:val="00665426"/>
    <w:rsid w:val="006657FF"/>
    <w:rsid w:val="00665B2C"/>
    <w:rsid w:val="00665E77"/>
    <w:rsid w:val="006663FA"/>
    <w:rsid w:val="00666981"/>
    <w:rsid w:val="00666A33"/>
    <w:rsid w:val="00666C26"/>
    <w:rsid w:val="00666DB0"/>
    <w:rsid w:val="00667475"/>
    <w:rsid w:val="00667A06"/>
    <w:rsid w:val="0067004F"/>
    <w:rsid w:val="00670935"/>
    <w:rsid w:val="00670B93"/>
    <w:rsid w:val="00670D26"/>
    <w:rsid w:val="00671926"/>
    <w:rsid w:val="00671EB4"/>
    <w:rsid w:val="00672420"/>
    <w:rsid w:val="00673362"/>
    <w:rsid w:val="006744CC"/>
    <w:rsid w:val="006761B8"/>
    <w:rsid w:val="00676230"/>
    <w:rsid w:val="006765A0"/>
    <w:rsid w:val="00676C6C"/>
    <w:rsid w:val="00677E2A"/>
    <w:rsid w:val="0068064F"/>
    <w:rsid w:val="00680920"/>
    <w:rsid w:val="006820FA"/>
    <w:rsid w:val="00682103"/>
    <w:rsid w:val="00684125"/>
    <w:rsid w:val="00684346"/>
    <w:rsid w:val="006849B2"/>
    <w:rsid w:val="00684D4F"/>
    <w:rsid w:val="00685382"/>
    <w:rsid w:val="00685E80"/>
    <w:rsid w:val="0068655C"/>
    <w:rsid w:val="006867E6"/>
    <w:rsid w:val="00687492"/>
    <w:rsid w:val="00690069"/>
    <w:rsid w:val="0069085E"/>
    <w:rsid w:val="00691123"/>
    <w:rsid w:val="00691E2F"/>
    <w:rsid w:val="0069311B"/>
    <w:rsid w:val="006935CA"/>
    <w:rsid w:val="0069403B"/>
    <w:rsid w:val="00694518"/>
    <w:rsid w:val="00695022"/>
    <w:rsid w:val="00695895"/>
    <w:rsid w:val="00696C07"/>
    <w:rsid w:val="0069782B"/>
    <w:rsid w:val="00697910"/>
    <w:rsid w:val="006A1786"/>
    <w:rsid w:val="006A1CB2"/>
    <w:rsid w:val="006A1D4B"/>
    <w:rsid w:val="006A21CC"/>
    <w:rsid w:val="006A357C"/>
    <w:rsid w:val="006A4259"/>
    <w:rsid w:val="006A4696"/>
    <w:rsid w:val="006A518E"/>
    <w:rsid w:val="006A5629"/>
    <w:rsid w:val="006A5DA2"/>
    <w:rsid w:val="006A605C"/>
    <w:rsid w:val="006A6AA9"/>
    <w:rsid w:val="006A6B21"/>
    <w:rsid w:val="006A6E6C"/>
    <w:rsid w:val="006A70AD"/>
    <w:rsid w:val="006A79B9"/>
    <w:rsid w:val="006A7FB9"/>
    <w:rsid w:val="006B0396"/>
    <w:rsid w:val="006B11E5"/>
    <w:rsid w:val="006B1D45"/>
    <w:rsid w:val="006B1F10"/>
    <w:rsid w:val="006B21F0"/>
    <w:rsid w:val="006B2218"/>
    <w:rsid w:val="006B28FE"/>
    <w:rsid w:val="006B2EC0"/>
    <w:rsid w:val="006B3084"/>
    <w:rsid w:val="006B3239"/>
    <w:rsid w:val="006B3C13"/>
    <w:rsid w:val="006B4104"/>
    <w:rsid w:val="006B4334"/>
    <w:rsid w:val="006B5440"/>
    <w:rsid w:val="006B5A03"/>
    <w:rsid w:val="006B5CAC"/>
    <w:rsid w:val="006B615C"/>
    <w:rsid w:val="006B64C2"/>
    <w:rsid w:val="006B6A48"/>
    <w:rsid w:val="006B70EE"/>
    <w:rsid w:val="006B7141"/>
    <w:rsid w:val="006B71B0"/>
    <w:rsid w:val="006B7263"/>
    <w:rsid w:val="006B7312"/>
    <w:rsid w:val="006B7548"/>
    <w:rsid w:val="006B7A9C"/>
    <w:rsid w:val="006C02E8"/>
    <w:rsid w:val="006C06EB"/>
    <w:rsid w:val="006C09B5"/>
    <w:rsid w:val="006C24C2"/>
    <w:rsid w:val="006C293F"/>
    <w:rsid w:val="006C2E9F"/>
    <w:rsid w:val="006C3635"/>
    <w:rsid w:val="006C3FDA"/>
    <w:rsid w:val="006C41AC"/>
    <w:rsid w:val="006C4B34"/>
    <w:rsid w:val="006C4E01"/>
    <w:rsid w:val="006C5314"/>
    <w:rsid w:val="006C60C3"/>
    <w:rsid w:val="006C61DE"/>
    <w:rsid w:val="006C72E9"/>
    <w:rsid w:val="006C7AED"/>
    <w:rsid w:val="006D03C2"/>
    <w:rsid w:val="006D1EDE"/>
    <w:rsid w:val="006D225E"/>
    <w:rsid w:val="006D2408"/>
    <w:rsid w:val="006D40B5"/>
    <w:rsid w:val="006D41A4"/>
    <w:rsid w:val="006D4262"/>
    <w:rsid w:val="006D442B"/>
    <w:rsid w:val="006D48BE"/>
    <w:rsid w:val="006D4F57"/>
    <w:rsid w:val="006D55B4"/>
    <w:rsid w:val="006D72A6"/>
    <w:rsid w:val="006D73F0"/>
    <w:rsid w:val="006D7898"/>
    <w:rsid w:val="006D7E12"/>
    <w:rsid w:val="006D7E62"/>
    <w:rsid w:val="006D7E73"/>
    <w:rsid w:val="006E05A4"/>
    <w:rsid w:val="006E05BD"/>
    <w:rsid w:val="006E0A92"/>
    <w:rsid w:val="006E0C23"/>
    <w:rsid w:val="006E0F57"/>
    <w:rsid w:val="006E157E"/>
    <w:rsid w:val="006E1FDA"/>
    <w:rsid w:val="006E28DC"/>
    <w:rsid w:val="006E2E6B"/>
    <w:rsid w:val="006E4925"/>
    <w:rsid w:val="006E4A6B"/>
    <w:rsid w:val="006E57B9"/>
    <w:rsid w:val="006E664E"/>
    <w:rsid w:val="006E6C68"/>
    <w:rsid w:val="006E734E"/>
    <w:rsid w:val="006F02FE"/>
    <w:rsid w:val="006F08A2"/>
    <w:rsid w:val="006F0A99"/>
    <w:rsid w:val="006F11B6"/>
    <w:rsid w:val="006F2734"/>
    <w:rsid w:val="006F2D0F"/>
    <w:rsid w:val="006F308D"/>
    <w:rsid w:val="006F3332"/>
    <w:rsid w:val="006F39C3"/>
    <w:rsid w:val="006F3D7A"/>
    <w:rsid w:val="006F4421"/>
    <w:rsid w:val="006F4828"/>
    <w:rsid w:val="006F776A"/>
    <w:rsid w:val="006F7D0D"/>
    <w:rsid w:val="007000E2"/>
    <w:rsid w:val="00701917"/>
    <w:rsid w:val="00702225"/>
    <w:rsid w:val="00703D77"/>
    <w:rsid w:val="007047D9"/>
    <w:rsid w:val="00704872"/>
    <w:rsid w:val="00705510"/>
    <w:rsid w:val="00705B86"/>
    <w:rsid w:val="0070699D"/>
    <w:rsid w:val="00707880"/>
    <w:rsid w:val="00707E74"/>
    <w:rsid w:val="00707FDA"/>
    <w:rsid w:val="00710DBE"/>
    <w:rsid w:val="007110B8"/>
    <w:rsid w:val="0071122B"/>
    <w:rsid w:val="007122B9"/>
    <w:rsid w:val="00713194"/>
    <w:rsid w:val="00713BAC"/>
    <w:rsid w:val="007142C4"/>
    <w:rsid w:val="007143EE"/>
    <w:rsid w:val="0071493B"/>
    <w:rsid w:val="00715AC9"/>
    <w:rsid w:val="007160BF"/>
    <w:rsid w:val="0071748B"/>
    <w:rsid w:val="0071751B"/>
    <w:rsid w:val="00717FC8"/>
    <w:rsid w:val="00720022"/>
    <w:rsid w:val="00722095"/>
    <w:rsid w:val="007228A5"/>
    <w:rsid w:val="00723BE6"/>
    <w:rsid w:val="00724EC6"/>
    <w:rsid w:val="00724FAC"/>
    <w:rsid w:val="0072553E"/>
    <w:rsid w:val="0072648F"/>
    <w:rsid w:val="00727AC6"/>
    <w:rsid w:val="00727CDD"/>
    <w:rsid w:val="00727FDB"/>
    <w:rsid w:val="00730711"/>
    <w:rsid w:val="007318D5"/>
    <w:rsid w:val="00731A6A"/>
    <w:rsid w:val="00731CF7"/>
    <w:rsid w:val="00733B8C"/>
    <w:rsid w:val="00734CA5"/>
    <w:rsid w:val="00735BD4"/>
    <w:rsid w:val="0073632D"/>
    <w:rsid w:val="00736F12"/>
    <w:rsid w:val="00737E54"/>
    <w:rsid w:val="00742592"/>
    <w:rsid w:val="00742641"/>
    <w:rsid w:val="00742C27"/>
    <w:rsid w:val="00742F59"/>
    <w:rsid w:val="0074415A"/>
    <w:rsid w:val="00744F79"/>
    <w:rsid w:val="00744FB2"/>
    <w:rsid w:val="007462C4"/>
    <w:rsid w:val="00746310"/>
    <w:rsid w:val="00747163"/>
    <w:rsid w:val="00747579"/>
    <w:rsid w:val="00747DB7"/>
    <w:rsid w:val="00747F4C"/>
    <w:rsid w:val="007508B6"/>
    <w:rsid w:val="00750D71"/>
    <w:rsid w:val="00750F84"/>
    <w:rsid w:val="00752134"/>
    <w:rsid w:val="00752AD2"/>
    <w:rsid w:val="00752D0B"/>
    <w:rsid w:val="00753729"/>
    <w:rsid w:val="00754A76"/>
    <w:rsid w:val="0075610A"/>
    <w:rsid w:val="007561BF"/>
    <w:rsid w:val="00756A89"/>
    <w:rsid w:val="00756B77"/>
    <w:rsid w:val="007573DF"/>
    <w:rsid w:val="0075781B"/>
    <w:rsid w:val="00760583"/>
    <w:rsid w:val="0076156E"/>
    <w:rsid w:val="007615C5"/>
    <w:rsid w:val="00761C2B"/>
    <w:rsid w:val="0076345A"/>
    <w:rsid w:val="007636AB"/>
    <w:rsid w:val="00763DCE"/>
    <w:rsid w:val="0076526F"/>
    <w:rsid w:val="007657A4"/>
    <w:rsid w:val="007657BA"/>
    <w:rsid w:val="0076692C"/>
    <w:rsid w:val="00766A70"/>
    <w:rsid w:val="007670AC"/>
    <w:rsid w:val="00767470"/>
    <w:rsid w:val="00770C0E"/>
    <w:rsid w:val="0077108B"/>
    <w:rsid w:val="00771204"/>
    <w:rsid w:val="00771A26"/>
    <w:rsid w:val="007728E0"/>
    <w:rsid w:val="0077355A"/>
    <w:rsid w:val="00775D72"/>
    <w:rsid w:val="007763BA"/>
    <w:rsid w:val="007763BF"/>
    <w:rsid w:val="0077669F"/>
    <w:rsid w:val="00776D24"/>
    <w:rsid w:val="007770CE"/>
    <w:rsid w:val="0077725A"/>
    <w:rsid w:val="0077791C"/>
    <w:rsid w:val="00777CB2"/>
    <w:rsid w:val="00780146"/>
    <w:rsid w:val="00780533"/>
    <w:rsid w:val="00780636"/>
    <w:rsid w:val="0078188B"/>
    <w:rsid w:val="00781BCA"/>
    <w:rsid w:val="00781EB0"/>
    <w:rsid w:val="00782066"/>
    <w:rsid w:val="00782CA1"/>
    <w:rsid w:val="00783297"/>
    <w:rsid w:val="0078348A"/>
    <w:rsid w:val="00783F96"/>
    <w:rsid w:val="007842AC"/>
    <w:rsid w:val="007855A7"/>
    <w:rsid w:val="0078674B"/>
    <w:rsid w:val="00786915"/>
    <w:rsid w:val="00787FA8"/>
    <w:rsid w:val="007901D0"/>
    <w:rsid w:val="00791921"/>
    <w:rsid w:val="00792337"/>
    <w:rsid w:val="007926EA"/>
    <w:rsid w:val="00792792"/>
    <w:rsid w:val="00792BB2"/>
    <w:rsid w:val="00794A99"/>
    <w:rsid w:val="0079600D"/>
    <w:rsid w:val="00796783"/>
    <w:rsid w:val="00797011"/>
    <w:rsid w:val="00797075"/>
    <w:rsid w:val="007976B1"/>
    <w:rsid w:val="007A07A6"/>
    <w:rsid w:val="007A1EDC"/>
    <w:rsid w:val="007A20DC"/>
    <w:rsid w:val="007A2EE3"/>
    <w:rsid w:val="007A3310"/>
    <w:rsid w:val="007A3CE1"/>
    <w:rsid w:val="007A47AA"/>
    <w:rsid w:val="007A4D2A"/>
    <w:rsid w:val="007A4FF1"/>
    <w:rsid w:val="007A5294"/>
    <w:rsid w:val="007A5A4D"/>
    <w:rsid w:val="007A5F58"/>
    <w:rsid w:val="007A6F6D"/>
    <w:rsid w:val="007A7CA9"/>
    <w:rsid w:val="007B0E40"/>
    <w:rsid w:val="007B0E7B"/>
    <w:rsid w:val="007B234C"/>
    <w:rsid w:val="007B384D"/>
    <w:rsid w:val="007B45BE"/>
    <w:rsid w:val="007B49F1"/>
    <w:rsid w:val="007B4F8C"/>
    <w:rsid w:val="007B71B2"/>
    <w:rsid w:val="007B756F"/>
    <w:rsid w:val="007C0B52"/>
    <w:rsid w:val="007C0D2B"/>
    <w:rsid w:val="007C182D"/>
    <w:rsid w:val="007C18D8"/>
    <w:rsid w:val="007C198E"/>
    <w:rsid w:val="007C1BBB"/>
    <w:rsid w:val="007C1CAA"/>
    <w:rsid w:val="007C1CDC"/>
    <w:rsid w:val="007C2356"/>
    <w:rsid w:val="007C271F"/>
    <w:rsid w:val="007C28A5"/>
    <w:rsid w:val="007C290F"/>
    <w:rsid w:val="007C2C51"/>
    <w:rsid w:val="007C30EC"/>
    <w:rsid w:val="007C314C"/>
    <w:rsid w:val="007C3A01"/>
    <w:rsid w:val="007C43B5"/>
    <w:rsid w:val="007C5708"/>
    <w:rsid w:val="007C5F6A"/>
    <w:rsid w:val="007C6837"/>
    <w:rsid w:val="007C7183"/>
    <w:rsid w:val="007D12E4"/>
    <w:rsid w:val="007D2895"/>
    <w:rsid w:val="007D3DC5"/>
    <w:rsid w:val="007D3DF5"/>
    <w:rsid w:val="007D495E"/>
    <w:rsid w:val="007D4F27"/>
    <w:rsid w:val="007D4F4F"/>
    <w:rsid w:val="007D561B"/>
    <w:rsid w:val="007D5FFF"/>
    <w:rsid w:val="007D6C04"/>
    <w:rsid w:val="007D74F7"/>
    <w:rsid w:val="007D7709"/>
    <w:rsid w:val="007D7918"/>
    <w:rsid w:val="007D7D12"/>
    <w:rsid w:val="007D7D90"/>
    <w:rsid w:val="007E03D0"/>
    <w:rsid w:val="007E10A4"/>
    <w:rsid w:val="007E1572"/>
    <w:rsid w:val="007E1828"/>
    <w:rsid w:val="007E2814"/>
    <w:rsid w:val="007E29CF"/>
    <w:rsid w:val="007E507E"/>
    <w:rsid w:val="007E50EA"/>
    <w:rsid w:val="007E5C4A"/>
    <w:rsid w:val="007E6072"/>
    <w:rsid w:val="007E64C4"/>
    <w:rsid w:val="007E6D57"/>
    <w:rsid w:val="007E7B3E"/>
    <w:rsid w:val="007E7D66"/>
    <w:rsid w:val="007E7DB7"/>
    <w:rsid w:val="007F103A"/>
    <w:rsid w:val="007F19DC"/>
    <w:rsid w:val="007F210E"/>
    <w:rsid w:val="007F2569"/>
    <w:rsid w:val="007F3B6B"/>
    <w:rsid w:val="007F3CAE"/>
    <w:rsid w:val="007F4968"/>
    <w:rsid w:val="007F5C45"/>
    <w:rsid w:val="007F5CFF"/>
    <w:rsid w:val="007F5E20"/>
    <w:rsid w:val="007F5EA9"/>
    <w:rsid w:val="007F6C43"/>
    <w:rsid w:val="007F764D"/>
    <w:rsid w:val="007F7671"/>
    <w:rsid w:val="007F7D8C"/>
    <w:rsid w:val="00800DD3"/>
    <w:rsid w:val="00802215"/>
    <w:rsid w:val="00802635"/>
    <w:rsid w:val="00802C00"/>
    <w:rsid w:val="0080323A"/>
    <w:rsid w:val="008036C0"/>
    <w:rsid w:val="00803C43"/>
    <w:rsid w:val="00804056"/>
    <w:rsid w:val="00805316"/>
    <w:rsid w:val="00806177"/>
    <w:rsid w:val="00806F6A"/>
    <w:rsid w:val="00807BAF"/>
    <w:rsid w:val="00807F73"/>
    <w:rsid w:val="0081039B"/>
    <w:rsid w:val="00810BF7"/>
    <w:rsid w:val="00810D9B"/>
    <w:rsid w:val="00810E45"/>
    <w:rsid w:val="0081136E"/>
    <w:rsid w:val="00811548"/>
    <w:rsid w:val="00811911"/>
    <w:rsid w:val="00815586"/>
    <w:rsid w:val="00815ACD"/>
    <w:rsid w:val="00815D84"/>
    <w:rsid w:val="008166F1"/>
    <w:rsid w:val="00816B4A"/>
    <w:rsid w:val="00817BAC"/>
    <w:rsid w:val="008209CB"/>
    <w:rsid w:val="008220FD"/>
    <w:rsid w:val="0082293C"/>
    <w:rsid w:val="008234E2"/>
    <w:rsid w:val="0082365C"/>
    <w:rsid w:val="00823B0A"/>
    <w:rsid w:val="00823E59"/>
    <w:rsid w:val="008243B2"/>
    <w:rsid w:val="00825070"/>
    <w:rsid w:val="00825439"/>
    <w:rsid w:val="0082555B"/>
    <w:rsid w:val="00825CE3"/>
    <w:rsid w:val="008264B4"/>
    <w:rsid w:val="00827F2A"/>
    <w:rsid w:val="0083023E"/>
    <w:rsid w:val="00830CD5"/>
    <w:rsid w:val="008318FE"/>
    <w:rsid w:val="00831A3C"/>
    <w:rsid w:val="00832FFA"/>
    <w:rsid w:val="00833140"/>
    <w:rsid w:val="0083394B"/>
    <w:rsid w:val="00833CDD"/>
    <w:rsid w:val="00834575"/>
    <w:rsid w:val="00834AD6"/>
    <w:rsid w:val="00834B16"/>
    <w:rsid w:val="00835D9E"/>
    <w:rsid w:val="008361FC"/>
    <w:rsid w:val="008369E3"/>
    <w:rsid w:val="00836E9D"/>
    <w:rsid w:val="00837051"/>
    <w:rsid w:val="00837754"/>
    <w:rsid w:val="00837A86"/>
    <w:rsid w:val="0084000E"/>
    <w:rsid w:val="0084004F"/>
    <w:rsid w:val="00840E0A"/>
    <w:rsid w:val="008423AA"/>
    <w:rsid w:val="0084251C"/>
    <w:rsid w:val="00843E5C"/>
    <w:rsid w:val="0084437A"/>
    <w:rsid w:val="0084487D"/>
    <w:rsid w:val="00845CF6"/>
    <w:rsid w:val="00846C95"/>
    <w:rsid w:val="00846FCD"/>
    <w:rsid w:val="00847528"/>
    <w:rsid w:val="00847828"/>
    <w:rsid w:val="008507CE"/>
    <w:rsid w:val="00850C21"/>
    <w:rsid w:val="00850F95"/>
    <w:rsid w:val="0085197D"/>
    <w:rsid w:val="0085359F"/>
    <w:rsid w:val="00853D7C"/>
    <w:rsid w:val="00854655"/>
    <w:rsid w:val="00854C81"/>
    <w:rsid w:val="008553F8"/>
    <w:rsid w:val="0085618C"/>
    <w:rsid w:val="00856648"/>
    <w:rsid w:val="00856AFB"/>
    <w:rsid w:val="00856EE9"/>
    <w:rsid w:val="00856F1F"/>
    <w:rsid w:val="00856FAF"/>
    <w:rsid w:val="0085721D"/>
    <w:rsid w:val="0085771F"/>
    <w:rsid w:val="00860971"/>
    <w:rsid w:val="00863884"/>
    <w:rsid w:val="00863C33"/>
    <w:rsid w:val="00863C8E"/>
    <w:rsid w:val="0086430A"/>
    <w:rsid w:val="0086431E"/>
    <w:rsid w:val="00864715"/>
    <w:rsid w:val="00864B2D"/>
    <w:rsid w:val="00865C15"/>
    <w:rsid w:val="008669E2"/>
    <w:rsid w:val="008702BB"/>
    <w:rsid w:val="008702F8"/>
    <w:rsid w:val="00870725"/>
    <w:rsid w:val="00870B41"/>
    <w:rsid w:val="00870F70"/>
    <w:rsid w:val="0087189B"/>
    <w:rsid w:val="008719AB"/>
    <w:rsid w:val="00874112"/>
    <w:rsid w:val="008749C8"/>
    <w:rsid w:val="00875CCA"/>
    <w:rsid w:val="008762B5"/>
    <w:rsid w:val="00876503"/>
    <w:rsid w:val="0087781A"/>
    <w:rsid w:val="008779D8"/>
    <w:rsid w:val="008804C9"/>
    <w:rsid w:val="00880567"/>
    <w:rsid w:val="00880660"/>
    <w:rsid w:val="00881F09"/>
    <w:rsid w:val="008821F6"/>
    <w:rsid w:val="0088248F"/>
    <w:rsid w:val="008828C5"/>
    <w:rsid w:val="00883DFE"/>
    <w:rsid w:val="0088403B"/>
    <w:rsid w:val="00884115"/>
    <w:rsid w:val="008845FA"/>
    <w:rsid w:val="008848A0"/>
    <w:rsid w:val="00884AE2"/>
    <w:rsid w:val="008853B9"/>
    <w:rsid w:val="008856FB"/>
    <w:rsid w:val="00885889"/>
    <w:rsid w:val="00885CE1"/>
    <w:rsid w:val="00886223"/>
    <w:rsid w:val="00887154"/>
    <w:rsid w:val="008874FE"/>
    <w:rsid w:val="00887F59"/>
    <w:rsid w:val="00890412"/>
    <w:rsid w:val="00890C58"/>
    <w:rsid w:val="0089177B"/>
    <w:rsid w:val="00891A0B"/>
    <w:rsid w:val="00891A35"/>
    <w:rsid w:val="00891EF1"/>
    <w:rsid w:val="00892091"/>
    <w:rsid w:val="0089383A"/>
    <w:rsid w:val="00893B4F"/>
    <w:rsid w:val="00894704"/>
    <w:rsid w:val="008955BE"/>
    <w:rsid w:val="00895A61"/>
    <w:rsid w:val="008964C7"/>
    <w:rsid w:val="00896AD9"/>
    <w:rsid w:val="008A0622"/>
    <w:rsid w:val="008A0DB6"/>
    <w:rsid w:val="008A160E"/>
    <w:rsid w:val="008A2261"/>
    <w:rsid w:val="008A32BD"/>
    <w:rsid w:val="008A345A"/>
    <w:rsid w:val="008A370B"/>
    <w:rsid w:val="008A44D8"/>
    <w:rsid w:val="008A5A35"/>
    <w:rsid w:val="008A5BCE"/>
    <w:rsid w:val="008A5EB0"/>
    <w:rsid w:val="008A624B"/>
    <w:rsid w:val="008A6D9E"/>
    <w:rsid w:val="008A7290"/>
    <w:rsid w:val="008A791F"/>
    <w:rsid w:val="008B0300"/>
    <w:rsid w:val="008B0C70"/>
    <w:rsid w:val="008B218C"/>
    <w:rsid w:val="008B22A8"/>
    <w:rsid w:val="008B2E83"/>
    <w:rsid w:val="008B33D1"/>
    <w:rsid w:val="008B42B9"/>
    <w:rsid w:val="008B4D6A"/>
    <w:rsid w:val="008B538E"/>
    <w:rsid w:val="008B5C3D"/>
    <w:rsid w:val="008B7234"/>
    <w:rsid w:val="008C0C84"/>
    <w:rsid w:val="008C18CA"/>
    <w:rsid w:val="008C23CB"/>
    <w:rsid w:val="008C2E38"/>
    <w:rsid w:val="008C3809"/>
    <w:rsid w:val="008C394A"/>
    <w:rsid w:val="008C5BCB"/>
    <w:rsid w:val="008C5F75"/>
    <w:rsid w:val="008C6630"/>
    <w:rsid w:val="008C66C1"/>
    <w:rsid w:val="008C6871"/>
    <w:rsid w:val="008C6B6D"/>
    <w:rsid w:val="008C7473"/>
    <w:rsid w:val="008C7EB9"/>
    <w:rsid w:val="008D000D"/>
    <w:rsid w:val="008D00FC"/>
    <w:rsid w:val="008D05F9"/>
    <w:rsid w:val="008D07C4"/>
    <w:rsid w:val="008D0AB9"/>
    <w:rsid w:val="008D1DC2"/>
    <w:rsid w:val="008D2D7C"/>
    <w:rsid w:val="008D3BB7"/>
    <w:rsid w:val="008D3BF1"/>
    <w:rsid w:val="008D3E00"/>
    <w:rsid w:val="008D494E"/>
    <w:rsid w:val="008D4FC8"/>
    <w:rsid w:val="008D5AC5"/>
    <w:rsid w:val="008D5B91"/>
    <w:rsid w:val="008D5F9D"/>
    <w:rsid w:val="008D770C"/>
    <w:rsid w:val="008D7F40"/>
    <w:rsid w:val="008E0721"/>
    <w:rsid w:val="008E0E43"/>
    <w:rsid w:val="008E1379"/>
    <w:rsid w:val="008E1414"/>
    <w:rsid w:val="008E22B9"/>
    <w:rsid w:val="008E24F0"/>
    <w:rsid w:val="008E2F0B"/>
    <w:rsid w:val="008E30FC"/>
    <w:rsid w:val="008E3480"/>
    <w:rsid w:val="008E3951"/>
    <w:rsid w:val="008E3E8A"/>
    <w:rsid w:val="008E4231"/>
    <w:rsid w:val="008E46F6"/>
    <w:rsid w:val="008E4F7D"/>
    <w:rsid w:val="008E5C37"/>
    <w:rsid w:val="008E642B"/>
    <w:rsid w:val="008E68FE"/>
    <w:rsid w:val="008E6B91"/>
    <w:rsid w:val="008E7356"/>
    <w:rsid w:val="008F0657"/>
    <w:rsid w:val="008F0A15"/>
    <w:rsid w:val="008F0F0C"/>
    <w:rsid w:val="008F1C7F"/>
    <w:rsid w:val="008F2155"/>
    <w:rsid w:val="008F288D"/>
    <w:rsid w:val="008F5054"/>
    <w:rsid w:val="008F6E2B"/>
    <w:rsid w:val="008F6E78"/>
    <w:rsid w:val="008F72FD"/>
    <w:rsid w:val="008F77C7"/>
    <w:rsid w:val="008F7881"/>
    <w:rsid w:val="008F7FA1"/>
    <w:rsid w:val="009005F8"/>
    <w:rsid w:val="00900A8D"/>
    <w:rsid w:val="00900DF5"/>
    <w:rsid w:val="00902B3E"/>
    <w:rsid w:val="009030C2"/>
    <w:rsid w:val="009034CB"/>
    <w:rsid w:val="0090368E"/>
    <w:rsid w:val="009047F5"/>
    <w:rsid w:val="00904CC7"/>
    <w:rsid w:val="009057D1"/>
    <w:rsid w:val="009075DE"/>
    <w:rsid w:val="009104EC"/>
    <w:rsid w:val="0091252F"/>
    <w:rsid w:val="009129F2"/>
    <w:rsid w:val="00913A27"/>
    <w:rsid w:val="00917FEC"/>
    <w:rsid w:val="00920171"/>
    <w:rsid w:val="00920599"/>
    <w:rsid w:val="0092199B"/>
    <w:rsid w:val="00921B2A"/>
    <w:rsid w:val="00921ED8"/>
    <w:rsid w:val="00922EE0"/>
    <w:rsid w:val="009238C8"/>
    <w:rsid w:val="009241FD"/>
    <w:rsid w:val="009254DD"/>
    <w:rsid w:val="009259B1"/>
    <w:rsid w:val="00925F20"/>
    <w:rsid w:val="00926273"/>
    <w:rsid w:val="00926653"/>
    <w:rsid w:val="00926AE8"/>
    <w:rsid w:val="00927F8F"/>
    <w:rsid w:val="009300EF"/>
    <w:rsid w:val="00931033"/>
    <w:rsid w:val="00931073"/>
    <w:rsid w:val="00931A34"/>
    <w:rsid w:val="00931B30"/>
    <w:rsid w:val="00931E76"/>
    <w:rsid w:val="009323A8"/>
    <w:rsid w:val="00932D52"/>
    <w:rsid w:val="009330C8"/>
    <w:rsid w:val="00933227"/>
    <w:rsid w:val="00933544"/>
    <w:rsid w:val="0093436C"/>
    <w:rsid w:val="00934422"/>
    <w:rsid w:val="0093485B"/>
    <w:rsid w:val="00934A9B"/>
    <w:rsid w:val="00935984"/>
    <w:rsid w:val="00936966"/>
    <w:rsid w:val="00936FF2"/>
    <w:rsid w:val="00937D6B"/>
    <w:rsid w:val="00941433"/>
    <w:rsid w:val="00942CFE"/>
    <w:rsid w:val="00943CEE"/>
    <w:rsid w:val="0094442D"/>
    <w:rsid w:val="00944474"/>
    <w:rsid w:val="0094485B"/>
    <w:rsid w:val="00944BCD"/>
    <w:rsid w:val="00945824"/>
    <w:rsid w:val="0094592E"/>
    <w:rsid w:val="00945A49"/>
    <w:rsid w:val="00947099"/>
    <w:rsid w:val="00947CB9"/>
    <w:rsid w:val="00951E44"/>
    <w:rsid w:val="00953096"/>
    <w:rsid w:val="009531E6"/>
    <w:rsid w:val="0095408D"/>
    <w:rsid w:val="00954D56"/>
    <w:rsid w:val="0095582B"/>
    <w:rsid w:val="00955A73"/>
    <w:rsid w:val="009563E7"/>
    <w:rsid w:val="009577EE"/>
    <w:rsid w:val="00961AD8"/>
    <w:rsid w:val="00961CFA"/>
    <w:rsid w:val="00961EB5"/>
    <w:rsid w:val="009625E7"/>
    <w:rsid w:val="009629F8"/>
    <w:rsid w:val="00963235"/>
    <w:rsid w:val="00963818"/>
    <w:rsid w:val="0096440B"/>
    <w:rsid w:val="00964556"/>
    <w:rsid w:val="0096461A"/>
    <w:rsid w:val="009649EF"/>
    <w:rsid w:val="00964E47"/>
    <w:rsid w:val="00965512"/>
    <w:rsid w:val="00965C6B"/>
    <w:rsid w:val="00965D23"/>
    <w:rsid w:val="009670A3"/>
    <w:rsid w:val="009672E6"/>
    <w:rsid w:val="009712C6"/>
    <w:rsid w:val="00971697"/>
    <w:rsid w:val="00973669"/>
    <w:rsid w:val="0097380B"/>
    <w:rsid w:val="00973ABE"/>
    <w:rsid w:val="00973B99"/>
    <w:rsid w:val="00974181"/>
    <w:rsid w:val="00975DCC"/>
    <w:rsid w:val="0097663B"/>
    <w:rsid w:val="00976B45"/>
    <w:rsid w:val="00977C5D"/>
    <w:rsid w:val="009806A7"/>
    <w:rsid w:val="00981459"/>
    <w:rsid w:val="00981699"/>
    <w:rsid w:val="0098269B"/>
    <w:rsid w:val="00983A2E"/>
    <w:rsid w:val="009849B7"/>
    <w:rsid w:val="00984D22"/>
    <w:rsid w:val="00986ADB"/>
    <w:rsid w:val="00986C29"/>
    <w:rsid w:val="0098781E"/>
    <w:rsid w:val="009878E3"/>
    <w:rsid w:val="00990A20"/>
    <w:rsid w:val="00991CD9"/>
    <w:rsid w:val="00992933"/>
    <w:rsid w:val="00992BCE"/>
    <w:rsid w:val="009938EE"/>
    <w:rsid w:val="00993E71"/>
    <w:rsid w:val="009941F9"/>
    <w:rsid w:val="00994D40"/>
    <w:rsid w:val="00995738"/>
    <w:rsid w:val="009959B5"/>
    <w:rsid w:val="0099750C"/>
    <w:rsid w:val="009A028E"/>
    <w:rsid w:val="009A0FB1"/>
    <w:rsid w:val="009A0FED"/>
    <w:rsid w:val="009A1DD4"/>
    <w:rsid w:val="009A21B6"/>
    <w:rsid w:val="009A2651"/>
    <w:rsid w:val="009A2E60"/>
    <w:rsid w:val="009A3002"/>
    <w:rsid w:val="009A32E8"/>
    <w:rsid w:val="009A3C9F"/>
    <w:rsid w:val="009A469F"/>
    <w:rsid w:val="009A550B"/>
    <w:rsid w:val="009A57D6"/>
    <w:rsid w:val="009A635B"/>
    <w:rsid w:val="009A6BB7"/>
    <w:rsid w:val="009A75ED"/>
    <w:rsid w:val="009A76EB"/>
    <w:rsid w:val="009B0E50"/>
    <w:rsid w:val="009B0F2C"/>
    <w:rsid w:val="009B1CA1"/>
    <w:rsid w:val="009B20B1"/>
    <w:rsid w:val="009B27E0"/>
    <w:rsid w:val="009B3328"/>
    <w:rsid w:val="009B46B9"/>
    <w:rsid w:val="009B5A0D"/>
    <w:rsid w:val="009B5B23"/>
    <w:rsid w:val="009B6424"/>
    <w:rsid w:val="009B6731"/>
    <w:rsid w:val="009B795A"/>
    <w:rsid w:val="009B7DAF"/>
    <w:rsid w:val="009B7FC0"/>
    <w:rsid w:val="009C044E"/>
    <w:rsid w:val="009C19E3"/>
    <w:rsid w:val="009C1F5F"/>
    <w:rsid w:val="009C2696"/>
    <w:rsid w:val="009C314A"/>
    <w:rsid w:val="009C3CFC"/>
    <w:rsid w:val="009C41FF"/>
    <w:rsid w:val="009C705A"/>
    <w:rsid w:val="009D0930"/>
    <w:rsid w:val="009D0E76"/>
    <w:rsid w:val="009D141C"/>
    <w:rsid w:val="009D16FE"/>
    <w:rsid w:val="009D2219"/>
    <w:rsid w:val="009D25CA"/>
    <w:rsid w:val="009D267B"/>
    <w:rsid w:val="009D2DB8"/>
    <w:rsid w:val="009D4129"/>
    <w:rsid w:val="009D48E1"/>
    <w:rsid w:val="009D4913"/>
    <w:rsid w:val="009D496F"/>
    <w:rsid w:val="009D53E6"/>
    <w:rsid w:val="009D5A53"/>
    <w:rsid w:val="009D63BD"/>
    <w:rsid w:val="009D6533"/>
    <w:rsid w:val="009D6DAB"/>
    <w:rsid w:val="009D700B"/>
    <w:rsid w:val="009D7096"/>
    <w:rsid w:val="009E00B8"/>
    <w:rsid w:val="009E0876"/>
    <w:rsid w:val="009E10A8"/>
    <w:rsid w:val="009E10ED"/>
    <w:rsid w:val="009E20B7"/>
    <w:rsid w:val="009E27A1"/>
    <w:rsid w:val="009E3511"/>
    <w:rsid w:val="009E3590"/>
    <w:rsid w:val="009E478D"/>
    <w:rsid w:val="009E528F"/>
    <w:rsid w:val="009E658E"/>
    <w:rsid w:val="009E6AED"/>
    <w:rsid w:val="009E736D"/>
    <w:rsid w:val="009F00B9"/>
    <w:rsid w:val="009F00FD"/>
    <w:rsid w:val="009F050E"/>
    <w:rsid w:val="009F16C0"/>
    <w:rsid w:val="009F1C24"/>
    <w:rsid w:val="009F2D24"/>
    <w:rsid w:val="009F411E"/>
    <w:rsid w:val="009F4545"/>
    <w:rsid w:val="009F4B36"/>
    <w:rsid w:val="009F58EA"/>
    <w:rsid w:val="009F6147"/>
    <w:rsid w:val="009F66D3"/>
    <w:rsid w:val="009F7D2D"/>
    <w:rsid w:val="009F7FF9"/>
    <w:rsid w:val="00A002B2"/>
    <w:rsid w:val="00A00A7A"/>
    <w:rsid w:val="00A00ACE"/>
    <w:rsid w:val="00A0121E"/>
    <w:rsid w:val="00A015DA"/>
    <w:rsid w:val="00A017D1"/>
    <w:rsid w:val="00A018A5"/>
    <w:rsid w:val="00A01BBD"/>
    <w:rsid w:val="00A01C1C"/>
    <w:rsid w:val="00A03856"/>
    <w:rsid w:val="00A0481D"/>
    <w:rsid w:val="00A0518C"/>
    <w:rsid w:val="00A05654"/>
    <w:rsid w:val="00A059A2"/>
    <w:rsid w:val="00A05AAA"/>
    <w:rsid w:val="00A05BA5"/>
    <w:rsid w:val="00A060B7"/>
    <w:rsid w:val="00A06AD3"/>
    <w:rsid w:val="00A079D5"/>
    <w:rsid w:val="00A07C41"/>
    <w:rsid w:val="00A105FB"/>
    <w:rsid w:val="00A106F8"/>
    <w:rsid w:val="00A10A5B"/>
    <w:rsid w:val="00A12B0C"/>
    <w:rsid w:val="00A13D5E"/>
    <w:rsid w:val="00A145AE"/>
    <w:rsid w:val="00A145C3"/>
    <w:rsid w:val="00A14B99"/>
    <w:rsid w:val="00A155C5"/>
    <w:rsid w:val="00A15F3E"/>
    <w:rsid w:val="00A1660C"/>
    <w:rsid w:val="00A16798"/>
    <w:rsid w:val="00A16F4D"/>
    <w:rsid w:val="00A16FC2"/>
    <w:rsid w:val="00A17870"/>
    <w:rsid w:val="00A20CB5"/>
    <w:rsid w:val="00A213E3"/>
    <w:rsid w:val="00A2145C"/>
    <w:rsid w:val="00A214B8"/>
    <w:rsid w:val="00A216F8"/>
    <w:rsid w:val="00A238AF"/>
    <w:rsid w:val="00A23A32"/>
    <w:rsid w:val="00A23CE1"/>
    <w:rsid w:val="00A23FFC"/>
    <w:rsid w:val="00A24405"/>
    <w:rsid w:val="00A249EF"/>
    <w:rsid w:val="00A25ADB"/>
    <w:rsid w:val="00A25F3E"/>
    <w:rsid w:val="00A27ABE"/>
    <w:rsid w:val="00A27FCF"/>
    <w:rsid w:val="00A3061D"/>
    <w:rsid w:val="00A314FA"/>
    <w:rsid w:val="00A320E7"/>
    <w:rsid w:val="00A324E4"/>
    <w:rsid w:val="00A32964"/>
    <w:rsid w:val="00A33250"/>
    <w:rsid w:val="00A35064"/>
    <w:rsid w:val="00A357C0"/>
    <w:rsid w:val="00A3599E"/>
    <w:rsid w:val="00A35C0E"/>
    <w:rsid w:val="00A35F6C"/>
    <w:rsid w:val="00A3625B"/>
    <w:rsid w:val="00A362C6"/>
    <w:rsid w:val="00A36855"/>
    <w:rsid w:val="00A376DD"/>
    <w:rsid w:val="00A37FE5"/>
    <w:rsid w:val="00A40291"/>
    <w:rsid w:val="00A40B6A"/>
    <w:rsid w:val="00A4173E"/>
    <w:rsid w:val="00A41D7B"/>
    <w:rsid w:val="00A41FF1"/>
    <w:rsid w:val="00A43CBC"/>
    <w:rsid w:val="00A445FC"/>
    <w:rsid w:val="00A45EF8"/>
    <w:rsid w:val="00A461FE"/>
    <w:rsid w:val="00A467FB"/>
    <w:rsid w:val="00A46F7F"/>
    <w:rsid w:val="00A47836"/>
    <w:rsid w:val="00A47D3C"/>
    <w:rsid w:val="00A50B87"/>
    <w:rsid w:val="00A517F6"/>
    <w:rsid w:val="00A52387"/>
    <w:rsid w:val="00A528A5"/>
    <w:rsid w:val="00A52A82"/>
    <w:rsid w:val="00A52AC5"/>
    <w:rsid w:val="00A52BFB"/>
    <w:rsid w:val="00A52DA6"/>
    <w:rsid w:val="00A53352"/>
    <w:rsid w:val="00A53603"/>
    <w:rsid w:val="00A5361E"/>
    <w:rsid w:val="00A53F7C"/>
    <w:rsid w:val="00A54C23"/>
    <w:rsid w:val="00A54F8D"/>
    <w:rsid w:val="00A5568B"/>
    <w:rsid w:val="00A55D84"/>
    <w:rsid w:val="00A5618C"/>
    <w:rsid w:val="00A56D0E"/>
    <w:rsid w:val="00A57002"/>
    <w:rsid w:val="00A571AD"/>
    <w:rsid w:val="00A57B33"/>
    <w:rsid w:val="00A60D6C"/>
    <w:rsid w:val="00A61B90"/>
    <w:rsid w:val="00A61E74"/>
    <w:rsid w:val="00A622F1"/>
    <w:rsid w:val="00A63397"/>
    <w:rsid w:val="00A633BB"/>
    <w:rsid w:val="00A63422"/>
    <w:rsid w:val="00A63558"/>
    <w:rsid w:val="00A63784"/>
    <w:rsid w:val="00A637DD"/>
    <w:rsid w:val="00A64073"/>
    <w:rsid w:val="00A64BF5"/>
    <w:rsid w:val="00A662EF"/>
    <w:rsid w:val="00A70994"/>
    <w:rsid w:val="00A709C9"/>
    <w:rsid w:val="00A70F81"/>
    <w:rsid w:val="00A7160A"/>
    <w:rsid w:val="00A71EF9"/>
    <w:rsid w:val="00A72178"/>
    <w:rsid w:val="00A7285C"/>
    <w:rsid w:val="00A732CE"/>
    <w:rsid w:val="00A73936"/>
    <w:rsid w:val="00A73B71"/>
    <w:rsid w:val="00A75057"/>
    <w:rsid w:val="00A75858"/>
    <w:rsid w:val="00A76AF2"/>
    <w:rsid w:val="00A77419"/>
    <w:rsid w:val="00A77C2C"/>
    <w:rsid w:val="00A802D2"/>
    <w:rsid w:val="00A81F5D"/>
    <w:rsid w:val="00A8288F"/>
    <w:rsid w:val="00A82ACA"/>
    <w:rsid w:val="00A82C1D"/>
    <w:rsid w:val="00A8319C"/>
    <w:rsid w:val="00A8397F"/>
    <w:rsid w:val="00A84061"/>
    <w:rsid w:val="00A8484F"/>
    <w:rsid w:val="00A856EA"/>
    <w:rsid w:val="00A90496"/>
    <w:rsid w:val="00A90515"/>
    <w:rsid w:val="00A90684"/>
    <w:rsid w:val="00A90719"/>
    <w:rsid w:val="00A91A5E"/>
    <w:rsid w:val="00A925A1"/>
    <w:rsid w:val="00A92689"/>
    <w:rsid w:val="00A93227"/>
    <w:rsid w:val="00A934A3"/>
    <w:rsid w:val="00A93700"/>
    <w:rsid w:val="00A9435F"/>
    <w:rsid w:val="00A947C3"/>
    <w:rsid w:val="00A94D7D"/>
    <w:rsid w:val="00A952C0"/>
    <w:rsid w:val="00A955D5"/>
    <w:rsid w:val="00A95D7C"/>
    <w:rsid w:val="00A964F8"/>
    <w:rsid w:val="00A96E3C"/>
    <w:rsid w:val="00A97926"/>
    <w:rsid w:val="00AA1596"/>
    <w:rsid w:val="00AA1880"/>
    <w:rsid w:val="00AA1956"/>
    <w:rsid w:val="00AA1FD4"/>
    <w:rsid w:val="00AA208A"/>
    <w:rsid w:val="00AA2989"/>
    <w:rsid w:val="00AA2C58"/>
    <w:rsid w:val="00AA2FE6"/>
    <w:rsid w:val="00AA34E5"/>
    <w:rsid w:val="00AA3CD4"/>
    <w:rsid w:val="00AA4466"/>
    <w:rsid w:val="00AA4B53"/>
    <w:rsid w:val="00AA52EE"/>
    <w:rsid w:val="00AA5E07"/>
    <w:rsid w:val="00AA601D"/>
    <w:rsid w:val="00AA62B5"/>
    <w:rsid w:val="00AA6625"/>
    <w:rsid w:val="00AA681D"/>
    <w:rsid w:val="00AA69D1"/>
    <w:rsid w:val="00AA6A81"/>
    <w:rsid w:val="00AA6EF3"/>
    <w:rsid w:val="00AA70F1"/>
    <w:rsid w:val="00AA7651"/>
    <w:rsid w:val="00AB009E"/>
    <w:rsid w:val="00AB0CCA"/>
    <w:rsid w:val="00AB1013"/>
    <w:rsid w:val="00AB2258"/>
    <w:rsid w:val="00AB2901"/>
    <w:rsid w:val="00AB2B37"/>
    <w:rsid w:val="00AB31A7"/>
    <w:rsid w:val="00AB337F"/>
    <w:rsid w:val="00AB487B"/>
    <w:rsid w:val="00AB4F3B"/>
    <w:rsid w:val="00AB60ED"/>
    <w:rsid w:val="00AB6187"/>
    <w:rsid w:val="00AB6475"/>
    <w:rsid w:val="00AB6727"/>
    <w:rsid w:val="00AB6DCE"/>
    <w:rsid w:val="00AC0469"/>
    <w:rsid w:val="00AC078F"/>
    <w:rsid w:val="00AC1500"/>
    <w:rsid w:val="00AC1849"/>
    <w:rsid w:val="00AC1BEF"/>
    <w:rsid w:val="00AC23B4"/>
    <w:rsid w:val="00AC2625"/>
    <w:rsid w:val="00AC2899"/>
    <w:rsid w:val="00AC2ABF"/>
    <w:rsid w:val="00AC389D"/>
    <w:rsid w:val="00AC3B0B"/>
    <w:rsid w:val="00AC461A"/>
    <w:rsid w:val="00AC4FE8"/>
    <w:rsid w:val="00AC6489"/>
    <w:rsid w:val="00AC66BE"/>
    <w:rsid w:val="00AC6FAE"/>
    <w:rsid w:val="00AC7B9B"/>
    <w:rsid w:val="00AC7E65"/>
    <w:rsid w:val="00AD00FC"/>
    <w:rsid w:val="00AD091F"/>
    <w:rsid w:val="00AD0986"/>
    <w:rsid w:val="00AD0B75"/>
    <w:rsid w:val="00AD1395"/>
    <w:rsid w:val="00AD1C78"/>
    <w:rsid w:val="00AD26EB"/>
    <w:rsid w:val="00AD2CAF"/>
    <w:rsid w:val="00AD3C84"/>
    <w:rsid w:val="00AD3D50"/>
    <w:rsid w:val="00AD4245"/>
    <w:rsid w:val="00AD48D8"/>
    <w:rsid w:val="00AD4E0B"/>
    <w:rsid w:val="00AD5220"/>
    <w:rsid w:val="00AD5B6B"/>
    <w:rsid w:val="00AD633A"/>
    <w:rsid w:val="00AD6589"/>
    <w:rsid w:val="00AD6CBC"/>
    <w:rsid w:val="00AD6DE8"/>
    <w:rsid w:val="00AE08F2"/>
    <w:rsid w:val="00AE1FBC"/>
    <w:rsid w:val="00AE2A96"/>
    <w:rsid w:val="00AE2F6E"/>
    <w:rsid w:val="00AE31B2"/>
    <w:rsid w:val="00AE3743"/>
    <w:rsid w:val="00AE3ACA"/>
    <w:rsid w:val="00AE3D1C"/>
    <w:rsid w:val="00AE44D8"/>
    <w:rsid w:val="00AE4AC7"/>
    <w:rsid w:val="00AE4C39"/>
    <w:rsid w:val="00AE4CAB"/>
    <w:rsid w:val="00AE4E7C"/>
    <w:rsid w:val="00AE52FC"/>
    <w:rsid w:val="00AE6880"/>
    <w:rsid w:val="00AE6A58"/>
    <w:rsid w:val="00AF029A"/>
    <w:rsid w:val="00AF0DFB"/>
    <w:rsid w:val="00AF13C4"/>
    <w:rsid w:val="00AF1673"/>
    <w:rsid w:val="00AF1978"/>
    <w:rsid w:val="00AF27DC"/>
    <w:rsid w:val="00AF2A47"/>
    <w:rsid w:val="00AF2CC9"/>
    <w:rsid w:val="00AF4261"/>
    <w:rsid w:val="00AF5227"/>
    <w:rsid w:val="00AF66A7"/>
    <w:rsid w:val="00AF6DE4"/>
    <w:rsid w:val="00AF72C2"/>
    <w:rsid w:val="00AF7903"/>
    <w:rsid w:val="00AF7A43"/>
    <w:rsid w:val="00B00893"/>
    <w:rsid w:val="00B00A7F"/>
    <w:rsid w:val="00B01DB3"/>
    <w:rsid w:val="00B01E65"/>
    <w:rsid w:val="00B023C1"/>
    <w:rsid w:val="00B0278C"/>
    <w:rsid w:val="00B03046"/>
    <w:rsid w:val="00B03A59"/>
    <w:rsid w:val="00B03E1A"/>
    <w:rsid w:val="00B04238"/>
    <w:rsid w:val="00B046AD"/>
    <w:rsid w:val="00B05E45"/>
    <w:rsid w:val="00B05F25"/>
    <w:rsid w:val="00B05FB2"/>
    <w:rsid w:val="00B06699"/>
    <w:rsid w:val="00B06F0F"/>
    <w:rsid w:val="00B07F46"/>
    <w:rsid w:val="00B10858"/>
    <w:rsid w:val="00B10DA3"/>
    <w:rsid w:val="00B112EF"/>
    <w:rsid w:val="00B120A0"/>
    <w:rsid w:val="00B12864"/>
    <w:rsid w:val="00B135AE"/>
    <w:rsid w:val="00B1364F"/>
    <w:rsid w:val="00B13975"/>
    <w:rsid w:val="00B13EAC"/>
    <w:rsid w:val="00B1496D"/>
    <w:rsid w:val="00B14D22"/>
    <w:rsid w:val="00B163B2"/>
    <w:rsid w:val="00B16405"/>
    <w:rsid w:val="00B17E29"/>
    <w:rsid w:val="00B2086E"/>
    <w:rsid w:val="00B21AC9"/>
    <w:rsid w:val="00B22326"/>
    <w:rsid w:val="00B2341D"/>
    <w:rsid w:val="00B240DE"/>
    <w:rsid w:val="00B24CA6"/>
    <w:rsid w:val="00B2521B"/>
    <w:rsid w:val="00B25C00"/>
    <w:rsid w:val="00B26587"/>
    <w:rsid w:val="00B2666B"/>
    <w:rsid w:val="00B269DD"/>
    <w:rsid w:val="00B3158E"/>
    <w:rsid w:val="00B31EDE"/>
    <w:rsid w:val="00B328F9"/>
    <w:rsid w:val="00B32D39"/>
    <w:rsid w:val="00B35785"/>
    <w:rsid w:val="00B3628F"/>
    <w:rsid w:val="00B36746"/>
    <w:rsid w:val="00B36E2F"/>
    <w:rsid w:val="00B37007"/>
    <w:rsid w:val="00B3769E"/>
    <w:rsid w:val="00B41422"/>
    <w:rsid w:val="00B41606"/>
    <w:rsid w:val="00B41909"/>
    <w:rsid w:val="00B42546"/>
    <w:rsid w:val="00B438E5"/>
    <w:rsid w:val="00B43AA2"/>
    <w:rsid w:val="00B43AD4"/>
    <w:rsid w:val="00B45975"/>
    <w:rsid w:val="00B45FE8"/>
    <w:rsid w:val="00B46202"/>
    <w:rsid w:val="00B46DD2"/>
    <w:rsid w:val="00B47B51"/>
    <w:rsid w:val="00B5061F"/>
    <w:rsid w:val="00B506BC"/>
    <w:rsid w:val="00B50B4C"/>
    <w:rsid w:val="00B5321E"/>
    <w:rsid w:val="00B535F5"/>
    <w:rsid w:val="00B54797"/>
    <w:rsid w:val="00B54BB3"/>
    <w:rsid w:val="00B54E56"/>
    <w:rsid w:val="00B56333"/>
    <w:rsid w:val="00B57288"/>
    <w:rsid w:val="00B60857"/>
    <w:rsid w:val="00B60DFD"/>
    <w:rsid w:val="00B61105"/>
    <w:rsid w:val="00B61BEE"/>
    <w:rsid w:val="00B62CDC"/>
    <w:rsid w:val="00B630EA"/>
    <w:rsid w:val="00B634A1"/>
    <w:rsid w:val="00B6363C"/>
    <w:rsid w:val="00B636CA"/>
    <w:rsid w:val="00B63C1F"/>
    <w:rsid w:val="00B642F4"/>
    <w:rsid w:val="00B649D6"/>
    <w:rsid w:val="00B65252"/>
    <w:rsid w:val="00B6572F"/>
    <w:rsid w:val="00B659C6"/>
    <w:rsid w:val="00B66489"/>
    <w:rsid w:val="00B668B0"/>
    <w:rsid w:val="00B6791B"/>
    <w:rsid w:val="00B67B18"/>
    <w:rsid w:val="00B67D6B"/>
    <w:rsid w:val="00B7070A"/>
    <w:rsid w:val="00B7102F"/>
    <w:rsid w:val="00B71AB3"/>
    <w:rsid w:val="00B71B1A"/>
    <w:rsid w:val="00B72419"/>
    <w:rsid w:val="00B727B2"/>
    <w:rsid w:val="00B7324E"/>
    <w:rsid w:val="00B7340E"/>
    <w:rsid w:val="00B7381E"/>
    <w:rsid w:val="00B739EC"/>
    <w:rsid w:val="00B739FC"/>
    <w:rsid w:val="00B7489F"/>
    <w:rsid w:val="00B74DA2"/>
    <w:rsid w:val="00B75E9F"/>
    <w:rsid w:val="00B7685B"/>
    <w:rsid w:val="00B769E7"/>
    <w:rsid w:val="00B76AB1"/>
    <w:rsid w:val="00B80E50"/>
    <w:rsid w:val="00B80F98"/>
    <w:rsid w:val="00B81A23"/>
    <w:rsid w:val="00B81BBD"/>
    <w:rsid w:val="00B83920"/>
    <w:rsid w:val="00B83FF8"/>
    <w:rsid w:val="00B8500C"/>
    <w:rsid w:val="00B851B8"/>
    <w:rsid w:val="00B85AC7"/>
    <w:rsid w:val="00B90A7E"/>
    <w:rsid w:val="00B914DA"/>
    <w:rsid w:val="00B9247B"/>
    <w:rsid w:val="00B928C6"/>
    <w:rsid w:val="00B93082"/>
    <w:rsid w:val="00B936B9"/>
    <w:rsid w:val="00B9458A"/>
    <w:rsid w:val="00B94641"/>
    <w:rsid w:val="00B94858"/>
    <w:rsid w:val="00B94956"/>
    <w:rsid w:val="00B94B98"/>
    <w:rsid w:val="00B95199"/>
    <w:rsid w:val="00B9642E"/>
    <w:rsid w:val="00B96447"/>
    <w:rsid w:val="00B96801"/>
    <w:rsid w:val="00B973D7"/>
    <w:rsid w:val="00B97717"/>
    <w:rsid w:val="00B97DFA"/>
    <w:rsid w:val="00BA1598"/>
    <w:rsid w:val="00BA17B7"/>
    <w:rsid w:val="00BA1D96"/>
    <w:rsid w:val="00BA2621"/>
    <w:rsid w:val="00BA3AC4"/>
    <w:rsid w:val="00BA5581"/>
    <w:rsid w:val="00BA5789"/>
    <w:rsid w:val="00BA5987"/>
    <w:rsid w:val="00BA5F68"/>
    <w:rsid w:val="00BA6BD8"/>
    <w:rsid w:val="00BA6EEB"/>
    <w:rsid w:val="00BB0159"/>
    <w:rsid w:val="00BB0CAF"/>
    <w:rsid w:val="00BB1607"/>
    <w:rsid w:val="00BB192A"/>
    <w:rsid w:val="00BB226F"/>
    <w:rsid w:val="00BB2532"/>
    <w:rsid w:val="00BB273F"/>
    <w:rsid w:val="00BB3120"/>
    <w:rsid w:val="00BB3819"/>
    <w:rsid w:val="00BB3A7E"/>
    <w:rsid w:val="00BB3BC1"/>
    <w:rsid w:val="00BB45AC"/>
    <w:rsid w:val="00BB4683"/>
    <w:rsid w:val="00BB4918"/>
    <w:rsid w:val="00BB5539"/>
    <w:rsid w:val="00BB5C90"/>
    <w:rsid w:val="00BB5D91"/>
    <w:rsid w:val="00BB5FCB"/>
    <w:rsid w:val="00BC025C"/>
    <w:rsid w:val="00BC05E3"/>
    <w:rsid w:val="00BC1053"/>
    <w:rsid w:val="00BC1EF3"/>
    <w:rsid w:val="00BC200A"/>
    <w:rsid w:val="00BC2138"/>
    <w:rsid w:val="00BC2766"/>
    <w:rsid w:val="00BC3BEA"/>
    <w:rsid w:val="00BC3FCC"/>
    <w:rsid w:val="00BC411A"/>
    <w:rsid w:val="00BC4B14"/>
    <w:rsid w:val="00BC5499"/>
    <w:rsid w:val="00BC5C08"/>
    <w:rsid w:val="00BC643C"/>
    <w:rsid w:val="00BC7AD9"/>
    <w:rsid w:val="00BC7FBE"/>
    <w:rsid w:val="00BD045E"/>
    <w:rsid w:val="00BD0E2C"/>
    <w:rsid w:val="00BD1A7F"/>
    <w:rsid w:val="00BD1BDF"/>
    <w:rsid w:val="00BD267E"/>
    <w:rsid w:val="00BD2BF2"/>
    <w:rsid w:val="00BD303C"/>
    <w:rsid w:val="00BD36D6"/>
    <w:rsid w:val="00BD3A6B"/>
    <w:rsid w:val="00BD3CB6"/>
    <w:rsid w:val="00BD46E2"/>
    <w:rsid w:val="00BD49DD"/>
    <w:rsid w:val="00BD5222"/>
    <w:rsid w:val="00BD568F"/>
    <w:rsid w:val="00BD56F7"/>
    <w:rsid w:val="00BD6135"/>
    <w:rsid w:val="00BD6316"/>
    <w:rsid w:val="00BD65A9"/>
    <w:rsid w:val="00BD69B1"/>
    <w:rsid w:val="00BD6C8C"/>
    <w:rsid w:val="00BD6F0D"/>
    <w:rsid w:val="00BD71B6"/>
    <w:rsid w:val="00BD7718"/>
    <w:rsid w:val="00BD7F14"/>
    <w:rsid w:val="00BE0439"/>
    <w:rsid w:val="00BE09BB"/>
    <w:rsid w:val="00BE0AE0"/>
    <w:rsid w:val="00BE1348"/>
    <w:rsid w:val="00BE1734"/>
    <w:rsid w:val="00BE1D22"/>
    <w:rsid w:val="00BE1D80"/>
    <w:rsid w:val="00BE22B1"/>
    <w:rsid w:val="00BE245B"/>
    <w:rsid w:val="00BE2EEB"/>
    <w:rsid w:val="00BE3A6B"/>
    <w:rsid w:val="00BE4BE0"/>
    <w:rsid w:val="00BE4C9D"/>
    <w:rsid w:val="00BE5155"/>
    <w:rsid w:val="00BE537F"/>
    <w:rsid w:val="00BE6281"/>
    <w:rsid w:val="00BE62B5"/>
    <w:rsid w:val="00BE6598"/>
    <w:rsid w:val="00BE7286"/>
    <w:rsid w:val="00BE736D"/>
    <w:rsid w:val="00BE7C8F"/>
    <w:rsid w:val="00BF0074"/>
    <w:rsid w:val="00BF01D8"/>
    <w:rsid w:val="00BF145F"/>
    <w:rsid w:val="00BF1CD9"/>
    <w:rsid w:val="00BF2536"/>
    <w:rsid w:val="00BF2B3F"/>
    <w:rsid w:val="00BF2E85"/>
    <w:rsid w:val="00BF3506"/>
    <w:rsid w:val="00BF371D"/>
    <w:rsid w:val="00BF3C03"/>
    <w:rsid w:val="00BF48E4"/>
    <w:rsid w:val="00BF4C96"/>
    <w:rsid w:val="00BF4DB4"/>
    <w:rsid w:val="00BF515A"/>
    <w:rsid w:val="00BF5326"/>
    <w:rsid w:val="00BF58A7"/>
    <w:rsid w:val="00BF5AF4"/>
    <w:rsid w:val="00BF6091"/>
    <w:rsid w:val="00BF6650"/>
    <w:rsid w:val="00BF66CA"/>
    <w:rsid w:val="00BF6933"/>
    <w:rsid w:val="00BF6B82"/>
    <w:rsid w:val="00BF70C8"/>
    <w:rsid w:val="00BF78D1"/>
    <w:rsid w:val="00C00499"/>
    <w:rsid w:val="00C01192"/>
    <w:rsid w:val="00C0129F"/>
    <w:rsid w:val="00C01BF4"/>
    <w:rsid w:val="00C022F6"/>
    <w:rsid w:val="00C02498"/>
    <w:rsid w:val="00C02D7A"/>
    <w:rsid w:val="00C02EBA"/>
    <w:rsid w:val="00C03541"/>
    <w:rsid w:val="00C036F1"/>
    <w:rsid w:val="00C039A9"/>
    <w:rsid w:val="00C0425C"/>
    <w:rsid w:val="00C0447B"/>
    <w:rsid w:val="00C04C90"/>
    <w:rsid w:val="00C05686"/>
    <w:rsid w:val="00C05FB6"/>
    <w:rsid w:val="00C0620A"/>
    <w:rsid w:val="00C07BFE"/>
    <w:rsid w:val="00C103FE"/>
    <w:rsid w:val="00C10CB2"/>
    <w:rsid w:val="00C11410"/>
    <w:rsid w:val="00C1167E"/>
    <w:rsid w:val="00C1335E"/>
    <w:rsid w:val="00C13388"/>
    <w:rsid w:val="00C1383F"/>
    <w:rsid w:val="00C14676"/>
    <w:rsid w:val="00C14F4E"/>
    <w:rsid w:val="00C15362"/>
    <w:rsid w:val="00C15980"/>
    <w:rsid w:val="00C15A7A"/>
    <w:rsid w:val="00C16540"/>
    <w:rsid w:val="00C167B6"/>
    <w:rsid w:val="00C16EAB"/>
    <w:rsid w:val="00C172D2"/>
    <w:rsid w:val="00C20B36"/>
    <w:rsid w:val="00C20B9E"/>
    <w:rsid w:val="00C210B6"/>
    <w:rsid w:val="00C22068"/>
    <w:rsid w:val="00C22E66"/>
    <w:rsid w:val="00C2456D"/>
    <w:rsid w:val="00C24756"/>
    <w:rsid w:val="00C251D4"/>
    <w:rsid w:val="00C26994"/>
    <w:rsid w:val="00C27C74"/>
    <w:rsid w:val="00C30DD8"/>
    <w:rsid w:val="00C30E08"/>
    <w:rsid w:val="00C317FD"/>
    <w:rsid w:val="00C31CFC"/>
    <w:rsid w:val="00C31E1D"/>
    <w:rsid w:val="00C32B97"/>
    <w:rsid w:val="00C32C2D"/>
    <w:rsid w:val="00C32EC5"/>
    <w:rsid w:val="00C33290"/>
    <w:rsid w:val="00C335B3"/>
    <w:rsid w:val="00C34204"/>
    <w:rsid w:val="00C3473E"/>
    <w:rsid w:val="00C34C65"/>
    <w:rsid w:val="00C3589B"/>
    <w:rsid w:val="00C36147"/>
    <w:rsid w:val="00C36230"/>
    <w:rsid w:val="00C36A08"/>
    <w:rsid w:val="00C37142"/>
    <w:rsid w:val="00C3751C"/>
    <w:rsid w:val="00C3768A"/>
    <w:rsid w:val="00C37753"/>
    <w:rsid w:val="00C377B2"/>
    <w:rsid w:val="00C37BD3"/>
    <w:rsid w:val="00C404AA"/>
    <w:rsid w:val="00C41064"/>
    <w:rsid w:val="00C4108D"/>
    <w:rsid w:val="00C41968"/>
    <w:rsid w:val="00C41B7C"/>
    <w:rsid w:val="00C4213E"/>
    <w:rsid w:val="00C42F8E"/>
    <w:rsid w:val="00C430DD"/>
    <w:rsid w:val="00C431ED"/>
    <w:rsid w:val="00C43303"/>
    <w:rsid w:val="00C4336B"/>
    <w:rsid w:val="00C4480F"/>
    <w:rsid w:val="00C449EE"/>
    <w:rsid w:val="00C44C6E"/>
    <w:rsid w:val="00C4523D"/>
    <w:rsid w:val="00C45404"/>
    <w:rsid w:val="00C45777"/>
    <w:rsid w:val="00C4649C"/>
    <w:rsid w:val="00C46F5B"/>
    <w:rsid w:val="00C478D2"/>
    <w:rsid w:val="00C503DD"/>
    <w:rsid w:val="00C510B8"/>
    <w:rsid w:val="00C52940"/>
    <w:rsid w:val="00C52968"/>
    <w:rsid w:val="00C53034"/>
    <w:rsid w:val="00C53F7D"/>
    <w:rsid w:val="00C54355"/>
    <w:rsid w:val="00C54A3B"/>
    <w:rsid w:val="00C54D96"/>
    <w:rsid w:val="00C55534"/>
    <w:rsid w:val="00C572D4"/>
    <w:rsid w:val="00C57432"/>
    <w:rsid w:val="00C61010"/>
    <w:rsid w:val="00C616D1"/>
    <w:rsid w:val="00C6199E"/>
    <w:rsid w:val="00C62611"/>
    <w:rsid w:val="00C62A5C"/>
    <w:rsid w:val="00C6360E"/>
    <w:rsid w:val="00C63B55"/>
    <w:rsid w:val="00C653D1"/>
    <w:rsid w:val="00C6577E"/>
    <w:rsid w:val="00C65B78"/>
    <w:rsid w:val="00C66A45"/>
    <w:rsid w:val="00C67136"/>
    <w:rsid w:val="00C674EF"/>
    <w:rsid w:val="00C70467"/>
    <w:rsid w:val="00C71C0C"/>
    <w:rsid w:val="00C722FD"/>
    <w:rsid w:val="00C725A6"/>
    <w:rsid w:val="00C756BA"/>
    <w:rsid w:val="00C770A1"/>
    <w:rsid w:val="00C77424"/>
    <w:rsid w:val="00C806E0"/>
    <w:rsid w:val="00C80DCD"/>
    <w:rsid w:val="00C80EDF"/>
    <w:rsid w:val="00C81D15"/>
    <w:rsid w:val="00C831AA"/>
    <w:rsid w:val="00C84502"/>
    <w:rsid w:val="00C85837"/>
    <w:rsid w:val="00C858A2"/>
    <w:rsid w:val="00C85973"/>
    <w:rsid w:val="00C85F78"/>
    <w:rsid w:val="00C86294"/>
    <w:rsid w:val="00C86295"/>
    <w:rsid w:val="00C86880"/>
    <w:rsid w:val="00C86CAC"/>
    <w:rsid w:val="00C870B0"/>
    <w:rsid w:val="00C8715D"/>
    <w:rsid w:val="00C871ED"/>
    <w:rsid w:val="00C903D4"/>
    <w:rsid w:val="00C90BAC"/>
    <w:rsid w:val="00C910D6"/>
    <w:rsid w:val="00C91F0C"/>
    <w:rsid w:val="00C92A22"/>
    <w:rsid w:val="00C932E2"/>
    <w:rsid w:val="00C93A40"/>
    <w:rsid w:val="00C93BA8"/>
    <w:rsid w:val="00C94283"/>
    <w:rsid w:val="00C94C9D"/>
    <w:rsid w:val="00C964D4"/>
    <w:rsid w:val="00C97620"/>
    <w:rsid w:val="00CA0117"/>
    <w:rsid w:val="00CA2F34"/>
    <w:rsid w:val="00CA3651"/>
    <w:rsid w:val="00CA39B4"/>
    <w:rsid w:val="00CA3E17"/>
    <w:rsid w:val="00CA4880"/>
    <w:rsid w:val="00CA4E7A"/>
    <w:rsid w:val="00CA575E"/>
    <w:rsid w:val="00CA5D00"/>
    <w:rsid w:val="00CA5D39"/>
    <w:rsid w:val="00CA5FAD"/>
    <w:rsid w:val="00CA69EF"/>
    <w:rsid w:val="00CA77A9"/>
    <w:rsid w:val="00CB0EEA"/>
    <w:rsid w:val="00CB0FAA"/>
    <w:rsid w:val="00CB11AF"/>
    <w:rsid w:val="00CB1221"/>
    <w:rsid w:val="00CB1819"/>
    <w:rsid w:val="00CB1CFE"/>
    <w:rsid w:val="00CB1E10"/>
    <w:rsid w:val="00CB2161"/>
    <w:rsid w:val="00CB2EB3"/>
    <w:rsid w:val="00CB42AE"/>
    <w:rsid w:val="00CB4AF1"/>
    <w:rsid w:val="00CB4CBE"/>
    <w:rsid w:val="00CB50F0"/>
    <w:rsid w:val="00CB517A"/>
    <w:rsid w:val="00CB549D"/>
    <w:rsid w:val="00CB612B"/>
    <w:rsid w:val="00CB6262"/>
    <w:rsid w:val="00CB7E20"/>
    <w:rsid w:val="00CC019C"/>
    <w:rsid w:val="00CC0A94"/>
    <w:rsid w:val="00CC171C"/>
    <w:rsid w:val="00CC182E"/>
    <w:rsid w:val="00CC199B"/>
    <w:rsid w:val="00CC22AD"/>
    <w:rsid w:val="00CC2EEC"/>
    <w:rsid w:val="00CC3335"/>
    <w:rsid w:val="00CC347D"/>
    <w:rsid w:val="00CC3A89"/>
    <w:rsid w:val="00CC3F62"/>
    <w:rsid w:val="00CC42ED"/>
    <w:rsid w:val="00CC459B"/>
    <w:rsid w:val="00CC4D0C"/>
    <w:rsid w:val="00CC4F68"/>
    <w:rsid w:val="00CC57AC"/>
    <w:rsid w:val="00CC58D9"/>
    <w:rsid w:val="00CC6251"/>
    <w:rsid w:val="00CC677C"/>
    <w:rsid w:val="00CC7054"/>
    <w:rsid w:val="00CC7618"/>
    <w:rsid w:val="00CC786F"/>
    <w:rsid w:val="00CC7F2C"/>
    <w:rsid w:val="00CD0129"/>
    <w:rsid w:val="00CD0181"/>
    <w:rsid w:val="00CD0F5C"/>
    <w:rsid w:val="00CD2915"/>
    <w:rsid w:val="00CD2F82"/>
    <w:rsid w:val="00CD4541"/>
    <w:rsid w:val="00CD6186"/>
    <w:rsid w:val="00CD6E5D"/>
    <w:rsid w:val="00CD7468"/>
    <w:rsid w:val="00CE1163"/>
    <w:rsid w:val="00CE260D"/>
    <w:rsid w:val="00CE2B12"/>
    <w:rsid w:val="00CE3F6D"/>
    <w:rsid w:val="00CE4995"/>
    <w:rsid w:val="00CE52DB"/>
    <w:rsid w:val="00CE6B8B"/>
    <w:rsid w:val="00CE6BC7"/>
    <w:rsid w:val="00CE6BD0"/>
    <w:rsid w:val="00CE7967"/>
    <w:rsid w:val="00CF1A6B"/>
    <w:rsid w:val="00CF2792"/>
    <w:rsid w:val="00CF3F14"/>
    <w:rsid w:val="00CF4256"/>
    <w:rsid w:val="00CF56FA"/>
    <w:rsid w:val="00CF6773"/>
    <w:rsid w:val="00CF78F7"/>
    <w:rsid w:val="00CF7988"/>
    <w:rsid w:val="00CF7DF7"/>
    <w:rsid w:val="00D0055B"/>
    <w:rsid w:val="00D005DC"/>
    <w:rsid w:val="00D010DB"/>
    <w:rsid w:val="00D0129D"/>
    <w:rsid w:val="00D012C3"/>
    <w:rsid w:val="00D028D9"/>
    <w:rsid w:val="00D0298F"/>
    <w:rsid w:val="00D030A8"/>
    <w:rsid w:val="00D03FAE"/>
    <w:rsid w:val="00D047B7"/>
    <w:rsid w:val="00D04D4A"/>
    <w:rsid w:val="00D05BFE"/>
    <w:rsid w:val="00D06145"/>
    <w:rsid w:val="00D06693"/>
    <w:rsid w:val="00D0737E"/>
    <w:rsid w:val="00D10ED0"/>
    <w:rsid w:val="00D1184A"/>
    <w:rsid w:val="00D11F64"/>
    <w:rsid w:val="00D138AE"/>
    <w:rsid w:val="00D15AF4"/>
    <w:rsid w:val="00D15E54"/>
    <w:rsid w:val="00D16347"/>
    <w:rsid w:val="00D16590"/>
    <w:rsid w:val="00D1699E"/>
    <w:rsid w:val="00D169FC"/>
    <w:rsid w:val="00D179B1"/>
    <w:rsid w:val="00D17E5F"/>
    <w:rsid w:val="00D20698"/>
    <w:rsid w:val="00D211CA"/>
    <w:rsid w:val="00D213A8"/>
    <w:rsid w:val="00D21BC0"/>
    <w:rsid w:val="00D233DC"/>
    <w:rsid w:val="00D234E9"/>
    <w:rsid w:val="00D23793"/>
    <w:rsid w:val="00D23F0E"/>
    <w:rsid w:val="00D2480E"/>
    <w:rsid w:val="00D251BA"/>
    <w:rsid w:val="00D257EC"/>
    <w:rsid w:val="00D2616D"/>
    <w:rsid w:val="00D267B7"/>
    <w:rsid w:val="00D26C09"/>
    <w:rsid w:val="00D26DE6"/>
    <w:rsid w:val="00D26E44"/>
    <w:rsid w:val="00D271CD"/>
    <w:rsid w:val="00D27793"/>
    <w:rsid w:val="00D30350"/>
    <w:rsid w:val="00D30AAA"/>
    <w:rsid w:val="00D30E27"/>
    <w:rsid w:val="00D30F76"/>
    <w:rsid w:val="00D31863"/>
    <w:rsid w:val="00D31F60"/>
    <w:rsid w:val="00D32A82"/>
    <w:rsid w:val="00D3319D"/>
    <w:rsid w:val="00D3373D"/>
    <w:rsid w:val="00D352EF"/>
    <w:rsid w:val="00D361DA"/>
    <w:rsid w:val="00D36A03"/>
    <w:rsid w:val="00D377BA"/>
    <w:rsid w:val="00D4006E"/>
    <w:rsid w:val="00D40766"/>
    <w:rsid w:val="00D409BF"/>
    <w:rsid w:val="00D413B5"/>
    <w:rsid w:val="00D41B66"/>
    <w:rsid w:val="00D41CAA"/>
    <w:rsid w:val="00D41D55"/>
    <w:rsid w:val="00D42128"/>
    <w:rsid w:val="00D445E9"/>
    <w:rsid w:val="00D44C29"/>
    <w:rsid w:val="00D464EA"/>
    <w:rsid w:val="00D469B5"/>
    <w:rsid w:val="00D46AF5"/>
    <w:rsid w:val="00D47373"/>
    <w:rsid w:val="00D50275"/>
    <w:rsid w:val="00D50533"/>
    <w:rsid w:val="00D50765"/>
    <w:rsid w:val="00D50C31"/>
    <w:rsid w:val="00D50EDA"/>
    <w:rsid w:val="00D51099"/>
    <w:rsid w:val="00D51FB1"/>
    <w:rsid w:val="00D520B0"/>
    <w:rsid w:val="00D5214E"/>
    <w:rsid w:val="00D52B78"/>
    <w:rsid w:val="00D5392D"/>
    <w:rsid w:val="00D539C9"/>
    <w:rsid w:val="00D567F6"/>
    <w:rsid w:val="00D56D03"/>
    <w:rsid w:val="00D57C14"/>
    <w:rsid w:val="00D57F0C"/>
    <w:rsid w:val="00D57F36"/>
    <w:rsid w:val="00D6011B"/>
    <w:rsid w:val="00D60EAB"/>
    <w:rsid w:val="00D612FC"/>
    <w:rsid w:val="00D613E2"/>
    <w:rsid w:val="00D6246B"/>
    <w:rsid w:val="00D62498"/>
    <w:rsid w:val="00D625E3"/>
    <w:rsid w:val="00D62774"/>
    <w:rsid w:val="00D62E1E"/>
    <w:rsid w:val="00D6348A"/>
    <w:rsid w:val="00D64689"/>
    <w:rsid w:val="00D64A2F"/>
    <w:rsid w:val="00D64DF5"/>
    <w:rsid w:val="00D66A46"/>
    <w:rsid w:val="00D67AE7"/>
    <w:rsid w:val="00D67C28"/>
    <w:rsid w:val="00D67DA0"/>
    <w:rsid w:val="00D67F1D"/>
    <w:rsid w:val="00D70170"/>
    <w:rsid w:val="00D703C9"/>
    <w:rsid w:val="00D737A8"/>
    <w:rsid w:val="00D740BA"/>
    <w:rsid w:val="00D75B63"/>
    <w:rsid w:val="00D765F7"/>
    <w:rsid w:val="00D76A3E"/>
    <w:rsid w:val="00D76D30"/>
    <w:rsid w:val="00D76D85"/>
    <w:rsid w:val="00D774C8"/>
    <w:rsid w:val="00D776F9"/>
    <w:rsid w:val="00D8002B"/>
    <w:rsid w:val="00D80418"/>
    <w:rsid w:val="00D8150E"/>
    <w:rsid w:val="00D81881"/>
    <w:rsid w:val="00D81F7F"/>
    <w:rsid w:val="00D8209D"/>
    <w:rsid w:val="00D8209E"/>
    <w:rsid w:val="00D83E71"/>
    <w:rsid w:val="00D8426E"/>
    <w:rsid w:val="00D851A5"/>
    <w:rsid w:val="00D852D1"/>
    <w:rsid w:val="00D855F9"/>
    <w:rsid w:val="00D87097"/>
    <w:rsid w:val="00D87A57"/>
    <w:rsid w:val="00D87D8F"/>
    <w:rsid w:val="00D903B2"/>
    <w:rsid w:val="00D9041A"/>
    <w:rsid w:val="00D90793"/>
    <w:rsid w:val="00D90AA5"/>
    <w:rsid w:val="00D90C7E"/>
    <w:rsid w:val="00D9162B"/>
    <w:rsid w:val="00D9171A"/>
    <w:rsid w:val="00D91E31"/>
    <w:rsid w:val="00D91FD9"/>
    <w:rsid w:val="00D92088"/>
    <w:rsid w:val="00D92E53"/>
    <w:rsid w:val="00D93497"/>
    <w:rsid w:val="00D93807"/>
    <w:rsid w:val="00D93A8F"/>
    <w:rsid w:val="00D9425A"/>
    <w:rsid w:val="00D945EF"/>
    <w:rsid w:val="00D962E8"/>
    <w:rsid w:val="00D96457"/>
    <w:rsid w:val="00D9674F"/>
    <w:rsid w:val="00D973E2"/>
    <w:rsid w:val="00D97A72"/>
    <w:rsid w:val="00D97FDB"/>
    <w:rsid w:val="00DA05BB"/>
    <w:rsid w:val="00DA1881"/>
    <w:rsid w:val="00DA1DBC"/>
    <w:rsid w:val="00DA221F"/>
    <w:rsid w:val="00DA33FE"/>
    <w:rsid w:val="00DA3A5B"/>
    <w:rsid w:val="00DA3AB0"/>
    <w:rsid w:val="00DA4F2D"/>
    <w:rsid w:val="00DA590C"/>
    <w:rsid w:val="00DA5AEF"/>
    <w:rsid w:val="00DA5BDB"/>
    <w:rsid w:val="00DA5D54"/>
    <w:rsid w:val="00DA5F35"/>
    <w:rsid w:val="00DA61A1"/>
    <w:rsid w:val="00DA6568"/>
    <w:rsid w:val="00DA6C1F"/>
    <w:rsid w:val="00DA6C48"/>
    <w:rsid w:val="00DA753C"/>
    <w:rsid w:val="00DA78B4"/>
    <w:rsid w:val="00DA7E59"/>
    <w:rsid w:val="00DB0614"/>
    <w:rsid w:val="00DB126E"/>
    <w:rsid w:val="00DB1429"/>
    <w:rsid w:val="00DB2216"/>
    <w:rsid w:val="00DB23CC"/>
    <w:rsid w:val="00DB27D2"/>
    <w:rsid w:val="00DB2A60"/>
    <w:rsid w:val="00DB2AF8"/>
    <w:rsid w:val="00DB3053"/>
    <w:rsid w:val="00DB451E"/>
    <w:rsid w:val="00DB4BCF"/>
    <w:rsid w:val="00DB4D8A"/>
    <w:rsid w:val="00DB626F"/>
    <w:rsid w:val="00DB62F2"/>
    <w:rsid w:val="00DB65F4"/>
    <w:rsid w:val="00DB67C2"/>
    <w:rsid w:val="00DB69DD"/>
    <w:rsid w:val="00DB7B20"/>
    <w:rsid w:val="00DC0598"/>
    <w:rsid w:val="00DC076F"/>
    <w:rsid w:val="00DC078B"/>
    <w:rsid w:val="00DC16BD"/>
    <w:rsid w:val="00DC269F"/>
    <w:rsid w:val="00DC2B09"/>
    <w:rsid w:val="00DC2FA5"/>
    <w:rsid w:val="00DC34A5"/>
    <w:rsid w:val="00DC3624"/>
    <w:rsid w:val="00DC369F"/>
    <w:rsid w:val="00DC3B2D"/>
    <w:rsid w:val="00DC3CCE"/>
    <w:rsid w:val="00DC45A3"/>
    <w:rsid w:val="00DC45EF"/>
    <w:rsid w:val="00DC467F"/>
    <w:rsid w:val="00DC5E45"/>
    <w:rsid w:val="00DC5F21"/>
    <w:rsid w:val="00DC6FFB"/>
    <w:rsid w:val="00DC7CAB"/>
    <w:rsid w:val="00DD0087"/>
    <w:rsid w:val="00DD0663"/>
    <w:rsid w:val="00DD078A"/>
    <w:rsid w:val="00DD080B"/>
    <w:rsid w:val="00DD0BBC"/>
    <w:rsid w:val="00DD0E33"/>
    <w:rsid w:val="00DD1554"/>
    <w:rsid w:val="00DD330D"/>
    <w:rsid w:val="00DD36A7"/>
    <w:rsid w:val="00DD7B5B"/>
    <w:rsid w:val="00DD7EB0"/>
    <w:rsid w:val="00DD7ED5"/>
    <w:rsid w:val="00DE0C8E"/>
    <w:rsid w:val="00DE0DEE"/>
    <w:rsid w:val="00DE0EE7"/>
    <w:rsid w:val="00DE1DFF"/>
    <w:rsid w:val="00DE34FE"/>
    <w:rsid w:val="00DE3AE2"/>
    <w:rsid w:val="00DE420E"/>
    <w:rsid w:val="00DE5634"/>
    <w:rsid w:val="00DE569A"/>
    <w:rsid w:val="00DE6675"/>
    <w:rsid w:val="00DE683E"/>
    <w:rsid w:val="00DE6FC4"/>
    <w:rsid w:val="00DF0E0A"/>
    <w:rsid w:val="00DF1BDA"/>
    <w:rsid w:val="00DF249D"/>
    <w:rsid w:val="00DF27A1"/>
    <w:rsid w:val="00DF2C20"/>
    <w:rsid w:val="00DF4102"/>
    <w:rsid w:val="00DF42A1"/>
    <w:rsid w:val="00DF4607"/>
    <w:rsid w:val="00DF48C4"/>
    <w:rsid w:val="00DF4B53"/>
    <w:rsid w:val="00DF50F9"/>
    <w:rsid w:val="00DF5670"/>
    <w:rsid w:val="00DF782D"/>
    <w:rsid w:val="00DF7910"/>
    <w:rsid w:val="00DF7B0B"/>
    <w:rsid w:val="00DF7D15"/>
    <w:rsid w:val="00DF7FB2"/>
    <w:rsid w:val="00DF7FE3"/>
    <w:rsid w:val="00E00607"/>
    <w:rsid w:val="00E015BF"/>
    <w:rsid w:val="00E02416"/>
    <w:rsid w:val="00E029B2"/>
    <w:rsid w:val="00E0429E"/>
    <w:rsid w:val="00E05B58"/>
    <w:rsid w:val="00E05D63"/>
    <w:rsid w:val="00E05DDD"/>
    <w:rsid w:val="00E068C5"/>
    <w:rsid w:val="00E06E9E"/>
    <w:rsid w:val="00E1071C"/>
    <w:rsid w:val="00E107AC"/>
    <w:rsid w:val="00E10F39"/>
    <w:rsid w:val="00E12668"/>
    <w:rsid w:val="00E126D2"/>
    <w:rsid w:val="00E12DCB"/>
    <w:rsid w:val="00E12F74"/>
    <w:rsid w:val="00E151B0"/>
    <w:rsid w:val="00E15B55"/>
    <w:rsid w:val="00E1690F"/>
    <w:rsid w:val="00E16E32"/>
    <w:rsid w:val="00E17939"/>
    <w:rsid w:val="00E17D90"/>
    <w:rsid w:val="00E20CB7"/>
    <w:rsid w:val="00E21291"/>
    <w:rsid w:val="00E21857"/>
    <w:rsid w:val="00E21F84"/>
    <w:rsid w:val="00E22AD9"/>
    <w:rsid w:val="00E22F9C"/>
    <w:rsid w:val="00E23017"/>
    <w:rsid w:val="00E23C5E"/>
    <w:rsid w:val="00E24526"/>
    <w:rsid w:val="00E268CB"/>
    <w:rsid w:val="00E26A29"/>
    <w:rsid w:val="00E27A2E"/>
    <w:rsid w:val="00E27B84"/>
    <w:rsid w:val="00E30452"/>
    <w:rsid w:val="00E325BD"/>
    <w:rsid w:val="00E326DB"/>
    <w:rsid w:val="00E3270C"/>
    <w:rsid w:val="00E329F2"/>
    <w:rsid w:val="00E32CCB"/>
    <w:rsid w:val="00E33092"/>
    <w:rsid w:val="00E33753"/>
    <w:rsid w:val="00E33A53"/>
    <w:rsid w:val="00E34004"/>
    <w:rsid w:val="00E350CE"/>
    <w:rsid w:val="00E377CC"/>
    <w:rsid w:val="00E379E0"/>
    <w:rsid w:val="00E37E4C"/>
    <w:rsid w:val="00E400C2"/>
    <w:rsid w:val="00E4016A"/>
    <w:rsid w:val="00E4081D"/>
    <w:rsid w:val="00E40BD1"/>
    <w:rsid w:val="00E40D59"/>
    <w:rsid w:val="00E411FA"/>
    <w:rsid w:val="00E4258D"/>
    <w:rsid w:val="00E43CF9"/>
    <w:rsid w:val="00E4449D"/>
    <w:rsid w:val="00E459C0"/>
    <w:rsid w:val="00E45B90"/>
    <w:rsid w:val="00E461A0"/>
    <w:rsid w:val="00E466F1"/>
    <w:rsid w:val="00E46771"/>
    <w:rsid w:val="00E46A9A"/>
    <w:rsid w:val="00E46D9C"/>
    <w:rsid w:val="00E46E57"/>
    <w:rsid w:val="00E4754F"/>
    <w:rsid w:val="00E47853"/>
    <w:rsid w:val="00E50326"/>
    <w:rsid w:val="00E50827"/>
    <w:rsid w:val="00E52378"/>
    <w:rsid w:val="00E524A2"/>
    <w:rsid w:val="00E5305C"/>
    <w:rsid w:val="00E534D5"/>
    <w:rsid w:val="00E53DDD"/>
    <w:rsid w:val="00E546BD"/>
    <w:rsid w:val="00E55060"/>
    <w:rsid w:val="00E552A1"/>
    <w:rsid w:val="00E553BE"/>
    <w:rsid w:val="00E569C2"/>
    <w:rsid w:val="00E569E3"/>
    <w:rsid w:val="00E56A01"/>
    <w:rsid w:val="00E60760"/>
    <w:rsid w:val="00E615D7"/>
    <w:rsid w:val="00E619CD"/>
    <w:rsid w:val="00E63254"/>
    <w:rsid w:val="00E637C3"/>
    <w:rsid w:val="00E64DF8"/>
    <w:rsid w:val="00E64ED4"/>
    <w:rsid w:val="00E65576"/>
    <w:rsid w:val="00E6605C"/>
    <w:rsid w:val="00E675FE"/>
    <w:rsid w:val="00E701C8"/>
    <w:rsid w:val="00E7084C"/>
    <w:rsid w:val="00E71182"/>
    <w:rsid w:val="00E71659"/>
    <w:rsid w:val="00E71A3B"/>
    <w:rsid w:val="00E71A7D"/>
    <w:rsid w:val="00E72CC0"/>
    <w:rsid w:val="00E7340F"/>
    <w:rsid w:val="00E7442E"/>
    <w:rsid w:val="00E74F1B"/>
    <w:rsid w:val="00E759AB"/>
    <w:rsid w:val="00E761A9"/>
    <w:rsid w:val="00E761C7"/>
    <w:rsid w:val="00E76942"/>
    <w:rsid w:val="00E7727D"/>
    <w:rsid w:val="00E808CB"/>
    <w:rsid w:val="00E808D7"/>
    <w:rsid w:val="00E8237C"/>
    <w:rsid w:val="00E8268B"/>
    <w:rsid w:val="00E83693"/>
    <w:rsid w:val="00E839ED"/>
    <w:rsid w:val="00E85593"/>
    <w:rsid w:val="00E85DD4"/>
    <w:rsid w:val="00E85EF3"/>
    <w:rsid w:val="00E85FAB"/>
    <w:rsid w:val="00E86135"/>
    <w:rsid w:val="00E86166"/>
    <w:rsid w:val="00E862E7"/>
    <w:rsid w:val="00E8745C"/>
    <w:rsid w:val="00E87AB3"/>
    <w:rsid w:val="00E87CFF"/>
    <w:rsid w:val="00E90D8D"/>
    <w:rsid w:val="00E91F6E"/>
    <w:rsid w:val="00E92771"/>
    <w:rsid w:val="00E93002"/>
    <w:rsid w:val="00E93BC7"/>
    <w:rsid w:val="00E949C9"/>
    <w:rsid w:val="00E94B4D"/>
    <w:rsid w:val="00E94F8B"/>
    <w:rsid w:val="00E95583"/>
    <w:rsid w:val="00E95688"/>
    <w:rsid w:val="00E960CA"/>
    <w:rsid w:val="00E96482"/>
    <w:rsid w:val="00E97070"/>
    <w:rsid w:val="00E970C7"/>
    <w:rsid w:val="00E97A50"/>
    <w:rsid w:val="00EA0E10"/>
    <w:rsid w:val="00EA2420"/>
    <w:rsid w:val="00EA2BEE"/>
    <w:rsid w:val="00EA30E2"/>
    <w:rsid w:val="00EA3929"/>
    <w:rsid w:val="00EA43EC"/>
    <w:rsid w:val="00EA46B3"/>
    <w:rsid w:val="00EA4B09"/>
    <w:rsid w:val="00EA4B2A"/>
    <w:rsid w:val="00EA5A1C"/>
    <w:rsid w:val="00EA5D86"/>
    <w:rsid w:val="00EA6B87"/>
    <w:rsid w:val="00EA7172"/>
    <w:rsid w:val="00EA74F2"/>
    <w:rsid w:val="00EA7DDC"/>
    <w:rsid w:val="00EB090E"/>
    <w:rsid w:val="00EB1965"/>
    <w:rsid w:val="00EB284D"/>
    <w:rsid w:val="00EB2D69"/>
    <w:rsid w:val="00EB30BF"/>
    <w:rsid w:val="00EB3EDC"/>
    <w:rsid w:val="00EB40D9"/>
    <w:rsid w:val="00EB42A3"/>
    <w:rsid w:val="00EB4B1F"/>
    <w:rsid w:val="00EB53DB"/>
    <w:rsid w:val="00EB5C8C"/>
    <w:rsid w:val="00EB6D84"/>
    <w:rsid w:val="00EB77A0"/>
    <w:rsid w:val="00EC0038"/>
    <w:rsid w:val="00EC1182"/>
    <w:rsid w:val="00EC17B0"/>
    <w:rsid w:val="00EC24BD"/>
    <w:rsid w:val="00EC31B5"/>
    <w:rsid w:val="00EC42D8"/>
    <w:rsid w:val="00EC436B"/>
    <w:rsid w:val="00EC64B1"/>
    <w:rsid w:val="00EC67AA"/>
    <w:rsid w:val="00EC7B9B"/>
    <w:rsid w:val="00ED014A"/>
    <w:rsid w:val="00ED0F13"/>
    <w:rsid w:val="00ED2595"/>
    <w:rsid w:val="00ED25F6"/>
    <w:rsid w:val="00ED2E60"/>
    <w:rsid w:val="00ED4228"/>
    <w:rsid w:val="00ED45EA"/>
    <w:rsid w:val="00ED4617"/>
    <w:rsid w:val="00ED5880"/>
    <w:rsid w:val="00ED5959"/>
    <w:rsid w:val="00ED5C93"/>
    <w:rsid w:val="00ED61DC"/>
    <w:rsid w:val="00ED6797"/>
    <w:rsid w:val="00ED6FC1"/>
    <w:rsid w:val="00ED738E"/>
    <w:rsid w:val="00ED7AFA"/>
    <w:rsid w:val="00EE0181"/>
    <w:rsid w:val="00EE082F"/>
    <w:rsid w:val="00EE12DE"/>
    <w:rsid w:val="00EE172D"/>
    <w:rsid w:val="00EE1BC8"/>
    <w:rsid w:val="00EE2019"/>
    <w:rsid w:val="00EE2634"/>
    <w:rsid w:val="00EE39F7"/>
    <w:rsid w:val="00EE3B43"/>
    <w:rsid w:val="00EE41D5"/>
    <w:rsid w:val="00EE58CF"/>
    <w:rsid w:val="00EE591A"/>
    <w:rsid w:val="00EE6B3A"/>
    <w:rsid w:val="00EE7356"/>
    <w:rsid w:val="00EE778C"/>
    <w:rsid w:val="00EE7B3F"/>
    <w:rsid w:val="00EF07C3"/>
    <w:rsid w:val="00EF17AC"/>
    <w:rsid w:val="00EF183A"/>
    <w:rsid w:val="00EF1DDB"/>
    <w:rsid w:val="00EF2908"/>
    <w:rsid w:val="00EF2DC6"/>
    <w:rsid w:val="00EF37FD"/>
    <w:rsid w:val="00EF42CD"/>
    <w:rsid w:val="00EF490E"/>
    <w:rsid w:val="00EF4F1C"/>
    <w:rsid w:val="00EF6118"/>
    <w:rsid w:val="00EF66C9"/>
    <w:rsid w:val="00EF6BB6"/>
    <w:rsid w:val="00F0011B"/>
    <w:rsid w:val="00F001EE"/>
    <w:rsid w:val="00F0067E"/>
    <w:rsid w:val="00F0075E"/>
    <w:rsid w:val="00F00939"/>
    <w:rsid w:val="00F01195"/>
    <w:rsid w:val="00F021F9"/>
    <w:rsid w:val="00F02249"/>
    <w:rsid w:val="00F03223"/>
    <w:rsid w:val="00F03EE0"/>
    <w:rsid w:val="00F04106"/>
    <w:rsid w:val="00F05941"/>
    <w:rsid w:val="00F06B91"/>
    <w:rsid w:val="00F06E9C"/>
    <w:rsid w:val="00F07072"/>
    <w:rsid w:val="00F07386"/>
    <w:rsid w:val="00F0754C"/>
    <w:rsid w:val="00F076E7"/>
    <w:rsid w:val="00F10155"/>
    <w:rsid w:val="00F109BA"/>
    <w:rsid w:val="00F10EEA"/>
    <w:rsid w:val="00F111CB"/>
    <w:rsid w:val="00F11846"/>
    <w:rsid w:val="00F11E87"/>
    <w:rsid w:val="00F126C4"/>
    <w:rsid w:val="00F1288A"/>
    <w:rsid w:val="00F12FB4"/>
    <w:rsid w:val="00F13307"/>
    <w:rsid w:val="00F135A8"/>
    <w:rsid w:val="00F136C1"/>
    <w:rsid w:val="00F13B92"/>
    <w:rsid w:val="00F13B9D"/>
    <w:rsid w:val="00F13BD3"/>
    <w:rsid w:val="00F141C7"/>
    <w:rsid w:val="00F14512"/>
    <w:rsid w:val="00F14D00"/>
    <w:rsid w:val="00F1504D"/>
    <w:rsid w:val="00F15179"/>
    <w:rsid w:val="00F158A2"/>
    <w:rsid w:val="00F204A0"/>
    <w:rsid w:val="00F21036"/>
    <w:rsid w:val="00F226A4"/>
    <w:rsid w:val="00F22A9D"/>
    <w:rsid w:val="00F2328C"/>
    <w:rsid w:val="00F2344B"/>
    <w:rsid w:val="00F24595"/>
    <w:rsid w:val="00F245F7"/>
    <w:rsid w:val="00F25F03"/>
    <w:rsid w:val="00F261F5"/>
    <w:rsid w:val="00F26647"/>
    <w:rsid w:val="00F266D8"/>
    <w:rsid w:val="00F269D2"/>
    <w:rsid w:val="00F26AF8"/>
    <w:rsid w:val="00F26F5D"/>
    <w:rsid w:val="00F27697"/>
    <w:rsid w:val="00F27E6D"/>
    <w:rsid w:val="00F3025B"/>
    <w:rsid w:val="00F30AEF"/>
    <w:rsid w:val="00F30DB8"/>
    <w:rsid w:val="00F32158"/>
    <w:rsid w:val="00F327DE"/>
    <w:rsid w:val="00F32E62"/>
    <w:rsid w:val="00F32EF7"/>
    <w:rsid w:val="00F331F7"/>
    <w:rsid w:val="00F33528"/>
    <w:rsid w:val="00F343D9"/>
    <w:rsid w:val="00F36242"/>
    <w:rsid w:val="00F36388"/>
    <w:rsid w:val="00F36797"/>
    <w:rsid w:val="00F37000"/>
    <w:rsid w:val="00F37771"/>
    <w:rsid w:val="00F37DF5"/>
    <w:rsid w:val="00F407EA"/>
    <w:rsid w:val="00F41A09"/>
    <w:rsid w:val="00F41CE4"/>
    <w:rsid w:val="00F42518"/>
    <w:rsid w:val="00F426A3"/>
    <w:rsid w:val="00F42AFD"/>
    <w:rsid w:val="00F42C85"/>
    <w:rsid w:val="00F42CE7"/>
    <w:rsid w:val="00F45010"/>
    <w:rsid w:val="00F450C1"/>
    <w:rsid w:val="00F456D8"/>
    <w:rsid w:val="00F45924"/>
    <w:rsid w:val="00F46012"/>
    <w:rsid w:val="00F46132"/>
    <w:rsid w:val="00F46A69"/>
    <w:rsid w:val="00F471CA"/>
    <w:rsid w:val="00F474B4"/>
    <w:rsid w:val="00F475C3"/>
    <w:rsid w:val="00F4770E"/>
    <w:rsid w:val="00F50E59"/>
    <w:rsid w:val="00F51603"/>
    <w:rsid w:val="00F52A20"/>
    <w:rsid w:val="00F52B11"/>
    <w:rsid w:val="00F5350B"/>
    <w:rsid w:val="00F5578C"/>
    <w:rsid w:val="00F56BE6"/>
    <w:rsid w:val="00F56C0C"/>
    <w:rsid w:val="00F57A26"/>
    <w:rsid w:val="00F6078C"/>
    <w:rsid w:val="00F60820"/>
    <w:rsid w:val="00F60853"/>
    <w:rsid w:val="00F62297"/>
    <w:rsid w:val="00F62A8A"/>
    <w:rsid w:val="00F63ED4"/>
    <w:rsid w:val="00F63EDB"/>
    <w:rsid w:val="00F64C21"/>
    <w:rsid w:val="00F64FC2"/>
    <w:rsid w:val="00F66162"/>
    <w:rsid w:val="00F66259"/>
    <w:rsid w:val="00F664AA"/>
    <w:rsid w:val="00F66D3E"/>
    <w:rsid w:val="00F67348"/>
    <w:rsid w:val="00F6796B"/>
    <w:rsid w:val="00F67EB9"/>
    <w:rsid w:val="00F70427"/>
    <w:rsid w:val="00F70A8C"/>
    <w:rsid w:val="00F70E17"/>
    <w:rsid w:val="00F70FBB"/>
    <w:rsid w:val="00F71E02"/>
    <w:rsid w:val="00F7200D"/>
    <w:rsid w:val="00F721F4"/>
    <w:rsid w:val="00F727B2"/>
    <w:rsid w:val="00F72C4A"/>
    <w:rsid w:val="00F7382B"/>
    <w:rsid w:val="00F73D4B"/>
    <w:rsid w:val="00F74224"/>
    <w:rsid w:val="00F7434B"/>
    <w:rsid w:val="00F74BF7"/>
    <w:rsid w:val="00F74E06"/>
    <w:rsid w:val="00F74F43"/>
    <w:rsid w:val="00F7506D"/>
    <w:rsid w:val="00F766E1"/>
    <w:rsid w:val="00F76CF3"/>
    <w:rsid w:val="00F77306"/>
    <w:rsid w:val="00F77E17"/>
    <w:rsid w:val="00F77FBC"/>
    <w:rsid w:val="00F8058B"/>
    <w:rsid w:val="00F81B12"/>
    <w:rsid w:val="00F8226E"/>
    <w:rsid w:val="00F823B6"/>
    <w:rsid w:val="00F82C94"/>
    <w:rsid w:val="00F82E9C"/>
    <w:rsid w:val="00F838F9"/>
    <w:rsid w:val="00F83AEE"/>
    <w:rsid w:val="00F84357"/>
    <w:rsid w:val="00F857EF"/>
    <w:rsid w:val="00F85953"/>
    <w:rsid w:val="00F86702"/>
    <w:rsid w:val="00F86FBF"/>
    <w:rsid w:val="00F90289"/>
    <w:rsid w:val="00F90698"/>
    <w:rsid w:val="00F9109B"/>
    <w:rsid w:val="00F92A5F"/>
    <w:rsid w:val="00F92CDA"/>
    <w:rsid w:val="00F930D5"/>
    <w:rsid w:val="00F94B2F"/>
    <w:rsid w:val="00F94C73"/>
    <w:rsid w:val="00F950E0"/>
    <w:rsid w:val="00F95272"/>
    <w:rsid w:val="00F955A2"/>
    <w:rsid w:val="00F9616A"/>
    <w:rsid w:val="00F96DBA"/>
    <w:rsid w:val="00F97374"/>
    <w:rsid w:val="00F97717"/>
    <w:rsid w:val="00F97B02"/>
    <w:rsid w:val="00FA0009"/>
    <w:rsid w:val="00FA150C"/>
    <w:rsid w:val="00FA1D33"/>
    <w:rsid w:val="00FA20A4"/>
    <w:rsid w:val="00FA2CE4"/>
    <w:rsid w:val="00FA3387"/>
    <w:rsid w:val="00FA4CA5"/>
    <w:rsid w:val="00FA507C"/>
    <w:rsid w:val="00FA50EB"/>
    <w:rsid w:val="00FA56E8"/>
    <w:rsid w:val="00FA586B"/>
    <w:rsid w:val="00FA5998"/>
    <w:rsid w:val="00FA5CBD"/>
    <w:rsid w:val="00FA6185"/>
    <w:rsid w:val="00FA69AA"/>
    <w:rsid w:val="00FB0456"/>
    <w:rsid w:val="00FB0E5D"/>
    <w:rsid w:val="00FB0F8E"/>
    <w:rsid w:val="00FB16C1"/>
    <w:rsid w:val="00FB1766"/>
    <w:rsid w:val="00FB2082"/>
    <w:rsid w:val="00FB3B0E"/>
    <w:rsid w:val="00FB413B"/>
    <w:rsid w:val="00FB470E"/>
    <w:rsid w:val="00FB5679"/>
    <w:rsid w:val="00FB6E12"/>
    <w:rsid w:val="00FC069B"/>
    <w:rsid w:val="00FC09FC"/>
    <w:rsid w:val="00FC0B53"/>
    <w:rsid w:val="00FC0D4A"/>
    <w:rsid w:val="00FC1D7F"/>
    <w:rsid w:val="00FC2113"/>
    <w:rsid w:val="00FC246A"/>
    <w:rsid w:val="00FC2F09"/>
    <w:rsid w:val="00FC3AB9"/>
    <w:rsid w:val="00FC4505"/>
    <w:rsid w:val="00FC4694"/>
    <w:rsid w:val="00FC495E"/>
    <w:rsid w:val="00FC4BD6"/>
    <w:rsid w:val="00FC584D"/>
    <w:rsid w:val="00FC5BE4"/>
    <w:rsid w:val="00FC5F03"/>
    <w:rsid w:val="00FC695F"/>
    <w:rsid w:val="00FC6977"/>
    <w:rsid w:val="00FC6A99"/>
    <w:rsid w:val="00FC71E1"/>
    <w:rsid w:val="00FC7F90"/>
    <w:rsid w:val="00FD0B16"/>
    <w:rsid w:val="00FD1A24"/>
    <w:rsid w:val="00FD1BC1"/>
    <w:rsid w:val="00FD2B1C"/>
    <w:rsid w:val="00FD4D85"/>
    <w:rsid w:val="00FD5723"/>
    <w:rsid w:val="00FD6119"/>
    <w:rsid w:val="00FD6184"/>
    <w:rsid w:val="00FD6E7D"/>
    <w:rsid w:val="00FD71F5"/>
    <w:rsid w:val="00FD7795"/>
    <w:rsid w:val="00FE028C"/>
    <w:rsid w:val="00FE1329"/>
    <w:rsid w:val="00FE16CB"/>
    <w:rsid w:val="00FE1934"/>
    <w:rsid w:val="00FE1AFB"/>
    <w:rsid w:val="00FE1FE3"/>
    <w:rsid w:val="00FE20C6"/>
    <w:rsid w:val="00FE252A"/>
    <w:rsid w:val="00FE3296"/>
    <w:rsid w:val="00FE39E4"/>
    <w:rsid w:val="00FE4062"/>
    <w:rsid w:val="00FE43BD"/>
    <w:rsid w:val="00FE46A8"/>
    <w:rsid w:val="00FE4D43"/>
    <w:rsid w:val="00FE5BA1"/>
    <w:rsid w:val="00FE5CB3"/>
    <w:rsid w:val="00FE69A2"/>
    <w:rsid w:val="00FE6D0A"/>
    <w:rsid w:val="00FF000E"/>
    <w:rsid w:val="00FF008D"/>
    <w:rsid w:val="00FF0534"/>
    <w:rsid w:val="00FF0D2F"/>
    <w:rsid w:val="00FF14A3"/>
    <w:rsid w:val="00FF3D96"/>
    <w:rsid w:val="00FF40CA"/>
    <w:rsid w:val="00FF46B0"/>
    <w:rsid w:val="00FF6821"/>
    <w:rsid w:val="00FF7A55"/>
    <w:rsid w:val="00FF7DA7"/>
    <w:rsid w:val="02137583"/>
    <w:rsid w:val="05C37A13"/>
    <w:rsid w:val="067076C4"/>
    <w:rsid w:val="11DC7B97"/>
    <w:rsid w:val="125C6164"/>
    <w:rsid w:val="13BF093A"/>
    <w:rsid w:val="13C5680F"/>
    <w:rsid w:val="16000CAA"/>
    <w:rsid w:val="187F3425"/>
    <w:rsid w:val="22E23150"/>
    <w:rsid w:val="24400135"/>
    <w:rsid w:val="248C3BE9"/>
    <w:rsid w:val="28196848"/>
    <w:rsid w:val="2C5A73A2"/>
    <w:rsid w:val="2C6B1DC3"/>
    <w:rsid w:val="2CE15F02"/>
    <w:rsid w:val="36D333FB"/>
    <w:rsid w:val="3995603F"/>
    <w:rsid w:val="3C0D28E2"/>
    <w:rsid w:val="3C587206"/>
    <w:rsid w:val="414C0456"/>
    <w:rsid w:val="429D60A9"/>
    <w:rsid w:val="44461923"/>
    <w:rsid w:val="496D723B"/>
    <w:rsid w:val="4B9B12A5"/>
    <w:rsid w:val="507672DA"/>
    <w:rsid w:val="569A5A4B"/>
    <w:rsid w:val="5A9A1C7C"/>
    <w:rsid w:val="62F523F8"/>
    <w:rsid w:val="641B2D75"/>
    <w:rsid w:val="651D431F"/>
    <w:rsid w:val="65967276"/>
    <w:rsid w:val="66EB7A49"/>
    <w:rsid w:val="67256613"/>
    <w:rsid w:val="68E67DF9"/>
    <w:rsid w:val="73236A57"/>
    <w:rsid w:val="733D45CC"/>
    <w:rsid w:val="7A333933"/>
    <w:rsid w:val="7A7143B0"/>
    <w:rsid w:val="7EFD5451"/>
    <w:rsid w:val="7F9C0BA9"/>
    <w:rsid w:val="7FDD43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仿宋_GB2312"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99" w:semiHidden="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heme="minorBidi"/>
      <w:kern w:val="2"/>
      <w:sz w:val="32"/>
      <w:szCs w:val="22"/>
      <w:lang w:val="en-US" w:eastAsia="zh-CN" w:bidi="ar-SA"/>
    </w:rPr>
  </w:style>
  <w:style w:type="paragraph" w:styleId="2">
    <w:name w:val="heading 1"/>
    <w:basedOn w:val="1"/>
    <w:next w:val="1"/>
    <w:link w:val="28"/>
    <w:qFormat/>
    <w:uiPriority w:val="9"/>
    <w:pPr>
      <w:keepNext/>
      <w:keepLines/>
      <w:spacing w:before="340" w:after="330" w:line="578" w:lineRule="auto"/>
      <w:outlineLvl w:val="0"/>
    </w:pPr>
    <w:rPr>
      <w:b/>
      <w:bCs/>
      <w:kern w:val="44"/>
      <w:sz w:val="44"/>
      <w:szCs w:val="4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qFormat/>
    <w:uiPriority w:val="0"/>
    <w:pPr>
      <w:spacing w:line="540" w:lineRule="exact"/>
      <w:ind w:firstLine="200" w:firstLineChars="200"/>
    </w:pPr>
    <w:rPr>
      <w:rFonts w:eastAsia="仿宋_GB2312"/>
      <w:kern w:val="2"/>
    </w:rPr>
  </w:style>
  <w:style w:type="paragraph" w:styleId="4">
    <w:name w:val="annotation text"/>
    <w:basedOn w:val="1"/>
    <w:link w:val="32"/>
    <w:semiHidden/>
    <w:unhideWhenUsed/>
    <w:qFormat/>
    <w:uiPriority w:val="99"/>
    <w:pPr>
      <w:jc w:val="left"/>
    </w:pPr>
  </w:style>
  <w:style w:type="paragraph" w:styleId="5">
    <w:name w:val="toc 3"/>
    <w:basedOn w:val="1"/>
    <w:next w:val="1"/>
    <w:unhideWhenUsed/>
    <w:qFormat/>
    <w:uiPriority w:val="39"/>
    <w:pPr>
      <w:ind w:left="840" w:leftChars="400"/>
    </w:pPr>
  </w:style>
  <w:style w:type="paragraph" w:styleId="6">
    <w:name w:val="Balloon Text"/>
    <w:basedOn w:val="1"/>
    <w:link w:val="22"/>
    <w:semiHidden/>
    <w:unhideWhenUsed/>
    <w:qFormat/>
    <w:uiPriority w:val="99"/>
    <w:rPr>
      <w:sz w:val="18"/>
      <w:szCs w:val="18"/>
    </w:rPr>
  </w:style>
  <w:style w:type="paragraph" w:styleId="7">
    <w:name w:val="footer"/>
    <w:basedOn w:val="1"/>
    <w:link w:val="27"/>
    <w:unhideWhenUsed/>
    <w:qFormat/>
    <w:uiPriority w:val="99"/>
    <w:pPr>
      <w:tabs>
        <w:tab w:val="center" w:pos="4153"/>
        <w:tab w:val="right" w:pos="8306"/>
      </w:tabs>
      <w:snapToGrid w:val="0"/>
      <w:jc w:val="left"/>
    </w:pPr>
    <w:rPr>
      <w:sz w:val="18"/>
      <w:szCs w:val="18"/>
    </w:rPr>
  </w:style>
  <w:style w:type="paragraph" w:styleId="8">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pPr>
      <w:tabs>
        <w:tab w:val="right" w:leader="dot" w:pos="8721"/>
      </w:tabs>
    </w:pPr>
  </w:style>
  <w:style w:type="paragraph" w:styleId="10">
    <w:name w:val="footnote text"/>
    <w:basedOn w:val="1"/>
    <w:link w:val="31"/>
    <w:unhideWhenUsed/>
    <w:qFormat/>
    <w:uiPriority w:val="99"/>
    <w:pPr>
      <w:snapToGrid w:val="0"/>
      <w:jc w:val="left"/>
    </w:pPr>
    <w:rPr>
      <w:sz w:val="18"/>
      <w:szCs w:val="18"/>
    </w:rPr>
  </w:style>
  <w:style w:type="paragraph" w:styleId="11">
    <w:name w:val="toc 2"/>
    <w:basedOn w:val="1"/>
    <w:next w:val="1"/>
    <w:unhideWhenUsed/>
    <w:qFormat/>
    <w:uiPriority w:val="39"/>
    <w:pPr>
      <w:ind w:left="420" w:leftChars="200"/>
    </w:pPr>
  </w:style>
  <w:style w:type="paragraph" w:styleId="12">
    <w:name w:val="annotation subject"/>
    <w:basedOn w:val="4"/>
    <w:next w:val="4"/>
    <w:link w:val="33"/>
    <w:semiHidden/>
    <w:unhideWhenUsed/>
    <w:qFormat/>
    <w:uiPriority w:val="99"/>
    <w:rPr>
      <w:b/>
      <w:bCs/>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bCs/>
    </w:rPr>
  </w:style>
  <w:style w:type="character" w:styleId="17">
    <w:name w:val="FollowedHyperlink"/>
    <w:basedOn w:val="15"/>
    <w:semiHidden/>
    <w:unhideWhenUsed/>
    <w:qFormat/>
    <w:uiPriority w:val="99"/>
    <w:rPr>
      <w:color w:val="954F72" w:themeColor="followedHyperlink"/>
      <w:u w:val="single"/>
      <w14:textFill>
        <w14:solidFill>
          <w14:schemeClr w14:val="folHlink"/>
        </w14:solidFill>
      </w14:textFill>
    </w:rPr>
  </w:style>
  <w:style w:type="character" w:styleId="18">
    <w:name w:val="Hyperlink"/>
    <w:basedOn w:val="15"/>
    <w:unhideWhenUsed/>
    <w:qFormat/>
    <w:uiPriority w:val="99"/>
    <w:rPr>
      <w:color w:val="0563C1" w:themeColor="hyperlink"/>
      <w:u w:val="single"/>
      <w14:textFill>
        <w14:solidFill>
          <w14:schemeClr w14:val="hlink"/>
        </w14:solidFill>
      </w14:textFill>
    </w:rPr>
  </w:style>
  <w:style w:type="character" w:styleId="19">
    <w:name w:val="annotation reference"/>
    <w:basedOn w:val="15"/>
    <w:semiHidden/>
    <w:unhideWhenUsed/>
    <w:qFormat/>
    <w:uiPriority w:val="99"/>
    <w:rPr>
      <w:sz w:val="21"/>
      <w:szCs w:val="21"/>
    </w:rPr>
  </w:style>
  <w:style w:type="character" w:styleId="20">
    <w:name w:val="footnote reference"/>
    <w:basedOn w:val="15"/>
    <w:semiHidden/>
    <w:unhideWhenUsed/>
    <w:qFormat/>
    <w:uiPriority w:val="99"/>
    <w:rPr>
      <w:vertAlign w:val="superscript"/>
    </w:rPr>
  </w:style>
  <w:style w:type="paragraph" w:styleId="21">
    <w:name w:val="List Paragraph"/>
    <w:basedOn w:val="1"/>
    <w:qFormat/>
    <w:uiPriority w:val="34"/>
    <w:pPr>
      <w:ind w:firstLine="420" w:firstLineChars="200"/>
    </w:pPr>
  </w:style>
  <w:style w:type="character" w:customStyle="1" w:styleId="22">
    <w:name w:val="批注框文本 字符"/>
    <w:basedOn w:val="15"/>
    <w:link w:val="6"/>
    <w:semiHidden/>
    <w:qFormat/>
    <w:uiPriority w:val="99"/>
    <w:rPr>
      <w:sz w:val="18"/>
      <w:szCs w:val="18"/>
    </w:rPr>
  </w:style>
  <w:style w:type="paragraph" w:customStyle="1" w:styleId="23">
    <w:name w:val="Char"/>
    <w:basedOn w:val="1"/>
    <w:semiHidden/>
    <w:qFormat/>
    <w:uiPriority w:val="0"/>
    <w:rPr>
      <w:rFonts w:eastAsia="宋体" w:cs="Times New Roman"/>
      <w:sz w:val="21"/>
      <w:szCs w:val="24"/>
    </w:rPr>
  </w:style>
  <w:style w:type="paragraph" w:customStyle="1" w:styleId="24">
    <w:name w:val="Char Char Char Char"/>
    <w:basedOn w:val="1"/>
    <w:qFormat/>
    <w:uiPriority w:val="0"/>
    <w:pPr>
      <w:widowControl/>
      <w:spacing w:after="160" w:line="240" w:lineRule="exact"/>
      <w:jc w:val="left"/>
    </w:pPr>
    <w:rPr>
      <w:rFonts w:eastAsia="宋体" w:cs="Times New Roman"/>
      <w:sz w:val="24"/>
      <w:szCs w:val="24"/>
    </w:rPr>
  </w:style>
  <w:style w:type="paragraph" w:customStyle="1" w:styleId="25">
    <w:name w:val="western"/>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6">
    <w:name w:val="页眉 字符"/>
    <w:basedOn w:val="15"/>
    <w:link w:val="8"/>
    <w:qFormat/>
    <w:uiPriority w:val="99"/>
    <w:rPr>
      <w:sz w:val="18"/>
      <w:szCs w:val="18"/>
    </w:rPr>
  </w:style>
  <w:style w:type="character" w:customStyle="1" w:styleId="27">
    <w:name w:val="页脚 字符"/>
    <w:basedOn w:val="15"/>
    <w:link w:val="7"/>
    <w:qFormat/>
    <w:uiPriority w:val="99"/>
    <w:rPr>
      <w:sz w:val="18"/>
      <w:szCs w:val="18"/>
    </w:rPr>
  </w:style>
  <w:style w:type="character" w:customStyle="1" w:styleId="28">
    <w:name w:val="标题 1 字符"/>
    <w:basedOn w:val="15"/>
    <w:link w:val="2"/>
    <w:qFormat/>
    <w:uiPriority w:val="9"/>
    <w:rPr>
      <w:b/>
      <w:bCs/>
      <w:kern w:val="44"/>
      <w:sz w:val="44"/>
      <w:szCs w:val="44"/>
    </w:rPr>
  </w:style>
  <w:style w:type="paragraph" w:customStyle="1" w:styleId="29">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paragraph" w:customStyle="1" w:styleId="30">
    <w:name w:val="修订1"/>
    <w:hidden/>
    <w:semiHidden/>
    <w:qFormat/>
    <w:uiPriority w:val="99"/>
    <w:rPr>
      <w:rFonts w:ascii="Times New Roman" w:hAnsi="Times New Roman" w:eastAsia="仿宋_GB2312" w:cstheme="minorBidi"/>
      <w:kern w:val="2"/>
      <w:sz w:val="32"/>
      <w:szCs w:val="22"/>
      <w:lang w:val="en-US" w:eastAsia="zh-CN" w:bidi="ar-SA"/>
    </w:rPr>
  </w:style>
  <w:style w:type="character" w:customStyle="1" w:styleId="31">
    <w:name w:val="脚注文本 字符"/>
    <w:basedOn w:val="15"/>
    <w:link w:val="10"/>
    <w:qFormat/>
    <w:uiPriority w:val="99"/>
    <w:rPr>
      <w:sz w:val="18"/>
      <w:szCs w:val="18"/>
    </w:rPr>
  </w:style>
  <w:style w:type="character" w:customStyle="1" w:styleId="32">
    <w:name w:val="批注文字 字符"/>
    <w:basedOn w:val="15"/>
    <w:link w:val="4"/>
    <w:semiHidden/>
    <w:qFormat/>
    <w:uiPriority w:val="99"/>
  </w:style>
  <w:style w:type="character" w:customStyle="1" w:styleId="33">
    <w:name w:val="批注主题 字符"/>
    <w:basedOn w:val="32"/>
    <w:link w:val="12"/>
    <w:semiHidden/>
    <w:qFormat/>
    <w:uiPriority w:val="99"/>
    <w:rPr>
      <w:b/>
      <w:bCs/>
    </w:rPr>
  </w:style>
  <w:style w:type="paragraph" w:customStyle="1" w:styleId="34">
    <w:name w:val="Char1"/>
    <w:basedOn w:val="1"/>
    <w:qFormat/>
    <w:uiPriority w:val="0"/>
    <w:pPr>
      <w:numPr>
        <w:ilvl w:val="0"/>
        <w:numId w:val="1"/>
      </w:numPr>
    </w:pPr>
    <w:rPr>
      <w:rFonts w:ascii="Calibri" w:hAnsi="Calibri" w:eastAsia="宋体" w:cs="Times New Roman"/>
      <w:sz w:val="24"/>
      <w:szCs w:val="24"/>
    </w:rPr>
  </w:style>
  <w:style w:type="paragraph" w:customStyle="1" w:styleId="35">
    <w:name w:val="Char2"/>
    <w:basedOn w:val="1"/>
    <w:qFormat/>
    <w:uiPriority w:val="0"/>
    <w:pPr>
      <w:tabs>
        <w:tab w:val="left" w:pos="1352"/>
      </w:tabs>
      <w:ind w:left="1352" w:hanging="720"/>
    </w:pPr>
    <w:rPr>
      <w:rFonts w:ascii="Calibri" w:hAnsi="Calibri" w:eastAsia="宋体" w:cs="Times New Roman"/>
      <w:sz w:val="24"/>
      <w:szCs w:val="24"/>
    </w:rPr>
  </w:style>
  <w:style w:type="paragraph" w:customStyle="1" w:styleId="36">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7">
    <w:name w:val="Char3"/>
    <w:basedOn w:val="1"/>
    <w:qFormat/>
    <w:uiPriority w:val="0"/>
    <w:pPr>
      <w:tabs>
        <w:tab w:val="left" w:pos="1352"/>
      </w:tabs>
      <w:ind w:left="1352" w:hanging="720"/>
    </w:pPr>
    <w:rPr>
      <w:rFonts w:ascii="Calibri" w:hAnsi="Calibri" w:eastAsia="宋体"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68</Pages>
  <Words>35328</Words>
  <Characters>36858</Characters>
  <Lines>310</Lines>
  <Paragraphs>87</Paragraphs>
  <TotalTime>1</TotalTime>
  <ScaleCrop>false</ScaleCrop>
  <LinksUpToDate>false</LinksUpToDate>
  <CharactersWithSpaces>37274</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2021-10-18T10:43:00Z</dcterms:created>
  <dc:creator>微软用户</dc:creator>
  <cp:lastModifiedBy>twll</cp:lastModifiedBy>
  <cp:lastPrinted>2022-09-01T10:43:00Z</cp:lastPrinted>
  <dcterms:modified xsi:type="dcterms:W3CDTF">2022-09-06T17:04:35Z</dcterms:modified>
  <cp:revision>3610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E081A7E43B794D35B925095D4F3A2B9A</vt:lpwstr>
  </property>
</Properties>
</file>