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5" w:name="_GoBack"/>
      <w:bookmarkEnd w:id="5"/>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bidi w:val="0"/>
        <w:jc w:val="center"/>
        <w:rPr>
          <w:rFonts w:hint="eastAsia" w:eastAsia="宋体"/>
          <w:b w:val="0"/>
          <w:bCs w:val="0"/>
          <w:sz w:val="30"/>
          <w:szCs w:val="30"/>
          <w:lang w:eastAsia="zh-CN"/>
        </w:rPr>
      </w:pPr>
      <w:r>
        <w:rPr>
          <w:rFonts w:hint="eastAsia" w:ascii="楷体" w:hAnsi="楷体" w:eastAsia="楷体" w:cs="楷体"/>
          <w:b w:val="0"/>
          <w:bCs w:val="0"/>
          <w:sz w:val="30"/>
          <w:szCs w:val="30"/>
          <w:lang w:eastAsia="zh-CN"/>
        </w:rPr>
        <w:t>（公示版）</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360" w:lineRule="auto"/>
        <w:rPr>
          <w:rFonts w:hint="default" w:ascii="宋体" w:hAnsi="宋体" w:cs="宋体"/>
          <w:color w:val="000000"/>
          <w:sz w:val="28"/>
          <w:szCs w:val="28"/>
          <w:u w:val="single"/>
          <w:lang w:val="en-US"/>
        </w:rPr>
      </w:pPr>
      <w:bookmarkStart w:id="0" w:name="_Hlk57884087"/>
      <w:r>
        <w:rPr>
          <w:rFonts w:hint="eastAsia" w:ascii="宋体" w:hAnsi="宋体" w:cs="宋体"/>
          <w:color w:val="000000"/>
          <w:sz w:val="28"/>
          <w:szCs w:val="28"/>
        </w:rPr>
        <w:t>项目名称：</w:t>
      </w:r>
      <w:r>
        <w:rPr>
          <w:rFonts w:hint="eastAsia"/>
          <w:color w:val="auto"/>
          <w:sz w:val="28"/>
          <w:szCs w:val="28"/>
          <w:u w:val="single"/>
        </w:rPr>
        <w:t>年产拉幅定型无纺布500吨、淋膜无纺布300吨扩建</w:t>
      </w:r>
      <w:r>
        <w:rPr>
          <w:rFonts w:hint="eastAsia"/>
          <w:sz w:val="28"/>
          <w:szCs w:val="28"/>
          <w:u w:val="single"/>
        </w:rPr>
        <w:t>项目</w:t>
      </w:r>
    </w:p>
    <w:p>
      <w:pPr>
        <w:adjustRightInd w:val="0"/>
        <w:snapToGrid w:val="0"/>
        <w:spacing w:line="360" w:lineRule="auto"/>
        <w:rPr>
          <w:rFonts w:hint="default" w:ascii="宋体" w:hAnsi="宋体" w:eastAsia="宋体" w:cs="宋体"/>
          <w:color w:val="000000"/>
          <w:sz w:val="28"/>
          <w:szCs w:val="28"/>
          <w:u w:val="single"/>
          <w:lang w:val="en-US" w:eastAsia="zh-CN"/>
        </w:rPr>
      </w:pPr>
      <w:r>
        <w:rPr>
          <w:rFonts w:hint="eastAsia" w:ascii="宋体" w:hAnsi="宋体" w:cs="宋体"/>
          <w:color w:val="000000"/>
          <w:sz w:val="28"/>
          <w:szCs w:val="28"/>
        </w:rPr>
        <w:t>建设单位：</w:t>
      </w:r>
      <w:r>
        <w:rPr>
          <w:rFonts w:hint="eastAsia" w:ascii="宋体" w:hAnsi="宋体" w:cs="宋体"/>
          <w:color w:val="000000"/>
          <w:sz w:val="28"/>
          <w:szCs w:val="28"/>
          <w:u w:val="single"/>
          <w:lang w:val="en-US" w:eastAsia="zh-CN"/>
        </w:rPr>
        <w:t xml:space="preserve">                </w:t>
      </w:r>
      <w:r>
        <w:rPr>
          <w:rFonts w:hint="eastAsia"/>
          <w:b w:val="0"/>
          <w:bCs w:val="0"/>
          <w:color w:val="auto"/>
          <w:spacing w:val="8"/>
          <w:sz w:val="28"/>
          <w:szCs w:val="28"/>
          <w:u w:val="single"/>
          <w:shd w:val="clear" w:color="auto" w:fill="FFFFFF"/>
        </w:rPr>
        <w:t>重庆英洛维科技有限公司</w:t>
      </w:r>
      <w:r>
        <w:rPr>
          <w:rFonts w:hint="eastAsia"/>
          <w:sz w:val="28"/>
          <w:szCs w:val="28"/>
          <w:u w:val="single"/>
          <w:lang w:val="en-US" w:eastAsia="zh-CN"/>
        </w:rPr>
        <w:t xml:space="preserve">         </w:t>
      </w:r>
    </w:p>
    <w:p>
      <w:pPr>
        <w:adjustRightInd w:val="0"/>
        <w:snapToGrid w:val="0"/>
        <w:spacing w:line="360" w:lineRule="auto"/>
        <w:rPr>
          <w:rFonts w:ascii="宋体" w:hAnsi="宋体" w:cs="宋体"/>
          <w:color w:val="000000"/>
          <w:sz w:val="28"/>
          <w:szCs w:val="28"/>
          <w:u w:val="single"/>
        </w:rPr>
      </w:pPr>
      <w:r>
        <w:rPr>
          <w:rFonts w:hint="eastAsia" w:ascii="宋体" w:hAnsi="宋体" w:cs="宋体"/>
          <w:color w:val="000000"/>
          <w:sz w:val="28"/>
          <w:szCs w:val="28"/>
        </w:rPr>
        <w:t>编制日期：</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202</w:t>
      </w:r>
      <w:r>
        <w:rPr>
          <w:rFonts w:hint="eastAsia" w:ascii="宋体" w:hAnsi="宋体" w:cs="宋体"/>
          <w:color w:val="000000"/>
          <w:sz w:val="28"/>
          <w:szCs w:val="28"/>
          <w:u w:val="single"/>
          <w:lang w:val="en-US" w:eastAsia="zh-CN"/>
        </w:rPr>
        <w:t>3</w:t>
      </w:r>
      <w:r>
        <w:rPr>
          <w:rFonts w:hint="eastAsia" w:ascii="宋体" w:hAnsi="宋体" w:cs="宋体"/>
          <w:color w:val="000000"/>
          <w:sz w:val="28"/>
          <w:szCs w:val="28"/>
          <w:u w:val="single"/>
        </w:rPr>
        <w:t>年</w:t>
      </w:r>
      <w:r>
        <w:rPr>
          <w:rFonts w:hint="eastAsia" w:ascii="宋体" w:hAnsi="宋体" w:cs="宋体"/>
          <w:color w:val="000000"/>
          <w:sz w:val="28"/>
          <w:szCs w:val="28"/>
          <w:u w:val="single"/>
          <w:lang w:val="en-US" w:eastAsia="zh-CN"/>
        </w:rPr>
        <w:t>8</w:t>
      </w:r>
      <w:r>
        <w:rPr>
          <w:rFonts w:hint="eastAsia" w:ascii="宋体" w:hAnsi="宋体" w:cs="宋体"/>
          <w:color w:val="000000"/>
          <w:sz w:val="28"/>
          <w:szCs w:val="28"/>
          <w:u w:val="single"/>
        </w:rPr>
        <w:t xml:space="preserve">月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p>
    <w:p>
      <w:pPr>
        <w:adjustRightInd w:val="0"/>
        <w:snapToGrid w:val="0"/>
        <w:spacing w:line="288" w:lineRule="auto"/>
        <w:ind w:firstLine="1040"/>
        <w:rPr>
          <w:rFonts w:ascii="仿宋_GB2312" w:eastAsia="仿宋_GB2312"/>
          <w:color w:val="000000"/>
          <w:sz w:val="32"/>
          <w:szCs w:val="32"/>
          <w:u w:val="single"/>
        </w:rPr>
      </w:pPr>
    </w:p>
    <w:p>
      <w:pPr>
        <w:adjustRightInd w:val="0"/>
        <w:snapToGrid w:val="0"/>
        <w:spacing w:line="288" w:lineRule="auto"/>
        <w:ind w:firstLine="1040"/>
        <w:rPr>
          <w:rFonts w:ascii="仿宋_GB2312" w:eastAsia="仿宋_GB2312"/>
          <w:color w:val="000000"/>
          <w:sz w:val="36"/>
          <w:szCs w:val="36"/>
        </w:rPr>
      </w:pPr>
    </w:p>
    <w:p>
      <w:pPr>
        <w:adjustRightInd w:val="0"/>
        <w:snapToGrid w:val="0"/>
        <w:spacing w:line="288" w:lineRule="auto"/>
        <w:ind w:firstLine="1040"/>
        <w:rPr>
          <w:rFonts w:ascii="仿宋_GB2312" w:eastAsia="仿宋_GB2312"/>
          <w:color w:val="000000"/>
          <w:sz w:val="36"/>
          <w:szCs w:val="36"/>
        </w:rPr>
      </w:pPr>
    </w:p>
    <w:p>
      <w:pPr>
        <w:adjustRightInd w:val="0"/>
        <w:snapToGrid w:val="0"/>
        <w:spacing w:line="288" w:lineRule="auto"/>
        <w:jc w:val="center"/>
        <w:rPr>
          <w:rFonts w:hint="eastAsia" w:ascii="仿宋_GB2312" w:eastAsia="仿宋_GB2312"/>
          <w:color w:val="000000"/>
          <w:sz w:val="36"/>
          <w:szCs w:val="36"/>
        </w:rPr>
      </w:pPr>
    </w:p>
    <w:bookmarkEnd w:id="0"/>
    <w:p>
      <w:pPr>
        <w:jc w:val="center"/>
      </w:pPr>
      <w:r>
        <w:rPr>
          <w:rFonts w:hint="eastAsia" w:ascii="楷体_GB2312" w:eastAsia="楷体_GB2312"/>
          <w:color w:val="000000"/>
          <w:sz w:val="36"/>
          <w:szCs w:val="36"/>
        </w:rPr>
        <w:t>中华人民共和国生态环境部制</w:t>
      </w: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hint="eastAsia" w:ascii="黑体" w:hAnsi="黑体" w:eastAsia="黑体"/>
          <w:snapToGrid w:val="0"/>
          <w:color w:val="auto"/>
          <w:sz w:val="30"/>
          <w:szCs w:val="30"/>
          <w:lang w:eastAsia="zh-CN"/>
        </w:rPr>
      </w:pPr>
      <w:r>
        <w:rPr>
          <w:rFonts w:hint="eastAsia" w:ascii="黑体" w:hAnsi="黑体" w:eastAsia="黑体"/>
          <w:snapToGrid w:val="0"/>
          <w:color w:val="auto"/>
          <w:sz w:val="30"/>
          <w:szCs w:val="30"/>
          <w:lang w:eastAsia="zh-CN"/>
        </w:rPr>
        <w:drawing>
          <wp:inline distT="0" distB="0" distL="114300" distR="114300">
            <wp:extent cx="5610860" cy="6203315"/>
            <wp:effectExtent l="0" t="0" r="8890" b="6985"/>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6"/>
                    <a:stretch>
                      <a:fillRect/>
                    </a:stretch>
                  </pic:blipFill>
                  <pic:spPr>
                    <a:xfrm>
                      <a:off x="0" y="0"/>
                      <a:ext cx="5610860" cy="6203315"/>
                    </a:xfrm>
                    <a:prstGeom prst="rect">
                      <a:avLst/>
                    </a:prstGeom>
                  </pic:spPr>
                </pic:pic>
              </a:graphicData>
            </a:graphic>
          </wp:inline>
        </w:drawing>
      </w: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0"/>
        </w:numPr>
        <w:ind w:leftChars="0"/>
        <w:jc w:val="both"/>
        <w:outlineLvl w:val="0"/>
        <w:rPr>
          <w:rFonts w:hint="eastAsia" w:ascii="黑体" w:hAnsi="黑体" w:eastAsia="黑体"/>
          <w:snapToGrid w:val="0"/>
          <w:color w:val="auto"/>
          <w:sz w:val="30"/>
          <w:szCs w:val="30"/>
          <w:lang w:eastAsia="zh-CN"/>
        </w:rPr>
      </w:pPr>
      <w:r>
        <w:rPr>
          <w:rFonts w:hint="eastAsia" w:ascii="黑体" w:hAnsi="黑体" w:eastAsia="黑体"/>
          <w:snapToGrid w:val="0"/>
          <w:color w:val="auto"/>
          <w:sz w:val="30"/>
          <w:szCs w:val="30"/>
          <w:lang w:eastAsia="zh-CN"/>
        </w:rPr>
        <w:drawing>
          <wp:inline distT="0" distB="0" distL="114300" distR="114300">
            <wp:extent cx="5614035" cy="7840980"/>
            <wp:effectExtent l="0" t="0" r="5715" b="7620"/>
            <wp:docPr id="2" name="图片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
                    <pic:cNvPicPr>
                      <a:picLocks noChangeAspect="1"/>
                    </pic:cNvPicPr>
                  </pic:nvPicPr>
                  <pic:blipFill>
                    <a:blip r:embed="rId7"/>
                    <a:stretch>
                      <a:fillRect/>
                    </a:stretch>
                  </pic:blipFill>
                  <pic:spPr>
                    <a:xfrm>
                      <a:off x="0" y="0"/>
                      <a:ext cx="5614035" cy="7840980"/>
                    </a:xfrm>
                    <a:prstGeom prst="rect">
                      <a:avLst/>
                    </a:prstGeom>
                  </pic:spPr>
                </pic:pic>
              </a:graphicData>
            </a:graphic>
          </wp:inline>
        </w:drawing>
      </w:r>
    </w:p>
    <w:p>
      <w:pPr>
        <w:pStyle w:val="19"/>
        <w:numPr>
          <w:ilvl w:val="0"/>
          <w:numId w:val="0"/>
        </w:numPr>
        <w:ind w:leftChars="0"/>
        <w:jc w:val="both"/>
        <w:outlineLvl w:val="0"/>
        <w:rPr>
          <w:rFonts w:ascii="黑体" w:hAnsi="黑体" w:eastAsia="黑体"/>
          <w:snapToGrid w:val="0"/>
          <w:color w:val="auto"/>
          <w:sz w:val="30"/>
          <w:szCs w:val="30"/>
        </w:rPr>
      </w:pPr>
    </w:p>
    <w:p>
      <w:pPr>
        <w:pStyle w:val="19"/>
        <w:numPr>
          <w:ilvl w:val="0"/>
          <w:numId w:val="1"/>
        </w:numPr>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建设项目名称</w:t>
            </w:r>
          </w:p>
        </w:tc>
        <w:tc>
          <w:tcPr>
            <w:tcW w:w="6488" w:type="dxa"/>
            <w:gridSpan w:val="3"/>
            <w:vAlign w:val="center"/>
          </w:tcPr>
          <w:p>
            <w:pPr>
              <w:adjustRightInd w:val="0"/>
              <w:snapToGrid w:val="0"/>
              <w:jc w:val="center"/>
              <w:rPr>
                <w:color w:val="auto"/>
                <w:sz w:val="24"/>
              </w:rPr>
            </w:pPr>
            <w:r>
              <w:rPr>
                <w:rFonts w:hint="eastAsia"/>
                <w:color w:val="auto"/>
                <w:sz w:val="24"/>
              </w:rPr>
              <w:t>年产拉幅定型无纺布500吨、淋膜无纺布300吨扩建项目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项目代码</w:t>
            </w:r>
          </w:p>
        </w:tc>
        <w:tc>
          <w:tcPr>
            <w:tcW w:w="6488" w:type="dxa"/>
            <w:gridSpan w:val="3"/>
            <w:vAlign w:val="center"/>
          </w:tcPr>
          <w:p>
            <w:pPr>
              <w:adjustRightInd w:val="0"/>
              <w:snapToGrid w:val="0"/>
              <w:jc w:val="center"/>
              <w:rPr>
                <w:color w:val="auto"/>
                <w:sz w:val="24"/>
              </w:rPr>
            </w:pPr>
            <w:r>
              <w:rPr>
                <w:rFonts w:hint="eastAsia"/>
                <w:color w:val="auto"/>
                <w:sz w:val="24"/>
              </w:rPr>
              <w:t>2302</w:t>
            </w:r>
            <w:r>
              <w:rPr>
                <w:color w:val="auto"/>
                <w:sz w:val="24"/>
              </w:rPr>
              <w:t>-500</w:t>
            </w:r>
            <w:r>
              <w:rPr>
                <w:rFonts w:hint="eastAsia"/>
                <w:color w:val="auto"/>
                <w:sz w:val="24"/>
              </w:rPr>
              <w:t>151</w:t>
            </w:r>
            <w:r>
              <w:rPr>
                <w:color w:val="auto"/>
                <w:sz w:val="24"/>
              </w:rPr>
              <w:t>-0</w:t>
            </w:r>
            <w:r>
              <w:rPr>
                <w:rFonts w:hint="eastAsia"/>
                <w:color w:val="auto"/>
                <w:sz w:val="24"/>
              </w:rPr>
              <w:t>4</w:t>
            </w:r>
            <w:r>
              <w:rPr>
                <w:color w:val="auto"/>
                <w:sz w:val="24"/>
              </w:rPr>
              <w:t>-0</w:t>
            </w:r>
            <w:r>
              <w:rPr>
                <w:rFonts w:hint="eastAsia"/>
                <w:color w:val="auto"/>
                <w:sz w:val="24"/>
              </w:rPr>
              <w:t>1</w:t>
            </w:r>
            <w:r>
              <w:rPr>
                <w:color w:val="auto"/>
                <w:sz w:val="24"/>
              </w:rPr>
              <w:t>-</w:t>
            </w:r>
            <w:r>
              <w:rPr>
                <w:rFonts w:hint="eastAsia"/>
                <w:color w:val="auto"/>
                <w:sz w:val="24"/>
              </w:rPr>
              <w:t>196772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建设单位联系人</w:t>
            </w:r>
          </w:p>
        </w:tc>
        <w:tc>
          <w:tcPr>
            <w:tcW w:w="1637" w:type="dxa"/>
            <w:vAlign w:val="center"/>
          </w:tcPr>
          <w:p>
            <w:pPr>
              <w:adjustRightInd w:val="0"/>
              <w:snapToGrid w:val="0"/>
              <w:jc w:val="center"/>
              <w:rPr>
                <w:rFonts w:hint="default" w:ascii="宋体" w:hAnsi="宋体" w:eastAsia="宋体" w:cs="宋体"/>
                <w:bCs/>
                <w:color w:val="auto"/>
                <w:sz w:val="24"/>
                <w:lang w:val="en-US" w:eastAsia="zh-CN"/>
              </w:rPr>
            </w:pPr>
            <w:r>
              <w:rPr>
                <w:rFonts w:hint="eastAsia" w:ascii="宋体" w:hAnsi="宋体" w:cs="宋体"/>
                <w:bCs/>
                <w:color w:val="auto"/>
                <w:sz w:val="24"/>
              </w:rPr>
              <w:t>石</w:t>
            </w:r>
            <w:r>
              <w:rPr>
                <w:rFonts w:hint="eastAsia" w:ascii="宋体" w:hAnsi="宋体" w:cs="宋体"/>
                <w:bCs/>
                <w:color w:val="auto"/>
                <w:sz w:val="24"/>
                <w:lang w:val="en-US" w:eastAsia="zh-CN"/>
              </w:rPr>
              <w:t>**</w:t>
            </w:r>
          </w:p>
        </w:tc>
        <w:tc>
          <w:tcPr>
            <w:tcW w:w="2212" w:type="dxa"/>
            <w:vAlign w:val="center"/>
          </w:tcPr>
          <w:p>
            <w:pPr>
              <w:adjustRightInd w:val="0"/>
              <w:snapToGrid w:val="0"/>
              <w:jc w:val="center"/>
              <w:rPr>
                <w:rFonts w:ascii="宋体" w:hAnsi="宋体" w:cs="宋体"/>
                <w:bCs/>
                <w:color w:val="auto"/>
                <w:sz w:val="24"/>
              </w:rPr>
            </w:pPr>
            <w:r>
              <w:rPr>
                <w:rFonts w:hint="eastAsia" w:ascii="宋体" w:hAnsi="宋体" w:cs="宋体"/>
                <w:bCs/>
                <w:color w:val="auto"/>
                <w:sz w:val="24"/>
              </w:rPr>
              <w:t>联系方式</w:t>
            </w:r>
          </w:p>
        </w:tc>
        <w:tc>
          <w:tcPr>
            <w:tcW w:w="2639" w:type="dxa"/>
            <w:vAlign w:val="center"/>
          </w:tcPr>
          <w:p>
            <w:pPr>
              <w:adjustRightInd w:val="0"/>
              <w:snapToGrid w:val="0"/>
              <w:jc w:val="center"/>
              <w:rPr>
                <w:rFonts w:ascii="宋体" w:hAnsi="宋体" w:cs="宋体"/>
                <w:bCs/>
                <w:color w:val="auto"/>
                <w:sz w:val="24"/>
              </w:rPr>
            </w:pPr>
            <w:r>
              <w:rPr>
                <w:bCs/>
                <w:color w:val="auto"/>
                <w:sz w:val="24"/>
              </w:rPr>
              <w:t>136</w:t>
            </w:r>
            <w:r>
              <w:rPr>
                <w:rFonts w:hint="eastAsia"/>
                <w:bCs/>
                <w:color w:val="auto"/>
                <w:sz w:val="24"/>
                <w:lang w:val="en-US" w:eastAsia="zh-CN"/>
              </w:rPr>
              <w:t>*****</w:t>
            </w:r>
            <w:r>
              <w:rPr>
                <w:bCs/>
                <w:color w:val="auto"/>
                <w:sz w:val="24"/>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建设地点</w:t>
            </w:r>
          </w:p>
        </w:tc>
        <w:tc>
          <w:tcPr>
            <w:tcW w:w="6488" w:type="dxa"/>
            <w:gridSpan w:val="3"/>
            <w:vAlign w:val="center"/>
          </w:tcPr>
          <w:p>
            <w:pPr>
              <w:widowControl/>
              <w:jc w:val="center"/>
              <w:rPr>
                <w:color w:val="auto"/>
                <w:sz w:val="24"/>
              </w:rPr>
            </w:pPr>
            <w:r>
              <w:rPr>
                <w:rFonts w:hint="eastAsia"/>
                <w:color w:val="auto"/>
                <w:spacing w:val="8"/>
                <w:sz w:val="24"/>
                <w:shd w:val="clear" w:color="auto" w:fill="FFFFFF"/>
              </w:rPr>
              <w:t>重庆市铜梁区东城街道祝英南路7号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地理坐标</w:t>
            </w:r>
          </w:p>
        </w:tc>
        <w:tc>
          <w:tcPr>
            <w:tcW w:w="6488" w:type="dxa"/>
            <w:gridSpan w:val="3"/>
            <w:vAlign w:val="center"/>
          </w:tcPr>
          <w:p>
            <w:pPr>
              <w:jc w:val="center"/>
              <w:rPr>
                <w:color w:val="auto"/>
                <w:sz w:val="24"/>
              </w:rPr>
            </w:pPr>
            <w:r>
              <w:rPr>
                <w:color w:val="auto"/>
                <w:sz w:val="24"/>
              </w:rPr>
              <w:t>（</w:t>
            </w:r>
            <w:r>
              <w:rPr>
                <w:color w:val="auto"/>
                <w:sz w:val="24"/>
                <w:u w:val="single"/>
              </w:rPr>
              <w:t>106</w:t>
            </w:r>
            <w:r>
              <w:rPr>
                <w:color w:val="auto"/>
                <w:sz w:val="24"/>
              </w:rPr>
              <w:t>度</w:t>
            </w:r>
            <w:r>
              <w:rPr>
                <w:rFonts w:hint="eastAsia"/>
                <w:color w:val="auto"/>
                <w:sz w:val="24"/>
                <w:u w:val="single"/>
              </w:rPr>
              <w:t>7</w:t>
            </w:r>
            <w:r>
              <w:rPr>
                <w:color w:val="auto"/>
                <w:sz w:val="24"/>
              </w:rPr>
              <w:t>分</w:t>
            </w:r>
            <w:r>
              <w:rPr>
                <w:rFonts w:hint="eastAsia"/>
                <w:color w:val="auto"/>
                <w:sz w:val="24"/>
                <w:u w:val="single"/>
              </w:rPr>
              <w:t>10.390</w:t>
            </w:r>
            <w:r>
              <w:rPr>
                <w:color w:val="auto"/>
                <w:sz w:val="24"/>
              </w:rPr>
              <w:t>秒，</w:t>
            </w:r>
            <w:r>
              <w:rPr>
                <w:color w:val="auto"/>
                <w:sz w:val="24"/>
                <w:u w:val="single"/>
              </w:rPr>
              <w:t>29</w:t>
            </w:r>
            <w:r>
              <w:rPr>
                <w:color w:val="auto"/>
                <w:sz w:val="24"/>
              </w:rPr>
              <w:t>度</w:t>
            </w:r>
            <w:r>
              <w:rPr>
                <w:rFonts w:hint="eastAsia"/>
                <w:color w:val="auto"/>
                <w:sz w:val="24"/>
                <w:u w:val="single"/>
              </w:rPr>
              <w:t>50</w:t>
            </w:r>
            <w:r>
              <w:rPr>
                <w:color w:val="auto"/>
                <w:sz w:val="24"/>
              </w:rPr>
              <w:t>分</w:t>
            </w:r>
            <w:r>
              <w:rPr>
                <w:rFonts w:hint="eastAsia"/>
                <w:color w:val="auto"/>
                <w:sz w:val="24"/>
                <w:u w:val="single"/>
              </w:rPr>
              <w:t>38.905</w:t>
            </w:r>
            <w:r>
              <w:rPr>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国民经济</w:t>
            </w:r>
          </w:p>
          <w:p>
            <w:pPr>
              <w:adjustRightInd w:val="0"/>
              <w:snapToGrid w:val="0"/>
              <w:jc w:val="center"/>
              <w:rPr>
                <w:rFonts w:ascii="宋体" w:hAnsi="宋体" w:cs="宋体"/>
                <w:color w:val="auto"/>
                <w:sz w:val="24"/>
              </w:rPr>
            </w:pPr>
            <w:r>
              <w:rPr>
                <w:rFonts w:hint="eastAsia" w:ascii="宋体" w:hAnsi="宋体" w:cs="宋体"/>
                <w:color w:val="auto"/>
                <w:sz w:val="24"/>
              </w:rPr>
              <w:t>行业类别</w:t>
            </w:r>
          </w:p>
        </w:tc>
        <w:tc>
          <w:tcPr>
            <w:tcW w:w="1637" w:type="dxa"/>
            <w:vAlign w:val="center"/>
          </w:tcPr>
          <w:p>
            <w:pPr>
              <w:widowControl/>
              <w:jc w:val="left"/>
              <w:rPr>
                <w:color w:val="auto"/>
                <w:sz w:val="24"/>
              </w:rPr>
            </w:pPr>
            <w:r>
              <w:rPr>
                <w:rFonts w:hint="eastAsia"/>
                <w:color w:val="auto"/>
                <w:sz w:val="24"/>
              </w:rPr>
              <w:t>C36-3670汽车零部件及配件制造</w:t>
            </w:r>
          </w:p>
        </w:tc>
        <w:tc>
          <w:tcPr>
            <w:tcW w:w="2212"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行业类别</w:t>
            </w:r>
          </w:p>
        </w:tc>
        <w:tc>
          <w:tcPr>
            <w:tcW w:w="2639" w:type="dxa"/>
            <w:vAlign w:val="center"/>
          </w:tcPr>
          <w:p>
            <w:pPr>
              <w:widowControl/>
              <w:jc w:val="left"/>
              <w:rPr>
                <w:color w:val="auto"/>
                <w:sz w:val="24"/>
              </w:rPr>
            </w:pPr>
            <w:r>
              <w:rPr>
                <w:rFonts w:ascii="STSong-Light" w:hAnsi="STSong-Light" w:eastAsia="STSong-Light" w:cs="STSong-Light"/>
                <w:color w:val="auto"/>
                <w:kern w:val="0"/>
                <w:sz w:val="24"/>
                <w:lang w:bidi="ar"/>
              </w:rPr>
              <w:t>33-071汽车整车制造；汽车用发动机制造；改装汽车制造；低速汽车制造；电车制造；汽车车身、挂车制造；汽车零部件及配件制造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建设性质</w:t>
            </w:r>
          </w:p>
        </w:tc>
        <w:tc>
          <w:tcPr>
            <w:tcW w:w="1637" w:type="dxa"/>
            <w:vAlign w:val="center"/>
          </w:tcPr>
          <w:p>
            <w:pPr>
              <w:jc w:val="left"/>
              <w:rPr>
                <w:rFonts w:ascii="宋体" w:hAnsi="宋体" w:cs="宋体"/>
                <w:color w:val="auto"/>
                <w:sz w:val="24"/>
              </w:rPr>
            </w:pPr>
            <w:r>
              <w:rPr>
                <w:rFonts w:hint="eastAsia" w:ascii="宋体" w:hAnsi="宋体" w:cs="宋体"/>
                <w:color w:val="auto"/>
                <w:sz w:val="24"/>
              </w:rPr>
              <w:t>□新建（迁建）</w:t>
            </w:r>
          </w:p>
          <w:p>
            <w:pPr>
              <w:jc w:val="left"/>
              <w:rPr>
                <w:rFonts w:ascii="宋体" w:hAnsi="宋体" w:cs="宋体"/>
                <w:color w:val="auto"/>
                <w:sz w:val="24"/>
              </w:rPr>
            </w:pPr>
            <w:r>
              <w:rPr>
                <w:rFonts w:hint="eastAsia" w:ascii="宋体" w:hAnsi="宋体" w:cs="宋体"/>
                <w:color w:val="auto"/>
                <w:sz w:val="24"/>
              </w:rPr>
              <w:t>□改建</w:t>
            </w:r>
          </w:p>
          <w:p>
            <w:pPr>
              <w:jc w:val="left"/>
              <w:rPr>
                <w:rFonts w:ascii="宋体" w:hAnsi="宋体" w:cs="宋体"/>
                <w:color w:val="auto"/>
                <w:sz w:val="24"/>
              </w:rPr>
            </w:pPr>
            <w:r>
              <w:rPr>
                <w:rFonts w:hint="eastAsia" w:ascii="宋体" w:hAnsi="宋体" w:cs="宋体"/>
                <w:color w:val="auto"/>
                <w:sz w:val="24"/>
              </w:rPr>
              <w:t>√扩建</w:t>
            </w:r>
          </w:p>
          <w:p>
            <w:pPr>
              <w:jc w:val="left"/>
              <w:rPr>
                <w:rFonts w:ascii="宋体" w:hAnsi="宋体" w:cs="宋体"/>
                <w:color w:val="auto"/>
                <w:sz w:val="24"/>
              </w:rPr>
            </w:pPr>
            <w:r>
              <w:rPr>
                <w:rFonts w:hint="eastAsia" w:ascii="宋体" w:hAnsi="宋体" w:cs="宋体"/>
                <w:color w:val="auto"/>
                <w:sz w:val="24"/>
              </w:rPr>
              <w:t>□技术改造</w:t>
            </w:r>
          </w:p>
        </w:tc>
        <w:tc>
          <w:tcPr>
            <w:tcW w:w="2212"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建设项目</w:t>
            </w:r>
          </w:p>
          <w:p>
            <w:pPr>
              <w:adjustRightInd w:val="0"/>
              <w:snapToGrid w:val="0"/>
              <w:jc w:val="center"/>
              <w:rPr>
                <w:rFonts w:ascii="宋体" w:hAnsi="宋体" w:cs="宋体"/>
                <w:color w:val="auto"/>
                <w:sz w:val="24"/>
              </w:rPr>
            </w:pPr>
            <w:r>
              <w:rPr>
                <w:rFonts w:hint="eastAsia" w:ascii="宋体" w:hAnsi="宋体" w:cs="宋体"/>
                <w:color w:val="auto"/>
                <w:sz w:val="24"/>
              </w:rPr>
              <w:t>申报情形</w:t>
            </w:r>
          </w:p>
        </w:tc>
        <w:tc>
          <w:tcPr>
            <w:tcW w:w="2639" w:type="dxa"/>
            <w:vAlign w:val="center"/>
          </w:tcPr>
          <w:p>
            <w:pPr>
              <w:jc w:val="left"/>
              <w:rPr>
                <w:rFonts w:ascii="宋体" w:hAnsi="宋体" w:cs="宋体"/>
                <w:color w:val="auto"/>
                <w:sz w:val="24"/>
              </w:rPr>
            </w:pPr>
            <w:r>
              <w:rPr>
                <w:rFonts w:hint="eastAsia" w:ascii="宋体" w:hAnsi="宋体" w:cs="宋体"/>
                <w:color w:val="auto"/>
                <w:sz w:val="24"/>
              </w:rPr>
              <w:t>√首次申报项目</w:t>
            </w:r>
            <w:r>
              <w:rPr>
                <w:rFonts w:ascii="宋体" w:hAnsi="宋体" w:cs="宋体"/>
                <w:color w:val="auto"/>
                <w:sz w:val="24"/>
              </w:rPr>
              <w:t xml:space="preserve">             </w:t>
            </w:r>
          </w:p>
          <w:p>
            <w:pPr>
              <w:jc w:val="left"/>
              <w:rPr>
                <w:rFonts w:ascii="宋体" w:hAnsi="宋体" w:cs="宋体"/>
                <w:color w:val="auto"/>
                <w:sz w:val="24"/>
              </w:rPr>
            </w:pPr>
            <w:r>
              <w:rPr>
                <w:rFonts w:hint="eastAsia" w:ascii="宋体" w:hAnsi="宋体" w:cs="宋体"/>
                <w:color w:val="auto"/>
                <w:sz w:val="24"/>
              </w:rPr>
              <w:t>□不予批准后再次申报项目</w:t>
            </w:r>
          </w:p>
          <w:p>
            <w:pPr>
              <w:jc w:val="left"/>
              <w:rPr>
                <w:rFonts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超五年重新审核项目</w:t>
            </w:r>
            <w:r>
              <w:rPr>
                <w:rFonts w:ascii="宋体" w:hAnsi="宋体" w:cs="宋体"/>
                <w:color w:val="auto"/>
                <w:sz w:val="24"/>
              </w:rPr>
              <w:t xml:space="preserve">     </w:t>
            </w:r>
          </w:p>
          <w:p>
            <w:pPr>
              <w:jc w:val="left"/>
              <w:rPr>
                <w:rFonts w:ascii="宋体" w:hAnsi="宋体" w:cs="宋体"/>
                <w:color w:val="auto"/>
                <w:sz w:val="24"/>
              </w:rPr>
            </w:pPr>
            <w:r>
              <w:rPr>
                <w:rFonts w:hint="eastAsia" w:ascii="宋体" w:hAnsi="宋体" w:cs="宋体"/>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p>
          <w:p>
            <w:pPr>
              <w:adjustRightInd w:val="0"/>
              <w:snapToGrid w:val="0"/>
              <w:jc w:val="center"/>
              <w:rPr>
                <w:rFonts w:ascii="宋体" w:hAnsi="宋体" w:cs="宋体"/>
                <w:color w:val="auto"/>
                <w:sz w:val="24"/>
              </w:rPr>
            </w:pPr>
            <w:r>
              <w:rPr>
                <w:rFonts w:hint="eastAsia" w:ascii="宋体" w:hAnsi="宋体" w:cs="宋体"/>
                <w:color w:val="auto"/>
                <w:sz w:val="24"/>
              </w:rPr>
              <w:t>备案）部门（选填）</w:t>
            </w:r>
          </w:p>
        </w:tc>
        <w:tc>
          <w:tcPr>
            <w:tcW w:w="1637" w:type="dxa"/>
            <w:vAlign w:val="center"/>
          </w:tcPr>
          <w:p>
            <w:pPr>
              <w:adjustRightInd w:val="0"/>
              <w:snapToGrid w:val="0"/>
              <w:jc w:val="center"/>
              <w:rPr>
                <w:rFonts w:hint="eastAsia" w:ascii="宋体" w:hAnsi="宋体" w:eastAsia="宋体" w:cs="宋体"/>
                <w:color w:val="auto"/>
                <w:sz w:val="24"/>
                <w:lang w:eastAsia="zh-CN"/>
              </w:rPr>
            </w:pPr>
            <w:r>
              <w:rPr>
                <w:rFonts w:hint="eastAsia" w:ascii="宋体" w:hAnsi="宋体" w:cs="宋体"/>
                <w:color w:val="auto"/>
                <w:sz w:val="24"/>
              </w:rPr>
              <w:t>重庆市铜梁</w:t>
            </w:r>
            <w:r>
              <w:rPr>
                <w:rFonts w:hint="eastAsia" w:ascii="宋体" w:hAnsi="宋体" w:cs="宋体"/>
                <w:color w:val="auto"/>
                <w:sz w:val="24"/>
                <w:lang w:eastAsia="zh-CN"/>
              </w:rPr>
              <w:t>区发展和改革委员会</w:t>
            </w:r>
          </w:p>
        </w:tc>
        <w:tc>
          <w:tcPr>
            <w:tcW w:w="2212"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p>
          <w:p>
            <w:pPr>
              <w:adjustRightInd w:val="0"/>
              <w:snapToGrid w:val="0"/>
              <w:jc w:val="center"/>
              <w:rPr>
                <w:rFonts w:ascii="宋体" w:hAnsi="宋体" w:cs="宋体"/>
                <w:color w:val="auto"/>
                <w:sz w:val="24"/>
              </w:rPr>
            </w:pPr>
            <w:r>
              <w:rPr>
                <w:rFonts w:hint="eastAsia" w:ascii="宋体" w:hAnsi="宋体" w:cs="宋体"/>
                <w:color w:val="auto"/>
                <w:sz w:val="24"/>
              </w:rPr>
              <w:t>备案）文号（选填）</w:t>
            </w:r>
          </w:p>
        </w:tc>
        <w:tc>
          <w:tcPr>
            <w:tcW w:w="2639"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总投资（万元）</w:t>
            </w:r>
          </w:p>
        </w:tc>
        <w:tc>
          <w:tcPr>
            <w:tcW w:w="1637" w:type="dxa"/>
            <w:vAlign w:val="center"/>
          </w:tcPr>
          <w:p>
            <w:pPr>
              <w:adjustRightInd w:val="0"/>
              <w:snapToGrid w:val="0"/>
              <w:jc w:val="center"/>
              <w:rPr>
                <w:color w:val="auto"/>
                <w:sz w:val="24"/>
              </w:rPr>
            </w:pPr>
            <w:r>
              <w:rPr>
                <w:rFonts w:hint="eastAsia"/>
                <w:color w:val="auto"/>
                <w:sz w:val="24"/>
              </w:rPr>
              <w:t>1000</w:t>
            </w:r>
          </w:p>
        </w:tc>
        <w:tc>
          <w:tcPr>
            <w:tcW w:w="2212" w:type="dxa"/>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2639" w:type="dxa"/>
            <w:vAlign w:val="center"/>
          </w:tcPr>
          <w:p>
            <w:pPr>
              <w:adjustRightInd w:val="0"/>
              <w:snapToGrid w:val="0"/>
              <w:jc w:val="center"/>
              <w:rPr>
                <w:color w:val="auto"/>
                <w:sz w:val="24"/>
              </w:rPr>
            </w:pPr>
            <w:r>
              <w:rPr>
                <w:rFonts w:hint="eastAsia"/>
                <w:color w:val="auto"/>
                <w:sz w:val="24"/>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环保投资占比（</w:t>
            </w:r>
            <w:r>
              <w:rPr>
                <w:rFonts w:ascii="宋体" w:hAnsi="宋体" w:cs="宋体"/>
                <w:color w:val="auto"/>
                <w:sz w:val="24"/>
              </w:rPr>
              <w:t>%</w:t>
            </w:r>
            <w:r>
              <w:rPr>
                <w:rFonts w:hint="eastAsia" w:ascii="宋体" w:hAnsi="宋体" w:cs="宋体"/>
                <w:color w:val="auto"/>
                <w:sz w:val="24"/>
              </w:rPr>
              <w:t>）</w:t>
            </w:r>
          </w:p>
        </w:tc>
        <w:tc>
          <w:tcPr>
            <w:tcW w:w="1637" w:type="dxa"/>
            <w:vAlign w:val="center"/>
          </w:tcPr>
          <w:p>
            <w:pPr>
              <w:adjustRightInd w:val="0"/>
              <w:snapToGrid w:val="0"/>
              <w:jc w:val="center"/>
              <w:rPr>
                <w:color w:val="auto"/>
                <w:sz w:val="24"/>
              </w:rPr>
            </w:pPr>
            <w:r>
              <w:rPr>
                <w:rFonts w:hint="eastAsia"/>
                <w:color w:val="auto"/>
                <w:sz w:val="24"/>
              </w:rPr>
              <w:t>1.7</w:t>
            </w:r>
          </w:p>
        </w:tc>
        <w:tc>
          <w:tcPr>
            <w:tcW w:w="2212" w:type="dxa"/>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2639" w:type="dxa"/>
            <w:vAlign w:val="center"/>
          </w:tcPr>
          <w:p>
            <w:pPr>
              <w:adjustRightInd w:val="0"/>
              <w:snapToGrid w:val="0"/>
              <w:jc w:val="center"/>
              <w:rPr>
                <w:color w:val="auto"/>
                <w:sz w:val="24"/>
              </w:rPr>
            </w:pPr>
            <w:r>
              <w:rPr>
                <w:rFonts w:hint="eastAsia"/>
                <w:color w:val="auto"/>
                <w:sz w:val="24"/>
              </w:rPr>
              <w:t>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是否开工建设</w:t>
            </w:r>
          </w:p>
        </w:tc>
        <w:tc>
          <w:tcPr>
            <w:tcW w:w="1637" w:type="dxa"/>
            <w:vAlign w:val="center"/>
          </w:tcPr>
          <w:p>
            <w:pPr>
              <w:adjustRightInd w:val="0"/>
              <w:snapToGrid w:val="0"/>
              <w:rPr>
                <w:rFonts w:ascii="宋体" w:hAnsi="宋体" w:cs="宋体"/>
                <w:color w:val="auto"/>
                <w:sz w:val="24"/>
              </w:rPr>
            </w:pPr>
            <w:r>
              <w:rPr>
                <w:rFonts w:hint="eastAsia" w:ascii="宋体" w:hAnsi="宋体" w:cs="宋体"/>
                <w:color w:val="auto"/>
                <w:sz w:val="24"/>
              </w:rPr>
              <w:t>√否</w:t>
            </w:r>
          </w:p>
          <w:p>
            <w:pPr>
              <w:adjustRightInd w:val="0"/>
              <w:snapToGrid w:val="0"/>
              <w:rPr>
                <w:rFonts w:ascii="宋体" w:hAnsi="宋体" w:cs="宋体"/>
                <w:color w:val="auto"/>
                <w:sz w:val="24"/>
              </w:rPr>
            </w:pPr>
            <w:r>
              <w:rPr>
                <w:color w:val="auto"/>
                <w:sz w:val="24"/>
              </w:rPr>
              <w:sym w:font="Wingdings 2" w:char="00A3"/>
            </w:r>
            <w:r>
              <w:rPr>
                <w:rFonts w:hint="eastAsia" w:ascii="宋体" w:hAnsi="宋体" w:cs="宋体"/>
                <w:color w:val="auto"/>
                <w:sz w:val="24"/>
              </w:rPr>
              <w:t>是：</w:t>
            </w:r>
            <w:r>
              <w:rPr>
                <w:rFonts w:hint="eastAsia" w:ascii="宋体" w:hAnsi="宋体" w:cs="宋体"/>
                <w:color w:val="auto"/>
                <w:sz w:val="24"/>
                <w:u w:val="single"/>
              </w:rPr>
              <w:t xml:space="preserve">      </w:t>
            </w:r>
          </w:p>
        </w:tc>
        <w:tc>
          <w:tcPr>
            <w:tcW w:w="2212" w:type="dxa"/>
            <w:tcMar>
              <w:top w:w="16" w:type="dxa"/>
              <w:left w:w="16" w:type="dxa"/>
              <w:right w:w="16" w:type="dxa"/>
            </w:tcMar>
            <w:vAlign w:val="center"/>
          </w:tcPr>
          <w:p>
            <w:pPr>
              <w:adjustRightInd w:val="0"/>
              <w:snapToGrid w:val="0"/>
              <w:jc w:val="center"/>
              <w:rPr>
                <w:rFonts w:ascii="宋体" w:hAnsi="宋体" w:cs="宋体"/>
                <w:color w:val="auto"/>
                <w:spacing w:val="-6"/>
                <w:sz w:val="24"/>
              </w:rPr>
            </w:pPr>
            <w:r>
              <w:rPr>
                <w:rFonts w:hint="eastAsia" w:ascii="宋体" w:hAnsi="宋体" w:cs="宋体"/>
                <w:color w:val="auto"/>
                <w:spacing w:val="-6"/>
                <w:sz w:val="24"/>
              </w:rPr>
              <w:t>用地（用海）</w:t>
            </w:r>
          </w:p>
          <w:p>
            <w:pPr>
              <w:adjustRightInd w:val="0"/>
              <w:snapToGrid w:val="0"/>
              <w:jc w:val="center"/>
              <w:rPr>
                <w:rFonts w:ascii="宋体" w:hAnsi="宋体" w:cs="宋体"/>
                <w:color w:val="auto"/>
                <w:sz w:val="24"/>
              </w:rPr>
            </w:pPr>
            <w:r>
              <w:rPr>
                <w:rFonts w:hint="eastAsia" w:ascii="宋体" w:hAnsi="宋体" w:cs="宋体"/>
                <w:color w:val="auto"/>
                <w:spacing w:val="-6"/>
                <w:sz w:val="24"/>
              </w:rPr>
              <w:t>面积（</w:t>
            </w:r>
            <w:r>
              <w:rPr>
                <w:rFonts w:ascii="宋体" w:hAnsi="宋体" w:cs="宋体"/>
                <w:color w:val="auto"/>
                <w:spacing w:val="-6"/>
                <w:sz w:val="24"/>
              </w:rPr>
              <w:t>m</w:t>
            </w:r>
            <w:r>
              <w:rPr>
                <w:rFonts w:ascii="宋体" w:hAnsi="宋体" w:cs="宋体"/>
                <w:color w:val="auto"/>
                <w:spacing w:val="-6"/>
                <w:sz w:val="24"/>
                <w:vertAlign w:val="superscript"/>
              </w:rPr>
              <w:t>2</w:t>
            </w:r>
            <w:r>
              <w:rPr>
                <w:rFonts w:hint="eastAsia" w:ascii="宋体" w:hAnsi="宋体" w:cs="宋体"/>
                <w:color w:val="auto"/>
                <w:spacing w:val="-6"/>
                <w:sz w:val="24"/>
              </w:rPr>
              <w:t>）</w:t>
            </w:r>
          </w:p>
        </w:tc>
        <w:tc>
          <w:tcPr>
            <w:tcW w:w="2639" w:type="dxa"/>
            <w:vAlign w:val="center"/>
          </w:tcPr>
          <w:p>
            <w:pPr>
              <w:adjustRightInd w:val="0"/>
              <w:snapToGrid w:val="0"/>
              <w:jc w:val="center"/>
              <w:rPr>
                <w:rFonts w:ascii="宋体" w:hAnsi="宋体" w:cs="宋体"/>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专项评价设置情况</w:t>
            </w:r>
          </w:p>
        </w:tc>
        <w:tc>
          <w:tcPr>
            <w:tcW w:w="6488" w:type="dxa"/>
            <w:gridSpan w:val="3"/>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规划情况</w:t>
            </w:r>
          </w:p>
        </w:tc>
        <w:tc>
          <w:tcPr>
            <w:tcW w:w="6488" w:type="dxa"/>
            <w:gridSpan w:val="3"/>
            <w:vAlign w:val="center"/>
          </w:tcPr>
          <w:p>
            <w:pPr>
              <w:autoSpaceDE w:val="0"/>
              <w:autoSpaceDN w:val="0"/>
              <w:adjustRightInd w:val="0"/>
              <w:snapToGrid w:val="0"/>
              <w:jc w:val="center"/>
              <w:rPr>
                <w:rFonts w:eastAsiaTheme="minorEastAsia"/>
                <w:bCs/>
                <w:color w:val="auto"/>
                <w:sz w:val="24"/>
              </w:rPr>
            </w:pPr>
            <w:r>
              <w:rPr>
                <w:rFonts w:eastAsiaTheme="minorEastAsia"/>
                <w:bCs/>
                <w:color w:val="auto"/>
                <w:sz w:val="24"/>
              </w:rPr>
              <w:t>《重庆市铜梁工业园区全蒲片区控制性详细规划》</w:t>
            </w:r>
          </w:p>
          <w:p>
            <w:pPr>
              <w:autoSpaceDE w:val="0"/>
              <w:autoSpaceDN w:val="0"/>
              <w:adjustRightInd w:val="0"/>
              <w:snapToGrid w:val="0"/>
              <w:spacing w:line="360" w:lineRule="auto"/>
              <w:jc w:val="center"/>
              <w:rPr>
                <w:color w:val="auto"/>
              </w:rPr>
            </w:pPr>
            <w:r>
              <w:rPr>
                <w:rFonts w:eastAsiaTheme="minorEastAsia"/>
                <w:bCs/>
                <w:color w:val="auto"/>
                <w:sz w:val="24"/>
              </w:rPr>
              <w:t>审批机关：铜梁区人民政府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规划环境影响</w:t>
            </w:r>
          </w:p>
          <w:p>
            <w:pPr>
              <w:adjustRightInd w:val="0"/>
              <w:snapToGrid w:val="0"/>
              <w:jc w:val="center"/>
              <w:rPr>
                <w:rFonts w:ascii="宋体" w:hAnsi="宋体" w:cs="宋体"/>
                <w:color w:val="auto"/>
                <w:kern w:val="0"/>
                <w:sz w:val="24"/>
              </w:rPr>
            </w:pPr>
            <w:r>
              <w:rPr>
                <w:rFonts w:hint="eastAsia" w:ascii="宋体" w:hAnsi="宋体" w:cs="宋体"/>
                <w:color w:val="auto"/>
                <w:sz w:val="24"/>
              </w:rPr>
              <w:t>评价情况</w:t>
            </w:r>
          </w:p>
        </w:tc>
        <w:tc>
          <w:tcPr>
            <w:tcW w:w="6488" w:type="dxa"/>
            <w:gridSpan w:val="3"/>
            <w:vAlign w:val="center"/>
          </w:tcPr>
          <w:p>
            <w:pPr>
              <w:autoSpaceDE w:val="0"/>
              <w:autoSpaceDN w:val="0"/>
              <w:adjustRightInd w:val="0"/>
              <w:snapToGrid w:val="0"/>
              <w:spacing w:line="360" w:lineRule="auto"/>
              <w:jc w:val="center"/>
              <w:rPr>
                <w:color w:val="auto"/>
              </w:rPr>
            </w:pPr>
            <w:r>
              <w:rPr>
                <w:rFonts w:eastAsiaTheme="minorEastAsia"/>
                <w:bCs/>
                <w:color w:val="auto"/>
                <w:sz w:val="24"/>
              </w:rPr>
              <w:t>《重庆铜梁高新区铜梁片区及全蒲片区规划环境影响跟踪评价报告书审查意见函》（渝环函[2019]94号）</w:t>
            </w:r>
          </w:p>
        </w:tc>
      </w:tr>
    </w:tbl>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br w:type="page"/>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0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864" w:type="dxa"/>
            <w:vAlign w:val="center"/>
          </w:tcPr>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规划及规划环境</w:t>
            </w:r>
          </w:p>
          <w:p>
            <w:pPr>
              <w:autoSpaceDE w:val="0"/>
              <w:autoSpaceDN w:val="0"/>
              <w:adjustRightInd w:val="0"/>
              <w:snapToGrid w:val="0"/>
              <w:rPr>
                <w:rFonts w:ascii="宋体" w:hAnsi="宋体" w:cs="宋体"/>
                <w:color w:val="auto"/>
                <w:kern w:val="0"/>
                <w:sz w:val="24"/>
              </w:rPr>
            </w:pPr>
            <w:r>
              <w:rPr>
                <w:rFonts w:hint="eastAsia" w:ascii="宋体" w:hAnsi="宋体" w:cs="宋体"/>
                <w:color w:val="auto"/>
                <w:kern w:val="0"/>
                <w:sz w:val="24"/>
              </w:rPr>
              <w:t>影响评价符合性分析</w:t>
            </w:r>
          </w:p>
        </w:tc>
        <w:tc>
          <w:tcPr>
            <w:tcW w:w="8006" w:type="dxa"/>
          </w:tcPr>
          <w:p>
            <w:pPr>
              <w:autoSpaceDE w:val="0"/>
              <w:autoSpaceDN w:val="0"/>
              <w:adjustRightInd w:val="0"/>
              <w:snapToGrid w:val="0"/>
              <w:spacing w:line="360" w:lineRule="auto"/>
              <w:jc w:val="left"/>
              <w:rPr>
                <w:rFonts w:eastAsiaTheme="minorEastAsia"/>
                <w:color w:val="auto"/>
                <w:kern w:val="0"/>
                <w:sz w:val="24"/>
              </w:rPr>
            </w:pPr>
            <w:r>
              <w:rPr>
                <w:rFonts w:hint="eastAsia" w:eastAsiaTheme="minorEastAsia"/>
                <w:b/>
                <w:bCs/>
                <w:color w:val="auto"/>
                <w:kern w:val="0"/>
                <w:sz w:val="24"/>
              </w:rPr>
              <w:t>1.</w:t>
            </w:r>
            <w:r>
              <w:rPr>
                <w:rFonts w:eastAsiaTheme="minorEastAsia"/>
                <w:b/>
                <w:bCs/>
                <w:color w:val="auto"/>
                <w:kern w:val="0"/>
                <w:sz w:val="24"/>
              </w:rPr>
              <w:t>与</w:t>
            </w:r>
            <w:r>
              <w:rPr>
                <w:rFonts w:eastAsiaTheme="minorEastAsia"/>
                <w:b/>
                <w:color w:val="auto"/>
                <w:sz w:val="24"/>
              </w:rPr>
              <w:t>重庆市铜梁工业园区全蒲片区控制性详细规划</w:t>
            </w:r>
            <w:r>
              <w:rPr>
                <w:rFonts w:eastAsiaTheme="minorEastAsia"/>
                <w:b/>
                <w:bCs/>
                <w:color w:val="auto"/>
                <w:kern w:val="0"/>
                <w:sz w:val="24"/>
              </w:rPr>
              <w:t>符合性分析</w:t>
            </w:r>
          </w:p>
          <w:p>
            <w:pPr>
              <w:pStyle w:val="60"/>
              <w:ind w:firstLine="480"/>
              <w:rPr>
                <w:rFonts w:eastAsia="宋体"/>
                <w:color w:val="auto"/>
              </w:rPr>
            </w:pPr>
            <w:r>
              <w:rPr>
                <w:rFonts w:eastAsia="宋体"/>
                <w:color w:val="auto"/>
              </w:rPr>
              <w:t>重庆铜梁工业园区于2002年成立，是重庆市人民政府《关于同意铜梁区等16个区县（市）设立特色工业园区的批复》（渝府[2002]210号）批准设立的首批市级特色工业园区。</w:t>
            </w:r>
          </w:p>
          <w:p>
            <w:pPr>
              <w:pStyle w:val="60"/>
              <w:ind w:firstLine="480"/>
              <w:rPr>
                <w:rFonts w:eastAsia="宋体"/>
                <w:color w:val="auto"/>
              </w:rPr>
            </w:pPr>
            <w:r>
              <w:rPr>
                <w:rFonts w:eastAsia="宋体"/>
                <w:color w:val="auto"/>
              </w:rPr>
              <w:t>根据《铜梁区工业发展规划》（2017-2025）及《重庆市铜梁区工业园区全蒲片区控规修改》（2017年修编）等各片区专项规划，铜梁工业园区最新规划概要如下：</w:t>
            </w:r>
          </w:p>
          <w:p>
            <w:pPr>
              <w:pStyle w:val="60"/>
              <w:ind w:firstLine="480"/>
              <w:rPr>
                <w:rFonts w:eastAsia="宋体"/>
                <w:bCs/>
                <w:color w:val="auto"/>
              </w:rPr>
            </w:pPr>
            <w:r>
              <w:rPr>
                <w:rFonts w:eastAsia="宋体"/>
                <w:bCs/>
                <w:color w:val="auto"/>
              </w:rPr>
              <w:t>（1）园区规划面积及四至范围</w:t>
            </w:r>
          </w:p>
          <w:p>
            <w:pPr>
              <w:pStyle w:val="60"/>
              <w:ind w:firstLine="480"/>
              <w:rPr>
                <w:rFonts w:eastAsia="宋体"/>
                <w:color w:val="auto"/>
              </w:rPr>
            </w:pPr>
            <w:r>
              <w:rPr>
                <w:rFonts w:eastAsia="宋体"/>
                <w:color w:val="auto"/>
              </w:rPr>
              <w:t>以白土坝片区、姜家岩片区、蒲吕片区为核心，白土坝片区、姜家岩片区、蒲吕片区规划面积2233.48ha，远景规划面积50km</w:t>
            </w:r>
            <w:r>
              <w:rPr>
                <w:rFonts w:eastAsia="宋体"/>
                <w:color w:val="auto"/>
                <w:vertAlign w:val="superscript"/>
              </w:rPr>
              <w:t>2</w:t>
            </w:r>
            <w:r>
              <w:rPr>
                <w:rFonts w:eastAsia="宋体"/>
                <w:color w:val="auto"/>
              </w:rPr>
              <w:t>。</w:t>
            </w:r>
          </w:p>
          <w:p>
            <w:pPr>
              <w:pStyle w:val="60"/>
              <w:ind w:firstLine="480"/>
              <w:rPr>
                <w:rFonts w:eastAsia="宋体"/>
                <w:color w:val="auto"/>
              </w:rPr>
            </w:pPr>
            <w:r>
              <w:rPr>
                <w:rFonts w:eastAsia="宋体"/>
                <w:color w:val="auto"/>
              </w:rPr>
              <w:t>白土坝区域四至范围为：东至岳阳路，南至龙腾大道，西至中南路，北至淮远河；姜家岩区域四至范围为：东至全兴社区，南至龙安路－龙腾大道，西至金川大道－金龙大道，北至铜梁北互通口；蒲吕区域四至范围：东至全蒲路，南至毓青山，西至渝遂高速，北至龙腾大道。</w:t>
            </w:r>
          </w:p>
          <w:p>
            <w:pPr>
              <w:pStyle w:val="60"/>
              <w:ind w:firstLine="480"/>
              <w:rPr>
                <w:rFonts w:eastAsia="宋体"/>
                <w:bCs/>
                <w:color w:val="auto"/>
              </w:rPr>
            </w:pPr>
            <w:r>
              <w:rPr>
                <w:rFonts w:eastAsia="宋体"/>
                <w:bCs/>
                <w:color w:val="auto"/>
              </w:rPr>
              <w:t>（2）功能定位和产业结构</w:t>
            </w:r>
          </w:p>
          <w:p>
            <w:pPr>
              <w:pStyle w:val="60"/>
              <w:ind w:firstLine="480"/>
              <w:rPr>
                <w:rFonts w:eastAsia="宋体"/>
                <w:color w:val="auto"/>
              </w:rPr>
            </w:pPr>
            <w:r>
              <w:rPr>
                <w:rFonts w:eastAsia="宋体"/>
                <w:color w:val="auto"/>
              </w:rPr>
              <w:t>重庆市重要的先进制造业基地，具有国内竞争力的高新技术开发区，成渝大健康产业集聚区。</w:t>
            </w:r>
          </w:p>
          <w:p>
            <w:pPr>
              <w:pStyle w:val="60"/>
              <w:ind w:firstLine="480"/>
              <w:rPr>
                <w:rFonts w:eastAsia="宋体"/>
                <w:color w:val="auto"/>
              </w:rPr>
            </w:pPr>
            <w:r>
              <w:rPr>
                <w:rFonts w:eastAsia="宋体"/>
                <w:color w:val="auto"/>
              </w:rPr>
              <w:t>主要定位为电子信息、装备制造、新材料、大健康等产业。</w:t>
            </w:r>
          </w:p>
          <w:p>
            <w:pPr>
              <w:pStyle w:val="60"/>
              <w:ind w:firstLine="480"/>
              <w:rPr>
                <w:rFonts w:eastAsia="宋体"/>
                <w:bCs/>
                <w:color w:val="auto"/>
              </w:rPr>
            </w:pPr>
            <w:r>
              <w:rPr>
                <w:rFonts w:eastAsia="宋体"/>
                <w:bCs/>
                <w:color w:val="auto"/>
              </w:rPr>
              <w:t>（3）规划布局</w:t>
            </w:r>
          </w:p>
          <w:p>
            <w:pPr>
              <w:pStyle w:val="60"/>
              <w:ind w:firstLine="480"/>
              <w:rPr>
                <w:rFonts w:eastAsia="宋体"/>
                <w:color w:val="auto"/>
              </w:rPr>
            </w:pPr>
            <w:r>
              <w:rPr>
                <w:rFonts w:eastAsia="宋体"/>
                <w:color w:val="auto"/>
              </w:rPr>
              <w:t>规划区布局为“一区四组团”为主、镇街特色工业为辅助的工业格局。</w:t>
            </w:r>
          </w:p>
          <w:p>
            <w:pPr>
              <w:pStyle w:val="60"/>
              <w:ind w:firstLine="480"/>
              <w:rPr>
                <w:rFonts w:eastAsia="宋体"/>
                <w:color w:val="auto"/>
              </w:rPr>
            </w:pPr>
            <w:r>
              <w:rPr>
                <w:rFonts w:eastAsia="宋体"/>
                <w:color w:val="auto"/>
              </w:rPr>
              <w:t>蒲吕片区：发展装备制造、电子信息、新材料、适当发展大健康产业，培育新型工业。电子信息主要依托蒲旧大道相对集中布局，约1700亩符合城市总规；装备制造主要沿渝遂高速、龙腾大道（东）延伸段进行连片布置，以形成相对连续的产业链，发挥集群效应，约2100亩符合城市总规，包含中车集团及拦河堰水库面积约600亩；新材料类企业用地主要规划于蒲旧大道与渝遂高速交汇处南侧及旧县场镇以西区域，约1700亩符合城市总规，剩余部分作为远景用地进行控制。</w:t>
            </w:r>
          </w:p>
          <w:p>
            <w:pPr>
              <w:pStyle w:val="60"/>
              <w:ind w:firstLine="480"/>
              <w:rPr>
                <w:rFonts w:eastAsia="宋体"/>
                <w:color w:val="auto"/>
              </w:rPr>
            </w:pPr>
            <w:r>
              <w:rPr>
                <w:rFonts w:eastAsia="宋体"/>
                <w:color w:val="auto"/>
              </w:rPr>
              <w:t>白土坝片区：基本建成，采取“腾笼换鸟”的方式，发展以物流、生产资料交易为主的生产性服务业，推动传统产业提档升级，打造2.5代产业园。</w:t>
            </w:r>
          </w:p>
          <w:p>
            <w:pPr>
              <w:pStyle w:val="60"/>
              <w:ind w:firstLine="480"/>
              <w:rPr>
                <w:rFonts w:eastAsia="宋体"/>
                <w:color w:val="auto"/>
              </w:rPr>
            </w:pPr>
            <w:r>
              <w:rPr>
                <w:rFonts w:eastAsia="宋体"/>
                <w:color w:val="auto"/>
              </w:rPr>
              <w:t>姜家岩片区：以改造提升现有产业为重点，对机械制造业、生物医药等企业进行改造升级，同时引进发展先进装备制造业，符合规划面积约0.8km</w:t>
            </w:r>
            <w:r>
              <w:rPr>
                <w:rFonts w:eastAsia="宋体"/>
                <w:color w:val="auto"/>
                <w:vertAlign w:val="superscript"/>
              </w:rPr>
              <w:t>2</w:t>
            </w:r>
            <w:r>
              <w:rPr>
                <w:rFonts w:eastAsia="宋体"/>
                <w:color w:val="auto"/>
              </w:rPr>
              <w:t>。其中大健康产业分两个区域分别规划布局于北环路周边及淮远河、小安溪交汇处。其中，依托腊梅园休闲农业及赛维药业等进行集中布局的北环路周边规划面积约1410亩，淮远河、小安溪交汇处区域规划面积约2060亩。其中约650亩符合城市总规，剩余部分作为远景用地进行控制。</w:t>
            </w:r>
          </w:p>
          <w:p>
            <w:pPr>
              <w:pStyle w:val="60"/>
              <w:ind w:firstLine="480"/>
              <w:rPr>
                <w:bCs/>
                <w:color w:val="auto"/>
              </w:rPr>
            </w:pPr>
            <w:r>
              <w:rPr>
                <w:rFonts w:hint="eastAsia" w:eastAsia="宋体"/>
                <w:color w:val="auto"/>
              </w:rPr>
              <w:t>本</w:t>
            </w:r>
            <w:r>
              <w:rPr>
                <w:rFonts w:eastAsia="宋体"/>
                <w:color w:val="auto"/>
              </w:rPr>
              <w:t>项目位于</w:t>
            </w:r>
            <w:r>
              <w:rPr>
                <w:rFonts w:hint="eastAsia"/>
                <w:color w:val="auto"/>
                <w:spacing w:val="8"/>
                <w:shd w:val="clear" w:color="auto" w:fill="FFFFFF"/>
              </w:rPr>
              <w:t>铜梁区东城街道祝英南路7号</w:t>
            </w:r>
            <w:r>
              <w:rPr>
                <w:rFonts w:eastAsia="宋体"/>
                <w:color w:val="auto"/>
              </w:rPr>
              <w:t>，属于铜梁高新区铜梁片区中蒲吕片区。</w:t>
            </w:r>
            <w:r>
              <w:rPr>
                <w:rFonts w:hint="eastAsia" w:eastAsia="宋体"/>
                <w:color w:val="auto"/>
              </w:rPr>
              <w:t>本项目主要从事汽车零部件，与</w:t>
            </w:r>
            <w:r>
              <w:rPr>
                <w:rFonts w:eastAsia="宋体"/>
                <w:color w:val="auto"/>
              </w:rPr>
              <w:t>蒲吕片区定向发展产业</w:t>
            </w:r>
            <w:r>
              <w:rPr>
                <w:rFonts w:hint="eastAsia" w:eastAsia="宋体"/>
                <w:color w:val="auto"/>
              </w:rPr>
              <w:t>不冲突，因此本项目符合</w:t>
            </w:r>
            <w:r>
              <w:rPr>
                <w:bCs/>
                <w:color w:val="auto"/>
              </w:rPr>
              <w:t>重庆市铜梁工业园区全蒲片区控制性详细规划</w:t>
            </w:r>
            <w:r>
              <w:rPr>
                <w:rFonts w:hint="eastAsia"/>
                <w:bCs/>
                <w:color w:val="auto"/>
              </w:rPr>
              <w:t>的产业定位要求。</w:t>
            </w:r>
          </w:p>
          <w:p>
            <w:pPr>
              <w:autoSpaceDE w:val="0"/>
              <w:autoSpaceDN w:val="0"/>
              <w:adjustRightInd w:val="0"/>
              <w:snapToGrid w:val="0"/>
              <w:spacing w:line="360" w:lineRule="auto"/>
              <w:jc w:val="left"/>
              <w:rPr>
                <w:rFonts w:eastAsiaTheme="minorEastAsia"/>
                <w:color w:val="auto"/>
                <w:kern w:val="0"/>
                <w:sz w:val="24"/>
              </w:rPr>
            </w:pPr>
            <w:r>
              <w:rPr>
                <w:rFonts w:hint="eastAsia"/>
                <w:b/>
                <w:bCs/>
                <w:color w:val="auto"/>
              </w:rPr>
              <w:t>2.</w:t>
            </w:r>
            <w:r>
              <w:rPr>
                <w:rFonts w:eastAsiaTheme="minorEastAsia"/>
                <w:b/>
                <w:bCs/>
                <w:color w:val="auto"/>
                <w:kern w:val="0"/>
                <w:sz w:val="24"/>
              </w:rPr>
              <w:t>与《重庆铜梁高新区铜梁片区及全蒲片区规划环境影响跟踪评价报告书》的符合性分析</w:t>
            </w:r>
          </w:p>
          <w:p>
            <w:pPr>
              <w:autoSpaceDE w:val="0"/>
              <w:autoSpaceDN w:val="0"/>
              <w:adjustRightInd w:val="0"/>
              <w:snapToGrid w:val="0"/>
              <w:spacing w:line="360" w:lineRule="auto"/>
              <w:jc w:val="center"/>
              <w:rPr>
                <w:b/>
                <w:bCs/>
                <w:color w:val="auto"/>
                <w:kern w:val="0"/>
                <w:sz w:val="21"/>
                <w:szCs w:val="21"/>
              </w:rPr>
            </w:pPr>
            <w:r>
              <w:rPr>
                <w:color w:val="auto"/>
                <w:kern w:val="0"/>
                <w:sz w:val="21"/>
                <w:szCs w:val="21"/>
              </w:rPr>
              <w:t>表1.1 本项目与园区规划环评符合性分析一览表</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14"/>
              <w:gridCol w:w="871"/>
              <w:gridCol w:w="949"/>
              <w:gridCol w:w="2034"/>
              <w:gridCol w:w="2762"/>
              <w:gridCol w:w="5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分项</w:t>
                  </w:r>
                </w:p>
              </w:tc>
              <w:tc>
                <w:tcPr>
                  <w:tcW w:w="2473" w:type="pct"/>
                  <w:gridSpan w:val="3"/>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规划环评相关内容</w:t>
                  </w:r>
                </w:p>
              </w:tc>
              <w:tc>
                <w:tcPr>
                  <w:tcW w:w="1772"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项目情况</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生态保护红线</w:t>
                  </w:r>
                </w:p>
              </w:tc>
              <w:tc>
                <w:tcPr>
                  <w:tcW w:w="2473" w:type="pct"/>
                  <w:gridSpan w:val="3"/>
                  <w:tcBorders>
                    <w:tl2br w:val="nil"/>
                    <w:tr2bl w:val="nil"/>
                  </w:tcBorders>
                  <w:vAlign w:val="center"/>
                </w:tcPr>
                <w:p>
                  <w:pPr>
                    <w:pStyle w:val="61"/>
                    <w:adjustRightInd w:val="0"/>
                    <w:snapToGrid w:val="0"/>
                    <w:spacing w:line="240" w:lineRule="auto"/>
                    <w:ind w:firstLine="420" w:firstLineChars="200"/>
                    <w:jc w:val="left"/>
                    <w:rPr>
                      <w:rFonts w:cs="Times New Roman"/>
                      <w:color w:val="auto"/>
                    </w:rPr>
                  </w:pPr>
                  <w:r>
                    <w:rPr>
                      <w:rFonts w:cs="Times New Roman"/>
                      <w:color w:val="auto"/>
                    </w:rPr>
                    <w:t>禁止开发区：包括饮用水水源保护区、自然保护区、自然文化遗产地、湿地公园、森林公园、风景名胜区、地质公园。其中，饮用水水源保护区包括一级保护区和二级保护区；自然保护区包括县级及以上自然保护区的核心区、缓冲区、实验区；自然文化遗产地、湿地公园、森林公园、风景名胜区、地质公园包括规划范围以内全部区域。本次规划区域内不涉及生态保护红线划定范围。在园区开发建设过程中应加强生态保护，不得随意改变规划绿地用途</w:t>
                  </w:r>
                </w:p>
              </w:tc>
              <w:tc>
                <w:tcPr>
                  <w:tcW w:w="1772" w:type="pct"/>
                  <w:tcBorders>
                    <w:tl2br w:val="nil"/>
                    <w:tr2bl w:val="nil"/>
                  </w:tcBorders>
                  <w:vAlign w:val="center"/>
                </w:tcPr>
                <w:p>
                  <w:pPr>
                    <w:pStyle w:val="61"/>
                    <w:adjustRightInd w:val="0"/>
                    <w:snapToGrid w:val="0"/>
                    <w:spacing w:line="240" w:lineRule="auto"/>
                    <w:ind w:firstLine="420" w:firstLineChars="200"/>
                    <w:jc w:val="left"/>
                    <w:rPr>
                      <w:rFonts w:cs="Times New Roman"/>
                      <w:color w:val="auto"/>
                    </w:rPr>
                  </w:pPr>
                  <w:r>
                    <w:rPr>
                      <w:rFonts w:cs="Times New Roman"/>
                      <w:color w:val="auto"/>
                    </w:rPr>
                    <w:t>项目位于重庆铜梁高新区蒲吕片区，不涉及生态保护红线。</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资源利用上线</w:t>
                  </w:r>
                </w:p>
              </w:tc>
              <w:tc>
                <w:tcPr>
                  <w:tcW w:w="2473" w:type="pct"/>
                  <w:gridSpan w:val="3"/>
                  <w:tcBorders>
                    <w:tl2br w:val="nil"/>
                    <w:tr2bl w:val="nil"/>
                  </w:tcBorders>
                  <w:vAlign w:val="center"/>
                </w:tcPr>
                <w:p>
                  <w:pPr>
                    <w:pStyle w:val="61"/>
                    <w:adjustRightInd w:val="0"/>
                    <w:snapToGrid w:val="0"/>
                    <w:spacing w:line="240" w:lineRule="auto"/>
                    <w:jc w:val="left"/>
                    <w:rPr>
                      <w:rFonts w:cs="Times New Roman"/>
                      <w:color w:val="auto"/>
                    </w:rPr>
                  </w:pPr>
                  <w:r>
                    <w:rPr>
                      <w:rFonts w:cs="Times New Roman"/>
                      <w:color w:val="auto"/>
                    </w:rPr>
                    <w:t>（1）水资源利用上限：</w:t>
                  </w:r>
                </w:p>
                <w:p>
                  <w:pPr>
                    <w:pStyle w:val="61"/>
                    <w:adjustRightInd w:val="0"/>
                    <w:snapToGrid w:val="0"/>
                    <w:spacing w:line="240" w:lineRule="auto"/>
                    <w:ind w:firstLine="420" w:firstLineChars="200"/>
                    <w:jc w:val="left"/>
                    <w:rPr>
                      <w:rFonts w:cs="Times New Roman"/>
                      <w:color w:val="auto"/>
                    </w:rPr>
                  </w:pPr>
                  <w:r>
                    <w:rPr>
                      <w:rFonts w:cs="Times New Roman"/>
                      <w:color w:val="auto"/>
                    </w:rPr>
                    <w:t>园区水资源利用上限：用水总量上限973万m</w:t>
                  </w:r>
                  <w:r>
                    <w:rPr>
                      <w:rFonts w:cs="Times New Roman"/>
                      <w:color w:val="auto"/>
                      <w:vertAlign w:val="superscript"/>
                    </w:rPr>
                    <w:t>3</w:t>
                  </w:r>
                  <w:r>
                    <w:rPr>
                      <w:rFonts w:cs="Times New Roman"/>
                      <w:color w:val="auto"/>
                    </w:rPr>
                    <w:t>/a；工业用水量上限360万m</w:t>
                  </w:r>
                  <w:r>
                    <w:rPr>
                      <w:rFonts w:cs="Times New Roman"/>
                      <w:color w:val="auto"/>
                      <w:vertAlign w:val="superscript"/>
                    </w:rPr>
                    <w:t>3</w:t>
                  </w:r>
                  <w:r>
                    <w:rPr>
                      <w:rFonts w:cs="Times New Roman"/>
                      <w:color w:val="auto"/>
                    </w:rPr>
                    <w:t>/a。</w:t>
                  </w:r>
                </w:p>
                <w:p>
                  <w:pPr>
                    <w:pStyle w:val="61"/>
                    <w:adjustRightInd w:val="0"/>
                    <w:snapToGrid w:val="0"/>
                    <w:spacing w:line="240" w:lineRule="auto"/>
                    <w:jc w:val="left"/>
                    <w:rPr>
                      <w:rFonts w:cs="Times New Roman"/>
                      <w:color w:val="auto"/>
                    </w:rPr>
                  </w:pPr>
                  <w:r>
                    <w:rPr>
                      <w:rFonts w:cs="Times New Roman"/>
                      <w:color w:val="auto"/>
                    </w:rPr>
                    <w:t>（2）园区土地资源利用上限：</w:t>
                  </w:r>
                </w:p>
                <w:p>
                  <w:pPr>
                    <w:pStyle w:val="61"/>
                    <w:adjustRightInd w:val="0"/>
                    <w:snapToGrid w:val="0"/>
                    <w:spacing w:line="240" w:lineRule="auto"/>
                    <w:ind w:firstLine="420" w:firstLineChars="200"/>
                    <w:jc w:val="left"/>
                    <w:rPr>
                      <w:rFonts w:cs="Times New Roman"/>
                      <w:color w:val="auto"/>
                    </w:rPr>
                  </w:pPr>
                  <w:r>
                    <w:rPr>
                      <w:rFonts w:cs="Times New Roman"/>
                      <w:color w:val="auto"/>
                    </w:rPr>
                    <w:t>土地资源总上限223348km</w:t>
                  </w:r>
                  <w:r>
                    <w:rPr>
                      <w:rFonts w:cs="Times New Roman"/>
                      <w:color w:val="auto"/>
                      <w:vertAlign w:val="superscript"/>
                    </w:rPr>
                    <w:t>2</w:t>
                  </w:r>
                  <w:r>
                    <w:rPr>
                      <w:rFonts w:cs="Times New Roman"/>
                      <w:color w:val="auto"/>
                    </w:rPr>
                    <w:t>；建设用地总量上限21.3651km</w:t>
                  </w:r>
                  <w:r>
                    <w:rPr>
                      <w:rFonts w:cs="Times New Roman"/>
                      <w:color w:val="auto"/>
                      <w:vertAlign w:val="superscript"/>
                    </w:rPr>
                    <w:t>2</w:t>
                  </w:r>
                  <w:r>
                    <w:rPr>
                      <w:rFonts w:cs="Times New Roman"/>
                      <w:color w:val="auto"/>
                    </w:rPr>
                    <w:t>；工业用地总量上限12.95546km</w:t>
                  </w:r>
                  <w:r>
                    <w:rPr>
                      <w:rFonts w:cs="Times New Roman"/>
                      <w:color w:val="auto"/>
                      <w:vertAlign w:val="superscript"/>
                    </w:rPr>
                    <w:t>2</w:t>
                  </w:r>
                  <w:r>
                    <w:rPr>
                      <w:rFonts w:cs="Times New Roman"/>
                      <w:color w:val="auto"/>
                    </w:rPr>
                    <w:t>。</w:t>
                  </w:r>
                </w:p>
              </w:tc>
              <w:tc>
                <w:tcPr>
                  <w:tcW w:w="1772" w:type="pct"/>
                  <w:tcBorders>
                    <w:tl2br w:val="nil"/>
                    <w:tr2bl w:val="nil"/>
                  </w:tcBorders>
                  <w:vAlign w:val="center"/>
                </w:tcPr>
                <w:p>
                  <w:pPr>
                    <w:pStyle w:val="61"/>
                    <w:adjustRightInd w:val="0"/>
                    <w:snapToGrid w:val="0"/>
                    <w:spacing w:line="240" w:lineRule="auto"/>
                    <w:ind w:firstLine="420" w:firstLineChars="200"/>
                    <w:jc w:val="left"/>
                    <w:rPr>
                      <w:rFonts w:cs="Times New Roman"/>
                      <w:color w:val="auto"/>
                    </w:rPr>
                  </w:pPr>
                  <w:r>
                    <w:rPr>
                      <w:rFonts w:cs="Times New Roman"/>
                      <w:color w:val="auto"/>
                    </w:rPr>
                    <w:t>项目运营期用水量较少，</w:t>
                  </w:r>
                  <w:r>
                    <w:rPr>
                      <w:rFonts w:hint="eastAsia" w:cs="Times New Roman"/>
                      <w:color w:val="auto"/>
                    </w:rPr>
                    <w:t>本项目利用现有生产厂房</w:t>
                  </w:r>
                  <w:r>
                    <w:rPr>
                      <w:rFonts w:cs="Times New Roman"/>
                      <w:color w:val="auto"/>
                    </w:rPr>
                    <w:t>，不新增用地，受园区水资源、土地资源利用上限的影响不大。</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环境质量底线</w:t>
                  </w:r>
                </w:p>
              </w:tc>
              <w:tc>
                <w:tcPr>
                  <w:tcW w:w="2473" w:type="pct"/>
                  <w:gridSpan w:val="3"/>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（1）地表水</w:t>
                  </w:r>
                </w:p>
                <w:p>
                  <w:pPr>
                    <w:pStyle w:val="61"/>
                    <w:adjustRightInd w:val="0"/>
                    <w:snapToGrid w:val="0"/>
                    <w:spacing w:line="240" w:lineRule="auto"/>
                    <w:jc w:val="both"/>
                    <w:rPr>
                      <w:rFonts w:cs="Times New Roman"/>
                      <w:color w:val="auto"/>
                    </w:rPr>
                  </w:pPr>
                  <w:r>
                    <w:rPr>
                      <w:rFonts w:cs="Times New Roman"/>
                      <w:color w:val="auto"/>
                    </w:rPr>
                    <w:t>环境质量底线规划区淮远河、小安溪河断面水环境质量不恶化，并持续改善。完成整治后，淮远河满足《地表水环境质量标准》（GB3838-2002）IV类水质标准，小安溪河水质满足III类水质标准。</w:t>
                  </w:r>
                </w:p>
                <w:p>
                  <w:pPr>
                    <w:pStyle w:val="61"/>
                    <w:adjustRightInd w:val="0"/>
                    <w:snapToGrid w:val="0"/>
                    <w:spacing w:line="240" w:lineRule="auto"/>
                    <w:jc w:val="both"/>
                    <w:rPr>
                      <w:rFonts w:cs="Times New Roman"/>
                      <w:color w:val="auto"/>
                    </w:rPr>
                  </w:pPr>
                  <w:r>
                    <w:rPr>
                      <w:rFonts w:cs="Times New Roman"/>
                      <w:color w:val="auto"/>
                    </w:rPr>
                    <w:t>（2）大气</w:t>
                  </w:r>
                </w:p>
                <w:p>
                  <w:pPr>
                    <w:pStyle w:val="61"/>
                    <w:adjustRightInd w:val="0"/>
                    <w:snapToGrid w:val="0"/>
                    <w:spacing w:line="240" w:lineRule="auto"/>
                    <w:jc w:val="both"/>
                    <w:rPr>
                      <w:rFonts w:cs="Times New Roman"/>
                      <w:color w:val="auto"/>
                    </w:rPr>
                  </w:pPr>
                  <w:r>
                    <w:rPr>
                      <w:rFonts w:cs="Times New Roman"/>
                      <w:color w:val="auto"/>
                    </w:rPr>
                    <w:t>环境质量底线区域大气环境质量满足《环境空气质量标准》（GB3095-2012）二级标准。HC1、硫酸雾、铬酸雾、苯、二甲苯限值均满足原《工业企业设计卫生标准》（TJ36-79）中居住区大气有害物质最高容许浓度；甲苯参照执行前苏联质量标准；非甲烷总烃参照执行河北省地方标准《环境空气质量非甲烷总烃限值》（DB13/1577-2012）中二级标准限值。</w:t>
                  </w:r>
                </w:p>
                <w:p>
                  <w:pPr>
                    <w:pStyle w:val="61"/>
                    <w:adjustRightInd w:val="0"/>
                    <w:snapToGrid w:val="0"/>
                    <w:spacing w:line="240" w:lineRule="auto"/>
                    <w:jc w:val="both"/>
                    <w:rPr>
                      <w:rFonts w:cs="Times New Roman"/>
                      <w:color w:val="auto"/>
                    </w:rPr>
                  </w:pPr>
                  <w:r>
                    <w:rPr>
                      <w:rFonts w:cs="Times New Roman"/>
                      <w:color w:val="auto"/>
                    </w:rPr>
                    <w:t>（3）土壤</w:t>
                  </w:r>
                </w:p>
                <w:p>
                  <w:pPr>
                    <w:pStyle w:val="61"/>
                    <w:adjustRightInd w:val="0"/>
                    <w:snapToGrid w:val="0"/>
                    <w:spacing w:line="240" w:lineRule="auto"/>
                    <w:jc w:val="both"/>
                    <w:rPr>
                      <w:rFonts w:cs="Times New Roman"/>
                      <w:color w:val="auto"/>
                    </w:rPr>
                  </w:pPr>
                  <w:r>
                    <w:rPr>
                      <w:rFonts w:cs="Times New Roman"/>
                      <w:color w:val="auto"/>
                    </w:rPr>
                    <w:t>规划区土壤满足《土壤环境质量建设用地土壤污染风险管控标准(试行)》（GB36600-2018）、《土壤环境质量农用地土地污染风险管控标准(试行)》（GB15618-2018）标准，底泥满足《农用污泥中污染物控制标准》（GB4284-84）标准。</w:t>
                  </w:r>
                </w:p>
                <w:p>
                  <w:pPr>
                    <w:pStyle w:val="61"/>
                    <w:adjustRightInd w:val="0"/>
                    <w:snapToGrid w:val="0"/>
                    <w:spacing w:line="240" w:lineRule="auto"/>
                    <w:jc w:val="both"/>
                    <w:rPr>
                      <w:rFonts w:cs="Times New Roman"/>
                      <w:color w:val="auto"/>
                    </w:rPr>
                  </w:pPr>
                  <w:r>
                    <w:rPr>
                      <w:rFonts w:cs="Times New Roman"/>
                      <w:color w:val="auto"/>
                    </w:rPr>
                    <w:t>（4）地下水</w:t>
                  </w:r>
                </w:p>
                <w:p>
                  <w:pPr>
                    <w:pStyle w:val="61"/>
                    <w:adjustRightInd w:val="0"/>
                    <w:snapToGrid w:val="0"/>
                    <w:spacing w:line="240" w:lineRule="auto"/>
                    <w:ind w:firstLine="210" w:firstLineChars="100"/>
                    <w:jc w:val="both"/>
                    <w:rPr>
                      <w:rFonts w:cs="Times New Roman"/>
                      <w:color w:val="auto"/>
                    </w:rPr>
                  </w:pPr>
                  <w:r>
                    <w:rPr>
                      <w:rFonts w:cs="Times New Roman"/>
                      <w:color w:val="auto"/>
                    </w:rPr>
                    <w:t>区域地下水质量满足《地下水质量标准》（GB/T14848-2017）中Ⅲ类标准。</w:t>
                  </w:r>
                </w:p>
                <w:p>
                  <w:pPr>
                    <w:pStyle w:val="61"/>
                    <w:adjustRightInd w:val="0"/>
                    <w:snapToGrid w:val="0"/>
                    <w:spacing w:line="240" w:lineRule="auto"/>
                    <w:jc w:val="both"/>
                    <w:rPr>
                      <w:rFonts w:cs="Times New Roman"/>
                      <w:color w:val="auto"/>
                    </w:rPr>
                  </w:pPr>
                  <w:r>
                    <w:rPr>
                      <w:rFonts w:cs="Times New Roman"/>
                      <w:color w:val="auto"/>
                    </w:rPr>
                    <w:t>（5）规划区内交通干线两侧满足《声环境质量标准》（GB3096-2008）4a类标准，工业区3类标准，居民区及居住、商业、工业混杂区2类标准。</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（1）根据重庆市铜梁区人民政府网公示的“重庆市铜梁区地表水水质状况（2022年</w:t>
                  </w:r>
                  <w:r>
                    <w:rPr>
                      <w:rFonts w:hint="eastAsia" w:cs="Times New Roman"/>
                      <w:color w:val="auto"/>
                    </w:rPr>
                    <w:t>1</w:t>
                  </w:r>
                  <w:r>
                    <w:rPr>
                      <w:rFonts w:cs="Times New Roman"/>
                      <w:color w:val="auto"/>
                    </w:rPr>
                    <w:t>月）”，</w:t>
                  </w:r>
                  <w:r>
                    <w:rPr>
                      <w:rFonts w:hint="eastAsia" w:cs="Times New Roman"/>
                      <w:color w:val="auto"/>
                    </w:rPr>
                    <w:t>淮远河众志桥</w:t>
                  </w:r>
                  <w:r>
                    <w:rPr>
                      <w:rFonts w:cs="Times New Roman"/>
                      <w:color w:val="auto"/>
                    </w:rPr>
                    <w:t>监测断面满足《地表水环境质量标准》（GB3838-2002）Ⅲ类水域标准要求，为水环境功能达标区。</w:t>
                  </w:r>
                </w:p>
                <w:p>
                  <w:pPr>
                    <w:pStyle w:val="61"/>
                    <w:adjustRightInd w:val="0"/>
                    <w:snapToGrid w:val="0"/>
                    <w:spacing w:line="240" w:lineRule="auto"/>
                    <w:jc w:val="both"/>
                    <w:rPr>
                      <w:rFonts w:cs="Times New Roman"/>
                      <w:color w:val="auto"/>
                    </w:rPr>
                  </w:pPr>
                  <w:r>
                    <w:rPr>
                      <w:rFonts w:cs="Times New Roman"/>
                      <w:color w:val="auto"/>
                    </w:rPr>
                    <w:t>（2）根据《202</w:t>
                  </w:r>
                  <w:r>
                    <w:rPr>
                      <w:rFonts w:hint="eastAsia" w:cs="Times New Roman"/>
                      <w:color w:val="auto"/>
                      <w:lang w:val="en-US" w:eastAsia="zh-CN"/>
                    </w:rPr>
                    <w:t>2</w:t>
                  </w:r>
                  <w:r>
                    <w:rPr>
                      <w:rFonts w:cs="Times New Roman"/>
                      <w:color w:val="auto"/>
                    </w:rPr>
                    <w:t>年重庆市生态环境状况公报》</w:t>
                  </w:r>
                  <w:r>
                    <w:rPr>
                      <w:rFonts w:hint="eastAsia" w:cs="Times New Roman"/>
                      <w:color w:val="auto"/>
                      <w:lang w:val="en-US" w:eastAsia="zh-CN"/>
                    </w:rPr>
                    <w:t>,2022年铜梁区属于环境空气质量达标区</w:t>
                  </w:r>
                  <w:r>
                    <w:rPr>
                      <w:rFonts w:cs="Times New Roman"/>
                      <w:color w:val="auto"/>
                    </w:rPr>
                    <w:t>，</w:t>
                  </w:r>
                  <w:r>
                    <w:rPr>
                      <w:rFonts w:hint="eastAsia" w:cs="Times New Roman"/>
                      <w:color w:val="auto"/>
                      <w:lang w:eastAsia="zh-CN"/>
                    </w:rPr>
                    <w:t>环境空气质量满足环境质量标准要求</w:t>
                  </w:r>
                  <w:r>
                    <w:rPr>
                      <w:rFonts w:cs="Times New Roman"/>
                      <w:color w:val="auto"/>
                    </w:rPr>
                    <w:t>。根据引用的大气监测报告，项目所在地环境空气非甲烷总烃满足对应标准限值。</w:t>
                  </w:r>
                </w:p>
                <w:p>
                  <w:pPr>
                    <w:pStyle w:val="61"/>
                    <w:adjustRightInd w:val="0"/>
                    <w:snapToGrid w:val="0"/>
                    <w:spacing w:line="240" w:lineRule="auto"/>
                    <w:jc w:val="both"/>
                    <w:rPr>
                      <w:rFonts w:cs="Times New Roman"/>
                      <w:color w:val="auto"/>
                    </w:rPr>
                  </w:pPr>
                  <w:r>
                    <w:rPr>
                      <w:rFonts w:cs="Times New Roman"/>
                      <w:color w:val="auto"/>
                    </w:rPr>
                    <w:t>（3）</w:t>
                  </w:r>
                  <w:r>
                    <w:rPr>
                      <w:rFonts w:hint="eastAsia" w:cs="Times New Roman"/>
                      <w:color w:val="auto"/>
                    </w:rPr>
                    <w:t>本</w:t>
                  </w:r>
                  <w:r>
                    <w:rPr>
                      <w:rFonts w:cs="Times New Roman"/>
                      <w:color w:val="auto"/>
                    </w:rPr>
                    <w:t>项目不涉及重金属污染物排放。拟建项目在严格落实分区防渗要求条件下，项目不会对土壤和地下水造成污染。</w:t>
                  </w:r>
                </w:p>
                <w:p>
                  <w:pPr>
                    <w:pStyle w:val="61"/>
                    <w:adjustRightInd w:val="0"/>
                    <w:snapToGrid w:val="0"/>
                    <w:spacing w:line="240" w:lineRule="auto"/>
                    <w:jc w:val="both"/>
                    <w:rPr>
                      <w:rFonts w:cs="Times New Roman"/>
                      <w:color w:val="auto"/>
                    </w:rPr>
                  </w:pPr>
                  <w:r>
                    <w:rPr>
                      <w:rFonts w:cs="Times New Roman"/>
                      <w:color w:val="auto"/>
                    </w:rPr>
                    <w:t>（4）</w:t>
                  </w:r>
                  <w:r>
                    <w:rPr>
                      <w:rFonts w:hint="eastAsia" w:cs="Times New Roman"/>
                      <w:color w:val="auto"/>
                    </w:rPr>
                    <w:t>本</w:t>
                  </w:r>
                  <w:r>
                    <w:rPr>
                      <w:rFonts w:cs="Times New Roman"/>
                      <w:color w:val="auto"/>
                    </w:rPr>
                    <w:t>项目位于工业园区，为声环境3类功能区，执行《声环境质量标准》（GB3096-2008）3类标准，项目周边50m范围内无声环境保护目标。</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restar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生态</w:t>
                  </w:r>
                </w:p>
                <w:p>
                  <w:pPr>
                    <w:pStyle w:val="61"/>
                    <w:adjustRightInd w:val="0"/>
                    <w:snapToGrid w:val="0"/>
                    <w:spacing w:line="240" w:lineRule="auto"/>
                    <w:rPr>
                      <w:rFonts w:cs="Times New Roman"/>
                      <w:color w:val="auto"/>
                    </w:rPr>
                  </w:pPr>
                  <w:r>
                    <w:rPr>
                      <w:rFonts w:cs="Times New Roman"/>
                      <w:color w:val="auto"/>
                    </w:rPr>
                    <w:t>环境</w:t>
                  </w:r>
                </w:p>
                <w:p>
                  <w:pPr>
                    <w:pStyle w:val="61"/>
                    <w:adjustRightInd w:val="0"/>
                    <w:snapToGrid w:val="0"/>
                    <w:spacing w:line="240" w:lineRule="auto"/>
                    <w:rPr>
                      <w:rFonts w:cs="Times New Roman"/>
                      <w:color w:val="auto"/>
                    </w:rPr>
                  </w:pPr>
                  <w:r>
                    <w:rPr>
                      <w:rFonts w:cs="Times New Roman"/>
                      <w:color w:val="auto"/>
                    </w:rPr>
                    <w:t>准入</w:t>
                  </w:r>
                </w:p>
                <w:p>
                  <w:pPr>
                    <w:pStyle w:val="61"/>
                    <w:adjustRightInd w:val="0"/>
                    <w:snapToGrid w:val="0"/>
                    <w:spacing w:line="240" w:lineRule="auto"/>
                    <w:rPr>
                      <w:rFonts w:cs="Times New Roman"/>
                      <w:color w:val="auto"/>
                    </w:rPr>
                  </w:pPr>
                  <w:r>
                    <w:rPr>
                      <w:rFonts w:cs="Times New Roman"/>
                      <w:color w:val="auto"/>
                    </w:rPr>
                    <w:t>清单</w:t>
                  </w:r>
                </w:p>
              </w:tc>
              <w:tc>
                <w:tcPr>
                  <w:tcW w:w="2473" w:type="pct"/>
                  <w:gridSpan w:val="3"/>
                  <w:tcBorders>
                    <w:tl2br w:val="nil"/>
                    <w:tr2bl w:val="nil"/>
                  </w:tcBorders>
                  <w:vAlign w:val="center"/>
                </w:tcPr>
                <w:p>
                  <w:pPr>
                    <w:pStyle w:val="61"/>
                    <w:adjustRightInd w:val="0"/>
                    <w:snapToGrid w:val="0"/>
                    <w:spacing w:line="240" w:lineRule="auto"/>
                    <w:jc w:val="left"/>
                    <w:rPr>
                      <w:rFonts w:cs="Times New Roman"/>
                      <w:color w:val="auto"/>
                    </w:rPr>
                  </w:pPr>
                  <w:r>
                    <w:rPr>
                      <w:rFonts w:cs="Times New Roman"/>
                      <w:color w:val="auto"/>
                    </w:rPr>
                    <w:t>环境准入原则和条件：</w:t>
                  </w:r>
                </w:p>
                <w:p>
                  <w:pPr>
                    <w:pStyle w:val="61"/>
                    <w:adjustRightInd w:val="0"/>
                    <w:snapToGrid w:val="0"/>
                    <w:spacing w:line="240" w:lineRule="auto"/>
                    <w:jc w:val="left"/>
                    <w:rPr>
                      <w:rFonts w:cs="Times New Roman"/>
                      <w:color w:val="auto"/>
                    </w:rPr>
                  </w:pPr>
                  <w:r>
                    <w:rPr>
                      <w:rFonts w:cs="Times New Roman"/>
                      <w:color w:val="auto"/>
                    </w:rPr>
                    <w:t>（1）准入原则</w:t>
                  </w:r>
                </w:p>
                <w:p>
                  <w:pPr>
                    <w:pStyle w:val="61"/>
                    <w:adjustRightInd w:val="0"/>
                    <w:snapToGrid w:val="0"/>
                    <w:spacing w:line="240" w:lineRule="auto"/>
                    <w:jc w:val="left"/>
                    <w:rPr>
                      <w:rFonts w:cs="Times New Roman"/>
                      <w:color w:val="auto"/>
                    </w:rPr>
                  </w:pPr>
                  <w:r>
                    <w:rPr>
                      <w:rFonts w:hint="eastAsia" w:ascii="宋体" w:hAnsi="宋体" w:cs="宋体"/>
                      <w:color w:val="auto"/>
                    </w:rPr>
                    <w:t>①</w:t>
                  </w:r>
                  <w:r>
                    <w:rPr>
                      <w:rFonts w:cs="Times New Roman"/>
                      <w:color w:val="auto"/>
                    </w:rPr>
                    <w:t>引进项目应符合国家产业政策和清洁生产要求、生产工艺和设备先进、自动化程度高、具有可靠先进的污染治理技术；</w:t>
                  </w:r>
                  <w:r>
                    <w:rPr>
                      <w:rFonts w:hint="eastAsia" w:ascii="宋体" w:hAnsi="宋体" w:cs="宋体"/>
                      <w:color w:val="auto"/>
                    </w:rPr>
                    <w:t>②</w:t>
                  </w:r>
                  <w:r>
                    <w:rPr>
                      <w:rFonts w:cs="Times New Roman"/>
                      <w:color w:val="auto"/>
                    </w:rPr>
                    <w:t>发展产业集群，提高产品的关联度，发展系列产品，力求发挥各项目间的最佳协同效应；</w:t>
                  </w:r>
                  <w:r>
                    <w:rPr>
                      <w:rFonts w:hint="eastAsia" w:ascii="宋体" w:hAnsi="宋体" w:cs="宋体"/>
                      <w:color w:val="auto"/>
                    </w:rPr>
                    <w:t>③</w:t>
                  </w:r>
                  <w:r>
                    <w:rPr>
                      <w:rFonts w:cs="Times New Roman"/>
                      <w:color w:val="auto"/>
                    </w:rPr>
                    <w:t>注意生产装置的规模效益,鼓励在规划区内建设具有国际竞争力的、符合规模经济的生产装置；</w:t>
                  </w:r>
                  <w:r>
                    <w:rPr>
                      <w:rFonts w:hint="eastAsia" w:ascii="宋体" w:hAnsi="宋体" w:cs="宋体"/>
                      <w:color w:val="auto"/>
                    </w:rPr>
                    <w:t>④</w:t>
                  </w:r>
                  <w:r>
                    <w:rPr>
                      <w:rFonts w:cs="Times New Roman"/>
                      <w:color w:val="auto"/>
                    </w:rPr>
                    <w:t>根据资源环境承载力控制合理的发展规模，严格控制污染因子排放总量。</w:t>
                  </w:r>
                </w:p>
                <w:p>
                  <w:pPr>
                    <w:pStyle w:val="61"/>
                    <w:adjustRightInd w:val="0"/>
                    <w:snapToGrid w:val="0"/>
                    <w:spacing w:line="240" w:lineRule="auto"/>
                    <w:jc w:val="left"/>
                    <w:rPr>
                      <w:rFonts w:cs="Times New Roman"/>
                      <w:color w:val="auto"/>
                    </w:rPr>
                  </w:pPr>
                  <w:r>
                    <w:rPr>
                      <w:rFonts w:cs="Times New Roman"/>
                      <w:color w:val="auto"/>
                    </w:rPr>
                    <w:t>（2）准入条件</w:t>
                  </w:r>
                </w:p>
                <w:p>
                  <w:pPr>
                    <w:pStyle w:val="61"/>
                    <w:adjustRightInd w:val="0"/>
                    <w:snapToGrid w:val="0"/>
                    <w:spacing w:line="240" w:lineRule="auto"/>
                    <w:jc w:val="left"/>
                    <w:rPr>
                      <w:rFonts w:cs="Times New Roman"/>
                      <w:color w:val="auto"/>
                    </w:rPr>
                  </w:pPr>
                  <w:r>
                    <w:rPr>
                      <w:rFonts w:cs="Times New Roman"/>
                      <w:color w:val="auto"/>
                    </w:rPr>
                    <w:t>严格执行国家和地方产业政策要求以及各行业准入要求，同时与规划区主导产业定位无明显冲突。对规划区环境准入条件提出“三类”控制。</w:t>
                  </w:r>
                </w:p>
                <w:p>
                  <w:pPr>
                    <w:pStyle w:val="61"/>
                    <w:adjustRightInd w:val="0"/>
                    <w:snapToGrid w:val="0"/>
                    <w:spacing w:line="240" w:lineRule="auto"/>
                    <w:jc w:val="left"/>
                    <w:rPr>
                      <w:rFonts w:cs="Times New Roman"/>
                      <w:color w:val="auto"/>
                    </w:rPr>
                  </w:pPr>
                  <w:r>
                    <w:rPr>
                      <w:rFonts w:cs="Times New Roman"/>
                      <w:color w:val="auto"/>
                    </w:rPr>
                    <w:t>禁止钢铁冶炼、重化工、造纸、印染等重污染行业入驻园区。禁止新建、扩建化学合成药类项目。工业园区禁止燃煤。电镀企业应进入表面处理园。</w:t>
                  </w:r>
                </w:p>
              </w:tc>
              <w:tc>
                <w:tcPr>
                  <w:tcW w:w="1772" w:type="pct"/>
                  <w:tcBorders>
                    <w:tl2br w:val="nil"/>
                    <w:tr2bl w:val="nil"/>
                  </w:tcBorders>
                  <w:vAlign w:val="center"/>
                </w:tcPr>
                <w:p>
                  <w:pPr>
                    <w:pStyle w:val="61"/>
                    <w:adjustRightInd w:val="0"/>
                    <w:snapToGrid w:val="0"/>
                    <w:spacing w:line="240" w:lineRule="auto"/>
                    <w:ind w:firstLine="420" w:firstLineChars="200"/>
                    <w:jc w:val="left"/>
                    <w:rPr>
                      <w:rFonts w:cs="Times New Roman"/>
                      <w:color w:val="auto"/>
                    </w:rPr>
                  </w:pPr>
                  <w:r>
                    <w:rPr>
                      <w:rFonts w:hint="eastAsia" w:cs="Times New Roman"/>
                      <w:snapToGrid w:val="0"/>
                      <w:color w:val="auto"/>
                      <w:kern w:val="0"/>
                    </w:rPr>
                    <w:t>本项目属于汽车零部件制造</w:t>
                  </w:r>
                  <w:r>
                    <w:rPr>
                      <w:rFonts w:cs="Times New Roman"/>
                      <w:snapToGrid w:val="0"/>
                      <w:color w:val="auto"/>
                      <w:kern w:val="0"/>
                    </w:rPr>
                    <w:t>，</w:t>
                  </w:r>
                  <w:r>
                    <w:rPr>
                      <w:rFonts w:hint="eastAsia"/>
                      <w:snapToGrid w:val="0"/>
                      <w:color w:val="auto"/>
                      <w:kern w:val="0"/>
                    </w:rPr>
                    <w:t>与</w:t>
                  </w:r>
                  <w:r>
                    <w:rPr>
                      <w:snapToGrid w:val="0"/>
                      <w:color w:val="auto"/>
                      <w:kern w:val="0"/>
                    </w:rPr>
                    <w:t>蒲吕片区定向发展产业</w:t>
                  </w:r>
                  <w:r>
                    <w:rPr>
                      <w:rFonts w:hint="eastAsia"/>
                      <w:snapToGrid w:val="0"/>
                      <w:color w:val="auto"/>
                      <w:kern w:val="0"/>
                    </w:rPr>
                    <w:t>不冲突</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分类</w:t>
                  </w: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限制类</w:t>
                  </w:r>
                </w:p>
              </w:tc>
              <w:tc>
                <w:tcPr>
                  <w:tcW w:w="130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禁止类</w:t>
                  </w:r>
                </w:p>
              </w:tc>
              <w:tc>
                <w:tcPr>
                  <w:tcW w:w="1772"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项目情况</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清洁生</w:t>
                  </w:r>
                </w:p>
                <w:p>
                  <w:pPr>
                    <w:pStyle w:val="61"/>
                    <w:adjustRightInd w:val="0"/>
                    <w:snapToGrid w:val="0"/>
                    <w:spacing w:line="240" w:lineRule="auto"/>
                    <w:rPr>
                      <w:rFonts w:cs="Times New Roman"/>
                      <w:color w:val="auto"/>
                    </w:rPr>
                  </w:pPr>
                  <w:r>
                    <w:rPr>
                      <w:rFonts w:cs="Times New Roman"/>
                      <w:color w:val="auto"/>
                    </w:rPr>
                    <w:t>产标准</w:t>
                  </w: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低于清洁生产国内先进水平</w:t>
                  </w:r>
                </w:p>
              </w:tc>
              <w:tc>
                <w:tcPr>
                  <w:tcW w:w="130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项目清洁生产不低于国内同行业先进水平。</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restar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行业准</w:t>
                  </w:r>
                </w:p>
                <w:p>
                  <w:pPr>
                    <w:pStyle w:val="61"/>
                    <w:adjustRightInd w:val="0"/>
                    <w:snapToGrid w:val="0"/>
                    <w:spacing w:line="240" w:lineRule="auto"/>
                    <w:rPr>
                      <w:rFonts w:cs="Times New Roman"/>
                      <w:color w:val="auto"/>
                    </w:rPr>
                  </w:pPr>
                  <w:r>
                    <w:rPr>
                      <w:rFonts w:cs="Times New Roman"/>
                      <w:color w:val="auto"/>
                    </w:rPr>
                    <w:t>入清单</w:t>
                  </w: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304"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禁止钢铁冶炼、重化工、造纸、印染等重污染行业入驻园区。禁止新建、扩建化学合成药类项目</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项目不属于上述禁止类项目。</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304"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园区距离中心城区及其主导风向上风向20公里、其他方向5公里范围内和乡镇人民政府所在地及其周边3公里范围内，禁止新建燃煤电厂、水泥、钢铁冶炼等大气污染严重的项目。</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项目不属于禁止的大气污染严重项目。</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restar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工艺、产品准入清单</w:t>
                  </w: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高能耗、高耗水工艺</w:t>
                  </w:r>
                </w:p>
              </w:tc>
              <w:tc>
                <w:tcPr>
                  <w:tcW w:w="130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《产业结构调整指导目录（2011年本）》（修订）、《部分工业行业淘汰落后生产工艺装备和产品指导目录（2010年本）》和《外商投资产业指导目录（2011年修订）》中所列淘汰类、禁止类项目。</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经对比《产业结构调整指导目录（2019年本）》，</w:t>
                  </w:r>
                  <w:r>
                    <w:rPr>
                      <w:rFonts w:hint="eastAsia" w:cs="Times New Roman"/>
                      <w:color w:val="auto"/>
                    </w:rPr>
                    <w:t>本</w:t>
                  </w:r>
                  <w:r>
                    <w:rPr>
                      <w:rFonts w:cs="Times New Roman"/>
                      <w:color w:val="auto"/>
                    </w:rPr>
                    <w:t>项目不属于淘汰类、限制类。</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除国防军工等特殊需要外，严格限制含铅电镀工艺</w:t>
                  </w:r>
                </w:p>
              </w:tc>
              <w:tc>
                <w:tcPr>
                  <w:tcW w:w="130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严格执行国家含氰电镀工艺方面的产业政策规定，禁止含有毒有害氰化物电镀工艺（氰化金钾电镀金及氰化亚金钾镀金）。</w:t>
                  </w:r>
                </w:p>
              </w:tc>
              <w:tc>
                <w:tcPr>
                  <w:tcW w:w="1772"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项目不涉及电镀工艺。</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304"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旧县水厂取水口位于规划区小安溪下游约6.8km，小安溪河沿岸一公里范围禁止建设排放重金属（铬、镉、汞、砷、铅等五类重金属）、剧毒物质和持久性有机污染物工艺。</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项目不涉及排放重金属、剧毒物质和持久性有机污染物工艺。</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restar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其他</w:t>
                  </w: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304"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禁止引进使用煤为燃料的工业项目。</w:t>
                  </w:r>
                </w:p>
              </w:tc>
              <w:tc>
                <w:tcPr>
                  <w:tcW w:w="1772" w:type="pct"/>
                  <w:tcBorders>
                    <w:tl2br w:val="nil"/>
                    <w:tr2bl w:val="nil"/>
                  </w:tcBorders>
                  <w:vAlign w:val="center"/>
                </w:tcPr>
                <w:p>
                  <w:pPr>
                    <w:pStyle w:val="61"/>
                    <w:adjustRightInd w:val="0"/>
                    <w:snapToGrid w:val="0"/>
                    <w:spacing w:line="240" w:lineRule="auto"/>
                    <w:jc w:val="both"/>
                    <w:rPr>
                      <w:rFonts w:cs="Times New Roman"/>
                      <w:color w:val="auto"/>
                    </w:rPr>
                  </w:pPr>
                  <w:r>
                    <w:rPr>
                      <w:rFonts w:cs="Times New Roman"/>
                      <w:color w:val="auto"/>
                    </w:rPr>
                    <w:t>项目主要能源为电能</w:t>
                  </w:r>
                  <w:r>
                    <w:rPr>
                      <w:rFonts w:hint="eastAsia" w:cs="Times New Roman"/>
                      <w:color w:val="auto"/>
                    </w:rPr>
                    <w:t>、天然气</w:t>
                  </w:r>
                  <w:r>
                    <w:rPr>
                      <w:rFonts w:cs="Times New Roman"/>
                      <w:color w:val="auto"/>
                    </w:rPr>
                    <w:t>，不使用煤。</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394"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559" w:type="pct"/>
                  <w:vMerge w:val="continue"/>
                  <w:tcBorders>
                    <w:tl2br w:val="nil"/>
                    <w:tr2bl w:val="nil"/>
                  </w:tcBorders>
                  <w:vAlign w:val="center"/>
                </w:tcPr>
                <w:p>
                  <w:pPr>
                    <w:pStyle w:val="61"/>
                    <w:adjustRightInd w:val="0"/>
                    <w:snapToGrid w:val="0"/>
                    <w:spacing w:line="240" w:lineRule="auto"/>
                    <w:rPr>
                      <w:rFonts w:cs="Times New Roman"/>
                      <w:color w:val="auto"/>
                    </w:rPr>
                  </w:pPr>
                </w:p>
              </w:tc>
              <w:tc>
                <w:tcPr>
                  <w:tcW w:w="60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电镀企业应进入表面处理园</w:t>
                  </w:r>
                </w:p>
              </w:tc>
              <w:tc>
                <w:tcPr>
                  <w:tcW w:w="1304"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w:t>
                  </w:r>
                </w:p>
              </w:tc>
              <w:tc>
                <w:tcPr>
                  <w:tcW w:w="1772"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项目不涉及电镀工艺。</w:t>
                  </w:r>
                </w:p>
              </w:tc>
              <w:tc>
                <w:tcPr>
                  <w:tcW w:w="359" w:type="pct"/>
                  <w:tcBorders>
                    <w:tl2br w:val="nil"/>
                    <w:tr2bl w:val="nil"/>
                  </w:tcBorders>
                  <w:vAlign w:val="center"/>
                </w:tcPr>
                <w:p>
                  <w:pPr>
                    <w:pStyle w:val="61"/>
                    <w:adjustRightInd w:val="0"/>
                    <w:snapToGrid w:val="0"/>
                    <w:spacing w:line="240" w:lineRule="auto"/>
                    <w:rPr>
                      <w:rFonts w:cs="Times New Roman"/>
                      <w:color w:val="auto"/>
                    </w:rPr>
                  </w:pPr>
                  <w:r>
                    <w:rPr>
                      <w:rFonts w:cs="Times New Roman"/>
                      <w:color w:val="auto"/>
                    </w:rPr>
                    <w:t>符合</w:t>
                  </w:r>
                </w:p>
              </w:tc>
            </w:tr>
          </w:tbl>
          <w:p>
            <w:pPr>
              <w:pStyle w:val="60"/>
              <w:rPr>
                <w:color w:val="auto"/>
              </w:rPr>
            </w:pPr>
            <w:r>
              <w:rPr>
                <w:rFonts w:hint="eastAsia" w:eastAsia="宋体"/>
                <w:color w:val="auto"/>
              </w:rPr>
              <w:t>综上所述，本项目符合</w:t>
            </w:r>
            <w:r>
              <w:rPr>
                <w:color w:val="auto"/>
              </w:rPr>
              <w:t>《重庆铜梁高新区铜梁片区及全蒲片区规划环境影响跟踪评价报告书》</w:t>
            </w:r>
            <w:r>
              <w:rPr>
                <w:rFonts w:hint="eastAsia"/>
                <w:color w:val="auto"/>
              </w:rPr>
              <w:t>的相关要求</w:t>
            </w:r>
          </w:p>
          <w:p>
            <w:pPr>
              <w:pStyle w:val="60"/>
              <w:rPr>
                <w:rFonts w:eastAsia="宋体"/>
                <w:color w:val="auto"/>
              </w:rPr>
            </w:pPr>
            <w:r>
              <w:rPr>
                <w:rFonts w:hint="eastAsia" w:eastAsia="宋体"/>
                <w:color w:val="auto"/>
              </w:rPr>
              <w:t>根据《</w:t>
            </w:r>
            <w:r>
              <w:rPr>
                <w:rFonts w:eastAsia="宋体"/>
                <w:color w:val="auto"/>
              </w:rPr>
              <w:t>重庆铜梁高新区铜梁片区及全蒲片区规划环境影响跟踪评价报告书</w:t>
            </w:r>
            <w:r>
              <w:rPr>
                <w:rFonts w:hint="eastAsia" w:eastAsia="宋体"/>
                <w:color w:val="auto"/>
              </w:rPr>
              <w:t>》中相关法律、法规及环保政策符合性分析的结论，本项目符合《重庆市工业项目环境准入规定（修订）》（渝办发[2012]142号文）、《关于严格工业布局和准入的通知》（渝发改工[2018]781号）的相关要求。</w:t>
            </w:r>
          </w:p>
          <w:p>
            <w:pPr>
              <w:pStyle w:val="49"/>
              <w:tabs>
                <w:tab w:val="left" w:pos="1306"/>
              </w:tabs>
              <w:wordWrap w:val="0"/>
              <w:autoSpaceDE/>
              <w:autoSpaceDN/>
              <w:snapToGrid w:val="0"/>
              <w:ind w:firstLine="0" w:firstLineChars="0"/>
              <w:rPr>
                <w:b/>
                <w:bCs/>
                <w:color w:val="auto"/>
              </w:rPr>
            </w:pPr>
            <w:r>
              <w:rPr>
                <w:rFonts w:hint="eastAsia"/>
                <w:b/>
                <w:bCs/>
                <w:color w:val="auto"/>
              </w:rPr>
              <w:t>3.与规划环评审查意见函符合性分析</w:t>
            </w:r>
          </w:p>
          <w:p>
            <w:pPr>
              <w:autoSpaceDE w:val="0"/>
              <w:autoSpaceDN w:val="0"/>
              <w:adjustRightInd w:val="0"/>
              <w:snapToGrid w:val="0"/>
              <w:jc w:val="center"/>
              <w:rPr>
                <w:rFonts w:eastAsiaTheme="minorEastAsia"/>
                <w:color w:val="auto"/>
                <w:kern w:val="0"/>
                <w:sz w:val="21"/>
                <w:szCs w:val="21"/>
              </w:rPr>
            </w:pPr>
            <w:r>
              <w:rPr>
                <w:rFonts w:eastAsiaTheme="minorEastAsia"/>
                <w:color w:val="auto"/>
                <w:kern w:val="0"/>
                <w:sz w:val="21"/>
                <w:szCs w:val="21"/>
              </w:rPr>
              <w:t>表</w:t>
            </w:r>
            <w:r>
              <w:rPr>
                <w:rFonts w:hint="eastAsia" w:eastAsiaTheme="minorEastAsia"/>
                <w:color w:val="auto"/>
                <w:kern w:val="0"/>
                <w:sz w:val="21"/>
                <w:szCs w:val="21"/>
              </w:rPr>
              <w:t xml:space="preserve">1.2 </w:t>
            </w:r>
            <w:r>
              <w:rPr>
                <w:rFonts w:eastAsiaTheme="minorEastAsia"/>
                <w:color w:val="auto"/>
                <w:kern w:val="0"/>
                <w:sz w:val="21"/>
                <w:szCs w:val="21"/>
              </w:rPr>
              <w:t>与规划环评审查意见函渝环函[2019]94号的符合性分析</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068"/>
              <w:gridCol w:w="2255"/>
              <w:gridCol w:w="7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序号</w:t>
                  </w:r>
                </w:p>
              </w:tc>
              <w:tc>
                <w:tcPr>
                  <w:tcW w:w="2610"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审查意见</w:t>
                  </w:r>
                </w:p>
              </w:tc>
              <w:tc>
                <w:tcPr>
                  <w:tcW w:w="1447"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项目情况</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1</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规划区应不断优化产业发展方向，按照报告书提出的“三线一单”管理要求，以资源利用上线、环境质量底线为约束，严格建设项目环境准入，入驻工业企业应满足《重庆市工业项目环境准入规定(修订)》《报告书》确定的环境准入清单要求，禁止发展印染、化学合成药类等重污染企业，限制引进食品发酵业等耗水量大、水污染物排放强度高的项目。</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项目满足《重庆市工业项目环境准入规定(修订)》，符合园区环境准入清单要求，不属于印染、化学合成药类等重污染企业，不属于食品发酵业等耗水量大、水污染物排放强度</w:t>
                  </w:r>
                </w:p>
                <w:p>
                  <w:pPr>
                    <w:autoSpaceDE w:val="0"/>
                    <w:autoSpaceDN w:val="0"/>
                    <w:adjustRightInd w:val="0"/>
                    <w:snapToGrid w:val="0"/>
                    <w:rPr>
                      <w:rFonts w:eastAsiaTheme="minorEastAsia"/>
                      <w:color w:val="auto"/>
                      <w:kern w:val="0"/>
                      <w:szCs w:val="21"/>
                    </w:rPr>
                  </w:pPr>
                  <w:r>
                    <w:rPr>
                      <w:rFonts w:eastAsiaTheme="minorEastAsia"/>
                      <w:color w:val="auto"/>
                      <w:kern w:val="0"/>
                      <w:szCs w:val="21"/>
                    </w:rPr>
                    <w:t>高的项目。</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2</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规划区内淮远河、小安溪等河流两岸以及拦河堰水库、生基嘴水库库岸应设置一定宽度的绿化缓冲带，绿化缓冲带要保持原有的状况和自然形态，原则上应为绿地，除护岸工程及必要的市政设施外，禁止修建任何建筑物和构筑物。规划区要优化区域内的工业景观设计和建设，调整不和谐的建筑因素，按国务院实现全域旅游景观的原则要求，逐步调整工业园区与城市的景观和谐、自然，达到园区工业景观的“产业美”目标。规划区后续涉及环境防护距离的工业企业或项目，应通过选址或调整布局严格控制环境防护距离。结合铜梁区工业发展规划，白土坝片区采取“腾笼换鸟”的方式，发展以物流、生产资料交易为主的生产性服务业，将片区内不符合产业规划、排污量大企业逐步迁出片区。</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项目符合园区规划，不属于白土坝片区。</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3</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严格环境准入。禁止燃煤，鼓励燃气锅炉采用低氮燃烧技术。加强现状企业大气污染治理和监管，各入驻企业采用清洁工艺，采取先进的污染防治措施，确保废气稳定达标排放。排放挥发性有机物的企业应符合《重庆市“十三五”挥发性有机物污染防治工作实施方案》等相关要求。合理布局，产生有毒有害气体、粉尘的项目尽量远离生活配套服务区等集中居住区，尽量降低企业达标扰民的影响。食品加工、生物医药等对环境要求较高企业布局</w:t>
                  </w:r>
                </w:p>
                <w:p>
                  <w:pPr>
                    <w:autoSpaceDE w:val="0"/>
                    <w:autoSpaceDN w:val="0"/>
                    <w:adjustRightInd w:val="0"/>
                    <w:snapToGrid w:val="0"/>
                    <w:rPr>
                      <w:rFonts w:eastAsiaTheme="minorEastAsia"/>
                      <w:color w:val="auto"/>
                      <w:kern w:val="0"/>
                      <w:szCs w:val="21"/>
                    </w:rPr>
                  </w:pPr>
                  <w:r>
                    <w:rPr>
                      <w:rFonts w:eastAsiaTheme="minorEastAsia"/>
                      <w:color w:val="auto"/>
                      <w:kern w:val="0"/>
                      <w:szCs w:val="21"/>
                    </w:rPr>
                    <w:t>应考虑周边企业污染排放，留足防护距离。</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w:t>
                  </w:r>
                  <w:r>
                    <w:rPr>
                      <w:rFonts w:eastAsiaTheme="minorEastAsia"/>
                      <w:color w:val="auto"/>
                      <w:kern w:val="0"/>
                      <w:szCs w:val="21"/>
                      <w:highlight w:val="none"/>
                    </w:rPr>
                    <w:t>目排放的有机废气采用“</w:t>
                  </w:r>
                  <w:r>
                    <w:rPr>
                      <w:rFonts w:hint="eastAsia" w:eastAsiaTheme="minorEastAsia"/>
                      <w:color w:val="auto"/>
                      <w:kern w:val="0"/>
                      <w:szCs w:val="21"/>
                      <w:highlight w:val="none"/>
                      <w:lang w:val="en-US" w:eastAsia="zh-CN"/>
                    </w:rPr>
                    <w:t>UV光解+二级</w:t>
                  </w:r>
                  <w:r>
                    <w:rPr>
                      <w:rFonts w:hint="eastAsia" w:eastAsiaTheme="minorEastAsia"/>
                      <w:color w:val="auto"/>
                      <w:kern w:val="0"/>
                      <w:szCs w:val="21"/>
                      <w:highlight w:val="none"/>
                    </w:rPr>
                    <w:t>活性炭吸附</w:t>
                  </w:r>
                  <w:r>
                    <w:rPr>
                      <w:rFonts w:eastAsiaTheme="minorEastAsia"/>
                      <w:color w:val="auto"/>
                      <w:kern w:val="0"/>
                      <w:szCs w:val="21"/>
                      <w:highlight w:val="none"/>
                    </w:rPr>
                    <w:t>”处理，能达标排放，符合要</w:t>
                  </w:r>
                  <w:r>
                    <w:rPr>
                      <w:rFonts w:eastAsiaTheme="minorEastAsia"/>
                      <w:color w:val="auto"/>
                      <w:kern w:val="0"/>
                      <w:szCs w:val="21"/>
                    </w:rPr>
                    <w:t>求。</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4</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合理布局企业噪声源，高噪声源企业选址和布局应满足相应的环境防护距离要求，尽量远离居住区:选择低噪声设备,采取消声、隔声、减震等措施，确保厂界噪声达标:合理布局、科学设定建筑物与交通干线的防噪声距离，严格落实规划区内交通主干道两侧的防护绿化带要求。</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项目噪声采取消声、隔声、减震等措施，厂界噪声能达标。</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5</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固体废物应按相关要求进行妥善收集、处理。加强一般工业固体废物综合利用和处置:危险废物交有相应危险废物处理资质的单位进行处置：生活垃圾经收集后由环卫部门</w:t>
                  </w:r>
                  <w:r>
                    <w:rPr>
                      <w:rFonts w:hint="eastAsia" w:eastAsiaTheme="minorEastAsia"/>
                      <w:color w:val="auto"/>
                      <w:kern w:val="0"/>
                      <w:szCs w:val="21"/>
                    </w:rPr>
                    <w:t>统一</w:t>
                  </w:r>
                  <w:r>
                    <w:rPr>
                      <w:rFonts w:eastAsiaTheme="minorEastAsia"/>
                      <w:color w:val="auto"/>
                      <w:kern w:val="0"/>
                      <w:szCs w:val="21"/>
                    </w:rPr>
                    <w:t>清运处置。严格执行土壤风险评估和污染土壤修复制度,对疑似污染地块开展调查评估，建立污染地块名录及其开发利用负面清单，土地开发利用必须满足规划用地土壤环境质量要求。</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项目危废分类暂存于危废暂存间，定期交有危废处置资质的单位处置，对固体废物进行妥善收集、处理。</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6</w:t>
                  </w:r>
                </w:p>
              </w:tc>
              <w:tc>
                <w:tcPr>
                  <w:tcW w:w="2610"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环境风险防范和应急处置是确保环境安全的重要工作内容，园区应在现有基础上完善环境风险防范体系建设，相关企业尤其是涉及危化品的企业应严格落实各项环境风险防范措施，防范突发性环境风险事故发生。完善环境污染事故应急预案，配备相应风险防范应急物资,定期做好应急演练,完善园区三级风险防范体系，保障环境安全。</w:t>
                  </w:r>
                </w:p>
              </w:tc>
              <w:tc>
                <w:tcPr>
                  <w:tcW w:w="1447" w:type="pct"/>
                  <w:tcBorders>
                    <w:tl2br w:val="nil"/>
                    <w:tr2bl w:val="nil"/>
                  </w:tcBorders>
                  <w:vAlign w:val="center"/>
                </w:tcPr>
                <w:p>
                  <w:pPr>
                    <w:autoSpaceDE w:val="0"/>
                    <w:autoSpaceDN w:val="0"/>
                    <w:adjustRightInd w:val="0"/>
                    <w:snapToGrid w:val="0"/>
                    <w:rPr>
                      <w:rFonts w:eastAsiaTheme="minorEastAsia"/>
                      <w:color w:val="auto"/>
                      <w:kern w:val="0"/>
                      <w:szCs w:val="21"/>
                    </w:rPr>
                  </w:pPr>
                  <w:r>
                    <w:rPr>
                      <w:rFonts w:eastAsiaTheme="minorEastAsia"/>
                      <w:color w:val="auto"/>
                      <w:kern w:val="0"/>
                      <w:szCs w:val="21"/>
                    </w:rPr>
                    <w:t>项目设有环境风险防范措施，无重大危险源。</w:t>
                  </w:r>
                </w:p>
              </w:tc>
              <w:tc>
                <w:tcPr>
                  <w:tcW w:w="465" w:type="pct"/>
                  <w:tcBorders>
                    <w:tl2br w:val="nil"/>
                    <w:tr2bl w:val="nil"/>
                  </w:tcBorders>
                  <w:vAlign w:val="center"/>
                </w:tcPr>
                <w:p>
                  <w:pPr>
                    <w:autoSpaceDE w:val="0"/>
                    <w:autoSpaceDN w:val="0"/>
                    <w:adjustRightInd w:val="0"/>
                    <w:snapToGrid w:val="0"/>
                    <w:jc w:val="center"/>
                    <w:rPr>
                      <w:rFonts w:eastAsiaTheme="minorEastAsia"/>
                      <w:color w:val="auto"/>
                      <w:kern w:val="0"/>
                      <w:szCs w:val="21"/>
                    </w:rPr>
                  </w:pPr>
                  <w:r>
                    <w:rPr>
                      <w:rFonts w:eastAsiaTheme="minorEastAsia"/>
                      <w:color w:val="auto"/>
                      <w:kern w:val="0"/>
                      <w:szCs w:val="21"/>
                    </w:rPr>
                    <w:t>符合</w:t>
                  </w:r>
                </w:p>
              </w:tc>
            </w:tr>
          </w:tbl>
          <w:p>
            <w:pPr>
              <w:pStyle w:val="49"/>
              <w:tabs>
                <w:tab w:val="left" w:pos="1306"/>
              </w:tabs>
              <w:wordWrap w:val="0"/>
              <w:autoSpaceDE/>
              <w:autoSpaceDN/>
              <w:snapToGrid w:val="0"/>
              <w:ind w:firstLine="480"/>
              <w:rPr>
                <w:b/>
                <w:bCs/>
                <w:color w:val="auto"/>
              </w:rPr>
            </w:pPr>
            <w:r>
              <w:rPr>
                <w:rFonts w:hint="eastAsia" w:eastAsiaTheme="minorEastAsia"/>
                <w:color w:val="auto"/>
              </w:rPr>
              <w:t>综上所述，本项目</w:t>
            </w:r>
            <w:r>
              <w:rPr>
                <w:rFonts w:eastAsiaTheme="minorEastAsia"/>
                <w:color w:val="auto"/>
              </w:rPr>
              <w:t>符合规划环评审查意见</w:t>
            </w:r>
            <w:r>
              <w:rPr>
                <w:rFonts w:hint="eastAsia" w:eastAsiaTheme="minorEastAsia"/>
                <w:color w:val="auto"/>
              </w:rPr>
              <w:t>函的相关要求</w:t>
            </w:r>
            <w:r>
              <w:rPr>
                <w:rFonts w:eastAsiaTheme="minorEastAsia"/>
                <w:color w:val="auto"/>
              </w:rPr>
              <w:t>。</w:t>
            </w: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pStyle w:val="2"/>
              <w:rPr>
                <w:color w:val="auto"/>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ind w:firstLine="480" w:firstLineChars="200"/>
              <w:jc w:val="left"/>
              <w:rPr>
                <w:rFonts w:eastAsiaTheme="minorEastAsia"/>
                <w:color w:val="auto"/>
                <w:kern w:val="0"/>
                <w:sz w:val="24"/>
              </w:rPr>
            </w:pPr>
          </w:p>
          <w:p>
            <w:pPr>
              <w:autoSpaceDE w:val="0"/>
              <w:autoSpaceDN w:val="0"/>
              <w:adjustRightInd w:val="0"/>
              <w:snapToGrid w:val="0"/>
              <w:spacing w:line="360" w:lineRule="auto"/>
              <w:jc w:val="left"/>
              <w:rPr>
                <w:rFonts w:ascii="宋体" w:hAnsi="宋体" w:cs="宋体"/>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4" w:hRule="atLeast"/>
          <w:jc w:val="center"/>
        </w:trPr>
        <w:tc>
          <w:tcPr>
            <w:tcW w:w="864" w:type="dxa"/>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其他符合性分析</w:t>
            </w:r>
          </w:p>
        </w:tc>
        <w:tc>
          <w:tcPr>
            <w:tcW w:w="8006" w:type="dxa"/>
          </w:tcPr>
          <w:p>
            <w:pPr>
              <w:pStyle w:val="13"/>
              <w:adjustRightInd w:val="0"/>
              <w:snapToGrid w:val="0"/>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1.</w:t>
            </w:r>
            <w:r>
              <w:rPr>
                <w:rFonts w:ascii="Times New Roman" w:hAnsi="Times New Roman" w:cs="Times New Roman"/>
                <w:b/>
                <w:color w:val="auto"/>
                <w:sz w:val="24"/>
                <w:szCs w:val="24"/>
              </w:rPr>
              <w:t>产业政策符合性分析</w:t>
            </w:r>
          </w:p>
          <w:p>
            <w:pPr>
              <w:adjustRightInd w:val="0"/>
              <w:snapToGrid w:val="0"/>
              <w:spacing w:line="360" w:lineRule="auto"/>
              <w:ind w:firstLine="480" w:firstLineChars="200"/>
              <w:rPr>
                <w:color w:val="auto"/>
                <w:sz w:val="24"/>
              </w:rPr>
            </w:pPr>
            <w:r>
              <w:rPr>
                <w:color w:val="auto"/>
                <w:sz w:val="24"/>
              </w:rPr>
              <w:t>本项目主要</w:t>
            </w:r>
            <w:r>
              <w:rPr>
                <w:rFonts w:hint="eastAsia"/>
                <w:color w:val="auto"/>
                <w:sz w:val="24"/>
              </w:rPr>
              <w:t>生产汽车零部件</w:t>
            </w:r>
            <w:r>
              <w:rPr>
                <w:color w:val="auto"/>
                <w:sz w:val="24"/>
              </w:rPr>
              <w:t>，不属于《产业结构调整指导目录（2019年本）》中鼓励类、限制类、淘汰类项目，属于允许类项目，因此本项目符合国家产业政策。本项目已获得</w:t>
            </w:r>
            <w:r>
              <w:rPr>
                <w:rFonts w:hint="eastAsia" w:ascii="宋体" w:hAnsi="宋体" w:cs="宋体"/>
                <w:color w:val="auto"/>
                <w:sz w:val="24"/>
              </w:rPr>
              <w:t>重庆市铜梁</w:t>
            </w:r>
            <w:r>
              <w:rPr>
                <w:rFonts w:hint="eastAsia" w:ascii="宋体" w:hAnsi="宋体" w:cs="宋体"/>
                <w:color w:val="auto"/>
                <w:sz w:val="24"/>
                <w:lang w:eastAsia="zh-CN"/>
              </w:rPr>
              <w:t>区发展和改革委员会</w:t>
            </w:r>
            <w:r>
              <w:rPr>
                <w:color w:val="auto"/>
                <w:sz w:val="24"/>
              </w:rPr>
              <w:t>颁发的《重庆市企业投资项目备案证》（项目代码：</w:t>
            </w:r>
            <w:r>
              <w:rPr>
                <w:rFonts w:hint="eastAsia"/>
                <w:color w:val="auto"/>
                <w:sz w:val="24"/>
              </w:rPr>
              <w:t>2302</w:t>
            </w:r>
            <w:r>
              <w:rPr>
                <w:color w:val="auto"/>
                <w:sz w:val="24"/>
              </w:rPr>
              <w:t>-500</w:t>
            </w:r>
            <w:r>
              <w:rPr>
                <w:rFonts w:hint="eastAsia"/>
                <w:color w:val="auto"/>
                <w:sz w:val="24"/>
              </w:rPr>
              <w:t>151</w:t>
            </w:r>
            <w:r>
              <w:rPr>
                <w:color w:val="auto"/>
                <w:sz w:val="24"/>
              </w:rPr>
              <w:t>-0</w:t>
            </w:r>
            <w:r>
              <w:rPr>
                <w:rFonts w:hint="eastAsia"/>
                <w:color w:val="auto"/>
                <w:sz w:val="24"/>
              </w:rPr>
              <w:t>4</w:t>
            </w:r>
            <w:r>
              <w:rPr>
                <w:color w:val="auto"/>
                <w:sz w:val="24"/>
              </w:rPr>
              <w:t>-0</w:t>
            </w:r>
            <w:r>
              <w:rPr>
                <w:rFonts w:hint="eastAsia"/>
                <w:color w:val="auto"/>
                <w:sz w:val="24"/>
              </w:rPr>
              <w:t>1</w:t>
            </w:r>
            <w:r>
              <w:rPr>
                <w:color w:val="auto"/>
                <w:sz w:val="24"/>
              </w:rPr>
              <w:t>-</w:t>
            </w:r>
            <w:r>
              <w:rPr>
                <w:rFonts w:hint="eastAsia"/>
                <w:color w:val="auto"/>
                <w:sz w:val="24"/>
              </w:rPr>
              <w:t>196772</w:t>
            </w:r>
            <w:r>
              <w:rPr>
                <w:color w:val="auto"/>
                <w:sz w:val="24"/>
              </w:rPr>
              <w:t>）</w:t>
            </w:r>
          </w:p>
          <w:p>
            <w:pPr>
              <w:pStyle w:val="13"/>
              <w:adjustRightInd w:val="0"/>
              <w:snapToGrid w:val="0"/>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2.与“三线一单”的符合性分析</w:t>
            </w:r>
          </w:p>
          <w:p>
            <w:pPr>
              <w:adjustRightInd w:val="0"/>
              <w:snapToGrid w:val="0"/>
              <w:spacing w:line="360" w:lineRule="auto"/>
              <w:ind w:firstLine="480" w:firstLineChars="200"/>
              <w:rPr>
                <w:color w:val="auto"/>
                <w:sz w:val="24"/>
              </w:rPr>
            </w:pPr>
            <w:r>
              <w:rPr>
                <w:color w:val="auto"/>
                <w:sz w:val="24"/>
              </w:rPr>
              <w:t>本项目位于</w:t>
            </w:r>
            <w:r>
              <w:rPr>
                <w:rFonts w:hint="eastAsia"/>
                <w:color w:val="auto"/>
                <w:spacing w:val="8"/>
                <w:sz w:val="24"/>
                <w:shd w:val="clear" w:color="auto" w:fill="FFFFFF"/>
              </w:rPr>
              <w:t>重庆市铜梁区东城街道祝英南路7号</w:t>
            </w:r>
            <w:r>
              <w:rPr>
                <w:color w:val="auto"/>
                <w:kern w:val="0"/>
                <w:sz w:val="24"/>
                <w:lang w:bidi="ar"/>
              </w:rPr>
              <w:t>，</w:t>
            </w:r>
            <w:r>
              <w:rPr>
                <w:color w:val="auto"/>
                <w:sz w:val="24"/>
              </w:rPr>
              <w:t>根据《</w:t>
            </w:r>
            <w:bookmarkStart w:id="1" w:name="tbx_bt"/>
            <w:r>
              <w:rPr>
                <w:color w:val="auto"/>
                <w:sz w:val="24"/>
              </w:rPr>
              <w:t>重庆市生态环境局关于印发&lt;规划环评“三线一单”符合性分析技术要点（试行）、&lt;建设项目环评“三线一单”符合性分析技术要点（试行）&gt;的通知</w:t>
            </w:r>
            <w:bookmarkEnd w:id="1"/>
            <w:r>
              <w:rPr>
                <w:color w:val="auto"/>
                <w:sz w:val="24"/>
              </w:rPr>
              <w:t>》</w:t>
            </w:r>
            <w:bookmarkStart w:id="2" w:name="gwz"/>
            <w:r>
              <w:rPr>
                <w:color w:val="auto"/>
                <w:sz w:val="24"/>
              </w:rPr>
              <w:t>（渝环函[2022]</w:t>
            </w:r>
            <w:bookmarkStart w:id="3" w:name="gwqh"/>
            <w:r>
              <w:rPr>
                <w:color w:val="auto"/>
                <w:sz w:val="24"/>
              </w:rPr>
              <w:t>397</w:t>
            </w:r>
            <w:bookmarkEnd w:id="3"/>
            <w:r>
              <w:rPr>
                <w:color w:val="auto"/>
                <w:sz w:val="24"/>
              </w:rPr>
              <w:t>号）</w:t>
            </w:r>
            <w:bookmarkEnd w:id="2"/>
            <w:r>
              <w:rPr>
                <w:color w:val="auto"/>
                <w:sz w:val="24"/>
              </w:rPr>
              <w:t>，本项目与“三线一单”符合性见表1.</w:t>
            </w:r>
            <w:r>
              <w:rPr>
                <w:rFonts w:hint="eastAsia"/>
                <w:color w:val="auto"/>
                <w:sz w:val="24"/>
              </w:rPr>
              <w:t>2</w:t>
            </w:r>
            <w:r>
              <w:rPr>
                <w:color w:val="auto"/>
                <w:sz w:val="24"/>
              </w:rPr>
              <w:t>。</w:t>
            </w:r>
          </w:p>
          <w:p>
            <w:pPr>
              <w:pStyle w:val="44"/>
              <w:spacing w:line="360" w:lineRule="auto"/>
              <w:ind w:firstLine="0" w:firstLineChars="0"/>
              <w:jc w:val="center"/>
              <w:rPr>
                <w:color w:val="auto"/>
                <w:sz w:val="21"/>
                <w:szCs w:val="21"/>
              </w:rPr>
            </w:pPr>
            <w:r>
              <w:rPr>
                <w:color w:val="auto"/>
                <w:sz w:val="21"/>
                <w:szCs w:val="21"/>
              </w:rPr>
              <w:t>表1.</w:t>
            </w:r>
            <w:r>
              <w:rPr>
                <w:rFonts w:hint="eastAsia"/>
                <w:color w:val="auto"/>
                <w:sz w:val="21"/>
                <w:szCs w:val="21"/>
              </w:rPr>
              <w:t>2</w:t>
            </w:r>
            <w:r>
              <w:rPr>
                <w:color w:val="auto"/>
                <w:sz w:val="21"/>
                <w:szCs w:val="21"/>
              </w:rPr>
              <w:t xml:space="preserve"> 建设项目与“三线一单”管控要求的符合性分析表</w:t>
            </w:r>
          </w:p>
          <w:tbl>
            <w:tblPr>
              <w:tblStyle w:val="2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00"/>
              <w:gridCol w:w="953"/>
              <w:gridCol w:w="2377"/>
              <w:gridCol w:w="1686"/>
              <w:gridCol w:w="11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1" w:type="dxa"/>
                  <w:gridSpan w:val="3"/>
                  <w:tcBorders>
                    <w:tl2br w:val="nil"/>
                    <w:tr2bl w:val="nil"/>
                  </w:tcBorders>
                  <w:vAlign w:val="center"/>
                </w:tcPr>
                <w:p>
                  <w:pPr>
                    <w:snapToGrid w:val="0"/>
                    <w:jc w:val="center"/>
                    <w:rPr>
                      <w:bCs/>
                      <w:color w:val="auto"/>
                      <w:szCs w:val="21"/>
                    </w:rPr>
                  </w:pPr>
                  <w:r>
                    <w:rPr>
                      <w:bCs/>
                      <w:color w:val="auto"/>
                      <w:szCs w:val="21"/>
                    </w:rPr>
                    <w:t>环境管控单元编码</w:t>
                  </w:r>
                </w:p>
              </w:tc>
              <w:tc>
                <w:tcPr>
                  <w:tcW w:w="2377" w:type="dxa"/>
                  <w:tcBorders>
                    <w:tl2br w:val="nil"/>
                    <w:tr2bl w:val="nil"/>
                  </w:tcBorders>
                  <w:vAlign w:val="center"/>
                </w:tcPr>
                <w:p>
                  <w:pPr>
                    <w:snapToGrid w:val="0"/>
                    <w:jc w:val="center"/>
                    <w:rPr>
                      <w:bCs/>
                      <w:color w:val="auto"/>
                      <w:szCs w:val="21"/>
                    </w:rPr>
                  </w:pPr>
                  <w:r>
                    <w:rPr>
                      <w:bCs/>
                      <w:color w:val="auto"/>
                      <w:szCs w:val="21"/>
                    </w:rPr>
                    <w:t>环境管控单元名称</w:t>
                  </w:r>
                </w:p>
              </w:tc>
              <w:tc>
                <w:tcPr>
                  <w:tcW w:w="2842" w:type="dxa"/>
                  <w:gridSpan w:val="2"/>
                  <w:tcBorders>
                    <w:tl2br w:val="nil"/>
                    <w:tr2bl w:val="nil"/>
                  </w:tcBorders>
                  <w:vAlign w:val="center"/>
                </w:tcPr>
                <w:p>
                  <w:pPr>
                    <w:snapToGrid w:val="0"/>
                    <w:jc w:val="center"/>
                    <w:rPr>
                      <w:bCs/>
                      <w:color w:val="auto"/>
                      <w:szCs w:val="21"/>
                    </w:rPr>
                  </w:pPr>
                  <w:r>
                    <w:rPr>
                      <w:bCs/>
                      <w:color w:val="auto"/>
                      <w:szCs w:val="21"/>
                    </w:rPr>
                    <w:t>环境管控单元类型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1" w:type="dxa"/>
                  <w:gridSpan w:val="3"/>
                  <w:tcBorders>
                    <w:tl2br w:val="nil"/>
                    <w:tr2bl w:val="nil"/>
                  </w:tcBorders>
                  <w:vAlign w:val="center"/>
                </w:tcPr>
                <w:p>
                  <w:pPr>
                    <w:widowControl/>
                    <w:jc w:val="center"/>
                    <w:rPr>
                      <w:bCs/>
                      <w:color w:val="auto"/>
                      <w:szCs w:val="21"/>
                    </w:rPr>
                  </w:pPr>
                  <w:r>
                    <w:rPr>
                      <w:color w:val="auto"/>
                      <w:kern w:val="0"/>
                      <w:szCs w:val="21"/>
                      <w:lang w:bidi="ar"/>
                    </w:rPr>
                    <w:t>ZH5001512000</w:t>
                  </w:r>
                  <w:r>
                    <w:rPr>
                      <w:rFonts w:hint="eastAsia"/>
                      <w:color w:val="auto"/>
                      <w:kern w:val="0"/>
                      <w:szCs w:val="21"/>
                      <w:lang w:bidi="ar"/>
                    </w:rPr>
                    <w:t>2</w:t>
                  </w:r>
                </w:p>
              </w:tc>
              <w:tc>
                <w:tcPr>
                  <w:tcW w:w="2377" w:type="dxa"/>
                  <w:tcBorders>
                    <w:tl2br w:val="nil"/>
                    <w:tr2bl w:val="nil"/>
                  </w:tcBorders>
                  <w:vAlign w:val="center"/>
                </w:tcPr>
                <w:p>
                  <w:pPr>
                    <w:snapToGrid w:val="0"/>
                    <w:jc w:val="center"/>
                    <w:rPr>
                      <w:bCs/>
                      <w:color w:val="auto"/>
                      <w:szCs w:val="21"/>
                    </w:rPr>
                  </w:pPr>
                  <w:r>
                    <w:rPr>
                      <w:rFonts w:hint="eastAsia"/>
                      <w:color w:val="auto"/>
                      <w:kern w:val="0"/>
                      <w:szCs w:val="21"/>
                    </w:rPr>
                    <w:t>淮远河众志桥</w:t>
                  </w:r>
                </w:p>
              </w:tc>
              <w:tc>
                <w:tcPr>
                  <w:tcW w:w="2842" w:type="dxa"/>
                  <w:gridSpan w:val="2"/>
                  <w:tcBorders>
                    <w:tl2br w:val="nil"/>
                    <w:tr2bl w:val="nil"/>
                  </w:tcBorders>
                  <w:vAlign w:val="center"/>
                </w:tcPr>
                <w:p>
                  <w:pPr>
                    <w:snapToGrid w:val="0"/>
                    <w:jc w:val="center"/>
                    <w:rPr>
                      <w:bCs/>
                      <w:color w:val="auto"/>
                      <w:szCs w:val="21"/>
                    </w:rPr>
                  </w:pPr>
                  <w:r>
                    <w:rPr>
                      <w:bCs/>
                      <w:color w:val="auto"/>
                      <w:szCs w:val="21"/>
                    </w:rPr>
                    <w:t>重点管控单元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tcBorders>
                    <w:tl2br w:val="nil"/>
                    <w:tr2bl w:val="nil"/>
                  </w:tcBorders>
                  <w:vAlign w:val="center"/>
                </w:tcPr>
                <w:p>
                  <w:pPr>
                    <w:snapToGrid w:val="0"/>
                    <w:jc w:val="center"/>
                    <w:rPr>
                      <w:bCs/>
                      <w:color w:val="auto"/>
                      <w:szCs w:val="21"/>
                    </w:rPr>
                  </w:pPr>
                  <w:r>
                    <w:rPr>
                      <w:bCs/>
                      <w:color w:val="auto"/>
                      <w:szCs w:val="21"/>
                    </w:rPr>
                    <w:t>管控要求层级</w:t>
                  </w:r>
                </w:p>
              </w:tc>
              <w:tc>
                <w:tcPr>
                  <w:tcW w:w="800" w:type="dxa"/>
                  <w:tcBorders>
                    <w:tl2br w:val="nil"/>
                    <w:tr2bl w:val="nil"/>
                  </w:tcBorders>
                  <w:vAlign w:val="center"/>
                </w:tcPr>
                <w:p>
                  <w:pPr>
                    <w:snapToGrid w:val="0"/>
                    <w:jc w:val="center"/>
                    <w:rPr>
                      <w:bCs/>
                      <w:color w:val="auto"/>
                      <w:szCs w:val="21"/>
                    </w:rPr>
                  </w:pPr>
                  <w:r>
                    <w:rPr>
                      <w:bCs/>
                      <w:color w:val="auto"/>
                      <w:szCs w:val="21"/>
                    </w:rPr>
                    <w:t>管控</w:t>
                  </w:r>
                </w:p>
                <w:p>
                  <w:pPr>
                    <w:snapToGrid w:val="0"/>
                    <w:jc w:val="center"/>
                    <w:rPr>
                      <w:bCs/>
                      <w:color w:val="auto"/>
                      <w:szCs w:val="21"/>
                    </w:rPr>
                  </w:pPr>
                  <w:r>
                    <w:rPr>
                      <w:bCs/>
                      <w:color w:val="auto"/>
                      <w:szCs w:val="21"/>
                    </w:rPr>
                    <w:t>类型</w:t>
                  </w:r>
                </w:p>
              </w:tc>
              <w:tc>
                <w:tcPr>
                  <w:tcW w:w="3330" w:type="dxa"/>
                  <w:gridSpan w:val="2"/>
                  <w:tcBorders>
                    <w:tl2br w:val="nil"/>
                    <w:tr2bl w:val="nil"/>
                  </w:tcBorders>
                  <w:vAlign w:val="center"/>
                </w:tcPr>
                <w:p>
                  <w:pPr>
                    <w:snapToGrid w:val="0"/>
                    <w:jc w:val="center"/>
                    <w:rPr>
                      <w:bCs/>
                      <w:color w:val="auto"/>
                      <w:szCs w:val="21"/>
                    </w:rPr>
                  </w:pPr>
                  <w:r>
                    <w:rPr>
                      <w:bCs/>
                      <w:color w:val="auto"/>
                      <w:szCs w:val="21"/>
                    </w:rPr>
                    <w:t>管控要求</w:t>
                  </w:r>
                </w:p>
              </w:tc>
              <w:tc>
                <w:tcPr>
                  <w:tcW w:w="1686" w:type="dxa"/>
                  <w:tcBorders>
                    <w:tl2br w:val="nil"/>
                    <w:tr2bl w:val="nil"/>
                  </w:tcBorders>
                  <w:vAlign w:val="center"/>
                </w:tcPr>
                <w:p>
                  <w:pPr>
                    <w:snapToGrid w:val="0"/>
                    <w:jc w:val="center"/>
                    <w:rPr>
                      <w:bCs/>
                      <w:color w:val="auto"/>
                      <w:szCs w:val="21"/>
                    </w:rPr>
                  </w:pPr>
                  <w:r>
                    <w:rPr>
                      <w:bCs/>
                      <w:color w:val="auto"/>
                      <w:szCs w:val="21"/>
                    </w:rPr>
                    <w:t>建设项目</w:t>
                  </w:r>
                </w:p>
                <w:p>
                  <w:pPr>
                    <w:snapToGrid w:val="0"/>
                    <w:jc w:val="center"/>
                    <w:rPr>
                      <w:bCs/>
                      <w:color w:val="auto"/>
                      <w:szCs w:val="21"/>
                    </w:rPr>
                  </w:pPr>
                  <w:r>
                    <w:rPr>
                      <w:bCs/>
                      <w:color w:val="auto"/>
                      <w:szCs w:val="21"/>
                    </w:rPr>
                    <w:t>相关情况</w:t>
                  </w:r>
                </w:p>
              </w:tc>
              <w:tc>
                <w:tcPr>
                  <w:tcW w:w="1156" w:type="dxa"/>
                  <w:tcBorders>
                    <w:tl2br w:val="nil"/>
                    <w:tr2bl w:val="nil"/>
                  </w:tcBorders>
                  <w:vAlign w:val="center"/>
                </w:tcPr>
                <w:p>
                  <w:pPr>
                    <w:snapToGrid w:val="0"/>
                    <w:jc w:val="center"/>
                    <w:rPr>
                      <w:bCs/>
                      <w:color w:val="auto"/>
                      <w:szCs w:val="21"/>
                    </w:rPr>
                  </w:pPr>
                  <w:r>
                    <w:rPr>
                      <w:bCs/>
                      <w:color w:val="auto"/>
                      <w:szCs w:val="21"/>
                    </w:rPr>
                    <w:t>符合性分析结论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tcBorders>
                    <w:tl2br w:val="nil"/>
                    <w:tr2bl w:val="nil"/>
                  </w:tcBorders>
                  <w:vAlign w:val="center"/>
                </w:tcPr>
                <w:p>
                  <w:pPr>
                    <w:snapToGrid w:val="0"/>
                    <w:jc w:val="center"/>
                    <w:rPr>
                      <w:color w:val="auto"/>
                      <w:szCs w:val="21"/>
                    </w:rPr>
                  </w:pPr>
                  <w:r>
                    <w:rPr>
                      <w:color w:val="auto"/>
                      <w:szCs w:val="21"/>
                    </w:rPr>
                    <w:t>全市</w:t>
                  </w:r>
                </w:p>
                <w:p>
                  <w:pPr>
                    <w:snapToGrid w:val="0"/>
                    <w:jc w:val="center"/>
                    <w:rPr>
                      <w:color w:val="auto"/>
                      <w:szCs w:val="21"/>
                    </w:rPr>
                  </w:pPr>
                  <w:r>
                    <w:rPr>
                      <w:color w:val="auto"/>
                      <w:szCs w:val="21"/>
                    </w:rPr>
                    <w:t>总体</w:t>
                  </w:r>
                </w:p>
                <w:p>
                  <w:pPr>
                    <w:snapToGrid w:val="0"/>
                    <w:jc w:val="center"/>
                    <w:rPr>
                      <w:color w:val="auto"/>
                      <w:szCs w:val="21"/>
                    </w:rPr>
                  </w:pPr>
                  <w:r>
                    <w:rPr>
                      <w:color w:val="auto"/>
                      <w:szCs w:val="21"/>
                    </w:rPr>
                    <w:t>管控</w:t>
                  </w:r>
                </w:p>
                <w:p>
                  <w:pPr>
                    <w:snapToGrid w:val="0"/>
                    <w:jc w:val="center"/>
                    <w:rPr>
                      <w:color w:val="auto"/>
                      <w:szCs w:val="21"/>
                    </w:rPr>
                  </w:pPr>
                  <w:r>
                    <w:rPr>
                      <w:color w:val="auto"/>
                      <w:szCs w:val="21"/>
                    </w:rPr>
                    <w:t>要求</w:t>
                  </w:r>
                </w:p>
              </w:tc>
              <w:tc>
                <w:tcPr>
                  <w:tcW w:w="800" w:type="dxa"/>
                  <w:vMerge w:val="restart"/>
                  <w:tcBorders>
                    <w:tl2br w:val="nil"/>
                    <w:tr2bl w:val="nil"/>
                  </w:tcBorders>
                  <w:vAlign w:val="center"/>
                </w:tcPr>
                <w:p>
                  <w:pPr>
                    <w:snapToGrid w:val="0"/>
                    <w:jc w:val="center"/>
                    <w:rPr>
                      <w:color w:val="auto"/>
                      <w:szCs w:val="21"/>
                    </w:rPr>
                  </w:pPr>
                  <w:r>
                    <w:rPr>
                      <w:color w:val="auto"/>
                      <w:szCs w:val="21"/>
                    </w:rPr>
                    <w:t>空间</w:t>
                  </w:r>
                </w:p>
                <w:p>
                  <w:pPr>
                    <w:snapToGrid w:val="0"/>
                    <w:jc w:val="center"/>
                    <w:rPr>
                      <w:color w:val="auto"/>
                      <w:szCs w:val="21"/>
                    </w:rPr>
                  </w:pPr>
                  <w:r>
                    <w:rPr>
                      <w:color w:val="auto"/>
                      <w:szCs w:val="21"/>
                    </w:rPr>
                    <w:t>布局</w:t>
                  </w:r>
                </w:p>
                <w:p>
                  <w:pPr>
                    <w:snapToGrid w:val="0"/>
                    <w:jc w:val="center"/>
                    <w:rPr>
                      <w:color w:val="auto"/>
                      <w:szCs w:val="21"/>
                    </w:rPr>
                  </w:pPr>
                  <w:r>
                    <w:rPr>
                      <w:color w:val="auto"/>
                      <w:szCs w:val="21"/>
                    </w:rPr>
                    <w:t>约束</w:t>
                  </w: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严格执行《产业结构调整指导目录》、《重庆市产业投资准入工作手册》、《重庆市工业项目环境准入规定》、《重庆市长江经济带发展负面清单指南实施细则（试行）》等文件要求，优化重点区域、流域、产业的空间布局。对不符合准入要求的既有项目，依法依规实施整改、退出等分类治理方案。</w:t>
                  </w:r>
                </w:p>
              </w:tc>
              <w:tc>
                <w:tcPr>
                  <w:tcW w:w="1686" w:type="dxa"/>
                  <w:tcBorders>
                    <w:tl2br w:val="nil"/>
                    <w:tr2bl w:val="nil"/>
                  </w:tcBorders>
                  <w:vAlign w:val="center"/>
                </w:tcPr>
                <w:p>
                  <w:pPr>
                    <w:autoSpaceDE w:val="0"/>
                    <w:autoSpaceDN w:val="0"/>
                    <w:adjustRightInd w:val="0"/>
                    <w:jc w:val="left"/>
                    <w:rPr>
                      <w:color w:val="auto"/>
                      <w:szCs w:val="21"/>
                    </w:rPr>
                  </w:pPr>
                  <w:r>
                    <w:rPr>
                      <w:color w:val="auto"/>
                      <w:szCs w:val="21"/>
                    </w:rPr>
                    <w:t>项目符合以上产业文件的相关要求。</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禁止在长江干流及主要支流岸线1公里范围内新建重化工、纺织、造纸等存在污染风险的工业项目，禁止在长江干支流1公里范围内新建、扩建化工园区和化工项目。5公里范围内除经国家和市政府批准设立、仍在建设的工业园区外，不再新布局工业园区（不包括现有工业园区拓展）。新建有污染物排放的工业项目应进入工业园区或工业集中区，不得在工业园区（集聚区）以外区域实施单纯增加产能的技改（扩建）项目。</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本项目不在长江干流及重要支流1公里范围内；不属于新布局的工业园区；本项目铜梁工业园</w:t>
                  </w:r>
                  <w:r>
                    <w:rPr>
                      <w:color w:val="auto"/>
                      <w:szCs w:val="21"/>
                    </w:rPr>
                    <w:t>，位于工业园区范围内</w:t>
                  </w:r>
                  <w:r>
                    <w:rPr>
                      <w:bCs/>
                      <w:color w:val="auto"/>
                      <w:szCs w:val="21"/>
                    </w:rPr>
                    <w:t>。</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在长江鱼嘴以上江段及其一级支流汇入口上游20公里、嘉陵江及其一级支流汇入口上游20公里、集中式饮用水水源取水口上游20公里范围内的沿岸地区（江河50年一遇洪水位向陆域一侧1公里范围内），禁止新建、扩建排放重点重金属（铬、镉、汞、砷、铅等五类重金属）、剧毒物质和持久性有机污染物的工业项目。</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w:t>
                  </w:r>
                  <w:r>
                    <w:rPr>
                      <w:color w:val="auto"/>
                      <w:szCs w:val="21"/>
                    </w:rPr>
                    <w:t>项目不在上述区域，不排放五类重金属、剧毒物质和持久性有机污染物。</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严格执行相关行业企业布局选址要求，优化环境防护距离设置，按要求设置生态隔离带，防范工业园区（工业集聚区）涉生态环境“邻避”问题，将环境防护距离优化控制在园区边界或用地红线以内。</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w:t>
                  </w:r>
                  <w:r>
                    <w:rPr>
                      <w:color w:val="auto"/>
                      <w:szCs w:val="21"/>
                    </w:rPr>
                    <w:t>项目</w:t>
                  </w:r>
                  <w:r>
                    <w:rPr>
                      <w:rFonts w:hint="eastAsia"/>
                      <w:color w:val="auto"/>
                      <w:szCs w:val="21"/>
                    </w:rPr>
                    <w:t>位于工业园区内，</w:t>
                  </w:r>
                  <w:r>
                    <w:rPr>
                      <w:color w:val="auto"/>
                      <w:szCs w:val="21"/>
                    </w:rPr>
                    <w:t>不涉及</w:t>
                  </w:r>
                  <w:r>
                    <w:rPr>
                      <w:rFonts w:hint="eastAsia"/>
                      <w:color w:val="auto"/>
                      <w:szCs w:val="21"/>
                    </w:rPr>
                    <w:t>上述问题</w:t>
                  </w:r>
                  <w:r>
                    <w:rPr>
                      <w:color w:val="auto"/>
                      <w:szCs w:val="21"/>
                    </w:rPr>
                    <w:t>。</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加快布局分散的企业向园区集中，鼓励现有工业项目、化工项目分别搬入工业集聚区、化工产业集聚区。</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本项目位于铜梁工业园，属于工业园区</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优化城镇功能布局，开发活动限制在资源环境承载能力之内。科学确定城镇开发强度，提高城镇土地利用效率、建成区人口密度，划定城镇开发边界，从严供给城市建设用地，推动城镇化发展由外延扩张式向内涵提升式转变。精心维护自然山水和城乡人居环境，凸显历史文化底蕴，充分塑造和着力体现重庆的山水自然人文特色。</w:t>
                  </w:r>
                </w:p>
              </w:tc>
              <w:tc>
                <w:tcPr>
                  <w:tcW w:w="1686" w:type="dxa"/>
                  <w:tcBorders>
                    <w:tl2br w:val="nil"/>
                    <w:tr2bl w:val="nil"/>
                  </w:tcBorders>
                  <w:vAlign w:val="center"/>
                </w:tcPr>
                <w:p>
                  <w:pPr>
                    <w:autoSpaceDE w:val="0"/>
                    <w:autoSpaceDN w:val="0"/>
                    <w:adjustRightInd w:val="0"/>
                    <w:jc w:val="left"/>
                    <w:rPr>
                      <w:color w:val="auto"/>
                      <w:szCs w:val="21"/>
                    </w:rPr>
                  </w:pPr>
                  <w:r>
                    <w:rPr>
                      <w:color w:val="auto"/>
                      <w:szCs w:val="21"/>
                    </w:rPr>
                    <w:t>项目建设在环境资源承载能力之内。</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restart"/>
                  <w:tcBorders>
                    <w:tl2br w:val="nil"/>
                    <w:tr2bl w:val="nil"/>
                  </w:tcBorders>
                  <w:vAlign w:val="center"/>
                </w:tcPr>
                <w:p>
                  <w:pPr>
                    <w:snapToGrid w:val="0"/>
                    <w:jc w:val="center"/>
                    <w:rPr>
                      <w:color w:val="auto"/>
                      <w:szCs w:val="21"/>
                    </w:rPr>
                  </w:pPr>
                  <w:r>
                    <w:rPr>
                      <w:color w:val="auto"/>
                      <w:szCs w:val="21"/>
                    </w:rPr>
                    <w:t>污染物排放管控</w:t>
                  </w: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未达到国家环境质量标准的重点区域、流域的有关地方人民政府，应当制定限期达标规划，并采取措施按期达标。</w:t>
                  </w:r>
                </w:p>
              </w:tc>
              <w:tc>
                <w:tcPr>
                  <w:tcW w:w="1686" w:type="dxa"/>
                  <w:tcBorders>
                    <w:tl2br w:val="nil"/>
                    <w:tr2bl w:val="nil"/>
                  </w:tcBorders>
                  <w:vAlign w:val="center"/>
                </w:tcPr>
                <w:p>
                  <w:pPr>
                    <w:autoSpaceDE w:val="0"/>
                    <w:autoSpaceDN w:val="0"/>
                    <w:adjustRightInd w:val="0"/>
                    <w:rPr>
                      <w:color w:val="auto"/>
                      <w:szCs w:val="21"/>
                    </w:rPr>
                  </w:pPr>
                  <w:r>
                    <w:rPr>
                      <w:bCs/>
                      <w:szCs w:val="21"/>
                    </w:rPr>
                    <w:t>项目位于铜梁，区</w:t>
                  </w:r>
                  <w:r>
                    <w:rPr>
                      <w:rFonts w:hint="eastAsia"/>
                      <w:bCs/>
                      <w:szCs w:val="21"/>
                      <w:lang w:eastAsia="zh-CN"/>
                    </w:rPr>
                    <w:t>属于环境质量达标区</w:t>
                  </w:r>
                  <w:r>
                    <w:rPr>
                      <w:bCs/>
                      <w:szCs w:val="21"/>
                    </w:rPr>
                    <w:t>。</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巩固“十一小”（不符合国家产业政策的小型造纸、制革、印染、染料、炼焦、炼硫、炼砷、炼油、电镀、农药、涉磷生产和使用等企业）取缔成果，防止死灰复燃。巩固“十一大”（造纸、焦化、氮肥、有色金属、印染、农副产品及食品加工、原料药制造(生化制药)、制革、农药、电镀以及涉磷产品等）企业污染整治成果。</w:t>
                  </w:r>
                </w:p>
              </w:tc>
              <w:tc>
                <w:tcPr>
                  <w:tcW w:w="1686" w:type="dxa"/>
                  <w:tcBorders>
                    <w:tl2br w:val="nil"/>
                    <w:tr2bl w:val="nil"/>
                  </w:tcBorders>
                  <w:vAlign w:val="center"/>
                </w:tcPr>
                <w:p>
                  <w:pPr>
                    <w:autoSpaceDE w:val="0"/>
                    <w:autoSpaceDN w:val="0"/>
                    <w:adjustRightInd w:val="0"/>
                    <w:ind w:firstLine="420" w:firstLineChars="200"/>
                    <w:jc w:val="left"/>
                    <w:rPr>
                      <w:color w:val="auto"/>
                      <w:szCs w:val="21"/>
                    </w:rPr>
                  </w:pPr>
                  <w:r>
                    <w:rPr>
                      <w:rFonts w:hint="eastAsia"/>
                      <w:color w:val="auto"/>
                      <w:szCs w:val="21"/>
                    </w:rPr>
                    <w:t>本项目不属于“十一小”、“十一大”项目</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城区及江津区、合川区、璧山区、铜梁区二氧化硫、氮氧化物、颗粒物、挥发性有机物严格执行大气污染物特别排放限值，并逐步将执行范围扩大到重点控制区重点行业。</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w:t>
                  </w:r>
                  <w:r>
                    <w:rPr>
                      <w:color w:val="auto"/>
                      <w:szCs w:val="21"/>
                    </w:rPr>
                    <w:t>项目位于铜梁区，项目排放的废气将严格执行大气污染物特别排放限值</w:t>
                  </w:r>
                  <w:r>
                    <w:rPr>
                      <w:bCs/>
                      <w:color w:val="auto"/>
                      <w:szCs w:val="21"/>
                    </w:rPr>
                    <w:t>。</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新建、改建、扩建涉VOCs排放的项目，加强源头控制，使用低（无）VOCs含量的原辅料，加强废气收集，安装高效治理设施。有条件的工业集聚区建设集中喷涂中心，配备高效治污设施，替代企业独立喷涂工序。</w:t>
                  </w:r>
                </w:p>
              </w:tc>
              <w:tc>
                <w:tcPr>
                  <w:tcW w:w="1686" w:type="dxa"/>
                  <w:tcBorders>
                    <w:tl2br w:val="nil"/>
                    <w:tr2bl w:val="nil"/>
                  </w:tcBorders>
                  <w:vAlign w:val="center"/>
                </w:tcPr>
                <w:p>
                  <w:pPr>
                    <w:autoSpaceDE w:val="0"/>
                    <w:autoSpaceDN w:val="0"/>
                    <w:adjustRightInd w:val="0"/>
                    <w:jc w:val="left"/>
                    <w:rPr>
                      <w:color w:val="auto"/>
                      <w:szCs w:val="21"/>
                    </w:rPr>
                  </w:pPr>
                  <w:r>
                    <w:rPr>
                      <w:rFonts w:hint="eastAsia"/>
                      <w:color w:val="auto"/>
                      <w:szCs w:val="21"/>
                    </w:rPr>
                    <w:t>本项目使用的VOC</w:t>
                  </w:r>
                  <w:r>
                    <w:rPr>
                      <w:rFonts w:hint="eastAsia"/>
                      <w:color w:val="auto"/>
                      <w:szCs w:val="21"/>
                      <w:highlight w:val="none"/>
                    </w:rPr>
                    <w:t>s物料主要为胶粘剂、P</w:t>
                  </w:r>
                  <w:r>
                    <w:rPr>
                      <w:rFonts w:hint="eastAsia"/>
                      <w:color w:val="auto"/>
                      <w:szCs w:val="21"/>
                      <w:highlight w:val="none"/>
                      <w:lang w:val="en-US" w:eastAsia="zh-CN"/>
                    </w:rPr>
                    <w:t>E</w:t>
                  </w:r>
                  <w:r>
                    <w:rPr>
                      <w:rFonts w:hint="eastAsia"/>
                      <w:color w:val="auto"/>
                      <w:szCs w:val="21"/>
                      <w:highlight w:val="none"/>
                    </w:rPr>
                    <w:t>塑料粒，</w:t>
                  </w:r>
                  <w:r>
                    <w:rPr>
                      <w:rFonts w:hint="eastAsia" w:ascii="宋体" w:hAnsi="宋体" w:cs="宋体"/>
                      <w:color w:val="auto"/>
                      <w:kern w:val="0"/>
                      <w:szCs w:val="21"/>
                      <w:highlight w:val="none"/>
                      <w:lang w:bidi="ar"/>
                    </w:rPr>
                    <w:t>其产生的</w:t>
                  </w:r>
                  <w:r>
                    <w:rPr>
                      <w:color w:val="auto"/>
                      <w:kern w:val="0"/>
                      <w:szCs w:val="21"/>
                      <w:highlight w:val="none"/>
                      <w:lang w:bidi="ar"/>
                    </w:rPr>
                    <w:t>VOCs</w:t>
                  </w:r>
                  <w:r>
                    <w:rPr>
                      <w:rFonts w:hint="eastAsia"/>
                      <w:color w:val="auto"/>
                      <w:kern w:val="0"/>
                      <w:szCs w:val="21"/>
                      <w:highlight w:val="none"/>
                      <w:lang w:bidi="ar"/>
                    </w:rPr>
                    <w:t>经收集后采用“</w:t>
                  </w:r>
                  <w:r>
                    <w:rPr>
                      <w:rFonts w:hint="eastAsia"/>
                      <w:color w:val="auto"/>
                      <w:kern w:val="0"/>
                      <w:szCs w:val="21"/>
                      <w:highlight w:val="none"/>
                      <w:lang w:val="en-US" w:eastAsia="zh-CN" w:bidi="ar"/>
                    </w:rPr>
                    <w:t>UV光解+二级</w:t>
                  </w:r>
                  <w:r>
                    <w:rPr>
                      <w:rFonts w:hint="eastAsia"/>
                      <w:color w:val="auto"/>
                      <w:kern w:val="0"/>
                      <w:szCs w:val="21"/>
                      <w:highlight w:val="none"/>
                      <w:lang w:bidi="ar"/>
                    </w:rPr>
                    <w:t>活性炭吸附”能实现达标排放；本</w:t>
                  </w:r>
                  <w:r>
                    <w:rPr>
                      <w:rFonts w:hint="eastAsia"/>
                      <w:color w:val="auto"/>
                      <w:kern w:val="0"/>
                      <w:szCs w:val="21"/>
                      <w:lang w:bidi="ar"/>
                    </w:rPr>
                    <w:t>项目不涉及喷涂工序</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autoSpaceDE w:val="0"/>
                    <w:autoSpaceDN w:val="0"/>
                    <w:adjustRightInd w:val="0"/>
                    <w:jc w:val="left"/>
                    <w:rPr>
                      <w:color w:val="auto"/>
                      <w:szCs w:val="21"/>
                    </w:rPr>
                  </w:pPr>
                  <w:r>
                    <w:rPr>
                      <w:color w:val="auto"/>
                      <w:szCs w:val="21"/>
                    </w:rPr>
                    <w:t>集中治理工业集聚区水污染，新建、升级工业集聚区应同步规划建设污水集中处理设施并安装自动在线监控装置。组织评估依托城镇生活污水处理设施处理园区工业废水对出水的影响，导致出水不能稳定达标的，要限期退出城镇污水处理设施并另行专门处理。</w:t>
                  </w:r>
                </w:p>
              </w:tc>
              <w:tc>
                <w:tcPr>
                  <w:tcW w:w="1686" w:type="dxa"/>
                  <w:tcBorders>
                    <w:tl2br w:val="nil"/>
                    <w:tr2bl w:val="nil"/>
                  </w:tcBorders>
                  <w:vAlign w:val="center"/>
                </w:tcPr>
                <w:p>
                  <w:pPr>
                    <w:autoSpaceDE w:val="0"/>
                    <w:autoSpaceDN w:val="0"/>
                    <w:adjustRightInd w:val="0"/>
                    <w:jc w:val="left"/>
                    <w:rPr>
                      <w:color w:val="auto"/>
                      <w:szCs w:val="21"/>
                    </w:rPr>
                  </w:pPr>
                  <w:r>
                    <w:rPr>
                      <w:rFonts w:hint="eastAsia"/>
                      <w:bCs/>
                      <w:color w:val="auto"/>
                      <w:szCs w:val="21"/>
                    </w:rPr>
                    <w:t>本</w:t>
                  </w:r>
                  <w:r>
                    <w:rPr>
                      <w:bCs/>
                      <w:color w:val="auto"/>
                      <w:szCs w:val="21"/>
                    </w:rPr>
                    <w:t>项目不涉及</w:t>
                  </w:r>
                  <w:r>
                    <w:rPr>
                      <w:rFonts w:hint="eastAsia"/>
                      <w:bCs/>
                      <w:color w:val="auto"/>
                      <w:szCs w:val="21"/>
                    </w:rPr>
                    <w:t>工业聚居区污水处理设施的建设；不涉及城市生活污水处理设施处理园区工业废水稳定达标的评估</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restart"/>
                  <w:tcBorders>
                    <w:tl2br w:val="nil"/>
                    <w:tr2bl w:val="nil"/>
                  </w:tcBorders>
                  <w:vAlign w:val="center"/>
                </w:tcPr>
                <w:p>
                  <w:pPr>
                    <w:snapToGrid w:val="0"/>
                    <w:jc w:val="center"/>
                    <w:rPr>
                      <w:color w:val="auto"/>
                      <w:szCs w:val="21"/>
                    </w:rPr>
                  </w:pPr>
                  <w:r>
                    <w:rPr>
                      <w:color w:val="auto"/>
                      <w:szCs w:val="21"/>
                    </w:rPr>
                    <w:t>环境风险防控</w:t>
                  </w:r>
                </w:p>
              </w:tc>
              <w:tc>
                <w:tcPr>
                  <w:tcW w:w="3330" w:type="dxa"/>
                  <w:gridSpan w:val="2"/>
                  <w:tcBorders>
                    <w:tl2br w:val="nil"/>
                    <w:tr2bl w:val="nil"/>
                  </w:tcBorders>
                  <w:vAlign w:val="center"/>
                </w:tcPr>
                <w:p>
                  <w:pPr>
                    <w:pStyle w:val="2"/>
                    <w:spacing w:line="240" w:lineRule="auto"/>
                    <w:rPr>
                      <w:color w:val="auto"/>
                      <w:szCs w:val="21"/>
                    </w:rPr>
                  </w:pPr>
                  <w:r>
                    <w:rPr>
                      <w:rFonts w:ascii="Times New Roman" w:cs="Times New Roman"/>
                      <w:color w:val="auto"/>
                      <w:sz w:val="21"/>
                      <w:szCs w:val="21"/>
                    </w:rPr>
                    <w:t>健全风险防范体系；制定环境风险防范协调联动工作机制。开展涉及化工生产的工业园区突发环境事件风险评估。长江三峡库区干流流域、城市集中式饮用水源、涉及化工生产的化工园区等按要求开展突发环境事件风险评估。</w:t>
                  </w:r>
                </w:p>
              </w:tc>
              <w:tc>
                <w:tcPr>
                  <w:tcW w:w="1686" w:type="dxa"/>
                  <w:tcBorders>
                    <w:tl2br w:val="nil"/>
                    <w:tr2bl w:val="nil"/>
                  </w:tcBorders>
                  <w:vAlign w:val="center"/>
                </w:tcPr>
                <w:p>
                  <w:pPr>
                    <w:autoSpaceDE w:val="0"/>
                    <w:autoSpaceDN w:val="0"/>
                    <w:adjustRightInd w:val="0"/>
                    <w:rPr>
                      <w:color w:val="auto"/>
                      <w:szCs w:val="21"/>
                    </w:rPr>
                  </w:pPr>
                  <w:r>
                    <w:rPr>
                      <w:bCs/>
                      <w:color w:val="auto"/>
                      <w:szCs w:val="21"/>
                    </w:rPr>
                    <w:t>项目建设、运行过程中将</w:t>
                  </w:r>
                  <w:r>
                    <w:rPr>
                      <w:color w:val="auto"/>
                    </w:rPr>
                    <w:t>针对可能存在的环境风险，实施有效的</w:t>
                  </w:r>
                  <w:r>
                    <w:rPr>
                      <w:rFonts w:hint="eastAsia"/>
                      <w:color w:val="auto"/>
                    </w:rPr>
                    <w:t>风险防范措施</w:t>
                  </w:r>
                  <w:r>
                    <w:rPr>
                      <w:bCs/>
                      <w:color w:val="auto"/>
                      <w:szCs w:val="21"/>
                    </w:rPr>
                    <w:t>。</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2"/>
                    <w:spacing w:line="240" w:lineRule="auto"/>
                    <w:rPr>
                      <w:color w:val="auto"/>
                      <w:szCs w:val="21"/>
                    </w:rPr>
                  </w:pPr>
                  <w:r>
                    <w:rPr>
                      <w:rFonts w:ascii="Times New Roman" w:cs="Times New Roman"/>
                      <w:color w:val="auto"/>
                      <w:sz w:val="21"/>
                      <w:szCs w:val="21"/>
                    </w:rPr>
                    <w:t>禁止建设存在重大环境安全隐患的工业项目，严禁工艺技术落后、环境风险高的化工企业向我市转移。</w:t>
                  </w:r>
                </w:p>
              </w:tc>
              <w:tc>
                <w:tcPr>
                  <w:tcW w:w="1686" w:type="dxa"/>
                  <w:tcBorders>
                    <w:tl2br w:val="nil"/>
                    <w:tr2bl w:val="nil"/>
                  </w:tcBorders>
                  <w:vAlign w:val="center"/>
                </w:tcPr>
                <w:p>
                  <w:pPr>
                    <w:autoSpaceDE w:val="0"/>
                    <w:autoSpaceDN w:val="0"/>
                    <w:adjustRightInd w:val="0"/>
                    <w:rPr>
                      <w:color w:val="auto"/>
                      <w:szCs w:val="21"/>
                    </w:rPr>
                  </w:pPr>
                  <w:r>
                    <w:rPr>
                      <w:rFonts w:hint="eastAsia"/>
                      <w:bCs/>
                      <w:color w:val="auto"/>
                      <w:szCs w:val="21"/>
                    </w:rPr>
                    <w:t>本</w:t>
                  </w:r>
                  <w:r>
                    <w:rPr>
                      <w:bCs/>
                      <w:color w:val="auto"/>
                      <w:szCs w:val="21"/>
                    </w:rPr>
                    <w:t>项目无重大风险源，不属于存在重大环境安全隐患的工业项目。</w:t>
                  </w:r>
                </w:p>
              </w:tc>
              <w:tc>
                <w:tcPr>
                  <w:tcW w:w="1156" w:type="dxa"/>
                  <w:tcBorders>
                    <w:tl2br w:val="nil"/>
                    <w:tr2bl w:val="nil"/>
                  </w:tcBorders>
                  <w:vAlign w:val="center"/>
                </w:tcPr>
                <w:p>
                  <w:pPr>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restart"/>
                  <w:tcBorders>
                    <w:tl2br w:val="nil"/>
                    <w:tr2bl w:val="nil"/>
                  </w:tcBorders>
                  <w:vAlign w:val="center"/>
                </w:tcPr>
                <w:p>
                  <w:pPr>
                    <w:snapToGrid w:val="0"/>
                    <w:jc w:val="center"/>
                    <w:rPr>
                      <w:color w:val="auto"/>
                      <w:szCs w:val="21"/>
                    </w:rPr>
                  </w:pPr>
                  <w:r>
                    <w:rPr>
                      <w:color w:val="auto"/>
                      <w:szCs w:val="21"/>
                    </w:rPr>
                    <w:t>资源开发利用效率</w:t>
                  </w:r>
                </w:p>
              </w:tc>
              <w:tc>
                <w:tcPr>
                  <w:tcW w:w="3330" w:type="dxa"/>
                  <w:gridSpan w:val="2"/>
                  <w:tcBorders>
                    <w:tl2br w:val="nil"/>
                    <w:tr2bl w:val="nil"/>
                  </w:tcBorders>
                  <w:vAlign w:val="center"/>
                </w:tcPr>
                <w:p>
                  <w:pPr>
                    <w:pStyle w:val="2"/>
                    <w:snapToGrid w:val="0"/>
                    <w:spacing w:line="240" w:lineRule="auto"/>
                    <w:rPr>
                      <w:color w:val="auto"/>
                      <w:szCs w:val="21"/>
                    </w:rPr>
                  </w:pPr>
                  <w:r>
                    <w:rPr>
                      <w:rFonts w:ascii="Times New Roman" w:cs="Times New Roman"/>
                      <w:color w:val="auto"/>
                      <w:sz w:val="21"/>
                      <w:szCs w:val="21"/>
                    </w:rPr>
                    <w:t>加强资源节约集约利用。实行能源，水资源，建设用地总量和强度双控行动，推进节能、节水、节地，节材等节约自然资源行动，从源头减少污染物排放。</w:t>
                  </w:r>
                </w:p>
              </w:tc>
              <w:tc>
                <w:tcPr>
                  <w:tcW w:w="1686" w:type="dxa"/>
                  <w:tcBorders>
                    <w:tl2br w:val="nil"/>
                    <w:tr2bl w:val="nil"/>
                  </w:tcBorders>
                  <w:vAlign w:val="center"/>
                </w:tcPr>
                <w:p>
                  <w:pPr>
                    <w:autoSpaceDE w:val="0"/>
                    <w:autoSpaceDN w:val="0"/>
                    <w:adjustRightInd w:val="0"/>
                    <w:rPr>
                      <w:color w:val="auto"/>
                      <w:szCs w:val="21"/>
                    </w:rPr>
                  </w:pPr>
                  <w:r>
                    <w:rPr>
                      <w:rFonts w:hint="eastAsia"/>
                      <w:color w:val="auto"/>
                      <w:szCs w:val="21"/>
                    </w:rPr>
                    <w:t>本项目利用现有生产厂房，不新增用地面积；本项目</w:t>
                  </w:r>
                  <w:r>
                    <w:rPr>
                      <w:color w:val="auto"/>
                      <w:szCs w:val="21"/>
                    </w:rPr>
                    <w:t>生产使用电能，</w:t>
                  </w:r>
                  <w:r>
                    <w:rPr>
                      <w:rFonts w:hint="eastAsia"/>
                      <w:color w:val="auto"/>
                      <w:szCs w:val="21"/>
                    </w:rPr>
                    <w:t>本项目用排水量较少</w:t>
                  </w:r>
                </w:p>
              </w:tc>
              <w:tc>
                <w:tcPr>
                  <w:tcW w:w="1156" w:type="dxa"/>
                  <w:tcBorders>
                    <w:tl2br w:val="nil"/>
                    <w:tr2bl w:val="nil"/>
                  </w:tcBorders>
                  <w:vAlign w:val="center"/>
                </w:tcPr>
                <w:p>
                  <w:pPr>
                    <w:snapToGrid w:val="0"/>
                    <w:jc w:val="center"/>
                    <w:rPr>
                      <w:color w:val="auto"/>
                      <w:szCs w:val="21"/>
                    </w:rPr>
                  </w:pPr>
                  <w:r>
                    <w:rPr>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2"/>
                    <w:snapToGrid w:val="0"/>
                    <w:spacing w:line="240" w:lineRule="auto"/>
                    <w:rPr>
                      <w:color w:val="auto"/>
                      <w:szCs w:val="21"/>
                    </w:rPr>
                  </w:pPr>
                  <w:r>
                    <w:rPr>
                      <w:rFonts w:ascii="Times New Roman" w:cs="Times New Roman"/>
                      <w:color w:val="auto"/>
                      <w:sz w:val="21"/>
                      <w:szCs w:val="21"/>
                    </w:rPr>
                    <w:t>在禁燃区内，禁止销售、燃用高污染燃料，禁止新建、改建、扩建任何燃用高污染燃料的项目和设备，已建成使用高污染燃料的各类设备应当拆除或者改用管道天然气、页岩气、液化石油气、电或者其他清洁能源；在不具备使用清洁能源条件的区域，可使用配备专用锅炉和除尘装置的生物质成型燃料。</w:t>
                  </w:r>
                </w:p>
              </w:tc>
              <w:tc>
                <w:tcPr>
                  <w:tcW w:w="1686" w:type="dxa"/>
                  <w:tcBorders>
                    <w:tl2br w:val="nil"/>
                    <w:tr2bl w:val="nil"/>
                  </w:tcBorders>
                  <w:vAlign w:val="center"/>
                </w:tcPr>
                <w:p>
                  <w:pPr>
                    <w:autoSpaceDE w:val="0"/>
                    <w:autoSpaceDN w:val="0"/>
                    <w:adjustRightInd w:val="0"/>
                    <w:rPr>
                      <w:color w:val="auto"/>
                      <w:szCs w:val="21"/>
                    </w:rPr>
                  </w:pPr>
                  <w:r>
                    <w:rPr>
                      <w:rFonts w:hint="eastAsia"/>
                      <w:bCs/>
                      <w:color w:val="auto"/>
                      <w:szCs w:val="21"/>
                    </w:rPr>
                    <w:t>本项目不使用燃煤或高污染物燃料。</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tcBorders>
                    <w:tl2br w:val="nil"/>
                    <w:tr2bl w:val="nil"/>
                  </w:tcBorders>
                  <w:vAlign w:val="center"/>
                </w:tcPr>
                <w:p>
                  <w:pPr>
                    <w:snapToGrid w:val="0"/>
                    <w:jc w:val="center"/>
                    <w:rPr>
                      <w:color w:val="auto"/>
                      <w:szCs w:val="21"/>
                    </w:rPr>
                  </w:pPr>
                  <w:r>
                    <w:rPr>
                      <w:color w:val="auto"/>
                      <w:szCs w:val="21"/>
                    </w:rPr>
                    <w:t>区县总体管控要求</w:t>
                  </w:r>
                </w:p>
              </w:tc>
              <w:tc>
                <w:tcPr>
                  <w:tcW w:w="800" w:type="dxa"/>
                  <w:vMerge w:val="restart"/>
                  <w:tcBorders>
                    <w:tl2br w:val="nil"/>
                    <w:tr2bl w:val="nil"/>
                  </w:tcBorders>
                  <w:vAlign w:val="center"/>
                </w:tcPr>
                <w:p>
                  <w:pPr>
                    <w:snapToGrid w:val="0"/>
                    <w:jc w:val="center"/>
                    <w:rPr>
                      <w:color w:val="auto"/>
                      <w:szCs w:val="21"/>
                    </w:rPr>
                  </w:pPr>
                  <w:r>
                    <w:rPr>
                      <w:color w:val="auto"/>
                      <w:szCs w:val="21"/>
                    </w:rPr>
                    <w:t>空间布局约束</w:t>
                  </w:r>
                </w:p>
              </w:tc>
              <w:tc>
                <w:tcPr>
                  <w:tcW w:w="3330" w:type="dxa"/>
                  <w:gridSpan w:val="2"/>
                  <w:tcBorders>
                    <w:tl2br w:val="nil"/>
                    <w:tr2bl w:val="nil"/>
                  </w:tcBorders>
                  <w:vAlign w:val="center"/>
                </w:tcPr>
                <w:p>
                  <w:pPr>
                    <w:snapToGrid w:val="0"/>
                    <w:rPr>
                      <w:color w:val="auto"/>
                      <w:szCs w:val="21"/>
                    </w:rPr>
                  </w:pPr>
                  <w:r>
                    <w:rPr>
                      <w:color w:val="auto"/>
                      <w:szCs w:val="21"/>
                    </w:rPr>
                    <w:t>第一条 保护好巴岳山、毓青山等自然生态环境，形成以生态功能区为支撑，国家禁止开发区域为重要组成部分的生态空间体系。小企业基地规划范围不得侵占生态空间。</w:t>
                  </w:r>
                </w:p>
              </w:tc>
              <w:tc>
                <w:tcPr>
                  <w:tcW w:w="1686" w:type="dxa"/>
                  <w:tcBorders>
                    <w:tl2br w:val="nil"/>
                    <w:tr2bl w:val="nil"/>
                  </w:tcBorders>
                  <w:vAlign w:val="center"/>
                </w:tcPr>
                <w:p>
                  <w:pPr>
                    <w:snapToGrid w:val="0"/>
                    <w:rPr>
                      <w:color w:val="auto"/>
                      <w:szCs w:val="21"/>
                    </w:rPr>
                  </w:pPr>
                  <w:r>
                    <w:rPr>
                      <w:rFonts w:hint="eastAsia"/>
                      <w:color w:val="auto"/>
                      <w:szCs w:val="21"/>
                    </w:rPr>
                    <w:t>本项目位于铜梁区东城街道，不属于上述区域</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snapToGrid w:val="0"/>
                    <w:rPr>
                      <w:color w:val="auto"/>
                      <w:szCs w:val="21"/>
                    </w:rPr>
                  </w:pPr>
                  <w:r>
                    <w:rPr>
                      <w:color w:val="auto"/>
                      <w:szCs w:val="21"/>
                    </w:rPr>
                    <w:t>第二条 铜梁高新区白土坝片区采取“腾笼换鸟”的方式，推动现有产业，提档升级，发展环境影响小、风险可控的产业。</w:t>
                  </w:r>
                </w:p>
              </w:tc>
              <w:tc>
                <w:tcPr>
                  <w:tcW w:w="1686" w:type="dxa"/>
                  <w:tcBorders>
                    <w:tl2br w:val="nil"/>
                    <w:tr2bl w:val="nil"/>
                  </w:tcBorders>
                  <w:vAlign w:val="center"/>
                </w:tcPr>
                <w:p>
                  <w:pPr>
                    <w:snapToGrid w:val="0"/>
                    <w:rPr>
                      <w:color w:val="auto"/>
                      <w:szCs w:val="21"/>
                    </w:rPr>
                  </w:pPr>
                  <w:r>
                    <w:rPr>
                      <w:rFonts w:hint="eastAsia"/>
                      <w:color w:val="auto"/>
                      <w:szCs w:val="21"/>
                    </w:rPr>
                    <w:t>本项目不属于</w:t>
                  </w:r>
                  <w:r>
                    <w:rPr>
                      <w:color w:val="auto"/>
                      <w:szCs w:val="21"/>
                    </w:rPr>
                    <w:t>白土坝片区</w:t>
                  </w:r>
                  <w:r>
                    <w:rPr>
                      <w:rFonts w:hint="eastAsia"/>
                      <w:color w:val="auto"/>
                      <w:szCs w:val="21"/>
                    </w:rPr>
                    <w:t>，环境影响小，环境风险可控</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restart"/>
                  <w:tcBorders>
                    <w:tl2br w:val="nil"/>
                    <w:tr2bl w:val="nil"/>
                  </w:tcBorders>
                  <w:vAlign w:val="center"/>
                </w:tcPr>
                <w:p>
                  <w:pPr>
                    <w:snapToGrid w:val="0"/>
                    <w:jc w:val="center"/>
                    <w:rPr>
                      <w:color w:val="auto"/>
                      <w:szCs w:val="21"/>
                    </w:rPr>
                  </w:pPr>
                  <w:r>
                    <w:rPr>
                      <w:color w:val="auto"/>
                      <w:szCs w:val="21"/>
                    </w:rPr>
                    <w:t>污染物排放管控</w:t>
                  </w:r>
                </w:p>
              </w:tc>
              <w:tc>
                <w:tcPr>
                  <w:tcW w:w="3330" w:type="dxa"/>
                  <w:gridSpan w:val="2"/>
                  <w:tcBorders>
                    <w:tl2br w:val="nil"/>
                    <w:tr2bl w:val="nil"/>
                  </w:tcBorders>
                  <w:vAlign w:val="center"/>
                </w:tcPr>
                <w:p>
                  <w:pPr>
                    <w:pStyle w:val="10"/>
                    <w:spacing w:line="240" w:lineRule="auto"/>
                    <w:rPr>
                      <w:color w:val="auto"/>
                      <w:szCs w:val="21"/>
                    </w:rPr>
                  </w:pPr>
                  <w:r>
                    <w:rPr>
                      <w:color w:val="auto"/>
                      <w:szCs w:val="21"/>
                    </w:rPr>
                    <w:t>第三条 城市生活污水处理厂全面达到《城镇污水处理厂污染物排放标准》（GB18919-2002）一级A排放标准，生活污水处理厂污泥无害化处置率达到85%。</w:t>
                  </w:r>
                </w:p>
              </w:tc>
              <w:tc>
                <w:tcPr>
                  <w:tcW w:w="1686" w:type="dxa"/>
                  <w:tcBorders>
                    <w:tl2br w:val="nil"/>
                    <w:tr2bl w:val="nil"/>
                  </w:tcBorders>
                  <w:vAlign w:val="center"/>
                </w:tcPr>
                <w:p>
                  <w:pPr>
                    <w:pStyle w:val="10"/>
                    <w:spacing w:line="240" w:lineRule="auto"/>
                    <w:jc w:val="center"/>
                    <w:rPr>
                      <w:color w:val="auto"/>
                      <w:szCs w:val="21"/>
                    </w:rPr>
                  </w:pPr>
                  <w:r>
                    <w:rPr>
                      <w:rFonts w:hint="eastAsia"/>
                      <w:color w:val="auto"/>
                      <w:szCs w:val="21"/>
                    </w:rPr>
                    <w:t>本项目不涉及</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10"/>
                    <w:spacing w:line="240" w:lineRule="auto"/>
                    <w:rPr>
                      <w:color w:val="auto"/>
                      <w:szCs w:val="21"/>
                    </w:rPr>
                  </w:pPr>
                  <w:r>
                    <w:rPr>
                      <w:color w:val="auto"/>
                      <w:szCs w:val="21"/>
                    </w:rPr>
                    <w:t>第四条 持续推进企业大气污染防治。二氧化硫、氮氧化物、颗粒物、VOCs严格执行大气污染物特别排放限值，鼓励辖区内水泥、烧结砖瓦窑企业错峰生产</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本项目执行特别排放限值；本项目不属于</w:t>
                  </w:r>
                  <w:r>
                    <w:rPr>
                      <w:color w:val="auto"/>
                      <w:szCs w:val="21"/>
                    </w:rPr>
                    <w:t>水泥、烧结砖瓦窑</w:t>
                  </w:r>
                  <w:r>
                    <w:rPr>
                      <w:rFonts w:hint="eastAsia"/>
                      <w:color w:val="auto"/>
                      <w:szCs w:val="21"/>
                    </w:rPr>
                    <w:t>项目</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10"/>
                    <w:spacing w:line="240" w:lineRule="auto"/>
                    <w:rPr>
                      <w:color w:val="auto"/>
                      <w:szCs w:val="21"/>
                    </w:rPr>
                  </w:pPr>
                  <w:r>
                    <w:rPr>
                      <w:color w:val="auto"/>
                      <w:szCs w:val="21"/>
                    </w:rPr>
                    <w:t>第五条 新建、改建、扩建涉VOCs的项目，要加强源头控制，使用低VOCs含量的原辅料，加强废气收集，安装高效治理设施。</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本项目使用的胶粘剂为水性胶粘剂，</w:t>
                  </w:r>
                  <w:r>
                    <w:rPr>
                      <w:rFonts w:hint="eastAsia"/>
                      <w:color w:val="auto"/>
                      <w:szCs w:val="21"/>
                      <w:highlight w:val="none"/>
                    </w:rPr>
                    <w:t>属于低</w:t>
                  </w:r>
                  <w:r>
                    <w:rPr>
                      <w:color w:val="auto"/>
                      <w:szCs w:val="21"/>
                      <w:highlight w:val="none"/>
                    </w:rPr>
                    <w:t>VOCs含量的</w:t>
                  </w:r>
                  <w:r>
                    <w:rPr>
                      <w:rFonts w:hint="eastAsia"/>
                      <w:color w:val="auto"/>
                      <w:szCs w:val="21"/>
                      <w:highlight w:val="none"/>
                      <w:lang w:eastAsia="zh-CN"/>
                    </w:rPr>
                    <w:t>物料</w:t>
                  </w:r>
                  <w:r>
                    <w:rPr>
                      <w:rFonts w:hint="eastAsia"/>
                      <w:color w:val="auto"/>
                      <w:szCs w:val="21"/>
                      <w:highlight w:val="none"/>
                    </w:rPr>
                    <w:t>；有机废气采用</w:t>
                  </w:r>
                  <w:r>
                    <w:rPr>
                      <w:rFonts w:hint="eastAsia"/>
                      <w:color w:val="auto"/>
                      <w:szCs w:val="21"/>
                      <w:highlight w:val="none"/>
                      <w:lang w:val="en-US" w:eastAsia="zh-CN"/>
                    </w:rPr>
                    <w:t>UV光解+二级活性炭</w:t>
                  </w:r>
                  <w:r>
                    <w:rPr>
                      <w:rFonts w:hint="eastAsia"/>
                      <w:color w:val="auto"/>
                      <w:szCs w:val="21"/>
                      <w:highlight w:val="none"/>
                    </w:rPr>
                    <w:t>活性炭吸附处</w:t>
                  </w:r>
                  <w:r>
                    <w:rPr>
                      <w:rFonts w:hint="eastAsia"/>
                      <w:color w:val="auto"/>
                      <w:szCs w:val="21"/>
                    </w:rPr>
                    <w:t>理后能达标排放</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10"/>
                    <w:spacing w:line="240" w:lineRule="auto"/>
                    <w:rPr>
                      <w:color w:val="auto"/>
                      <w:szCs w:val="21"/>
                    </w:rPr>
                  </w:pPr>
                  <w:r>
                    <w:rPr>
                      <w:color w:val="auto"/>
                      <w:szCs w:val="21"/>
                    </w:rPr>
                    <w:t>第六条 持续推进小安溪综合整治，加强农业面源污染防治；加快农村分散污水有效处理，推进农村生活垃圾进行集中收集并装运统一处置。</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本项目不涉及农业面源污染防治，不涉及农村分散污水及生活的垃圾统一处置。</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vMerge w:val="continue"/>
                  <w:tcBorders>
                    <w:tl2br w:val="nil"/>
                    <w:tr2bl w:val="nil"/>
                  </w:tcBorders>
                  <w:vAlign w:val="center"/>
                </w:tcPr>
                <w:p>
                  <w:pPr>
                    <w:snapToGrid w:val="0"/>
                    <w:jc w:val="center"/>
                    <w:rPr>
                      <w:color w:val="auto"/>
                      <w:szCs w:val="21"/>
                    </w:rPr>
                  </w:pPr>
                </w:p>
              </w:tc>
              <w:tc>
                <w:tcPr>
                  <w:tcW w:w="3330" w:type="dxa"/>
                  <w:gridSpan w:val="2"/>
                  <w:tcBorders>
                    <w:tl2br w:val="nil"/>
                    <w:tr2bl w:val="nil"/>
                  </w:tcBorders>
                  <w:vAlign w:val="center"/>
                </w:tcPr>
                <w:p>
                  <w:pPr>
                    <w:pStyle w:val="10"/>
                    <w:spacing w:line="240" w:lineRule="auto"/>
                    <w:rPr>
                      <w:color w:val="auto"/>
                      <w:szCs w:val="21"/>
                    </w:rPr>
                  </w:pPr>
                  <w:r>
                    <w:rPr>
                      <w:color w:val="auto"/>
                      <w:szCs w:val="21"/>
                    </w:rPr>
                    <w:t>第七条 严格落实畜禽养殖规划，取缔或搬迁小安溪流域禁养区畜禽养殖场。</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本项目不属于畜禽养殖项目</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tcBorders>
                    <w:tl2br w:val="nil"/>
                    <w:tr2bl w:val="nil"/>
                  </w:tcBorders>
                  <w:vAlign w:val="center"/>
                </w:tcPr>
                <w:p>
                  <w:pPr>
                    <w:snapToGrid w:val="0"/>
                    <w:jc w:val="center"/>
                    <w:rPr>
                      <w:color w:val="auto"/>
                      <w:szCs w:val="21"/>
                    </w:rPr>
                  </w:pPr>
                  <w:r>
                    <w:rPr>
                      <w:color w:val="auto"/>
                      <w:szCs w:val="21"/>
                    </w:rPr>
                    <w:t>环境风险防控</w:t>
                  </w:r>
                </w:p>
              </w:tc>
              <w:tc>
                <w:tcPr>
                  <w:tcW w:w="3330" w:type="dxa"/>
                  <w:gridSpan w:val="2"/>
                  <w:tcBorders>
                    <w:tl2br w:val="nil"/>
                    <w:tr2bl w:val="nil"/>
                  </w:tcBorders>
                  <w:vAlign w:val="center"/>
                </w:tcPr>
                <w:p>
                  <w:pPr>
                    <w:pStyle w:val="10"/>
                    <w:spacing w:line="240" w:lineRule="auto"/>
                    <w:rPr>
                      <w:color w:val="auto"/>
                      <w:szCs w:val="21"/>
                    </w:rPr>
                  </w:pPr>
                  <w:r>
                    <w:rPr>
                      <w:color w:val="auto"/>
                      <w:szCs w:val="21"/>
                    </w:rPr>
                    <w:t>第八条 生产、存储危险化学品及产生大量废水的企业，应配套有效措施，防止因渗漏污染地下水、土壤，以及因事故废水直排污染地表水体</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本项目配套建设了地下水、土壤的污染防治措施</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tcBorders>
                    <w:tl2br w:val="nil"/>
                    <w:tr2bl w:val="nil"/>
                  </w:tcBorders>
                  <w:vAlign w:val="center"/>
                </w:tcPr>
                <w:p>
                  <w:pPr>
                    <w:snapToGrid w:val="0"/>
                    <w:jc w:val="center"/>
                    <w:rPr>
                      <w:color w:val="auto"/>
                      <w:szCs w:val="21"/>
                    </w:rPr>
                  </w:pPr>
                  <w:r>
                    <w:rPr>
                      <w:color w:val="auto"/>
                      <w:szCs w:val="21"/>
                    </w:rPr>
                    <w:t>资源开发利用效率</w:t>
                  </w:r>
                </w:p>
              </w:tc>
              <w:tc>
                <w:tcPr>
                  <w:tcW w:w="3330" w:type="dxa"/>
                  <w:gridSpan w:val="2"/>
                  <w:tcBorders>
                    <w:tl2br w:val="nil"/>
                    <w:tr2bl w:val="nil"/>
                  </w:tcBorders>
                  <w:vAlign w:val="center"/>
                </w:tcPr>
                <w:p>
                  <w:pPr>
                    <w:pStyle w:val="10"/>
                    <w:spacing w:line="240" w:lineRule="auto"/>
                    <w:rPr>
                      <w:color w:val="auto"/>
                      <w:szCs w:val="21"/>
                    </w:rPr>
                  </w:pPr>
                  <w:r>
                    <w:rPr>
                      <w:color w:val="auto"/>
                      <w:szCs w:val="21"/>
                    </w:rPr>
                    <w:t>第九条 推行节水措施和中水回用，提高水资源</w:t>
                  </w:r>
                  <w:r>
                    <w:rPr>
                      <w:rFonts w:hint="eastAsia"/>
                      <w:color w:val="auto"/>
                      <w:szCs w:val="21"/>
                    </w:rPr>
                    <w:t>回</w:t>
                  </w:r>
                  <w:r>
                    <w:rPr>
                      <w:color w:val="auto"/>
                      <w:szCs w:val="21"/>
                    </w:rPr>
                    <w:t>用率，鼓励工业企业提高中水回用率。</w:t>
                  </w:r>
                </w:p>
              </w:tc>
              <w:tc>
                <w:tcPr>
                  <w:tcW w:w="1686" w:type="dxa"/>
                  <w:tcBorders>
                    <w:tl2br w:val="nil"/>
                    <w:tr2bl w:val="nil"/>
                  </w:tcBorders>
                  <w:vAlign w:val="center"/>
                </w:tcPr>
                <w:p>
                  <w:pPr>
                    <w:pStyle w:val="10"/>
                    <w:spacing w:line="240" w:lineRule="auto"/>
                    <w:rPr>
                      <w:color w:val="auto"/>
                      <w:szCs w:val="21"/>
                    </w:rPr>
                  </w:pPr>
                  <w:r>
                    <w:rPr>
                      <w:rFonts w:hint="eastAsia"/>
                      <w:color w:val="auto"/>
                      <w:szCs w:val="21"/>
                    </w:rPr>
                    <w:t>本项目不涉及中水回用。</w:t>
                  </w:r>
                </w:p>
              </w:tc>
              <w:tc>
                <w:tcPr>
                  <w:tcW w:w="1156" w:type="dxa"/>
                  <w:tcBorders>
                    <w:tl2br w:val="nil"/>
                    <w:tr2bl w:val="nil"/>
                  </w:tcBorders>
                  <w:vAlign w:val="center"/>
                </w:tcPr>
                <w:p>
                  <w:pPr>
                    <w:snapToGrid w:val="0"/>
                    <w:jc w:val="center"/>
                    <w:rPr>
                      <w:color w:val="auto"/>
                      <w:szCs w:val="21"/>
                    </w:rPr>
                  </w:pPr>
                  <w:r>
                    <w:rPr>
                      <w:rFonts w:hint="eastAsia"/>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tcBorders>
                    <w:tl2br w:val="nil"/>
                    <w:tr2bl w:val="nil"/>
                  </w:tcBorders>
                  <w:vAlign w:val="center"/>
                </w:tcPr>
                <w:p>
                  <w:pPr>
                    <w:snapToGrid w:val="0"/>
                    <w:jc w:val="center"/>
                    <w:rPr>
                      <w:color w:val="auto"/>
                      <w:szCs w:val="21"/>
                    </w:rPr>
                  </w:pPr>
                  <w:r>
                    <w:rPr>
                      <w:color w:val="auto"/>
                      <w:szCs w:val="21"/>
                    </w:rPr>
                    <w:t>单元管控要求</w:t>
                  </w:r>
                </w:p>
              </w:tc>
              <w:tc>
                <w:tcPr>
                  <w:tcW w:w="800" w:type="dxa"/>
                  <w:tcBorders>
                    <w:tl2br w:val="nil"/>
                    <w:tr2bl w:val="nil"/>
                  </w:tcBorders>
                  <w:vAlign w:val="center"/>
                </w:tcPr>
                <w:p>
                  <w:pPr>
                    <w:snapToGrid w:val="0"/>
                    <w:jc w:val="center"/>
                    <w:rPr>
                      <w:color w:val="auto"/>
                      <w:szCs w:val="21"/>
                    </w:rPr>
                  </w:pPr>
                  <w:r>
                    <w:rPr>
                      <w:color w:val="auto"/>
                      <w:szCs w:val="21"/>
                    </w:rPr>
                    <w:t>空间布局约束</w:t>
                  </w:r>
                </w:p>
              </w:tc>
              <w:tc>
                <w:tcPr>
                  <w:tcW w:w="3330" w:type="dxa"/>
                  <w:gridSpan w:val="2"/>
                  <w:tcBorders>
                    <w:tl2br w:val="nil"/>
                    <w:tr2bl w:val="nil"/>
                  </w:tcBorders>
                  <w:vAlign w:val="center"/>
                </w:tcPr>
                <w:p>
                  <w:pPr>
                    <w:widowControl/>
                    <w:rPr>
                      <w:color w:val="auto"/>
                      <w:szCs w:val="21"/>
                    </w:rPr>
                  </w:pPr>
                  <w:r>
                    <w:rPr>
                      <w:rFonts w:hint="eastAsia"/>
                      <w:color w:val="auto"/>
                      <w:szCs w:val="21"/>
                    </w:rPr>
                    <w:t>除在安全或产业布局等方面有特殊要求的项目外，新建有污染物排放的工业项目，应当进入工业园区/工业聚集区。限制引入高耗水、高排水项目，铜梁高新区的</w:t>
                  </w:r>
                  <w:r>
                    <w:rPr>
                      <w:color w:val="auto"/>
                      <w:szCs w:val="21"/>
                    </w:rPr>
                    <w:t>白土坝片区采取“腾笼换鸟”的方式，</w:t>
                  </w:r>
                  <w:r>
                    <w:rPr>
                      <w:rFonts w:hint="eastAsia"/>
                      <w:color w:val="auto"/>
                      <w:szCs w:val="21"/>
                    </w:rPr>
                    <w:t>推动现有产业提档升级，发展环境影响小、风险可控产业</w:t>
                  </w:r>
                </w:p>
              </w:tc>
              <w:tc>
                <w:tcPr>
                  <w:tcW w:w="1686" w:type="dxa"/>
                  <w:tcBorders>
                    <w:tl2br w:val="nil"/>
                    <w:tr2bl w:val="nil"/>
                  </w:tcBorders>
                  <w:vAlign w:val="center"/>
                </w:tcPr>
                <w:p>
                  <w:pPr>
                    <w:adjustRightInd w:val="0"/>
                    <w:snapToGrid w:val="0"/>
                    <w:rPr>
                      <w:color w:val="auto"/>
                      <w:szCs w:val="21"/>
                    </w:rPr>
                  </w:pPr>
                  <w:r>
                    <w:rPr>
                      <w:color w:val="auto"/>
                      <w:szCs w:val="21"/>
                    </w:rPr>
                    <w:t>本项目位于铜梁工业园，属于</w:t>
                  </w:r>
                  <w:r>
                    <w:rPr>
                      <w:rFonts w:hint="eastAsia"/>
                      <w:color w:val="auto"/>
                      <w:szCs w:val="21"/>
                    </w:rPr>
                    <w:t>工业园区内</w:t>
                  </w:r>
                  <w:r>
                    <w:rPr>
                      <w:color w:val="auto"/>
                      <w:szCs w:val="21"/>
                    </w:rPr>
                    <w:t>；本项目不属于高耗水、高排水项目</w:t>
                  </w:r>
                  <w:r>
                    <w:rPr>
                      <w:rFonts w:hint="eastAsia"/>
                      <w:color w:val="auto"/>
                      <w:szCs w:val="21"/>
                    </w:rPr>
                    <w:t>。</w:t>
                  </w:r>
                </w:p>
              </w:tc>
              <w:tc>
                <w:tcPr>
                  <w:tcW w:w="1156" w:type="dxa"/>
                  <w:tcBorders>
                    <w:tl2br w:val="nil"/>
                    <w:tr2bl w:val="nil"/>
                  </w:tcBorders>
                  <w:vAlign w:val="center"/>
                </w:tcPr>
                <w:p>
                  <w:pPr>
                    <w:pStyle w:val="49"/>
                    <w:kinsoku w:val="0"/>
                    <w:overflowPunct w:val="0"/>
                    <w:snapToGrid w:val="0"/>
                    <w:spacing w:line="240" w:lineRule="auto"/>
                    <w:ind w:firstLine="0" w:firstLineChars="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tcBorders>
                    <w:tl2br w:val="nil"/>
                    <w:tr2bl w:val="nil"/>
                  </w:tcBorders>
                  <w:vAlign w:val="center"/>
                </w:tcPr>
                <w:p>
                  <w:pPr>
                    <w:snapToGrid w:val="0"/>
                    <w:jc w:val="center"/>
                    <w:rPr>
                      <w:color w:val="auto"/>
                      <w:szCs w:val="21"/>
                    </w:rPr>
                  </w:pPr>
                  <w:r>
                    <w:rPr>
                      <w:color w:val="auto"/>
                      <w:szCs w:val="21"/>
                    </w:rPr>
                    <w:t>污染物排放管控</w:t>
                  </w:r>
                </w:p>
              </w:tc>
              <w:tc>
                <w:tcPr>
                  <w:tcW w:w="3330" w:type="dxa"/>
                  <w:gridSpan w:val="2"/>
                  <w:tcBorders>
                    <w:tl2br w:val="nil"/>
                    <w:tr2bl w:val="nil"/>
                  </w:tcBorders>
                  <w:vAlign w:val="center"/>
                </w:tcPr>
                <w:p>
                  <w:pPr>
                    <w:widowControl/>
                    <w:rPr>
                      <w:color w:val="auto"/>
                      <w:szCs w:val="21"/>
                    </w:rPr>
                  </w:pPr>
                  <w:r>
                    <w:rPr>
                      <w:color w:val="auto"/>
                      <w:kern w:val="0"/>
                      <w:szCs w:val="21"/>
                      <w:lang w:bidi="ar"/>
                    </w:rPr>
                    <w:t>城市建成区生活污水集中处理率达到95%；镇街生活污水集中处理率达到85%。</w:t>
                  </w:r>
                  <w:r>
                    <w:rPr>
                      <w:rFonts w:hint="eastAsia"/>
                      <w:color w:val="auto"/>
                      <w:kern w:val="0"/>
                      <w:szCs w:val="21"/>
                      <w:lang w:bidi="ar"/>
                    </w:rPr>
                    <w:t>城市生活污水处理厂全面达到一级A标排放，生活污水处理厂污泥无害化处置率达到100%。大力推广清洁能源，禁止新建20吨以下的小燃煤锅炉。鼓励烧结砖瓦窑开展错峰生产。持续推进企业大气污染防治，加强涉及挥发性有机物排放企业的VOCs的治理，新建涉及喷涂的建设项目鼓励使用环保涂料。</w:t>
                  </w:r>
                </w:p>
              </w:tc>
              <w:tc>
                <w:tcPr>
                  <w:tcW w:w="1686" w:type="dxa"/>
                  <w:tcBorders>
                    <w:tl2br w:val="nil"/>
                    <w:tr2bl w:val="nil"/>
                  </w:tcBorders>
                  <w:vAlign w:val="center"/>
                </w:tcPr>
                <w:p>
                  <w:pPr>
                    <w:adjustRightInd w:val="0"/>
                    <w:snapToGrid w:val="0"/>
                    <w:rPr>
                      <w:color w:val="auto"/>
                      <w:szCs w:val="21"/>
                    </w:rPr>
                  </w:pPr>
                  <w:r>
                    <w:rPr>
                      <w:rFonts w:hint="eastAsia"/>
                      <w:color w:val="auto"/>
                      <w:szCs w:val="21"/>
                    </w:rPr>
                    <w:t>本项目不涉及生活污水处理设施；本项目使用能源为电能、天然气，不使用燃煤锅炉；本项目不属于砖瓦窑项目；本项目产生的挥发性有机物经处理后能达标排放；本项目不涉及喷涂工艺</w:t>
                  </w:r>
                </w:p>
              </w:tc>
              <w:tc>
                <w:tcPr>
                  <w:tcW w:w="1156" w:type="dxa"/>
                  <w:tcBorders>
                    <w:tl2br w:val="nil"/>
                    <w:tr2bl w:val="nil"/>
                  </w:tcBorders>
                  <w:vAlign w:val="center"/>
                </w:tcPr>
                <w:p>
                  <w:pPr>
                    <w:pStyle w:val="49"/>
                    <w:kinsoku w:val="0"/>
                    <w:overflowPunct w:val="0"/>
                    <w:snapToGrid w:val="0"/>
                    <w:spacing w:line="240" w:lineRule="auto"/>
                    <w:ind w:firstLine="0" w:firstLineChars="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tcBorders>
                    <w:tl2br w:val="nil"/>
                    <w:tr2bl w:val="nil"/>
                  </w:tcBorders>
                  <w:vAlign w:val="center"/>
                </w:tcPr>
                <w:p>
                  <w:pPr>
                    <w:snapToGrid w:val="0"/>
                    <w:jc w:val="center"/>
                    <w:rPr>
                      <w:color w:val="auto"/>
                      <w:szCs w:val="21"/>
                    </w:rPr>
                  </w:pPr>
                  <w:r>
                    <w:rPr>
                      <w:color w:val="auto"/>
                      <w:szCs w:val="21"/>
                    </w:rPr>
                    <w:t>环境风险防控</w:t>
                  </w:r>
                </w:p>
              </w:tc>
              <w:tc>
                <w:tcPr>
                  <w:tcW w:w="3330" w:type="dxa"/>
                  <w:gridSpan w:val="2"/>
                  <w:tcBorders>
                    <w:tl2br w:val="nil"/>
                    <w:tr2bl w:val="nil"/>
                  </w:tcBorders>
                  <w:vAlign w:val="center"/>
                </w:tcPr>
                <w:p>
                  <w:pPr>
                    <w:widowControl/>
                    <w:rPr>
                      <w:color w:val="auto"/>
                      <w:szCs w:val="21"/>
                    </w:rPr>
                  </w:pPr>
                  <w:r>
                    <w:rPr>
                      <w:rFonts w:hint="eastAsia" w:ascii="宋体" w:hAnsi="宋体" w:cs="宋体"/>
                      <w:color w:val="auto"/>
                      <w:kern w:val="0"/>
                      <w:szCs w:val="21"/>
                      <w:lang w:bidi="ar"/>
                    </w:rPr>
                    <w:t>严格限制居民区周边布置企业类型，不宜引入存在重大环境风险的工艺企业。小企业基地应开展环境影响评价工作，并建立环境风险防控体系。生产、储存危险化学品及产生大量废水的企业，应配套有效设施，防止因渗漏污染地下水、土壤，以及因事故废水直排污染地表水体。产生、利用或处置固体废物（含危险废物）的企业，在贮存、转移、利用、处置固体废物（含危险废物）过程中，应配套防扬散、防流失、防渗漏及其他防止污染环境的措施</w:t>
                  </w:r>
                </w:p>
              </w:tc>
              <w:tc>
                <w:tcPr>
                  <w:tcW w:w="1686" w:type="dxa"/>
                  <w:tcBorders>
                    <w:tl2br w:val="nil"/>
                    <w:tr2bl w:val="nil"/>
                  </w:tcBorders>
                  <w:vAlign w:val="center"/>
                </w:tcPr>
                <w:p>
                  <w:pPr>
                    <w:adjustRightInd w:val="0"/>
                    <w:snapToGrid w:val="0"/>
                    <w:rPr>
                      <w:color w:val="auto"/>
                      <w:szCs w:val="21"/>
                    </w:rPr>
                  </w:pPr>
                  <w:r>
                    <w:rPr>
                      <w:rFonts w:hint="eastAsia"/>
                      <w:color w:val="auto"/>
                      <w:szCs w:val="21"/>
                    </w:rPr>
                    <w:t>本项目周边500m范围内无环境保护目标；本项目不属于小企业基地项目；本项目不涉及危险化学品，废水产生量少；本项目产生固体废水经暂存后得到有效处置，固体废物的暂存采取了三防措施。</w:t>
                  </w:r>
                </w:p>
              </w:tc>
              <w:tc>
                <w:tcPr>
                  <w:tcW w:w="1156" w:type="dxa"/>
                  <w:tcBorders>
                    <w:tl2br w:val="nil"/>
                    <w:tr2bl w:val="nil"/>
                  </w:tcBorders>
                  <w:vAlign w:val="center"/>
                </w:tcPr>
                <w:p>
                  <w:pPr>
                    <w:pStyle w:val="49"/>
                    <w:kinsoku w:val="0"/>
                    <w:overflowPunct w:val="0"/>
                    <w:snapToGrid w:val="0"/>
                    <w:spacing w:line="240" w:lineRule="auto"/>
                    <w:ind w:firstLine="0" w:firstLineChars="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tcBorders>
                    <w:tl2br w:val="nil"/>
                    <w:tr2bl w:val="nil"/>
                  </w:tcBorders>
                  <w:vAlign w:val="center"/>
                </w:tcPr>
                <w:p>
                  <w:pPr>
                    <w:snapToGrid w:val="0"/>
                    <w:jc w:val="center"/>
                    <w:rPr>
                      <w:color w:val="auto"/>
                      <w:szCs w:val="21"/>
                    </w:rPr>
                  </w:pPr>
                </w:p>
              </w:tc>
              <w:tc>
                <w:tcPr>
                  <w:tcW w:w="800" w:type="dxa"/>
                  <w:tcBorders>
                    <w:tl2br w:val="nil"/>
                    <w:tr2bl w:val="nil"/>
                  </w:tcBorders>
                  <w:vAlign w:val="center"/>
                </w:tcPr>
                <w:p>
                  <w:pPr>
                    <w:snapToGrid w:val="0"/>
                    <w:jc w:val="center"/>
                    <w:rPr>
                      <w:color w:val="auto"/>
                      <w:szCs w:val="21"/>
                    </w:rPr>
                  </w:pPr>
                  <w:r>
                    <w:rPr>
                      <w:color w:val="auto"/>
                      <w:szCs w:val="21"/>
                    </w:rPr>
                    <w:t>资源开发利用效率</w:t>
                  </w:r>
                </w:p>
              </w:tc>
              <w:tc>
                <w:tcPr>
                  <w:tcW w:w="3330" w:type="dxa"/>
                  <w:gridSpan w:val="2"/>
                  <w:tcBorders>
                    <w:tl2br w:val="nil"/>
                    <w:tr2bl w:val="nil"/>
                  </w:tcBorders>
                  <w:vAlign w:val="center"/>
                </w:tcPr>
                <w:p>
                  <w:pPr>
                    <w:widowControl/>
                    <w:rPr>
                      <w:color w:val="auto"/>
                      <w:szCs w:val="21"/>
                    </w:rPr>
                  </w:pPr>
                  <w:r>
                    <w:rPr>
                      <w:rFonts w:hint="eastAsia"/>
                      <w:color w:val="auto"/>
                      <w:szCs w:val="21"/>
                    </w:rPr>
                    <w:t>在禁燃区，禁止销售、燃用高污染物燃料；禁止新建、扩建燃用高污染物燃料的设施，已建成的，应当在城市人民政府规定的限期内改用天然气、页岩气、液化石油气、电或其它清洁能源。推行节水措施和中水回用提高水资源回用率。鼓励工业企业实施中水回用。</w:t>
                  </w:r>
                </w:p>
              </w:tc>
              <w:tc>
                <w:tcPr>
                  <w:tcW w:w="1686" w:type="dxa"/>
                  <w:tcBorders>
                    <w:tl2br w:val="nil"/>
                    <w:tr2bl w:val="nil"/>
                  </w:tcBorders>
                  <w:vAlign w:val="center"/>
                </w:tcPr>
                <w:p>
                  <w:pPr>
                    <w:adjustRightInd w:val="0"/>
                    <w:snapToGrid w:val="0"/>
                    <w:rPr>
                      <w:color w:val="auto"/>
                      <w:szCs w:val="21"/>
                    </w:rPr>
                  </w:pPr>
                  <w:r>
                    <w:rPr>
                      <w:rFonts w:hint="eastAsia"/>
                      <w:color w:val="auto"/>
                      <w:szCs w:val="21"/>
                    </w:rPr>
                    <w:t>本项目不使用高污染燃料；本项目用水量较少，不涉及中水回用</w:t>
                  </w:r>
                </w:p>
              </w:tc>
              <w:tc>
                <w:tcPr>
                  <w:tcW w:w="1156" w:type="dxa"/>
                  <w:tcBorders>
                    <w:tl2br w:val="nil"/>
                    <w:tr2bl w:val="nil"/>
                  </w:tcBorders>
                  <w:vAlign w:val="center"/>
                </w:tcPr>
                <w:p>
                  <w:pPr>
                    <w:pStyle w:val="49"/>
                    <w:kinsoku w:val="0"/>
                    <w:overflowPunct w:val="0"/>
                    <w:snapToGrid w:val="0"/>
                    <w:spacing w:line="240" w:lineRule="auto"/>
                    <w:ind w:firstLine="0" w:firstLineChars="0"/>
                    <w:jc w:val="center"/>
                    <w:rPr>
                      <w:color w:val="auto"/>
                      <w:sz w:val="21"/>
                      <w:szCs w:val="21"/>
                    </w:rPr>
                  </w:pPr>
                  <w:r>
                    <w:rPr>
                      <w:color w:val="auto"/>
                      <w:sz w:val="21"/>
                      <w:szCs w:val="21"/>
                    </w:rPr>
                    <w:t>符合</w:t>
                  </w:r>
                </w:p>
              </w:tc>
            </w:tr>
          </w:tbl>
          <w:p>
            <w:pPr>
              <w:spacing w:line="360" w:lineRule="auto"/>
              <w:ind w:firstLine="480" w:firstLineChars="200"/>
              <w:rPr>
                <w:rFonts w:eastAsiaTheme="minorEastAsia"/>
                <w:color w:val="auto"/>
                <w:sz w:val="24"/>
              </w:rPr>
            </w:pPr>
            <w:r>
              <w:rPr>
                <w:rFonts w:hint="eastAsia" w:eastAsiaTheme="minorEastAsia"/>
                <w:color w:val="auto"/>
                <w:sz w:val="24"/>
              </w:rPr>
              <w:t>综上所述，本项目符合“三线一单”管控的要求。</w:t>
            </w:r>
          </w:p>
          <w:p>
            <w:pPr>
              <w:adjustRightInd w:val="0"/>
              <w:snapToGrid w:val="0"/>
              <w:spacing w:line="360" w:lineRule="auto"/>
              <w:rPr>
                <w:color w:val="auto"/>
                <w:sz w:val="24"/>
              </w:rPr>
            </w:pPr>
            <w:r>
              <w:rPr>
                <w:rFonts w:hint="eastAsia"/>
                <w:b/>
                <w:color w:val="auto"/>
                <w:kern w:val="0"/>
                <w:sz w:val="24"/>
              </w:rPr>
              <w:t>3.</w:t>
            </w:r>
            <w:r>
              <w:rPr>
                <w:b/>
                <w:color w:val="auto"/>
                <w:kern w:val="0"/>
                <w:sz w:val="24"/>
              </w:rPr>
              <w:t>《</w:t>
            </w:r>
            <w:r>
              <w:rPr>
                <w:b/>
                <w:bCs/>
                <w:color w:val="auto"/>
                <w:w w:val="99"/>
                <w:sz w:val="24"/>
              </w:rPr>
              <w:t>四川省、重庆市长江经济带发展负面清单实施</w:t>
            </w:r>
            <w:r>
              <w:rPr>
                <w:b/>
                <w:bCs/>
                <w:color w:val="auto"/>
                <w:sz w:val="24"/>
              </w:rPr>
              <w:t>细则（试行，2022年版）》（川长江办（2022）17号）</w:t>
            </w:r>
            <w:r>
              <w:rPr>
                <w:b/>
                <w:color w:val="auto"/>
                <w:sz w:val="24"/>
              </w:rPr>
              <w:t>符合性分析</w:t>
            </w:r>
          </w:p>
          <w:p>
            <w:pPr>
              <w:autoSpaceDE w:val="0"/>
              <w:autoSpaceDN w:val="0"/>
              <w:adjustRightInd w:val="0"/>
              <w:snapToGrid w:val="0"/>
              <w:spacing w:line="360" w:lineRule="auto"/>
              <w:jc w:val="center"/>
              <w:rPr>
                <w:color w:val="auto"/>
                <w:kern w:val="0"/>
                <w:sz w:val="21"/>
                <w:szCs w:val="21"/>
              </w:rPr>
            </w:pPr>
            <w:r>
              <w:rPr>
                <w:color w:val="auto"/>
                <w:kern w:val="0"/>
                <w:sz w:val="21"/>
                <w:szCs w:val="21"/>
              </w:rPr>
              <w:t>表1.3 与</w:t>
            </w:r>
            <w:r>
              <w:rPr>
                <w:color w:val="auto"/>
                <w:sz w:val="21"/>
                <w:szCs w:val="21"/>
              </w:rPr>
              <w:t>（川长江办（2022）17号）</w:t>
            </w:r>
            <w:r>
              <w:rPr>
                <w:color w:val="auto"/>
                <w:kern w:val="0"/>
                <w:sz w:val="21"/>
                <w:szCs w:val="21"/>
              </w:rPr>
              <w:t>符合性分析表</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4565"/>
              <w:gridCol w:w="1862"/>
              <w:gridCol w:w="7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rPr>
                      <w:bCs/>
                      <w:color w:val="auto"/>
                      <w:szCs w:val="21"/>
                    </w:rPr>
                  </w:pPr>
                  <w:r>
                    <w:rPr>
                      <w:bCs/>
                      <w:color w:val="auto"/>
                      <w:szCs w:val="21"/>
                    </w:rPr>
                    <w:t>序号</w:t>
                  </w:r>
                </w:p>
              </w:tc>
              <w:tc>
                <w:tcPr>
                  <w:tcW w:w="2929" w:type="pct"/>
                  <w:tcBorders>
                    <w:tl2br w:val="nil"/>
                    <w:tr2bl w:val="nil"/>
                  </w:tcBorders>
                  <w:vAlign w:val="center"/>
                </w:tcPr>
                <w:p>
                  <w:pPr>
                    <w:adjustRightInd w:val="0"/>
                    <w:snapToGrid w:val="0"/>
                    <w:jc w:val="center"/>
                    <w:rPr>
                      <w:bCs/>
                      <w:color w:val="auto"/>
                      <w:szCs w:val="21"/>
                    </w:rPr>
                  </w:pPr>
                  <w:r>
                    <w:rPr>
                      <w:bCs/>
                      <w:color w:val="auto"/>
                      <w:szCs w:val="21"/>
                    </w:rPr>
                    <w:t>长江经济带发展负面清单</w:t>
                  </w:r>
                </w:p>
              </w:tc>
              <w:tc>
                <w:tcPr>
                  <w:tcW w:w="1195" w:type="pct"/>
                  <w:tcBorders>
                    <w:tl2br w:val="nil"/>
                    <w:tr2bl w:val="nil"/>
                  </w:tcBorders>
                  <w:vAlign w:val="center"/>
                </w:tcPr>
                <w:p>
                  <w:pPr>
                    <w:adjustRightInd w:val="0"/>
                    <w:snapToGrid w:val="0"/>
                    <w:jc w:val="center"/>
                    <w:rPr>
                      <w:bCs/>
                      <w:color w:val="auto"/>
                      <w:szCs w:val="21"/>
                    </w:rPr>
                  </w:pPr>
                  <w:r>
                    <w:rPr>
                      <w:bCs/>
                      <w:color w:val="auto"/>
                      <w:szCs w:val="21"/>
                    </w:rPr>
                    <w:t>项目情况</w:t>
                  </w:r>
                </w:p>
              </w:tc>
              <w:tc>
                <w:tcPr>
                  <w:tcW w:w="474" w:type="pct"/>
                  <w:tcBorders>
                    <w:tl2br w:val="nil"/>
                    <w:tr2bl w:val="nil"/>
                  </w:tcBorders>
                  <w:vAlign w:val="center"/>
                </w:tcPr>
                <w:p>
                  <w:pPr>
                    <w:adjustRightInd w:val="0"/>
                    <w:snapToGrid w:val="0"/>
                    <w:jc w:val="center"/>
                    <w:rPr>
                      <w:bCs/>
                      <w:color w:val="auto"/>
                      <w:szCs w:val="21"/>
                    </w:rPr>
                  </w:pPr>
                  <w:r>
                    <w:rPr>
                      <w:bCs/>
                      <w:color w:val="auto"/>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w:t>
                  </w:r>
                </w:p>
              </w:tc>
              <w:tc>
                <w:tcPr>
                  <w:tcW w:w="2929" w:type="pct"/>
                  <w:tcBorders>
                    <w:tl2br w:val="nil"/>
                    <w:tr2bl w:val="nil"/>
                  </w:tcBorders>
                  <w:vAlign w:val="center"/>
                </w:tcPr>
                <w:p>
                  <w:pPr>
                    <w:adjustRightInd w:val="0"/>
                    <w:snapToGrid w:val="0"/>
                    <w:rPr>
                      <w:color w:val="auto"/>
                      <w:szCs w:val="21"/>
                    </w:rPr>
                  </w:pPr>
                  <w:r>
                    <w:rPr>
                      <w:color w:val="auto"/>
                      <w:szCs w:val="21"/>
                    </w:rPr>
                    <w:t>第七条 禁止在自然保护区核心区、缓冲区的岸线和河段范围内投资建设旅游和生产经营项目。自然保护区的内部未分区的，依照本实施细则核心区和缓冲区的规定管控。</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项目不涉及自然保护区核心区、缓冲区的岸线和河段</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2</w:t>
                  </w:r>
                </w:p>
              </w:tc>
              <w:tc>
                <w:tcPr>
                  <w:tcW w:w="2929" w:type="pct"/>
                  <w:tcBorders>
                    <w:tl2br w:val="nil"/>
                    <w:tr2bl w:val="nil"/>
                  </w:tcBorders>
                  <w:vAlign w:val="center"/>
                </w:tcPr>
                <w:p>
                  <w:pPr>
                    <w:adjustRightInd w:val="0"/>
                    <w:snapToGrid w:val="0"/>
                    <w:rPr>
                      <w:color w:val="auto"/>
                      <w:szCs w:val="21"/>
                    </w:rPr>
                  </w:pPr>
                  <w:r>
                    <w:rPr>
                      <w:color w:val="auto"/>
                      <w:szCs w:val="21"/>
                    </w:rPr>
                    <w:t>第八条 禁止违反风景名胜区规划，在风景名胜区内设立各类开发区。禁止在风景名胜区核心景区的岸线和河段范围内建设宾馆、招待所、培训中心、疗养院以及与风景名胜资源保护无关的项目。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项目不涉及风景名胜区</w:t>
                  </w:r>
                  <w:r>
                    <w:rPr>
                      <w:rFonts w:hint="eastAsia"/>
                      <w:color w:val="auto"/>
                      <w:szCs w:val="21"/>
                    </w:rPr>
                    <w:t>。</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3</w:t>
                  </w:r>
                </w:p>
              </w:tc>
              <w:tc>
                <w:tcPr>
                  <w:tcW w:w="2929" w:type="pct"/>
                  <w:tcBorders>
                    <w:tl2br w:val="nil"/>
                    <w:tr2bl w:val="nil"/>
                  </w:tcBorders>
                  <w:vAlign w:val="center"/>
                </w:tcPr>
                <w:p>
                  <w:pPr>
                    <w:adjustRightInd w:val="0"/>
                    <w:snapToGrid w:val="0"/>
                    <w:rPr>
                      <w:color w:val="auto"/>
                      <w:szCs w:val="21"/>
                    </w:rPr>
                  </w:pPr>
                  <w:r>
                    <w:rPr>
                      <w:color w:val="auto"/>
                      <w:szCs w:val="21"/>
                    </w:rPr>
                    <w:t>第九条 禁止在饮用水水源准保护区的岸线和河段范围内新建、扩建对水体污染严重的建设项目，禁止改建增加排污量的建设项目。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本项目不涉及</w:t>
                  </w:r>
                  <w:r>
                    <w:rPr>
                      <w:color w:val="auto"/>
                      <w:szCs w:val="21"/>
                    </w:rPr>
                    <w:t>饮用水水源准保护区的岸线和河段</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4</w:t>
                  </w:r>
                </w:p>
              </w:tc>
              <w:tc>
                <w:tcPr>
                  <w:tcW w:w="2929" w:type="pct"/>
                  <w:tcBorders>
                    <w:tl2br w:val="nil"/>
                    <w:tr2bl w:val="nil"/>
                  </w:tcBorders>
                  <w:vAlign w:val="center"/>
                </w:tcPr>
                <w:p>
                  <w:pPr>
                    <w:adjustRightInd w:val="0"/>
                    <w:snapToGrid w:val="0"/>
                    <w:rPr>
                      <w:color w:val="auto"/>
                      <w:szCs w:val="21"/>
                    </w:rPr>
                  </w:pPr>
                  <w:r>
                    <w:rPr>
                      <w:color w:val="auto"/>
                      <w:szCs w:val="21"/>
                    </w:rPr>
                    <w:t>第十条 饮用水水源二级保护区的岸线和河段范围内，除应遵守准保护区规定外，禁止新建、改建、扩建排放污染物的投资建设项目；禁止从事采石（砂）、对水体有污染的水产养殖等活动。</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本项目不涉及</w:t>
                  </w:r>
                  <w:r>
                    <w:rPr>
                      <w:color w:val="auto"/>
                      <w:szCs w:val="21"/>
                    </w:rPr>
                    <w:t>饮用水水源二级保护区的岸线和河段</w:t>
                  </w:r>
                  <w:r>
                    <w:rPr>
                      <w:rFonts w:hint="eastAsia"/>
                      <w:color w:val="auto"/>
                      <w:szCs w:val="21"/>
                    </w:rPr>
                    <w:t>；不属于</w:t>
                  </w:r>
                  <w:r>
                    <w:rPr>
                      <w:color w:val="auto"/>
                      <w:szCs w:val="21"/>
                    </w:rPr>
                    <w:t>采石（砂）</w:t>
                  </w:r>
                  <w:r>
                    <w:rPr>
                      <w:rFonts w:hint="eastAsia"/>
                      <w:color w:val="auto"/>
                      <w:szCs w:val="21"/>
                    </w:rPr>
                    <w:t>、</w:t>
                  </w:r>
                  <w:r>
                    <w:rPr>
                      <w:color w:val="auto"/>
                      <w:szCs w:val="21"/>
                    </w:rPr>
                    <w:t>对水体有污染的水产养殖等活动</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5</w:t>
                  </w:r>
                </w:p>
              </w:tc>
              <w:tc>
                <w:tcPr>
                  <w:tcW w:w="2929" w:type="pct"/>
                  <w:tcBorders>
                    <w:tl2br w:val="nil"/>
                    <w:tr2bl w:val="nil"/>
                  </w:tcBorders>
                  <w:vAlign w:val="center"/>
                </w:tcPr>
                <w:p>
                  <w:pPr>
                    <w:adjustRightInd w:val="0"/>
                    <w:snapToGrid w:val="0"/>
                    <w:rPr>
                      <w:color w:val="auto"/>
                      <w:szCs w:val="21"/>
                    </w:rPr>
                  </w:pPr>
                  <w:r>
                    <w:rPr>
                      <w:color w:val="auto"/>
                      <w:szCs w:val="21"/>
                    </w:rPr>
                    <w:t>第十一条 饮用水水源一级保护区的岸线和河段范围内，除应遵守二级保护区规定外，禁止新建、改建、扩建与供（取）水设施和保护水源无关的项目，以及网箱养殖、畜禽养殖、旅游等</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本项目不涉及</w:t>
                  </w:r>
                  <w:r>
                    <w:rPr>
                      <w:color w:val="auto"/>
                      <w:szCs w:val="21"/>
                    </w:rPr>
                    <w:t>饮用水水源一级保护区的岸线和河段</w:t>
                  </w:r>
                  <w:r>
                    <w:rPr>
                      <w:rFonts w:hint="eastAsia"/>
                      <w:color w:val="auto"/>
                      <w:szCs w:val="21"/>
                    </w:rPr>
                    <w:t>；不涉及饮用水</w:t>
                  </w:r>
                  <w:r>
                    <w:rPr>
                      <w:color w:val="auto"/>
                      <w:szCs w:val="21"/>
                    </w:rPr>
                    <w:t>二级保护区</w:t>
                  </w:r>
                </w:p>
              </w:tc>
              <w:tc>
                <w:tcPr>
                  <w:tcW w:w="474" w:type="pct"/>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6</w:t>
                  </w:r>
                </w:p>
              </w:tc>
              <w:tc>
                <w:tcPr>
                  <w:tcW w:w="2929" w:type="pct"/>
                  <w:tcBorders>
                    <w:tl2br w:val="nil"/>
                    <w:tr2bl w:val="nil"/>
                  </w:tcBorders>
                  <w:vAlign w:val="center"/>
                </w:tcPr>
                <w:p>
                  <w:pPr>
                    <w:adjustRightInd w:val="0"/>
                    <w:snapToGrid w:val="0"/>
                    <w:rPr>
                      <w:color w:val="auto"/>
                      <w:szCs w:val="21"/>
                    </w:rPr>
                  </w:pPr>
                  <w:r>
                    <w:rPr>
                      <w:color w:val="auto"/>
                      <w:szCs w:val="21"/>
                    </w:rPr>
                    <w:t>第十二条 禁止在水产种质资源保护区岸线和河段范围内新建围湖造田、围湖造地或挖沙采石等投资建设项目。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项目不涉及水产种质资源保护区岸线和河段</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7</w:t>
                  </w:r>
                </w:p>
              </w:tc>
              <w:tc>
                <w:tcPr>
                  <w:tcW w:w="2929" w:type="pct"/>
                  <w:tcBorders>
                    <w:tl2br w:val="nil"/>
                    <w:tr2bl w:val="nil"/>
                  </w:tcBorders>
                  <w:vAlign w:val="center"/>
                </w:tcPr>
                <w:p>
                  <w:pPr>
                    <w:adjustRightInd w:val="0"/>
                    <w:snapToGrid w:val="0"/>
                    <w:rPr>
                      <w:color w:val="auto"/>
                      <w:szCs w:val="21"/>
                    </w:rPr>
                  </w:pPr>
                  <w:r>
                    <w:rPr>
                      <w:color w:val="auto"/>
                      <w:szCs w:val="21"/>
                    </w:rPr>
                    <w:t>第十三条 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项目不涉及国家湿地公园的岸线和河段</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8</w:t>
                  </w:r>
                </w:p>
              </w:tc>
              <w:tc>
                <w:tcPr>
                  <w:tcW w:w="2929" w:type="pct"/>
                  <w:tcBorders>
                    <w:tl2br w:val="nil"/>
                    <w:tr2bl w:val="nil"/>
                  </w:tcBorders>
                  <w:vAlign w:val="center"/>
                </w:tcPr>
                <w:p>
                  <w:pPr>
                    <w:adjustRightInd w:val="0"/>
                    <w:snapToGrid w:val="0"/>
                    <w:rPr>
                      <w:color w:val="auto"/>
                      <w:szCs w:val="21"/>
                    </w:rPr>
                  </w:pPr>
                  <w:r>
                    <w:rPr>
                      <w:color w:val="auto"/>
                      <w:szCs w:val="21"/>
                    </w:rPr>
                    <w:t>第十四条 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项目不利用、占用</w:t>
                  </w:r>
                  <w:r>
                    <w:rPr>
                      <w:rFonts w:hint="eastAsia"/>
                      <w:color w:val="auto"/>
                      <w:szCs w:val="21"/>
                    </w:rPr>
                    <w:t>《</w:t>
                  </w:r>
                  <w:r>
                    <w:rPr>
                      <w:color w:val="auto"/>
                      <w:szCs w:val="21"/>
                    </w:rPr>
                    <w:t>长江流域河湖岸线</w:t>
                  </w:r>
                  <w:r>
                    <w:rPr>
                      <w:rFonts w:hint="eastAsia"/>
                      <w:color w:val="auto"/>
                      <w:szCs w:val="21"/>
                    </w:rPr>
                    <w:t>，不涉及</w:t>
                  </w:r>
                  <w:r>
                    <w:rPr>
                      <w:color w:val="auto"/>
                      <w:szCs w:val="21"/>
                    </w:rPr>
                    <w:t>长江岸线保护和开发利用总体规划》划定的岸线保护区和岸线保留区</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9</w:t>
                  </w:r>
                </w:p>
              </w:tc>
              <w:tc>
                <w:tcPr>
                  <w:tcW w:w="2929" w:type="pct"/>
                  <w:tcBorders>
                    <w:tl2br w:val="nil"/>
                    <w:tr2bl w:val="nil"/>
                  </w:tcBorders>
                  <w:vAlign w:val="center"/>
                </w:tcPr>
                <w:p>
                  <w:pPr>
                    <w:adjustRightInd w:val="0"/>
                    <w:snapToGrid w:val="0"/>
                    <w:rPr>
                      <w:color w:val="auto"/>
                      <w:szCs w:val="21"/>
                    </w:rPr>
                  </w:pPr>
                  <w:r>
                    <w:rPr>
                      <w:color w:val="auto"/>
                      <w:szCs w:val="21"/>
                    </w:rPr>
                    <w:t>第十五条 禁止在《全国重要江河湖泊水功能区划》划定的河段及湖泊保护区、保留区内投资建设不利于水资源及自然生态 保护的项目。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项目不涉及《全国重要江河湖泊水功能区划》划定的河段及湖泊保护区、保留区</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10</w:t>
                  </w:r>
                </w:p>
              </w:tc>
              <w:tc>
                <w:tcPr>
                  <w:tcW w:w="2929" w:type="pct"/>
                  <w:tcBorders>
                    <w:tl2br w:val="nil"/>
                    <w:tr2bl w:val="nil"/>
                  </w:tcBorders>
                  <w:vAlign w:val="center"/>
                </w:tcPr>
                <w:p>
                  <w:pPr>
                    <w:adjustRightInd w:val="0"/>
                    <w:snapToGrid w:val="0"/>
                    <w:rPr>
                      <w:color w:val="auto"/>
                      <w:szCs w:val="21"/>
                    </w:rPr>
                  </w:pPr>
                  <w:r>
                    <w:rPr>
                      <w:color w:val="auto"/>
                      <w:szCs w:val="21"/>
                    </w:rPr>
                    <w:t>第十六条 禁止在长江流域江河、湖泊新设、改设或者扩大排污口，经有管辖权的生态环境主管部门或者长江流域生态环境监督管理机构同意的除外。</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w:t>
                  </w:r>
                  <w:r>
                    <w:rPr>
                      <w:rFonts w:hint="eastAsia"/>
                      <w:color w:val="auto"/>
                      <w:szCs w:val="21"/>
                    </w:rPr>
                    <w:t>不</w:t>
                  </w:r>
                  <w:r>
                    <w:rPr>
                      <w:color w:val="auto"/>
                      <w:szCs w:val="21"/>
                    </w:rPr>
                    <w:t>新设、改设或者扩大排污口</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11</w:t>
                  </w:r>
                </w:p>
              </w:tc>
              <w:tc>
                <w:tcPr>
                  <w:tcW w:w="2929" w:type="pct"/>
                  <w:tcBorders>
                    <w:tl2br w:val="nil"/>
                    <w:tr2bl w:val="nil"/>
                  </w:tcBorders>
                  <w:vAlign w:val="center"/>
                </w:tcPr>
                <w:p>
                  <w:pPr>
                    <w:adjustRightInd w:val="0"/>
                    <w:snapToGrid w:val="0"/>
                    <w:rPr>
                      <w:color w:val="auto"/>
                      <w:szCs w:val="21"/>
                    </w:rPr>
                  </w:pPr>
                  <w:r>
                    <w:rPr>
                      <w:color w:val="auto"/>
                      <w:szCs w:val="21"/>
                    </w:rPr>
                    <w:t>第十七条 禁止在长江、大渡河、岷江、赤水河、沱江、嘉陵江、乌江、汉江和51个（四川省45个、重庆市6个）水生生物保护区开展生产性捕捞。</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项目不涉及生产性捕捞</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12</w:t>
                  </w:r>
                </w:p>
              </w:tc>
              <w:tc>
                <w:tcPr>
                  <w:tcW w:w="2929" w:type="pct"/>
                  <w:tcBorders>
                    <w:tl2br w:val="nil"/>
                    <w:tr2bl w:val="nil"/>
                  </w:tcBorders>
                  <w:vAlign w:val="center"/>
                </w:tcPr>
                <w:p>
                  <w:pPr>
                    <w:adjustRightInd w:val="0"/>
                    <w:snapToGrid w:val="0"/>
                    <w:rPr>
                      <w:color w:val="auto"/>
                      <w:szCs w:val="21"/>
                    </w:rPr>
                  </w:pPr>
                  <w:r>
                    <w:rPr>
                      <w:color w:val="auto"/>
                      <w:szCs w:val="21"/>
                    </w:rPr>
                    <w:t>第十八条 禁止在长江干支流、重要湖泊岸线一公里范围内新建、扩建化工园区和化工项目。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w:t>
                  </w:r>
                  <w:r>
                    <w:rPr>
                      <w:rFonts w:hint="eastAsia"/>
                      <w:color w:val="auto"/>
                      <w:szCs w:val="21"/>
                    </w:rPr>
                    <w:t>属于</w:t>
                  </w:r>
                  <w:r>
                    <w:rPr>
                      <w:color w:val="auto"/>
                      <w:szCs w:val="21"/>
                    </w:rPr>
                    <w:t>化工园区和化工项目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13</w:t>
                  </w:r>
                </w:p>
              </w:tc>
              <w:tc>
                <w:tcPr>
                  <w:tcW w:w="2929" w:type="pct"/>
                  <w:tcBorders>
                    <w:tl2br w:val="nil"/>
                    <w:tr2bl w:val="nil"/>
                  </w:tcBorders>
                  <w:vAlign w:val="center"/>
                </w:tcPr>
                <w:p>
                  <w:pPr>
                    <w:adjustRightInd w:val="0"/>
                    <w:snapToGrid w:val="0"/>
                    <w:rPr>
                      <w:color w:val="auto"/>
                      <w:szCs w:val="21"/>
                    </w:rPr>
                  </w:pPr>
                  <w:r>
                    <w:rPr>
                      <w:color w:val="auto"/>
                      <w:szCs w:val="21"/>
                    </w:rPr>
                    <w:t>第十九条 禁止在长江干流岸线三公里范围内和重要支流岸线一公里范围内新建、改建、扩建尾矿库、冶炼渣库、磷石膏库，以提升安全、生态环境保护水平为目的的改建除外。</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w:t>
                  </w:r>
                  <w:r>
                    <w:rPr>
                      <w:rFonts w:hint="eastAsia"/>
                      <w:color w:val="auto"/>
                      <w:szCs w:val="21"/>
                    </w:rPr>
                    <w:t>属于</w:t>
                  </w:r>
                  <w:r>
                    <w:rPr>
                      <w:color w:val="auto"/>
                      <w:szCs w:val="21"/>
                    </w:rPr>
                    <w:t>尾矿库、冶炼渣库、磷石膏库</w:t>
                  </w:r>
                  <w:r>
                    <w:rPr>
                      <w:rFonts w:hint="eastAsia"/>
                      <w:color w:val="auto"/>
                      <w:szCs w:val="21"/>
                    </w:rPr>
                    <w:t>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14</w:t>
                  </w:r>
                </w:p>
              </w:tc>
              <w:tc>
                <w:tcPr>
                  <w:tcW w:w="2929" w:type="pct"/>
                  <w:tcBorders>
                    <w:tl2br w:val="nil"/>
                    <w:tr2bl w:val="nil"/>
                  </w:tcBorders>
                  <w:vAlign w:val="center"/>
                </w:tcPr>
                <w:p>
                  <w:pPr>
                    <w:adjustRightInd w:val="0"/>
                    <w:snapToGrid w:val="0"/>
                    <w:rPr>
                      <w:color w:val="auto"/>
                      <w:szCs w:val="21"/>
                    </w:rPr>
                  </w:pPr>
                  <w:r>
                    <w:rPr>
                      <w:color w:val="auto"/>
                      <w:szCs w:val="21"/>
                    </w:rPr>
                    <w:t>第二十条 禁止在生态保护红线区域、永久基本农田集中区域和其他需要特别保护的区域内选址建设尾矿库、冶炼渣库、磷石膏库。</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w:t>
                  </w:r>
                  <w:r>
                    <w:rPr>
                      <w:rFonts w:hint="eastAsia"/>
                      <w:color w:val="auto"/>
                      <w:szCs w:val="21"/>
                    </w:rPr>
                    <w:t>不涉及</w:t>
                  </w:r>
                  <w:r>
                    <w:rPr>
                      <w:color w:val="auto"/>
                      <w:szCs w:val="21"/>
                    </w:rPr>
                    <w:t>生态保护红线区域、永久基本农田集中区域和其他需要特别保护的区域</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15</w:t>
                  </w:r>
                </w:p>
              </w:tc>
              <w:tc>
                <w:tcPr>
                  <w:tcW w:w="2929" w:type="pct"/>
                  <w:tcBorders>
                    <w:tl2br w:val="nil"/>
                    <w:tr2bl w:val="nil"/>
                  </w:tcBorders>
                  <w:vAlign w:val="center"/>
                </w:tcPr>
                <w:p>
                  <w:pPr>
                    <w:adjustRightInd w:val="0"/>
                    <w:snapToGrid w:val="0"/>
                    <w:rPr>
                      <w:color w:val="auto"/>
                      <w:szCs w:val="21"/>
                    </w:rPr>
                  </w:pPr>
                  <w:r>
                    <w:rPr>
                      <w:color w:val="auto"/>
                      <w:szCs w:val="21"/>
                    </w:rPr>
                    <w:t>第二十一条 禁止在合规园区外新建、扩建钢铁、石化、化工、焦化、建材、有色、制浆造纸等高污染项目。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w:t>
                  </w:r>
                  <w:r>
                    <w:rPr>
                      <w:rFonts w:hint="eastAsia"/>
                      <w:color w:val="auto"/>
                      <w:szCs w:val="21"/>
                    </w:rPr>
                    <w:t>属于</w:t>
                  </w:r>
                  <w:r>
                    <w:rPr>
                      <w:color w:val="auto"/>
                      <w:szCs w:val="21"/>
                    </w:rPr>
                    <w:t>钢铁、石化、化工、焦化、建材、有色、制浆造纸等高污染项目。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16</w:t>
                  </w:r>
                </w:p>
              </w:tc>
              <w:tc>
                <w:tcPr>
                  <w:tcW w:w="2929" w:type="pct"/>
                  <w:tcBorders>
                    <w:tl2br w:val="nil"/>
                    <w:tr2bl w:val="nil"/>
                  </w:tcBorders>
                  <w:vAlign w:val="center"/>
                </w:tcPr>
                <w:p>
                  <w:pPr>
                    <w:adjustRightInd w:val="0"/>
                    <w:snapToGrid w:val="0"/>
                    <w:rPr>
                      <w:color w:val="auto"/>
                      <w:szCs w:val="21"/>
                    </w:rPr>
                  </w:pPr>
                  <w:r>
                    <w:rPr>
                      <w:color w:val="auto"/>
                      <w:szCs w:val="21"/>
                    </w:rPr>
                    <w:t>第二十二条 禁止新建、扩建不符合国家石化、现代煤化工等产业布局规划的项目。（一）严格控制新增炼油项目，未列入《石化产业规划布局方案（修订版）》的新增炼油产能一律不得建设。（二）新建煤制烯烃、煤制芳烃项目必须列入《现代煤化工产业创新发展布局方案》，必须符合《现代煤化工建设项目环境准入条件（试行）》要求。</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本项目不属于</w:t>
                  </w:r>
                  <w:r>
                    <w:rPr>
                      <w:color w:val="auto"/>
                      <w:szCs w:val="21"/>
                    </w:rPr>
                    <w:t>石化、现代煤化工</w:t>
                  </w:r>
                  <w:r>
                    <w:rPr>
                      <w:rFonts w:hint="eastAsia"/>
                      <w:color w:val="auto"/>
                      <w:szCs w:val="21"/>
                    </w:rPr>
                    <w:t>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17</w:t>
                  </w:r>
                </w:p>
              </w:tc>
              <w:tc>
                <w:tcPr>
                  <w:tcW w:w="2929" w:type="pct"/>
                  <w:tcBorders>
                    <w:tl2br w:val="nil"/>
                    <w:tr2bl w:val="nil"/>
                  </w:tcBorders>
                  <w:vAlign w:val="center"/>
                </w:tcPr>
                <w:p>
                  <w:pPr>
                    <w:adjustRightInd w:val="0"/>
                    <w:snapToGrid w:val="0"/>
                    <w:rPr>
                      <w:color w:val="auto"/>
                      <w:szCs w:val="21"/>
                    </w:rPr>
                  </w:pPr>
                  <w:r>
                    <w:rPr>
                      <w:color w:val="auto"/>
                      <w:szCs w:val="21"/>
                    </w:rPr>
                    <w:t>第二十三条 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本项目不属于淘汰类、限制类项目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18</w:t>
                  </w:r>
                </w:p>
              </w:tc>
              <w:tc>
                <w:tcPr>
                  <w:tcW w:w="2929" w:type="pct"/>
                  <w:tcBorders>
                    <w:tl2br w:val="nil"/>
                    <w:tr2bl w:val="nil"/>
                  </w:tcBorders>
                  <w:vAlign w:val="center"/>
                </w:tcPr>
                <w:p>
                  <w:pPr>
                    <w:adjustRightInd w:val="0"/>
                    <w:snapToGrid w:val="0"/>
                    <w:rPr>
                      <w:color w:val="auto"/>
                      <w:szCs w:val="21"/>
                    </w:rPr>
                  </w:pPr>
                  <w:r>
                    <w:rPr>
                      <w:color w:val="auto"/>
                      <w:szCs w:val="21"/>
                    </w:rPr>
                    <w:t>第二十四条 禁止新建、扩建不符合国家产能置换要求的严重过剩产能行业的项目。对于不符合国家产能置换要求的严重过剩产能行业，不得以其他任何名义、任何方式备案新增产能项目。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w:t>
                  </w:r>
                  <w:r>
                    <w:rPr>
                      <w:rFonts w:hint="eastAsia"/>
                      <w:color w:val="auto"/>
                      <w:szCs w:val="21"/>
                    </w:rPr>
                    <w:t>属于产能过剩项目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19</w:t>
                  </w:r>
                </w:p>
              </w:tc>
              <w:tc>
                <w:tcPr>
                  <w:tcW w:w="2929" w:type="pct"/>
                  <w:tcBorders>
                    <w:tl2br w:val="nil"/>
                    <w:tr2bl w:val="nil"/>
                  </w:tcBorders>
                  <w:vAlign w:val="center"/>
                </w:tcPr>
                <w:p>
                  <w:pPr>
                    <w:adjustRightInd w:val="0"/>
                    <w:snapToGrid w:val="0"/>
                    <w:rPr>
                      <w:color w:val="auto"/>
                      <w:szCs w:val="21"/>
                    </w:rPr>
                  </w:pPr>
                  <w:r>
                    <w:rPr>
                      <w:color w:val="auto"/>
                      <w:szCs w:val="21"/>
                    </w:rPr>
                    <w:t>第二十五条 禁止建设以下燃油汽车投资项目（不在中国境内销售产品的投资项目除外）：（一）新建独立燃油汽车企业；（二）现有汽车企业跨乘用车、商用车类别建设燃油汽车生 产能力；（三）外省现有燃油汽车企业整体搬迁至本省（列入国家级区域发展规划或不改变企业股权结构的项目除外）；（四）对行业管理部门特别公示的燃油汽车企业进行投资（企业原有股东投资或将该企业转为非独立法人的投资项目除外）。</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本项目不属于</w:t>
                  </w:r>
                  <w:r>
                    <w:rPr>
                      <w:color w:val="auto"/>
                      <w:szCs w:val="21"/>
                    </w:rPr>
                    <w:t>燃油汽车投资项目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pPr>
                    <w:adjustRightInd w:val="0"/>
                    <w:snapToGrid w:val="0"/>
                    <w:jc w:val="center"/>
                    <w:rPr>
                      <w:color w:val="auto"/>
                      <w:szCs w:val="21"/>
                    </w:rPr>
                  </w:pPr>
                  <w:r>
                    <w:rPr>
                      <w:color w:val="auto"/>
                      <w:szCs w:val="21"/>
                    </w:rPr>
                    <w:t>20</w:t>
                  </w:r>
                </w:p>
              </w:tc>
              <w:tc>
                <w:tcPr>
                  <w:tcW w:w="2929" w:type="pct"/>
                  <w:tcBorders>
                    <w:tl2br w:val="nil"/>
                    <w:tr2bl w:val="nil"/>
                  </w:tcBorders>
                  <w:vAlign w:val="center"/>
                </w:tcPr>
                <w:p>
                  <w:pPr>
                    <w:adjustRightInd w:val="0"/>
                    <w:snapToGrid w:val="0"/>
                    <w:rPr>
                      <w:color w:val="auto"/>
                      <w:szCs w:val="21"/>
                    </w:rPr>
                  </w:pPr>
                  <w:r>
                    <w:rPr>
                      <w:color w:val="auto"/>
                      <w:szCs w:val="21"/>
                    </w:rPr>
                    <w:t>第二十六条 禁止新建、扩建不符合要求的高耗能、高排放、低水平项目。</w:t>
                  </w:r>
                </w:p>
              </w:tc>
              <w:tc>
                <w:tcPr>
                  <w:tcW w:w="1195" w:type="pct"/>
                  <w:tcBorders>
                    <w:tl2br w:val="nil"/>
                    <w:tr2bl w:val="nil"/>
                  </w:tcBorders>
                  <w:vAlign w:val="center"/>
                </w:tcPr>
                <w:p>
                  <w:pPr>
                    <w:adjustRightInd w:val="0"/>
                    <w:snapToGrid w:val="0"/>
                    <w:rPr>
                      <w:color w:val="auto"/>
                      <w:szCs w:val="21"/>
                    </w:rPr>
                  </w:pPr>
                  <w:r>
                    <w:rPr>
                      <w:rFonts w:hint="eastAsia"/>
                      <w:color w:val="auto"/>
                      <w:szCs w:val="21"/>
                    </w:rPr>
                    <w:t>本</w:t>
                  </w:r>
                  <w:r>
                    <w:rPr>
                      <w:color w:val="auto"/>
                      <w:szCs w:val="21"/>
                    </w:rPr>
                    <w:t>项目不</w:t>
                  </w:r>
                  <w:r>
                    <w:rPr>
                      <w:rFonts w:hint="eastAsia"/>
                      <w:color w:val="auto"/>
                      <w:szCs w:val="21"/>
                    </w:rPr>
                    <w:t>属于</w:t>
                  </w:r>
                  <w:r>
                    <w:rPr>
                      <w:color w:val="auto"/>
                      <w:szCs w:val="21"/>
                    </w:rPr>
                    <w:t>高耗能、高排放、低水平项目</w:t>
                  </w:r>
                </w:p>
              </w:tc>
              <w:tc>
                <w:tcPr>
                  <w:tcW w:w="474" w:type="pct"/>
                  <w:tcBorders>
                    <w:tl2br w:val="nil"/>
                    <w:tr2bl w:val="nil"/>
                  </w:tcBorders>
                  <w:vAlign w:val="center"/>
                </w:tcPr>
                <w:p>
                  <w:pPr>
                    <w:adjustRightInd w:val="0"/>
                    <w:snapToGrid w:val="0"/>
                    <w:jc w:val="center"/>
                    <w:rPr>
                      <w:color w:val="auto"/>
                      <w:szCs w:val="21"/>
                    </w:rPr>
                  </w:pPr>
                  <w:r>
                    <w:rPr>
                      <w:color w:val="auto"/>
                      <w:szCs w:val="21"/>
                    </w:rPr>
                    <w:t>符合</w:t>
                  </w:r>
                </w:p>
              </w:tc>
            </w:tr>
          </w:tbl>
          <w:p>
            <w:pPr>
              <w:autoSpaceDE w:val="0"/>
              <w:autoSpaceDN w:val="0"/>
              <w:adjustRightInd w:val="0"/>
              <w:snapToGrid w:val="0"/>
              <w:spacing w:line="360" w:lineRule="auto"/>
              <w:ind w:firstLine="482"/>
              <w:rPr>
                <w:b/>
                <w:bCs/>
                <w:color w:val="auto"/>
                <w:sz w:val="24"/>
              </w:rPr>
            </w:pPr>
            <w:r>
              <w:rPr>
                <w:bCs/>
                <w:color w:val="auto"/>
                <w:kern w:val="0"/>
                <w:sz w:val="24"/>
              </w:rPr>
              <w:t>综上所述，本项目符合</w:t>
            </w:r>
            <w:r>
              <w:rPr>
                <w:bCs/>
                <w:color w:val="auto"/>
                <w:sz w:val="24"/>
              </w:rPr>
              <w:t>《四川省、重庆市长江经济带发展负面清单实施细则（试行，2022年版）》（川长江办（2022）17号）</w:t>
            </w:r>
            <w:r>
              <w:rPr>
                <w:bCs/>
                <w:color w:val="auto"/>
                <w:kern w:val="0"/>
                <w:sz w:val="24"/>
              </w:rPr>
              <w:t>的相关要求。</w:t>
            </w:r>
          </w:p>
          <w:p>
            <w:pPr>
              <w:spacing w:line="360" w:lineRule="auto"/>
              <w:rPr>
                <w:rFonts w:eastAsiaTheme="minorEastAsia"/>
                <w:b/>
                <w:bCs/>
                <w:color w:val="auto"/>
                <w:kern w:val="0"/>
                <w:sz w:val="24"/>
              </w:rPr>
            </w:pPr>
            <w:r>
              <w:rPr>
                <w:rFonts w:hint="eastAsia" w:eastAsiaTheme="minorEastAsia"/>
                <w:b/>
                <w:bCs/>
                <w:color w:val="auto"/>
                <w:kern w:val="0"/>
                <w:sz w:val="24"/>
                <w:lang w:bidi="zh-TW"/>
              </w:rPr>
              <w:t>4.</w:t>
            </w:r>
            <w:r>
              <w:rPr>
                <w:rFonts w:eastAsiaTheme="minorEastAsia"/>
                <w:b/>
                <w:bCs/>
                <w:color w:val="auto"/>
                <w:kern w:val="0"/>
                <w:sz w:val="24"/>
                <w:lang w:bidi="zh-TW"/>
              </w:rPr>
              <w:t>与《重庆市大气环境保护“十四五”规划（</w:t>
            </w:r>
            <w:r>
              <w:rPr>
                <w:rFonts w:eastAsiaTheme="minorEastAsia"/>
                <w:b/>
                <w:bCs/>
                <w:color w:val="auto"/>
                <w:kern w:val="0"/>
                <w:sz w:val="24"/>
                <w:lang w:bidi="en-US"/>
              </w:rPr>
              <w:t>2021-2025</w:t>
            </w:r>
            <w:r>
              <w:rPr>
                <w:rFonts w:eastAsiaTheme="minorEastAsia"/>
                <w:b/>
                <w:bCs/>
                <w:color w:val="auto"/>
                <w:kern w:val="0"/>
                <w:sz w:val="24"/>
                <w:lang w:bidi="zh-TW"/>
              </w:rPr>
              <w:t>年）》符合性</w:t>
            </w:r>
          </w:p>
          <w:p>
            <w:pPr>
              <w:jc w:val="center"/>
              <w:rPr>
                <w:rFonts w:eastAsiaTheme="minorEastAsia"/>
                <w:color w:val="auto"/>
                <w:kern w:val="0"/>
                <w:sz w:val="21"/>
                <w:szCs w:val="21"/>
                <w:lang w:bidi="en-US"/>
              </w:rPr>
            </w:pPr>
            <w:r>
              <w:rPr>
                <w:rFonts w:eastAsiaTheme="minorEastAsia"/>
                <w:color w:val="auto"/>
                <w:kern w:val="0"/>
                <w:sz w:val="21"/>
                <w:szCs w:val="21"/>
                <w:lang w:bidi="en-US"/>
              </w:rPr>
              <w:t>表1</w:t>
            </w:r>
            <w:r>
              <w:rPr>
                <w:rFonts w:hint="eastAsia" w:eastAsiaTheme="minorEastAsia"/>
                <w:color w:val="auto"/>
                <w:kern w:val="0"/>
                <w:sz w:val="21"/>
                <w:szCs w:val="21"/>
                <w:lang w:bidi="en-US"/>
              </w:rPr>
              <w:t xml:space="preserve">.4 </w:t>
            </w:r>
            <w:r>
              <w:rPr>
                <w:rFonts w:eastAsiaTheme="minorEastAsia"/>
                <w:color w:val="auto"/>
                <w:kern w:val="0"/>
                <w:sz w:val="21"/>
                <w:szCs w:val="21"/>
                <w:lang w:bidi="en-US"/>
              </w:rPr>
              <w:t>与重庆市大气环境保护</w:t>
            </w:r>
            <w:r>
              <w:rPr>
                <w:rFonts w:eastAsiaTheme="minorEastAsia"/>
                <w:color w:val="auto"/>
                <w:kern w:val="0"/>
                <w:sz w:val="21"/>
                <w:szCs w:val="21"/>
                <w:lang w:bidi="zh-CN"/>
              </w:rPr>
              <w:t>“十</w:t>
            </w:r>
            <w:r>
              <w:rPr>
                <w:rFonts w:eastAsiaTheme="minorEastAsia"/>
                <w:color w:val="auto"/>
                <w:kern w:val="0"/>
                <w:sz w:val="21"/>
                <w:szCs w:val="21"/>
                <w:lang w:bidi="en-US"/>
              </w:rPr>
              <w:t>四五”规划符合性</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756"/>
              <w:gridCol w:w="4388"/>
              <w:gridCol w:w="2007"/>
              <w:gridCol w:w="6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301" w:type="pct"/>
                  <w:gridSpan w:val="2"/>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相关要求</w:t>
                  </w:r>
                </w:p>
              </w:tc>
              <w:tc>
                <w:tcPr>
                  <w:tcW w:w="1288"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本项目情况</w:t>
                  </w:r>
                </w:p>
              </w:tc>
              <w:tc>
                <w:tcPr>
                  <w:tcW w:w="410"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符</w:t>
                  </w:r>
                  <w:r>
                    <w:rPr>
                      <w:rFonts w:hint="eastAsia"/>
                      <w:color w:val="auto"/>
                      <w:sz w:val="21"/>
                      <w:szCs w:val="21"/>
                      <w:lang w:eastAsia="zh-CN"/>
                    </w:rPr>
                    <w:t>合</w:t>
                  </w:r>
                  <w:r>
                    <w:rPr>
                      <w:color w:val="auto"/>
                      <w:sz w:val="21"/>
                      <w:szCs w:val="21"/>
                    </w:rPr>
                    <w:t>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加强源头控制</w:t>
                  </w:r>
                </w:p>
              </w:tc>
              <w:tc>
                <w:tcPr>
                  <w:tcW w:w="2815"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rPr>
                  </w:pPr>
                  <w:r>
                    <w:rPr>
                      <w:rFonts w:ascii="Times New Roman" w:hAnsi="Times New Roman" w:cs="Times New Roman"/>
                      <w:color w:val="auto"/>
                      <w:sz w:val="21"/>
                      <w:szCs w:val="21"/>
                    </w:rPr>
                    <w:t>实施</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排放总量控制，涉</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建设项目按照新增排放量进行减量替代。以工业涂装、包装印刷等行业为重点，实施原辅材料和产品源头替代。加快对溶剂型涂料、油墨、胶粘剂、清洗剂使用企业制定低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含量原辅材料替代计划。将生产和使用高</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含量产品的企业列入强制性清洁生产审核名单。到2025年，基本完成汽车、摩托车整车制造底漆、中涂、色漆低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含量涂料替代；在木质家具、汽车零部件、工程机械、钢结构、船舶制造等行业技术成熟环节，大力推广低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含量涂料。在房屋建筑、市政工程和城市道路交通标志中，除特殊功能要求外，全面推广使用低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含量的涂料、胶粘剂。到2025年，全市溶剂型工业涂料、溶剂型油墨使用比例分别降低20%、15%，溶剂型胶粘剂使用量下降20%。</w:t>
                  </w:r>
                </w:p>
              </w:tc>
              <w:tc>
                <w:tcPr>
                  <w:tcW w:w="1288"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lang w:eastAsia="zh-CN"/>
                    </w:rPr>
                  </w:pPr>
                  <w:r>
                    <w:rPr>
                      <w:rFonts w:ascii="Times New Roman" w:hAnsi="Times New Roman" w:cs="Times New Roman"/>
                      <w:color w:val="auto"/>
                      <w:sz w:val="21"/>
                      <w:szCs w:val="21"/>
                    </w:rPr>
                    <w:t>本项目</w:t>
                  </w:r>
                  <w:r>
                    <w:rPr>
                      <w:rFonts w:hint="eastAsia" w:ascii="Times New Roman" w:hAnsi="Times New Roman" w:cs="Times New Roman"/>
                      <w:color w:val="auto"/>
                      <w:sz w:val="21"/>
                      <w:szCs w:val="21"/>
                      <w:lang w:eastAsia="zh-CN"/>
                    </w:rPr>
                    <w:t>不属于工业涂装、包装印刷等行业</w:t>
                  </w:r>
                  <w:r>
                    <w:rPr>
                      <w:rFonts w:ascii="Times New Roman" w:hAnsi="Times New Roman" w:cs="Times New Roman"/>
                      <w:color w:val="auto"/>
                      <w:sz w:val="21"/>
                      <w:szCs w:val="21"/>
                      <w:lang w:eastAsia="zh-CN"/>
                    </w:rPr>
                    <w:t>，使用的</w:t>
                  </w:r>
                  <w:r>
                    <w:rPr>
                      <w:rFonts w:hint="eastAsia" w:ascii="Times New Roman" w:hAnsi="Times New Roman" w:cs="Times New Roman"/>
                      <w:color w:val="auto"/>
                      <w:sz w:val="21"/>
                      <w:szCs w:val="21"/>
                      <w:lang w:eastAsia="zh-CN"/>
                    </w:rPr>
                    <w:t>胶粘剂为水性胶粘剂</w:t>
                  </w:r>
                  <w:r>
                    <w:rPr>
                      <w:rFonts w:ascii="Times New Roman" w:hAnsi="Times New Roman" w:cs="Times New Roman"/>
                      <w:color w:val="auto"/>
                      <w:sz w:val="21"/>
                      <w:szCs w:val="21"/>
                      <w:lang w:eastAsia="zh-CN"/>
                    </w:rPr>
                    <w:t>，属于</w:t>
                  </w:r>
                  <w:r>
                    <w:rPr>
                      <w:rFonts w:ascii="Times New Roman" w:hAnsi="Times New Roman" w:cs="Times New Roman"/>
                      <w:color w:val="auto"/>
                      <w:sz w:val="21"/>
                      <w:szCs w:val="21"/>
                    </w:rPr>
                    <w:t>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w:t>
                  </w:r>
                  <w:r>
                    <w:rPr>
                      <w:rFonts w:hint="eastAsia" w:ascii="Times New Roman" w:hAnsi="Times New Roman" w:cs="Times New Roman"/>
                      <w:color w:val="auto"/>
                      <w:sz w:val="21"/>
                      <w:szCs w:val="21"/>
                      <w:lang w:eastAsia="zh-CN"/>
                    </w:rPr>
                    <w:t>原料</w:t>
                  </w:r>
                  <w:r>
                    <w:rPr>
                      <w:rFonts w:ascii="Times New Roman" w:hAnsi="Times New Roman" w:cs="Times New Roman"/>
                      <w:color w:val="auto"/>
                      <w:sz w:val="21"/>
                      <w:szCs w:val="21"/>
                    </w:rPr>
                    <w:t>，采取集中收集处理后达标排放</w:t>
                  </w:r>
                  <w:r>
                    <w:rPr>
                      <w:rFonts w:ascii="Times New Roman" w:hAnsi="Times New Roman" w:cs="Times New Roman"/>
                      <w:color w:val="auto"/>
                      <w:sz w:val="21"/>
                      <w:szCs w:val="21"/>
                      <w:lang w:eastAsia="zh-CN"/>
                    </w:rPr>
                    <w:t>；</w:t>
                  </w:r>
                </w:p>
              </w:tc>
              <w:tc>
                <w:tcPr>
                  <w:tcW w:w="410"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rFonts w:ascii="Times New Roman" w:hAnsi="Times New Roman" w:cs="Times New Roman"/>
                      <w:color w:val="auto"/>
                      <w:sz w:val="21"/>
                      <w:szCs w:val="21"/>
                    </w:rPr>
                    <w:t>强化VOCs无组织排放管控</w:t>
                  </w:r>
                </w:p>
              </w:tc>
              <w:tc>
                <w:tcPr>
                  <w:tcW w:w="2815"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rPr>
                  </w:pPr>
                  <w:r>
                    <w:rPr>
                      <w:color w:val="auto"/>
                      <w:sz w:val="21"/>
                      <w:szCs w:val="21"/>
                    </w:rPr>
                    <w:t>实</w:t>
                  </w:r>
                  <w:r>
                    <w:rPr>
                      <w:rFonts w:ascii="Times New Roman" w:hAnsi="Times New Roman" w:cs="Times New Roman"/>
                      <w:color w:val="auto"/>
                      <w:sz w:val="21"/>
                      <w:szCs w:val="21"/>
                    </w:rPr>
                    <w:t>施储罐综合治理，浮顶与罐壁之间应采用高效密封方式，重点区域存储汽油、航空煤油、石脑油以及苯、甲苯、二甲苯的浮顶罐应使用全液面接触式浮顶。强化装卸废气收集治理，限期推动装载汽油、航空煤油、石脑油和苯、甲苯、二甲苯等的汽车罐车全部采用底部装载方式，换用自封式快速接头。指导企业规范开展泄漏检测与修复（LDAR）工作，优先在密封点超过2000个的企业推行LDAR技术改造，并加强监督检查。长寿、万州、涪陵及其他重点工业园区，逐步建立统一的LDAR信息管理平台试点。2023年年底前完成万吨级及以上原油、成品油码头油气回收治理。鼓励重点区域年销售汽油5000吨以上加油站完成油气三级回收处理。</w:t>
                  </w:r>
                </w:p>
              </w:tc>
              <w:tc>
                <w:tcPr>
                  <w:tcW w:w="1288"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rPr>
                  </w:pPr>
                  <w:r>
                    <w:rPr>
                      <w:color w:val="auto"/>
                      <w:sz w:val="21"/>
                      <w:szCs w:val="21"/>
                    </w:rPr>
                    <w:t>本项目不使用储罐，原辅料均不涉及汽油、航空煤油、石脑油以及苯、甲苯、二甲苯</w:t>
                  </w:r>
                  <w:r>
                    <w:rPr>
                      <w:rFonts w:hint="eastAsia"/>
                      <w:color w:val="auto"/>
                      <w:sz w:val="21"/>
                      <w:szCs w:val="21"/>
                      <w:lang w:eastAsia="zh-CN"/>
                    </w:rPr>
                    <w:t>储存</w:t>
                  </w:r>
                  <w:r>
                    <w:rPr>
                      <w:color w:val="auto"/>
                      <w:sz w:val="21"/>
                      <w:szCs w:val="21"/>
                    </w:rPr>
                    <w:t>。</w:t>
                  </w:r>
                </w:p>
              </w:tc>
              <w:tc>
                <w:tcPr>
                  <w:tcW w:w="410"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持续推进VOCs全过程综合治理</w:t>
                  </w:r>
                </w:p>
              </w:tc>
              <w:tc>
                <w:tcPr>
                  <w:tcW w:w="2815"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rPr>
                  </w:pPr>
                  <w:r>
                    <w:rPr>
                      <w:rFonts w:ascii="Times New Roman" w:hAnsi="Times New Roman" w:cs="Times New Roman"/>
                      <w:color w:val="auto"/>
                      <w:sz w:val="21"/>
                      <w:szCs w:val="21"/>
                    </w:rPr>
                    <w:t>推动VOCs末端治理升级。推行“一企一策”，引导企业选择多种技术的组合工艺提高VOCs治理效率。石化、化工企业加强火炬系统排放监管，保证燃烧温度和污染物停留时间能有效去除污染物。加强非正常工况废气排放管控，制定非正常工况VOCs管控规程，严格按规程操作。有条件的工业集聚区建设集中喷涂工程中心，配备高效治污设施，替代企业独立喷涂工序，对涉及喷漆、喷粉、印刷等废气进行集中处理。鼓励对中小型企业集群开展企业分散收集一活性炭移动集中再生治理模式的示范推广。</w:t>
                  </w:r>
                </w:p>
              </w:tc>
              <w:tc>
                <w:tcPr>
                  <w:tcW w:w="1288"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lang w:eastAsia="zh-CN"/>
                    </w:rPr>
                  </w:pPr>
                  <w:r>
                    <w:rPr>
                      <w:color w:val="auto"/>
                      <w:sz w:val="21"/>
                      <w:szCs w:val="21"/>
                    </w:rPr>
                    <w:t>本项目</w:t>
                  </w:r>
                  <w:r>
                    <w:rPr>
                      <w:rFonts w:hint="eastAsia"/>
                      <w:color w:val="auto"/>
                      <w:sz w:val="21"/>
                      <w:szCs w:val="21"/>
                      <w:lang w:eastAsia="zh-CN"/>
                    </w:rPr>
                    <w:t>产生的挥发性有机物采取集中收集、</w:t>
                  </w:r>
                  <w:r>
                    <w:rPr>
                      <w:rFonts w:hint="eastAsia"/>
                      <w:color w:val="auto"/>
                      <w:sz w:val="21"/>
                      <w:szCs w:val="21"/>
                      <w:highlight w:val="none"/>
                      <w:lang w:eastAsia="zh-CN"/>
                    </w:rPr>
                    <w:t>处理措施，挥发性有机物经收集后采用</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UV光解+二级</w:t>
                  </w:r>
                  <w:r>
                    <w:rPr>
                      <w:rFonts w:hint="default" w:ascii="Times New Roman" w:hAnsi="Times New Roman" w:cs="Times New Roman"/>
                      <w:color w:val="auto"/>
                      <w:sz w:val="21"/>
                      <w:szCs w:val="21"/>
                      <w:highlight w:val="none"/>
                      <w:lang w:val="en-US"/>
                    </w:rPr>
                    <w:t>活性炭</w:t>
                  </w:r>
                  <w:r>
                    <w:rPr>
                      <w:rFonts w:hint="default" w:ascii="Times New Roman" w:hAnsi="Times New Roman" w:cs="Times New Roman"/>
                      <w:color w:val="auto"/>
                      <w:sz w:val="21"/>
                      <w:szCs w:val="21"/>
                      <w:highlight w:val="none"/>
                      <w:lang w:val="en-US" w:eastAsia="zh-CN"/>
                    </w:rPr>
                    <w:t>”</w:t>
                  </w:r>
                  <w:r>
                    <w:rPr>
                      <w:color w:val="auto"/>
                      <w:sz w:val="21"/>
                      <w:szCs w:val="21"/>
                      <w:highlight w:val="none"/>
                      <w:lang w:val="en-US"/>
                    </w:rPr>
                    <w:t>吸附</w:t>
                  </w:r>
                  <w:r>
                    <w:rPr>
                      <w:color w:val="auto"/>
                      <w:sz w:val="21"/>
                      <w:szCs w:val="21"/>
                      <w:highlight w:val="none"/>
                    </w:rPr>
                    <w:t>处理达标后排放</w:t>
                  </w:r>
                  <w:r>
                    <w:rPr>
                      <w:rFonts w:hint="eastAsia"/>
                      <w:color w:val="auto"/>
                      <w:sz w:val="21"/>
                      <w:szCs w:val="21"/>
                      <w:highlight w:val="none"/>
                      <w:lang w:eastAsia="zh-CN"/>
                    </w:rPr>
                    <w:t>；本项目不属于石化、化工企业</w:t>
                  </w:r>
                  <w:r>
                    <w:rPr>
                      <w:rFonts w:hint="eastAsia"/>
                      <w:color w:val="auto"/>
                      <w:sz w:val="21"/>
                      <w:szCs w:val="21"/>
                      <w:lang w:eastAsia="zh-CN"/>
                    </w:rPr>
                    <w:t>。</w:t>
                  </w:r>
                </w:p>
              </w:tc>
              <w:tc>
                <w:tcPr>
                  <w:tcW w:w="410"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持续优化产业结构和布局</w:t>
                  </w:r>
                </w:p>
              </w:tc>
              <w:tc>
                <w:tcPr>
                  <w:tcW w:w="2815" w:type="pct"/>
                  <w:tcBorders>
                    <w:tl2br w:val="nil"/>
                    <w:tr2bl w:val="nil"/>
                  </w:tcBorders>
                  <w:shd w:val="clear" w:color="auto" w:fill="auto"/>
                  <w:vAlign w:val="center"/>
                </w:tcPr>
                <w:p>
                  <w:pPr>
                    <w:pStyle w:val="51"/>
                    <w:adjustRightInd w:val="0"/>
                    <w:snapToGrid w:val="0"/>
                    <w:spacing w:after="0" w:line="240" w:lineRule="auto"/>
                    <w:ind w:firstLine="0"/>
                    <w:jc w:val="both"/>
                    <w:rPr>
                      <w:color w:val="auto"/>
                      <w:sz w:val="21"/>
                      <w:szCs w:val="21"/>
                    </w:rPr>
                  </w:pPr>
                  <w:r>
                    <w:rPr>
                      <w:color w:val="auto"/>
                      <w:sz w:val="21"/>
                      <w:szCs w:val="21"/>
                    </w:rPr>
                    <w:t>坚决遏制高耗能、高排放、低水平项目盲目发展。严格落实国家和本市产业规划、产业政策、“三线一单”、规划环评以及产能置换、煤炭消费减量替代、区域污染物削减等相关要求，严控高耗能、高排放、低水平项目，因地制宜制定“两高”和资源型行业准入标准。适时修订并严格执行产业禁投清单等准入政策，合理控制煤制油气产能规模，未纳入国家有关领域产业规划的新、改、扩建炼油和新建乙烯、对二甲苯、煤制烯烃项目，一律不得建设。新、改、扩建项目所需二氧化硫、氮氧化物、VOCs排放量指标要进行减量替代，PM</w:t>
                  </w:r>
                  <w:r>
                    <w:rPr>
                      <w:color w:val="auto"/>
                      <w:sz w:val="21"/>
                      <w:szCs w:val="21"/>
                      <w:vertAlign w:val="subscript"/>
                    </w:rPr>
                    <w:t>2.5</w:t>
                  </w:r>
                  <w:r>
                    <w:rPr>
                      <w:color w:val="auto"/>
                      <w:sz w:val="21"/>
                      <w:szCs w:val="21"/>
                    </w:rPr>
                    <w:t>或者臭氧未达标区县要加大替代比例。加快推进“两高”和资源型行业依法开展清洁生产审核，推动一批重点企业达到国际清洁生产领先水平，确保新上的“两高”项目达到标杆值水平和污染物排放标准先进值。</w:t>
                  </w:r>
                </w:p>
              </w:tc>
              <w:tc>
                <w:tcPr>
                  <w:tcW w:w="1288" w:type="pct"/>
                  <w:tcBorders>
                    <w:tl2br w:val="nil"/>
                    <w:tr2bl w:val="nil"/>
                  </w:tcBorders>
                  <w:shd w:val="clear" w:color="auto" w:fill="auto"/>
                  <w:vAlign w:val="center"/>
                </w:tcPr>
                <w:p>
                  <w:pPr>
                    <w:pStyle w:val="51"/>
                    <w:adjustRightInd w:val="0"/>
                    <w:snapToGrid w:val="0"/>
                    <w:spacing w:after="0" w:line="240" w:lineRule="auto"/>
                    <w:ind w:firstLine="0"/>
                    <w:jc w:val="both"/>
                    <w:rPr>
                      <w:rFonts w:eastAsia="PMingLiU"/>
                      <w:color w:val="auto"/>
                      <w:sz w:val="21"/>
                      <w:szCs w:val="21"/>
                    </w:rPr>
                  </w:pPr>
                  <w:r>
                    <w:rPr>
                      <w:rFonts w:hint="eastAsia"/>
                      <w:color w:val="auto"/>
                      <w:sz w:val="21"/>
                      <w:szCs w:val="21"/>
                      <w:lang w:eastAsia="zh-CN"/>
                    </w:rPr>
                    <w:t>本项目</w:t>
                  </w:r>
                  <w:r>
                    <w:rPr>
                      <w:color w:val="auto"/>
                      <w:sz w:val="21"/>
                      <w:szCs w:val="21"/>
                    </w:rPr>
                    <w:t>符合</w:t>
                  </w:r>
                  <w:r>
                    <w:rPr>
                      <w:rFonts w:hint="eastAsia"/>
                      <w:color w:val="auto"/>
                      <w:sz w:val="21"/>
                      <w:szCs w:val="21"/>
                      <w:highlight w:val="none"/>
                      <w:lang w:eastAsia="zh-CN"/>
                    </w:rPr>
                    <w:t>铜梁工业</w:t>
                  </w:r>
                  <w:r>
                    <w:rPr>
                      <w:color w:val="auto"/>
                      <w:sz w:val="21"/>
                      <w:szCs w:val="21"/>
                    </w:rPr>
                    <w:t>园区产业定位、园区规划环评及其审查意见；本项目不属于高能耗、高排放、低水平项目，不属于产业禁投清单项目，不属于炼油和乙烯、对二甲苯、煤制烯烃项目。</w:t>
                  </w:r>
                </w:p>
              </w:tc>
              <w:tc>
                <w:tcPr>
                  <w:tcW w:w="410" w:type="pct"/>
                  <w:tcBorders>
                    <w:tl2br w:val="nil"/>
                    <w:tr2bl w:val="nil"/>
                  </w:tcBorders>
                  <w:shd w:val="clear" w:color="auto" w:fill="auto"/>
                  <w:vAlign w:val="center"/>
                </w:tcPr>
                <w:p>
                  <w:pPr>
                    <w:pStyle w:val="51"/>
                    <w:adjustRightInd w:val="0"/>
                    <w:snapToGrid w:val="0"/>
                    <w:spacing w:after="0" w:line="240" w:lineRule="auto"/>
                    <w:ind w:firstLine="0"/>
                    <w:jc w:val="center"/>
                    <w:rPr>
                      <w:color w:val="auto"/>
                      <w:sz w:val="21"/>
                      <w:szCs w:val="21"/>
                    </w:rPr>
                  </w:pPr>
                  <w:r>
                    <w:rPr>
                      <w:color w:val="auto"/>
                      <w:sz w:val="21"/>
                      <w:szCs w:val="21"/>
                    </w:rPr>
                    <w:t>符合</w:t>
                  </w:r>
                </w:p>
              </w:tc>
            </w:tr>
          </w:tbl>
          <w:p>
            <w:pPr>
              <w:spacing w:line="360" w:lineRule="auto"/>
              <w:ind w:firstLine="480" w:firstLineChars="200"/>
              <w:rPr>
                <w:rFonts w:eastAsiaTheme="minorEastAsia"/>
                <w:bCs/>
                <w:color w:val="auto"/>
                <w:kern w:val="0"/>
                <w:sz w:val="24"/>
              </w:rPr>
            </w:pPr>
            <w:r>
              <w:rPr>
                <w:rFonts w:hint="eastAsia" w:eastAsiaTheme="minorEastAsia"/>
                <w:bCs/>
                <w:color w:val="auto"/>
                <w:kern w:val="0"/>
                <w:sz w:val="24"/>
              </w:rPr>
              <w:t>综上分析，项目符合《重庆市大气环境保护“十四五”规划(2021-2025年)》相关要求。</w:t>
            </w:r>
          </w:p>
          <w:p>
            <w:pPr>
              <w:spacing w:line="360" w:lineRule="auto"/>
              <w:rPr>
                <w:rFonts w:eastAsiaTheme="minorEastAsia"/>
                <w:b/>
                <w:color w:val="auto"/>
                <w:spacing w:val="-3"/>
                <w:sz w:val="24"/>
              </w:rPr>
            </w:pPr>
            <w:r>
              <w:rPr>
                <w:rFonts w:hint="eastAsia" w:eastAsiaTheme="minorEastAsia"/>
                <w:b/>
                <w:color w:val="auto"/>
                <w:spacing w:val="-3"/>
                <w:sz w:val="24"/>
              </w:rPr>
              <w:t>5.</w:t>
            </w:r>
            <w:r>
              <w:rPr>
                <w:rFonts w:eastAsiaTheme="minorEastAsia"/>
                <w:b/>
                <w:color w:val="auto"/>
                <w:spacing w:val="-3"/>
                <w:sz w:val="24"/>
              </w:rPr>
              <w:t>与《重庆市生态环境保护“十四五”规划（2021—2025年）》（渝府发〔2022〕11号）符合性分析</w:t>
            </w:r>
          </w:p>
          <w:p>
            <w:pPr>
              <w:ind w:firstLine="482"/>
              <w:jc w:val="center"/>
              <w:rPr>
                <w:rFonts w:eastAsiaTheme="minorEastAsia"/>
                <w:bCs/>
                <w:color w:val="auto"/>
                <w:sz w:val="21"/>
                <w:szCs w:val="21"/>
              </w:rPr>
            </w:pPr>
            <w:r>
              <w:rPr>
                <w:rFonts w:eastAsiaTheme="minorEastAsia"/>
                <w:bCs/>
                <w:color w:val="auto"/>
                <w:sz w:val="21"/>
                <w:szCs w:val="21"/>
              </w:rPr>
              <w:t>表</w:t>
            </w:r>
            <w:r>
              <w:rPr>
                <w:rFonts w:hint="eastAsia" w:eastAsiaTheme="minorEastAsia"/>
                <w:bCs/>
                <w:color w:val="auto"/>
                <w:sz w:val="21"/>
                <w:szCs w:val="21"/>
                <w:lang w:bidi="en-US"/>
              </w:rPr>
              <w:t>1.5</w:t>
            </w:r>
            <w:r>
              <w:rPr>
                <w:rFonts w:eastAsiaTheme="minorEastAsia"/>
                <w:bCs/>
                <w:color w:val="auto"/>
                <w:sz w:val="21"/>
                <w:szCs w:val="21"/>
              </w:rPr>
              <w:t>与重庆市生态环境保护</w:t>
            </w:r>
            <w:r>
              <w:rPr>
                <w:rFonts w:eastAsiaTheme="minorEastAsia"/>
                <w:bCs/>
                <w:color w:val="auto"/>
                <w:sz w:val="21"/>
                <w:szCs w:val="21"/>
                <w:lang w:val="zh-CN" w:bidi="zh-CN"/>
              </w:rPr>
              <w:t>“十</w:t>
            </w:r>
            <w:r>
              <w:rPr>
                <w:rFonts w:eastAsiaTheme="minorEastAsia"/>
                <w:bCs/>
                <w:color w:val="auto"/>
                <w:sz w:val="21"/>
                <w:szCs w:val="21"/>
              </w:rPr>
              <w:t>四五</w:t>
            </w:r>
            <w:r>
              <w:rPr>
                <w:rFonts w:eastAsiaTheme="minorEastAsia"/>
                <w:bCs/>
                <w:color w:val="auto"/>
                <w:sz w:val="21"/>
                <w:szCs w:val="21"/>
                <w:lang w:val="zh-CN" w:bidi="zh-CN"/>
              </w:rPr>
              <w:t>”规划</w:t>
            </w:r>
            <w:r>
              <w:rPr>
                <w:rFonts w:eastAsiaTheme="minorEastAsia"/>
                <w:bCs/>
                <w:color w:val="auto"/>
                <w:sz w:val="21"/>
                <w:szCs w:val="21"/>
              </w:rPr>
              <w:t>符合性</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630"/>
              <w:gridCol w:w="4199"/>
              <w:gridCol w:w="2350"/>
              <w:gridCol w:w="6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98" w:type="pct"/>
                  <w:gridSpan w:val="2"/>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相关要求</w:t>
                  </w:r>
                </w:p>
              </w:tc>
              <w:tc>
                <w:tcPr>
                  <w:tcW w:w="1508"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本项目情况</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pPr>
                    <w:pStyle w:val="51"/>
                    <w:adjustRightInd w:val="0"/>
                    <w:snapToGrid w:val="0"/>
                    <w:spacing w:after="0" w:line="240" w:lineRule="auto"/>
                    <w:ind w:firstLine="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改善水环境质量</w:t>
                  </w: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加强河流水质目标管理。将我市河湖划分为</w:t>
                  </w:r>
                  <w:r>
                    <w:rPr>
                      <w:rFonts w:ascii="Times New Roman" w:hAnsi="Times New Roman" w:cs="Times New Roman" w:eastAsiaTheme="minorEastAsia"/>
                      <w:b/>
                      <w:bCs/>
                      <w:color w:val="auto"/>
                      <w:sz w:val="21"/>
                      <w:szCs w:val="21"/>
                    </w:rPr>
                    <w:t>22</w:t>
                  </w:r>
                  <w:r>
                    <w:rPr>
                      <w:rFonts w:ascii="Times New Roman" w:hAnsi="Times New Roman" w:cs="Times New Roman" w:eastAsiaTheme="minorEastAsia"/>
                      <w:color w:val="auto"/>
                      <w:sz w:val="21"/>
                      <w:szCs w:val="21"/>
                    </w:rPr>
                    <w:t>个管控单元，将流域生态环境保护责任分解落实到各个断面、水体和行政区域，做深做实</w:t>
                  </w:r>
                  <w:r>
                    <w:rPr>
                      <w:rFonts w:ascii="Times New Roman" w:hAnsi="Times New Roman" w:cs="Times New Roman" w:eastAsiaTheme="minorEastAsia"/>
                      <w:color w:val="auto"/>
                      <w:sz w:val="21"/>
                      <w:szCs w:val="21"/>
                      <w:lang w:val="zh-CN" w:eastAsia="zh-CN" w:bidi="zh-CN"/>
                    </w:rPr>
                    <w:t>“一河</w:t>
                  </w:r>
                  <w:r>
                    <w:rPr>
                      <w:rFonts w:ascii="Times New Roman" w:hAnsi="Times New Roman" w:cs="Times New Roman" w:eastAsiaTheme="minorEastAsia"/>
                      <w:color w:val="auto"/>
                      <w:sz w:val="21"/>
                      <w:szCs w:val="21"/>
                    </w:rPr>
                    <w:t>一长</w:t>
                  </w:r>
                  <w:r>
                    <w:rPr>
                      <w:rFonts w:ascii="Times New Roman" w:hAnsi="Times New Roman" w:cs="Times New Roman" w:eastAsiaTheme="minorEastAsia"/>
                      <w:color w:val="auto"/>
                      <w:sz w:val="21"/>
                      <w:szCs w:val="21"/>
                      <w:lang w:val="zh-CN" w:eastAsia="zh-CN" w:bidi="zh-CN"/>
                    </w:rPr>
                    <w:t>”“一</w:t>
                  </w:r>
                  <w:r>
                    <w:rPr>
                      <w:rFonts w:ascii="Times New Roman" w:hAnsi="Times New Roman" w:cs="Times New Roman" w:eastAsiaTheme="minorEastAsia"/>
                      <w:color w:val="auto"/>
                      <w:sz w:val="21"/>
                      <w:szCs w:val="21"/>
                    </w:rPr>
                    <w:t>河一策”</w:t>
                  </w:r>
                  <w:r>
                    <w:rPr>
                      <w:rFonts w:ascii="Times New Roman" w:hAnsi="Times New Roman" w:cs="Times New Roman" w:eastAsiaTheme="minorEastAsia"/>
                      <w:color w:val="auto"/>
                      <w:sz w:val="21"/>
                      <w:szCs w:val="21"/>
                      <w:lang w:val="zh-CN" w:eastAsia="zh-CN" w:bidi="zh-CN"/>
                    </w:rPr>
                    <w:t>“一</w:t>
                  </w:r>
                  <w:r>
                    <w:rPr>
                      <w:rFonts w:ascii="Times New Roman" w:hAnsi="Times New Roman" w:cs="Times New Roman" w:eastAsiaTheme="minorEastAsia"/>
                      <w:color w:val="auto"/>
                      <w:sz w:val="21"/>
                      <w:szCs w:val="21"/>
                    </w:rPr>
                    <w:t>河一档”。将包含重要饮用水水源、具有重要生态功能以及水质达标压力较大的断面、水体列为优先控制对象，综合运用水资源调度、水生态保护、水环境治理等措施提高水环境质量。现状水质良好的断面、水体要防止发生退化，现状水质不达标的断面、水体要逐一制定达标方案，实施精准治理。开展流域水环境治理试点示范。保持长江干流重庆段水质总体优良。</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w:t>
                  </w:r>
                  <w:r>
                    <w:rPr>
                      <w:rFonts w:ascii="Times New Roman" w:hAnsi="Times New Roman" w:cs="Times New Roman" w:eastAsiaTheme="minorEastAsia"/>
                      <w:color w:val="auto"/>
                      <w:sz w:val="21"/>
                      <w:szCs w:val="21"/>
                      <w:lang w:eastAsia="zh-CN"/>
                    </w:rPr>
                    <w:t>位于</w:t>
                  </w:r>
                  <w:r>
                    <w:rPr>
                      <w:rFonts w:hint="eastAsia" w:ascii="Times New Roman" w:hAnsi="Times New Roman" w:cs="Times New Roman" w:eastAsiaTheme="minorEastAsia"/>
                      <w:color w:val="auto"/>
                      <w:sz w:val="21"/>
                      <w:szCs w:val="21"/>
                      <w:lang w:eastAsia="zh-CN"/>
                    </w:rPr>
                    <w:t>铜梁工业园区</w:t>
                  </w:r>
                  <w:r>
                    <w:rPr>
                      <w:rFonts w:ascii="Times New Roman" w:hAnsi="Times New Roman" w:cs="Times New Roman"/>
                      <w:color w:val="auto"/>
                      <w:sz w:val="21"/>
                      <w:szCs w:val="21"/>
                      <w:lang w:eastAsia="zh-CN"/>
                    </w:rPr>
                    <w:t>，</w:t>
                  </w:r>
                  <w:r>
                    <w:rPr>
                      <w:rFonts w:ascii="Times New Roman" w:hAnsi="Times New Roman" w:cs="Times New Roman" w:eastAsiaTheme="minorEastAsia"/>
                      <w:color w:val="auto"/>
                      <w:sz w:val="21"/>
                      <w:szCs w:val="21"/>
                    </w:rPr>
                    <w:t>市政管网和污水处理设施已完善；本项</w:t>
                  </w:r>
                  <w:r>
                    <w:rPr>
                      <w:rFonts w:hint="eastAsia" w:ascii="Times New Roman" w:hAnsi="Times New Roman" w:cs="Times New Roman" w:eastAsiaTheme="minorEastAsia"/>
                      <w:color w:val="auto"/>
                      <w:sz w:val="21"/>
                      <w:szCs w:val="21"/>
                      <w:lang w:eastAsia="zh-CN"/>
                    </w:rPr>
                    <w:t>废水排放量少</w:t>
                  </w:r>
                  <w:r>
                    <w:rPr>
                      <w:rFonts w:ascii="Times New Roman" w:hAnsi="Times New Roman" w:cs="Times New Roman" w:eastAsiaTheme="minorEastAsia"/>
                      <w:color w:val="auto"/>
                      <w:sz w:val="21"/>
                      <w:szCs w:val="21"/>
                      <w:lang w:val="en-US" w:eastAsia="zh-CN" w:bidi="en-US"/>
                    </w:rPr>
                    <w:t>，</w:t>
                  </w:r>
                  <w:r>
                    <w:rPr>
                      <w:rFonts w:hint="eastAsia" w:ascii="Times New Roman" w:hAnsi="Times New Roman" w:cs="Times New Roman" w:eastAsiaTheme="minorEastAsia"/>
                      <w:color w:val="auto"/>
                      <w:sz w:val="21"/>
                      <w:szCs w:val="21"/>
                      <w:lang w:eastAsia="zh-CN"/>
                    </w:rPr>
                    <w:t>废水经处理后</w:t>
                  </w:r>
                  <w:r>
                    <w:rPr>
                      <w:rFonts w:ascii="Times New Roman" w:hAnsi="Times New Roman" w:cs="Times New Roman" w:eastAsiaTheme="minorEastAsia"/>
                      <w:color w:val="auto"/>
                      <w:sz w:val="21"/>
                      <w:szCs w:val="21"/>
                    </w:rPr>
                    <w:t>进入</w:t>
                  </w:r>
                  <w:r>
                    <w:rPr>
                      <w:rFonts w:hint="eastAsia" w:ascii="Times New Roman" w:hAnsi="Times New Roman" w:cs="Times New Roman" w:eastAsiaTheme="minorEastAsia"/>
                      <w:color w:val="auto"/>
                      <w:sz w:val="21"/>
                      <w:szCs w:val="21"/>
                      <w:lang w:eastAsia="zh-CN"/>
                    </w:rPr>
                    <w:t>东城</w:t>
                  </w:r>
                  <w:r>
                    <w:rPr>
                      <w:rFonts w:ascii="Times New Roman" w:hAnsi="Times New Roman" w:cs="Times New Roman" w:eastAsiaTheme="minorEastAsia"/>
                      <w:color w:val="auto"/>
                      <w:sz w:val="21"/>
                      <w:szCs w:val="21"/>
                    </w:rPr>
                    <w:t>污水处理厂处理达标后排入</w:t>
                  </w:r>
                  <w:r>
                    <w:rPr>
                      <w:rFonts w:hint="eastAsia" w:ascii="Times New Roman" w:hAnsi="Times New Roman" w:cs="Times New Roman" w:eastAsiaTheme="minorEastAsia"/>
                      <w:color w:val="auto"/>
                      <w:sz w:val="21"/>
                      <w:szCs w:val="21"/>
                      <w:lang w:eastAsia="zh-CN"/>
                    </w:rPr>
                    <w:t>淮远河，</w:t>
                  </w:r>
                  <w:r>
                    <w:rPr>
                      <w:rFonts w:ascii="Times New Roman" w:hAnsi="Times New Roman" w:cs="Times New Roman" w:eastAsiaTheme="minorEastAsia"/>
                      <w:color w:val="auto"/>
                      <w:sz w:val="21"/>
                      <w:szCs w:val="21"/>
                    </w:rPr>
                    <w:t>对</w:t>
                  </w:r>
                  <w:r>
                    <w:rPr>
                      <w:rFonts w:hint="eastAsia" w:ascii="Times New Roman" w:hAnsi="Times New Roman" w:cs="Times New Roman" w:eastAsiaTheme="minorEastAsia"/>
                      <w:color w:val="auto"/>
                      <w:sz w:val="21"/>
                      <w:szCs w:val="21"/>
                      <w:lang w:eastAsia="zh-CN"/>
                    </w:rPr>
                    <w:t>淮远河</w:t>
                  </w:r>
                  <w:r>
                    <w:rPr>
                      <w:rFonts w:ascii="Times New Roman" w:hAnsi="Times New Roman" w:cs="Times New Roman" w:eastAsiaTheme="minorEastAsia"/>
                      <w:color w:val="auto"/>
                      <w:sz w:val="21"/>
                      <w:szCs w:val="21"/>
                    </w:rPr>
                    <w:t>水质影响小。</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重点水环境综合治理。推进生活污水集中处理设施新、改、扩建，补齐城镇污水收集管网短板，实施错接、漏接、老旧破损管网的更新修复，对进水生化需氧量浓度低于100mg/L的污水厂实施“一厂一策”改造。</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本项目所在园区市政管网和污水处理设施已完善</w:t>
                  </w:r>
                  <w:r>
                    <w:rPr>
                      <w:rFonts w:hint="eastAsia" w:ascii="Times New Roman" w:hAnsi="Times New Roman" w:cs="Times New Roman" w:eastAsiaTheme="minorEastAsia"/>
                      <w:color w:val="auto"/>
                      <w:sz w:val="21"/>
                      <w:szCs w:val="21"/>
                      <w:lang w:eastAsia="zh-CN"/>
                    </w:rPr>
                    <w:t>，废水可进入东城污水处理厂</w:t>
                  </w: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不涉及污水处理厂的改造</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修复水生态扩大水环境容量。强化水资源开发利用控制、用水效率控制、水功能区限制纳污“三条红线”，实施最严格的水资源管理制度，节约利用水资源。</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本项目用水量少，做到节约用水。</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严格保护饮用水水源地水质安全。加强城市集中式饮用水水源地信息化建设，进一步加大水源地保护区环境管理，保持水质100%达标。</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本项目位于</w:t>
                  </w:r>
                  <w:r>
                    <w:rPr>
                      <w:rFonts w:hint="eastAsia" w:ascii="Times New Roman" w:hAnsi="Times New Roman" w:cs="Times New Roman" w:eastAsiaTheme="minorEastAsia"/>
                      <w:color w:val="auto"/>
                      <w:sz w:val="21"/>
                      <w:szCs w:val="21"/>
                      <w:lang w:eastAsia="zh-CN"/>
                    </w:rPr>
                    <w:t>铜梁区东城街道</w:t>
                  </w:r>
                  <w:r>
                    <w:rPr>
                      <w:rFonts w:ascii="Times New Roman" w:hAnsi="Times New Roman" w:cs="Times New Roman" w:eastAsiaTheme="minorEastAsia"/>
                      <w:color w:val="auto"/>
                      <w:sz w:val="21"/>
                      <w:szCs w:val="21"/>
                    </w:rPr>
                    <w:t>，不涉及饮用水源地。</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pPr>
                    <w:pStyle w:val="51"/>
                    <w:adjustRightInd w:val="0"/>
                    <w:snapToGrid w:val="0"/>
                    <w:spacing w:after="0" w:line="240" w:lineRule="auto"/>
                    <w:ind w:firstLine="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提升大气环境质量</w:t>
                  </w: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加强火电、水泥、砖瓦、陶瓷、建材加工等行业废气无组织排放监管。严格落实VOCs（挥发性有机物）含量限值标准，大力推进低（无）VOCs原辅材料替代，将生产和使用高VOCs含量产品的企业列入强制性清洁生产审核名单。以工业涂装、包装印刷、家具制造、电子、石化、化工、油品储运销等行业为重点，强化VOCs无组织排放管控。推动适时把挥发性有机物纳入环境保护税征收范围。</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本项目不涉及制药、造纸、化工、燃煤锅炉，不属于钢铁、火电、水泥、砖瓦、陶瓷、建材加工等行业。项目产生的</w:t>
                  </w:r>
                  <w:r>
                    <w:rPr>
                      <w:rFonts w:hint="eastAsia" w:ascii="Times New Roman" w:hAnsi="Times New Roman" w:cs="Times New Roman" w:eastAsiaTheme="minorEastAsia"/>
                      <w:color w:val="auto"/>
                      <w:sz w:val="21"/>
                      <w:szCs w:val="21"/>
                      <w:lang w:eastAsia="zh-CN"/>
                    </w:rPr>
                    <w:t>挥发性有机物</w:t>
                  </w:r>
                  <w:r>
                    <w:rPr>
                      <w:rFonts w:ascii="Times New Roman" w:hAnsi="Times New Roman" w:cs="Times New Roman" w:eastAsiaTheme="minorEastAsia"/>
                      <w:color w:val="auto"/>
                      <w:sz w:val="21"/>
                      <w:szCs w:val="21"/>
                    </w:rPr>
                    <w:t>采用</w:t>
                  </w:r>
                  <w:r>
                    <w:rPr>
                      <w:rFonts w:ascii="Times New Roman" w:hAnsi="Times New Roman" w:cs="Times New Roman" w:eastAsiaTheme="minorEastAsia"/>
                      <w:color w:val="auto"/>
                      <w:sz w:val="21"/>
                      <w:szCs w:val="21"/>
                      <w:lang w:val="en-US"/>
                    </w:rPr>
                    <w:t>活性炭吸附</w:t>
                  </w:r>
                  <w:r>
                    <w:rPr>
                      <w:rFonts w:ascii="Times New Roman" w:hAnsi="Times New Roman" w:cs="Times New Roman" w:eastAsiaTheme="minorEastAsia"/>
                      <w:color w:val="auto"/>
                      <w:sz w:val="21"/>
                      <w:szCs w:val="21"/>
                      <w:lang w:eastAsia="zh-CN"/>
                    </w:rPr>
                    <w:t>处理，项目</w:t>
                  </w:r>
                  <w:r>
                    <w:rPr>
                      <w:rFonts w:hint="eastAsia" w:ascii="Times New Roman" w:hAnsi="Times New Roman" w:cs="Times New Roman" w:eastAsiaTheme="minorEastAsia"/>
                      <w:color w:val="auto"/>
                      <w:sz w:val="21"/>
                      <w:szCs w:val="21"/>
                      <w:lang w:eastAsia="zh-CN"/>
                    </w:rPr>
                    <w:t>采用胶粘剂为水性胶粘剂，</w:t>
                  </w:r>
                  <w:r>
                    <w:rPr>
                      <w:rFonts w:ascii="Times New Roman" w:hAnsi="Times New Roman" w:cs="Times New Roman" w:eastAsiaTheme="minorEastAsia"/>
                      <w:color w:val="auto"/>
                      <w:sz w:val="21"/>
                      <w:szCs w:val="21"/>
                      <w:lang w:eastAsia="zh-CN"/>
                    </w:rPr>
                    <w:t>属于</w:t>
                  </w:r>
                  <w:r>
                    <w:rPr>
                      <w:rFonts w:ascii="Times New Roman" w:hAnsi="Times New Roman" w:cs="Times New Roman" w:eastAsiaTheme="minorEastAsia"/>
                      <w:color w:val="auto"/>
                      <w:sz w:val="21"/>
                      <w:szCs w:val="21"/>
                    </w:rPr>
                    <w:t>VOCs</w:t>
                  </w:r>
                  <w:r>
                    <w:rPr>
                      <w:rFonts w:ascii="Times New Roman" w:hAnsi="Times New Roman" w:cs="Times New Roman" w:eastAsiaTheme="minorEastAsia"/>
                      <w:color w:val="auto"/>
                      <w:sz w:val="21"/>
                      <w:szCs w:val="21"/>
                      <w:lang w:eastAsia="zh-CN"/>
                    </w:rPr>
                    <w:t>低</w:t>
                  </w:r>
                  <w:r>
                    <w:rPr>
                      <w:rFonts w:ascii="Times New Roman" w:hAnsi="Times New Roman" w:cs="Times New Roman" w:eastAsiaTheme="minorEastAsia"/>
                      <w:color w:val="auto"/>
                      <w:sz w:val="21"/>
                      <w:szCs w:val="21"/>
                    </w:rPr>
                    <w:t>原辅材料</w:t>
                  </w:r>
                  <w:r>
                    <w:rPr>
                      <w:rFonts w:ascii="Times New Roman" w:hAnsi="Times New Roman" w:cs="Times New Roman" w:eastAsiaTheme="minorEastAsia"/>
                      <w:color w:val="auto"/>
                      <w:sz w:val="21"/>
                      <w:szCs w:val="21"/>
                      <w:lang w:eastAsia="zh-CN"/>
                    </w:rPr>
                    <w:t>。</w:t>
                  </w:r>
                  <w:r>
                    <w:rPr>
                      <w:rFonts w:ascii="Times New Roman" w:hAnsi="Times New Roman" w:cs="Times New Roman" w:eastAsiaTheme="minorEastAsia"/>
                      <w:color w:val="auto"/>
                      <w:sz w:val="21"/>
                      <w:szCs w:val="21"/>
                    </w:rPr>
                    <w:t>废气采取集中收集处理后有组织排放</w:t>
                  </w:r>
                  <w:r>
                    <w:rPr>
                      <w:rFonts w:ascii="Times New Roman" w:hAnsi="Times New Roman" w:cs="Times New Roman" w:eastAsiaTheme="minorEastAsia"/>
                      <w:color w:val="auto"/>
                      <w:sz w:val="21"/>
                      <w:szCs w:val="21"/>
                      <w:lang w:eastAsia="zh-CN"/>
                    </w:rPr>
                    <w:t>。</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以绿色示范创建和智能监管为重点深化扬尘污染控制。出台并实施建筑施工现场扬尘控制管理标准，持续推行“红黄绿”名单分级管控制度，建设扬尘控制示范工地。开展建筑施工扬尘排放标准和控尘技术规范研究。提高城市道路机械化清扫率，持续开展道路冲洗、洒水，完善质量标准考评，建设扬尘控制示范道路。严格落实“定车辆、定线路、定渣场”要求，加大渣土密闭运输联合执法监管力度。加强企业堆煤、堆料、建筑渣土消纳场和混凝土搅拌站粉尘排放监管。加强城市裸露地块和坡坎崖整治</w:t>
                  </w:r>
                  <w:r>
                    <w:rPr>
                      <w:rFonts w:hint="eastAsia" w:ascii="Times New Roman" w:hAnsi="Times New Roman" w:cs="Times New Roman" w:eastAsiaTheme="minorEastAsia"/>
                      <w:color w:val="auto"/>
                      <w:sz w:val="21"/>
                      <w:szCs w:val="21"/>
                      <w:lang w:eastAsia="zh-CN"/>
                    </w:rPr>
                    <w:t>。</w:t>
                  </w:r>
                </w:p>
              </w:tc>
              <w:tc>
                <w:tcPr>
                  <w:tcW w:w="1508" w:type="pct"/>
                  <w:tcBorders>
                    <w:tl2br w:val="nil"/>
                    <w:tr2bl w:val="nil"/>
                  </w:tcBorders>
                  <w:shd w:val="clear" w:color="auto" w:fill="auto"/>
                  <w:vAlign w:val="center"/>
                </w:tcPr>
                <w:p>
                  <w:pPr>
                    <w:adjustRightInd w:val="0"/>
                    <w:snapToGrid w:val="0"/>
                    <w:ind w:firstLine="420" w:firstLineChars="200"/>
                    <w:rPr>
                      <w:rFonts w:eastAsiaTheme="minorEastAsia"/>
                      <w:color w:val="auto"/>
                      <w:szCs w:val="21"/>
                    </w:rPr>
                  </w:pPr>
                  <w:r>
                    <w:rPr>
                      <w:rFonts w:hint="eastAsia" w:eastAsiaTheme="minorEastAsia"/>
                      <w:color w:val="auto"/>
                      <w:szCs w:val="21"/>
                    </w:rPr>
                    <w:t>本项目利用现有生产厂房进行扩建，无土建工程，施工期仅需对生产设备进行布置、安装、调试，不产生施工扬尘、施工废水、建筑垃圾。</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以餐饮油烟综合整治和露天焚烧管控为重点深化生活污染控制。</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不涉及餐饮油烟、露天焚烧。</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精细管控和联防联控为抓手减少污染天气。根据“一区两群”空气质量本底特征建立环境空气质量分类管理体系，已达到现行标准的区县进一步改善大气环境质量，未达标区县分阶段逐步达标，推动“一区一策”精细管控。</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本项目位于环境空气质量</w:t>
                  </w:r>
                  <w:r>
                    <w:rPr>
                      <w:rFonts w:ascii="Times New Roman" w:hAnsi="Times New Roman" w:cs="Times New Roman" w:eastAsiaTheme="minorEastAsia"/>
                      <w:color w:val="auto"/>
                      <w:sz w:val="21"/>
                      <w:szCs w:val="21"/>
                    </w:rPr>
                    <w:t>达标区。</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pPr>
                    <w:pStyle w:val="51"/>
                    <w:adjustRightInd w:val="0"/>
                    <w:snapToGrid w:val="0"/>
                    <w:spacing w:after="0" w:line="240" w:lineRule="auto"/>
                    <w:ind w:firstLine="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协同防治土壤和地下水污染</w:t>
                  </w: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安全利用受污染耕地。根据农用地土壤环境质量监测结果，对耕地土壤环境质量类别单元进行动态调整。</w:t>
                  </w:r>
                </w:p>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严格建设用地土壤污染风险管控和修复。落实重点监管单位自行监测、隐患排查、有毒有害物质排放报告制度，防止新增土壤污染。开展城镇人口密集区危险化学品生产企业搬迁改造</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val="en-US"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采取了</w:t>
                  </w:r>
                  <w:r>
                    <w:rPr>
                      <w:rFonts w:hint="eastAsia" w:ascii="Times New Roman" w:hAnsi="Times New Roman" w:cs="Times New Roman" w:eastAsiaTheme="minorEastAsia"/>
                      <w:color w:val="auto"/>
                      <w:sz w:val="21"/>
                      <w:szCs w:val="21"/>
                      <w:highlight w:val="none"/>
                      <w:lang w:eastAsia="zh-CN"/>
                    </w:rPr>
                    <w:t>土壤</w:t>
                  </w:r>
                  <w:r>
                    <w:rPr>
                      <w:rFonts w:hint="eastAsia" w:ascii="Times New Roman" w:hAnsi="Times New Roman" w:cs="Times New Roman" w:eastAsiaTheme="minorEastAsia"/>
                      <w:color w:val="auto"/>
                      <w:sz w:val="21"/>
                      <w:szCs w:val="21"/>
                      <w:lang w:eastAsia="zh-CN"/>
                    </w:rPr>
                    <w:t>污染防范管控措施，能有效防止土壤污染；本项目不属于危险化学品生产企业</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eastAsia="zh-CN"/>
                    </w:rPr>
                    <w:t>污</w:t>
                  </w:r>
                  <w:r>
                    <w:rPr>
                      <w:rFonts w:ascii="Times New Roman" w:hAnsi="Times New Roman" w:cs="Times New Roman" w:eastAsiaTheme="minorEastAsia"/>
                      <w:color w:val="auto"/>
                      <w:sz w:val="21"/>
                      <w:szCs w:val="21"/>
                    </w:rPr>
                    <w:t>染整治腾退地块专项排查行动，建立高风险地块清单，健全建设用地再开发利用联合监管体系，完善污染地块再开发利用负面清单，分类型、分阶段开展污染地块风险管控和修复。到2025年，确保重点建设用地安全利用。</w:t>
                  </w:r>
                </w:p>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实施重点区域土壤污染综合防控。选择典型行业和企业，开展企业用地及周边农用地土壤污染状况调查，掌握典型行业企业生产经营活动对企业用地及周边农用地土壤生态环境的影响。</w:t>
                  </w:r>
                </w:p>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建立地下水环境管理体系。以化工园区、页岩气开采区、危险废物处置场、垃圾填埋场等为重点，开展防渗情况检测评估，统筹推进地下水安全源头预防和风险管控。</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eastAsia="zh-CN"/>
                    </w:rPr>
                    <w:t>本项目不涉及重点建设用地安全利用；不涉及土壤污染状况调查；不涉及建立地下水环境管理体系；不涉及防渗情况检测评估</w:t>
                  </w:r>
                  <w:r>
                    <w:rPr>
                      <w:rFonts w:ascii="Times New Roman" w:hAnsi="Times New Roman" w:cs="Times New Roman" w:eastAsiaTheme="minorEastAsia"/>
                      <w:color w:val="auto"/>
                      <w:sz w:val="21"/>
                      <w:szCs w:val="21"/>
                    </w:rPr>
                    <w:t>。</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pPr>
                    <w:pStyle w:val="51"/>
                    <w:adjustRightInd w:val="0"/>
                    <w:snapToGrid w:val="0"/>
                    <w:spacing w:after="0" w:line="240" w:lineRule="auto"/>
                    <w:ind w:firstLine="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管控噪声环境影响</w:t>
                  </w:r>
                </w:p>
              </w:tc>
              <w:tc>
                <w:tcPr>
                  <w:tcW w:w="2694" w:type="pct"/>
                  <w:tcBorders>
                    <w:tl2br w:val="nil"/>
                    <w:tr2bl w:val="nil"/>
                  </w:tcBorders>
                  <w:shd w:val="clear" w:color="auto" w:fill="auto"/>
                  <w:vAlign w:val="center"/>
                </w:tcPr>
                <w:p>
                  <w:pPr>
                    <w:pStyle w:val="51"/>
                    <w:adjustRightInd w:val="0"/>
                    <w:snapToGrid w:val="0"/>
                    <w:spacing w:after="0" w:line="24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严格管控交通噪声影响。实施交通噪声智能管控工程，加快布局重点交通干线、重要声环境敏感区域噪声智能监控点，完成大数据采集，制定实施管控方案。</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本项目不</w:t>
                  </w:r>
                  <w:r>
                    <w:rPr>
                      <w:rFonts w:hint="eastAsia" w:ascii="Times New Roman" w:hAnsi="Times New Roman" w:cs="Times New Roman" w:eastAsiaTheme="minorEastAsia"/>
                      <w:color w:val="auto"/>
                      <w:sz w:val="21"/>
                      <w:szCs w:val="21"/>
                      <w:lang w:eastAsia="zh-CN"/>
                    </w:rPr>
                    <w:t>涉及交通噪声智能控制工程</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建筑施工噪声监管。完善城市夜间作业审核管理，落实城市建筑施工环保公告制度，依法严格限定施工作业时间，严格限制在敏感区内进行产生噪声污染的夜间施工作业。进一步加大对违法夜间施工行为的巡查和行政处罚力度。推进噪声自动监测系统对建筑施工进行实时监督，鼓励使用低噪声施工设备和工艺，对施工强噪声单元实行全封闭管理。</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不属于敏感区，</w:t>
                  </w:r>
                  <w:r>
                    <w:rPr>
                      <w:rFonts w:ascii="Times New Roman" w:hAnsi="Times New Roman" w:cs="Times New Roman" w:eastAsiaTheme="minorEastAsia"/>
                      <w:color w:val="auto"/>
                      <w:sz w:val="21"/>
                      <w:szCs w:val="21"/>
                    </w:rPr>
                    <w:t>周边</w:t>
                  </w:r>
                  <w:r>
                    <w:rPr>
                      <w:rFonts w:hint="eastAsia" w:ascii="Times New Roman" w:hAnsi="Times New Roman" w:cs="Times New Roman" w:eastAsiaTheme="minorEastAsia"/>
                      <w:color w:val="auto"/>
                      <w:sz w:val="21"/>
                      <w:szCs w:val="21"/>
                      <w:lang w:val="en-US" w:eastAsia="zh-CN"/>
                    </w:rPr>
                    <w:t>50m范围内</w:t>
                  </w:r>
                  <w:r>
                    <w:rPr>
                      <w:rFonts w:ascii="Times New Roman" w:hAnsi="Times New Roman" w:cs="Times New Roman" w:eastAsiaTheme="minorEastAsia"/>
                      <w:color w:val="auto"/>
                      <w:sz w:val="21"/>
                      <w:szCs w:val="21"/>
                    </w:rPr>
                    <w:t>无声环境敏感目标</w:t>
                  </w:r>
                  <w:r>
                    <w:rPr>
                      <w:rFonts w:hint="eastAsia" w:ascii="Times New Roman" w:hAnsi="Times New Roman" w:cs="Times New Roman" w:eastAsiaTheme="minorEastAsia"/>
                      <w:color w:val="auto"/>
                      <w:sz w:val="21"/>
                      <w:szCs w:val="21"/>
                      <w:lang w:eastAsia="zh-CN"/>
                    </w:rPr>
                    <w:t>，项目施工期</w:t>
                  </w:r>
                  <w:r>
                    <w:rPr>
                      <w:rFonts w:ascii="Times New Roman" w:hAnsi="Times New Roman" w:cs="Times New Roman" w:eastAsiaTheme="minorEastAsia"/>
                      <w:color w:val="auto"/>
                      <w:sz w:val="21"/>
                      <w:szCs w:val="21"/>
                    </w:rPr>
                    <w:t>夜间不施工</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强化工业企业噪声监管。关停、搬迁、治理城市建成区内的噪声污染严重企业，基本消除城区工业噪声扰民污染源。加强工业园区噪声污染防治，禁止在1类声环境功能区、严格限制在2类声环境功能区审批产生噪声污染的工业项目环评。严肃查处工业企业噪声排放超标扰民行为。</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位于</w:t>
                  </w:r>
                  <w:r>
                    <w:rPr>
                      <w:rFonts w:hint="eastAsia" w:ascii="Times New Roman" w:hAnsi="Times New Roman" w:cs="Times New Roman" w:eastAsiaTheme="minorEastAsia"/>
                      <w:color w:val="auto"/>
                      <w:sz w:val="21"/>
                      <w:szCs w:val="21"/>
                      <w:lang w:val="en-US" w:eastAsia="zh-CN"/>
                    </w:rPr>
                    <w:t>3类声环境功能区</w:t>
                  </w:r>
                  <w:r>
                    <w:rPr>
                      <w:rFonts w:ascii="Times New Roman" w:hAnsi="Times New Roman" w:cs="Times New Roman" w:eastAsiaTheme="minorEastAsia"/>
                      <w:color w:val="auto"/>
                      <w:sz w:val="21"/>
                      <w:szCs w:val="21"/>
                    </w:rPr>
                    <w:t>，</w:t>
                  </w:r>
                  <w:r>
                    <w:rPr>
                      <w:rFonts w:hint="eastAsia" w:ascii="Times New Roman" w:hAnsi="Times New Roman" w:cs="Times New Roman" w:eastAsiaTheme="minorEastAsia"/>
                      <w:color w:val="auto"/>
                      <w:sz w:val="21"/>
                      <w:szCs w:val="21"/>
                      <w:lang w:eastAsia="zh-CN"/>
                    </w:rPr>
                    <w:t>周边</w:t>
                  </w:r>
                  <w:r>
                    <w:rPr>
                      <w:rFonts w:hint="eastAsia" w:ascii="Times New Roman" w:hAnsi="Times New Roman" w:cs="Times New Roman" w:eastAsiaTheme="minorEastAsia"/>
                      <w:color w:val="auto"/>
                      <w:sz w:val="21"/>
                      <w:szCs w:val="21"/>
                      <w:lang w:val="en-US" w:eastAsia="zh-CN"/>
                    </w:rPr>
                    <w:t>50m范围内</w:t>
                  </w:r>
                  <w:r>
                    <w:rPr>
                      <w:rFonts w:ascii="Times New Roman" w:hAnsi="Times New Roman" w:cs="Times New Roman" w:eastAsiaTheme="minorEastAsia"/>
                      <w:color w:val="auto"/>
                      <w:sz w:val="21"/>
                      <w:szCs w:val="21"/>
                    </w:rPr>
                    <w:t>无声环境</w:t>
                  </w:r>
                  <w:r>
                    <w:rPr>
                      <w:rFonts w:hint="eastAsia" w:ascii="Times New Roman" w:hAnsi="Times New Roman" w:cs="Times New Roman" w:eastAsiaTheme="minorEastAsia"/>
                      <w:color w:val="auto"/>
                      <w:sz w:val="21"/>
                      <w:szCs w:val="21"/>
                      <w:lang w:eastAsia="zh-CN"/>
                    </w:rPr>
                    <w:t>保护</w:t>
                  </w:r>
                  <w:r>
                    <w:rPr>
                      <w:rFonts w:ascii="Times New Roman" w:hAnsi="Times New Roman" w:cs="Times New Roman" w:eastAsiaTheme="minorEastAsia"/>
                      <w:color w:val="auto"/>
                      <w:sz w:val="21"/>
                      <w:szCs w:val="21"/>
                    </w:rPr>
                    <w:t>目标；</w:t>
                  </w:r>
                  <w:r>
                    <w:rPr>
                      <w:rFonts w:hint="eastAsia" w:ascii="Times New Roman" w:hAnsi="Times New Roman" w:cs="Times New Roman" w:eastAsiaTheme="minorEastAsia"/>
                      <w:color w:val="auto"/>
                      <w:sz w:val="21"/>
                      <w:szCs w:val="21"/>
                      <w:lang w:eastAsia="zh-CN"/>
                    </w:rPr>
                    <w:t>项目设备噪声</w:t>
                  </w:r>
                  <w:r>
                    <w:rPr>
                      <w:rFonts w:ascii="Times New Roman" w:hAnsi="Times New Roman" w:cs="Times New Roman" w:eastAsiaTheme="minorEastAsia"/>
                      <w:color w:val="auto"/>
                      <w:sz w:val="21"/>
                      <w:szCs w:val="21"/>
                    </w:rPr>
                    <w:t>采取基础减振、建筑隔声后，厂界噪声能达标排放</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pPr>
                    <w:pStyle w:val="51"/>
                    <w:adjustRightInd w:val="0"/>
                    <w:snapToGrid w:val="0"/>
                    <w:spacing w:after="0" w:line="240" w:lineRule="auto"/>
                    <w:jc w:val="center"/>
                    <w:rPr>
                      <w:rFonts w:ascii="Times New Roman" w:hAnsi="Times New Roman" w:cs="Times New Roman" w:eastAsiaTheme="minorEastAsia"/>
                      <w:color w:val="auto"/>
                      <w:sz w:val="21"/>
                      <w:szCs w:val="21"/>
                    </w:rPr>
                  </w:pPr>
                </w:p>
              </w:tc>
              <w:tc>
                <w:tcPr>
                  <w:tcW w:w="2694"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严格管控生活噪声影响。实施城市声环境功能区划管理，完善声功能区监测网，修订“安静居住小区”创建标准，巩固和深化“安静居住小区”创建成果。</w:t>
                  </w:r>
                </w:p>
              </w:tc>
              <w:tc>
                <w:tcPr>
                  <w:tcW w:w="1508" w:type="pct"/>
                  <w:tcBorders>
                    <w:tl2br w:val="nil"/>
                    <w:tr2bl w:val="nil"/>
                  </w:tcBorders>
                  <w:shd w:val="clear" w:color="auto" w:fill="auto"/>
                  <w:vAlign w:val="center"/>
                </w:tcPr>
                <w:p>
                  <w:pPr>
                    <w:pStyle w:val="51"/>
                    <w:adjustRightInd w:val="0"/>
                    <w:snapToGrid w:val="0"/>
                    <w:spacing w:after="0" w:line="240" w:lineRule="auto"/>
                    <w:ind w:firstLine="420" w:firstLineChars="200"/>
                    <w:jc w:val="both"/>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不涉及生活噪声</w:t>
                  </w:r>
                </w:p>
              </w:tc>
              <w:tc>
                <w:tcPr>
                  <w:tcW w:w="392" w:type="pct"/>
                  <w:tcBorders>
                    <w:tl2br w:val="nil"/>
                    <w:tr2bl w:val="nil"/>
                  </w:tcBorders>
                  <w:shd w:val="clear" w:color="auto" w:fill="auto"/>
                  <w:vAlign w:val="center"/>
                </w:tcPr>
                <w:p>
                  <w:pPr>
                    <w:pStyle w:val="51"/>
                    <w:adjustRightInd w:val="0"/>
                    <w:snapToGrid w:val="0"/>
                    <w:spacing w:after="0" w:line="240" w:lineRule="auto"/>
                    <w:ind w:firstLine="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bl>
          <w:p>
            <w:pPr>
              <w:spacing w:line="360" w:lineRule="auto"/>
              <w:ind w:firstLine="482"/>
              <w:rPr>
                <w:b/>
                <w:bCs/>
                <w:color w:val="auto"/>
                <w:sz w:val="24"/>
              </w:rPr>
            </w:pPr>
            <w:r>
              <w:rPr>
                <w:rFonts w:eastAsiaTheme="minorEastAsia"/>
                <w:color w:val="auto"/>
                <w:sz w:val="24"/>
                <w:lang w:bidi="zh-TW"/>
              </w:rPr>
              <w:t>综上分析，项目符合《重庆市生态环境保护“十四五</w:t>
            </w:r>
            <w:r>
              <w:rPr>
                <w:rFonts w:eastAsiaTheme="minorEastAsia"/>
                <w:color w:val="auto"/>
                <w:sz w:val="24"/>
                <w:lang w:bidi="zh-CN"/>
              </w:rPr>
              <w:t>”规划</w:t>
            </w:r>
            <w:r>
              <w:rPr>
                <w:rFonts w:eastAsiaTheme="minorEastAsia"/>
                <w:color w:val="auto"/>
                <w:sz w:val="24"/>
                <w:lang w:bidi="zh-TW"/>
              </w:rPr>
              <w:t>（2021</w:t>
            </w:r>
            <w:r>
              <w:rPr>
                <w:rFonts w:eastAsiaTheme="minorEastAsia"/>
                <w:color w:val="auto"/>
                <w:sz w:val="24"/>
                <w:lang w:bidi="en-US"/>
              </w:rPr>
              <w:t>—2025</w:t>
            </w:r>
            <w:r>
              <w:rPr>
                <w:rFonts w:eastAsiaTheme="minorEastAsia"/>
                <w:color w:val="auto"/>
                <w:sz w:val="24"/>
                <w:lang w:bidi="zh-TW"/>
              </w:rPr>
              <w:t>年）》相关要求。</w:t>
            </w:r>
          </w:p>
          <w:p>
            <w:pPr>
              <w:adjustRightInd w:val="0"/>
              <w:snapToGrid w:val="0"/>
              <w:spacing w:line="360" w:lineRule="auto"/>
              <w:rPr>
                <w:b/>
                <w:bCs/>
                <w:color w:val="auto"/>
                <w:sz w:val="24"/>
              </w:rPr>
            </w:pPr>
            <w:r>
              <w:rPr>
                <w:rFonts w:hint="eastAsia"/>
                <w:b/>
                <w:bCs/>
                <w:color w:val="auto"/>
                <w:sz w:val="24"/>
              </w:rPr>
              <w:t>6.</w:t>
            </w:r>
            <w:r>
              <w:rPr>
                <w:b/>
                <w:bCs/>
                <w:color w:val="auto"/>
                <w:sz w:val="24"/>
              </w:rPr>
              <w:t>与《2020年挥发性有机物治理攻坚方案》（环大气[2020]33号）的符合性分析</w:t>
            </w:r>
          </w:p>
          <w:p>
            <w:pPr>
              <w:pStyle w:val="45"/>
              <w:snapToGrid w:val="0"/>
              <w:spacing w:line="360" w:lineRule="auto"/>
              <w:ind w:firstLine="0"/>
              <w:jc w:val="center"/>
              <w:rPr>
                <w:rFonts w:eastAsia="宋体" w:cs="Times New Roman"/>
                <w:color w:val="auto"/>
              </w:rPr>
            </w:pPr>
            <w:r>
              <w:rPr>
                <w:rFonts w:eastAsia="宋体" w:cs="Times New Roman"/>
                <w:color w:val="auto"/>
                <w:sz w:val="21"/>
                <w:szCs w:val="21"/>
              </w:rPr>
              <w:t>表1</w:t>
            </w:r>
            <w:r>
              <w:rPr>
                <w:rFonts w:hint="eastAsia" w:eastAsia="宋体" w:cs="Times New Roman"/>
                <w:color w:val="auto"/>
                <w:sz w:val="21"/>
                <w:szCs w:val="21"/>
              </w:rPr>
              <w:t>.6</w:t>
            </w:r>
            <w:r>
              <w:rPr>
                <w:rFonts w:eastAsia="宋体" w:cs="Times New Roman"/>
                <w:color w:val="auto"/>
                <w:sz w:val="21"/>
                <w:szCs w:val="21"/>
              </w:rPr>
              <w:t xml:space="preserve"> 与《2020年挥发性有机物治理攻坚方案》的符合性分析</w:t>
            </w:r>
          </w:p>
          <w:tbl>
            <w:tblPr>
              <w:tblStyle w:val="22"/>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5542"/>
              <w:gridCol w:w="1519"/>
              <w:gridCol w:w="729"/>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557" w:type="pct"/>
                  <w:tcBorders>
                    <w:tl2br w:val="nil"/>
                    <w:tr2bl w:val="nil"/>
                  </w:tcBorders>
                  <w:vAlign w:val="center"/>
                </w:tcPr>
                <w:p>
                  <w:pPr>
                    <w:spacing w:line="320" w:lineRule="exact"/>
                    <w:jc w:val="center"/>
                    <w:rPr>
                      <w:color w:val="auto"/>
                      <w:szCs w:val="21"/>
                    </w:rPr>
                  </w:pPr>
                  <w:r>
                    <w:rPr>
                      <w:color w:val="auto"/>
                      <w:szCs w:val="21"/>
                    </w:rPr>
                    <w:t>与项目相关要求</w:t>
                  </w:r>
                </w:p>
              </w:tc>
              <w:tc>
                <w:tcPr>
                  <w:tcW w:w="975" w:type="pct"/>
                  <w:tcBorders>
                    <w:tl2br w:val="nil"/>
                    <w:tr2bl w:val="nil"/>
                  </w:tcBorders>
                  <w:vAlign w:val="center"/>
                </w:tcPr>
                <w:p>
                  <w:pPr>
                    <w:spacing w:line="320" w:lineRule="exact"/>
                    <w:jc w:val="center"/>
                    <w:rPr>
                      <w:color w:val="auto"/>
                      <w:szCs w:val="21"/>
                    </w:rPr>
                  </w:pPr>
                  <w:r>
                    <w:rPr>
                      <w:color w:val="auto"/>
                      <w:szCs w:val="21"/>
                    </w:rPr>
                    <w:t>本项目情况</w:t>
                  </w:r>
                </w:p>
              </w:tc>
              <w:tc>
                <w:tcPr>
                  <w:tcW w:w="468" w:type="pct"/>
                  <w:tcBorders>
                    <w:tl2br w:val="nil"/>
                    <w:tr2bl w:val="nil"/>
                  </w:tcBorders>
                  <w:vAlign w:val="center"/>
                </w:tcPr>
                <w:p>
                  <w:pPr>
                    <w:spacing w:line="320" w:lineRule="exact"/>
                    <w:jc w:val="center"/>
                    <w:rPr>
                      <w:color w:val="auto"/>
                      <w:szCs w:val="21"/>
                    </w:rPr>
                  </w:pPr>
                  <w:r>
                    <w:rPr>
                      <w:color w:val="auto"/>
                      <w:szCs w:val="21"/>
                    </w:rPr>
                    <w:t>符合性</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557" w:type="pct"/>
                  <w:tcBorders>
                    <w:tl2br w:val="nil"/>
                    <w:tr2bl w:val="nil"/>
                  </w:tcBorders>
                  <w:vAlign w:val="center"/>
                </w:tcPr>
                <w:p>
                  <w:pPr>
                    <w:spacing w:line="320" w:lineRule="exact"/>
                    <w:rPr>
                      <w:color w:val="auto"/>
                      <w:szCs w:val="21"/>
                    </w:rPr>
                  </w:pPr>
                  <w:r>
                    <w:rPr>
                      <w:color w:val="auto"/>
                      <w:szCs w:val="21"/>
                    </w:rPr>
                    <w:t>大力推进低（无）VOCs含量原辅材料替代。将全面使用符合国家要求的低VOCs含量原辅材料的企业纳入正面清单和政府绿色采购清单。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推进政府绿色采购，要求家具、印刷等政府定点招标采购企业优先使用低挥发性原辅材料，鼓励汽车维修等政府定点招标采购企业使用低挥发性原辅材料；将低VOCs含量产品纳入政府采购名录，并在政府投资项目中优先使用；引导将使用低VOCs含量涂料、胶粘剂等纳入政府采购装修合同环保条款。</w:t>
                  </w:r>
                </w:p>
              </w:tc>
              <w:tc>
                <w:tcPr>
                  <w:tcW w:w="975" w:type="pct"/>
                  <w:tcBorders>
                    <w:tl2br w:val="nil"/>
                    <w:tr2bl w:val="nil"/>
                  </w:tcBorders>
                  <w:vAlign w:val="center"/>
                </w:tcPr>
                <w:p>
                  <w:pPr>
                    <w:spacing w:line="320" w:lineRule="exact"/>
                    <w:rPr>
                      <w:color w:val="auto"/>
                      <w:szCs w:val="21"/>
                    </w:rPr>
                  </w:pPr>
                  <w:r>
                    <w:rPr>
                      <w:rFonts w:hint="eastAsia"/>
                      <w:color w:val="auto"/>
                    </w:rPr>
                    <w:t>本项目使用的胶粘剂为水性胶粘剂，属于</w:t>
                  </w:r>
                  <w:r>
                    <w:rPr>
                      <w:color w:val="auto"/>
                      <w:szCs w:val="21"/>
                    </w:rPr>
                    <w:t>VOCs含量</w:t>
                  </w:r>
                  <w:r>
                    <w:rPr>
                      <w:rFonts w:hint="eastAsia"/>
                      <w:color w:val="auto"/>
                    </w:rPr>
                    <w:t>低的</w:t>
                  </w:r>
                  <w:r>
                    <w:rPr>
                      <w:color w:val="auto"/>
                      <w:szCs w:val="21"/>
                    </w:rPr>
                    <w:t>原辅材料</w:t>
                  </w:r>
                  <w:r>
                    <w:rPr>
                      <w:rFonts w:hint="eastAsia"/>
                      <w:color w:val="auto"/>
                    </w:rPr>
                    <w:t>，其</w:t>
                  </w:r>
                  <w:r>
                    <w:rPr>
                      <w:color w:val="auto"/>
                      <w:szCs w:val="21"/>
                    </w:rPr>
                    <w:t>VOCs原</w:t>
                  </w:r>
                  <w:r>
                    <w:rPr>
                      <w:rFonts w:hint="eastAsia"/>
                      <w:color w:val="auto"/>
                      <w:szCs w:val="21"/>
                    </w:rPr>
                    <w:t>料情况建</w:t>
                  </w:r>
                  <w:r>
                    <w:rPr>
                      <w:rFonts w:hint="eastAsia"/>
                      <w:color w:val="auto"/>
                      <w:szCs w:val="21"/>
                      <w:highlight w:val="none"/>
                    </w:rPr>
                    <w:t>立了台账；</w:t>
                  </w:r>
                  <w:r>
                    <w:rPr>
                      <w:rFonts w:hint="eastAsia"/>
                      <w:color w:val="auto"/>
                      <w:highlight w:val="none"/>
                    </w:rPr>
                    <w:t>挥发性有机物</w:t>
                  </w:r>
                  <w:r>
                    <w:rPr>
                      <w:color w:val="auto"/>
                      <w:highlight w:val="none"/>
                    </w:rPr>
                    <w:t>集中收集后采取“</w:t>
                  </w:r>
                  <w:r>
                    <w:rPr>
                      <w:rFonts w:hint="eastAsia"/>
                      <w:color w:val="auto"/>
                      <w:highlight w:val="none"/>
                      <w:lang w:val="en-US" w:eastAsia="zh-CN"/>
                    </w:rPr>
                    <w:t>UV光解+二级</w:t>
                  </w:r>
                  <w:r>
                    <w:rPr>
                      <w:rFonts w:hint="eastAsia"/>
                      <w:color w:val="auto"/>
                      <w:highlight w:val="none"/>
                    </w:rPr>
                    <w:t>活性炭吸附</w:t>
                  </w:r>
                  <w:r>
                    <w:rPr>
                      <w:color w:val="auto"/>
                      <w:highlight w:val="none"/>
                    </w:rPr>
                    <w:t>”处理</w:t>
                  </w:r>
                  <w:r>
                    <w:rPr>
                      <w:rFonts w:hint="eastAsia"/>
                      <w:color w:val="auto"/>
                      <w:highlight w:val="none"/>
                    </w:rPr>
                    <w:t>工艺。</w:t>
                  </w:r>
                </w:p>
              </w:tc>
              <w:tc>
                <w:tcPr>
                  <w:tcW w:w="468" w:type="pct"/>
                  <w:tcBorders>
                    <w:tl2br w:val="nil"/>
                    <w:tr2bl w:val="nil"/>
                  </w:tcBorders>
                  <w:vAlign w:val="center"/>
                </w:tcPr>
                <w:p>
                  <w:pPr>
                    <w:spacing w:line="320" w:lineRule="exact"/>
                    <w:jc w:val="center"/>
                    <w:rPr>
                      <w:color w:val="auto"/>
                      <w:szCs w:val="21"/>
                    </w:rPr>
                  </w:pPr>
                  <w:r>
                    <w:rPr>
                      <w:color w:val="auto"/>
                      <w:szCs w:val="21"/>
                    </w:rPr>
                    <w:t>符合</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557" w:type="pct"/>
                  <w:tcBorders>
                    <w:tl2br w:val="nil"/>
                    <w:tr2bl w:val="nil"/>
                  </w:tcBorders>
                  <w:vAlign w:val="center"/>
                </w:tcPr>
                <w:p>
                  <w:pPr>
                    <w:spacing w:line="320" w:lineRule="exact"/>
                    <w:rPr>
                      <w:color w:val="auto"/>
                      <w:szCs w:val="21"/>
                    </w:rPr>
                  </w:pPr>
                  <w:r>
                    <w:rPr>
                      <w:color w:val="auto"/>
                      <w:szCs w:val="21"/>
                    </w:rPr>
                    <w:t>2020年7月1日起，全面执行《挥发性有机物无组织排放控制标准》，重点区域应落实无组织排放特别控制要求。各地要加大标准生效时间、涉及行业及控制要求等宣贯力度，通过现场指导、组织培训、新媒体信息推送、发放明白纸等多种方式，督促指导企业对照标准要求开展含VOCs物料（包括含VOCs原辅材料、含VOCs产品、含VOCs废料以及有机聚合物材料等）储存、转移和输送、设备与管线组件泄漏、敞开液面逸散以及工艺过程等无组织排放环节排查整治，对达不到要求的加快整改。指导企业制定VOCs无组织排放控制规程，细化到具体工序和生产环节，以及启停机、检维修作业等，落实到具体责任人；健全内部考核制度，严格按照操作规程生产。</w:t>
                  </w:r>
                </w:p>
              </w:tc>
              <w:tc>
                <w:tcPr>
                  <w:tcW w:w="975" w:type="pct"/>
                  <w:tcBorders>
                    <w:tl2br w:val="nil"/>
                    <w:tr2bl w:val="nil"/>
                  </w:tcBorders>
                  <w:vAlign w:val="center"/>
                </w:tcPr>
                <w:p>
                  <w:pPr>
                    <w:spacing w:line="320" w:lineRule="exact"/>
                    <w:jc w:val="center"/>
                    <w:rPr>
                      <w:color w:val="auto"/>
                      <w:szCs w:val="21"/>
                    </w:rPr>
                  </w:pPr>
                  <w:r>
                    <w:rPr>
                      <w:color w:val="auto"/>
                      <w:szCs w:val="21"/>
                    </w:rPr>
                    <w:t>项目</w:t>
                  </w:r>
                  <w:r>
                    <w:rPr>
                      <w:rFonts w:hint="eastAsia"/>
                      <w:color w:val="auto"/>
                      <w:szCs w:val="21"/>
                    </w:rPr>
                    <w:t>无组织</w:t>
                  </w:r>
                  <w:r>
                    <w:rPr>
                      <w:color w:val="auto"/>
                      <w:szCs w:val="21"/>
                    </w:rPr>
                    <w:t>废气</w:t>
                  </w:r>
                  <w:r>
                    <w:rPr>
                      <w:rFonts w:hint="eastAsia"/>
                      <w:color w:val="auto"/>
                      <w:szCs w:val="21"/>
                    </w:rPr>
                    <w:t>执行</w:t>
                  </w:r>
                  <w:r>
                    <w:rPr>
                      <w:color w:val="auto"/>
                      <w:szCs w:val="21"/>
                    </w:rPr>
                    <w:t>《挥发性有机物无组织排放控制标准》</w:t>
                  </w:r>
                  <w:r>
                    <w:rPr>
                      <w:rFonts w:hint="eastAsia"/>
                      <w:color w:val="auto"/>
                      <w:szCs w:val="21"/>
                    </w:rPr>
                    <w:t>。</w:t>
                  </w:r>
                </w:p>
              </w:tc>
              <w:tc>
                <w:tcPr>
                  <w:tcW w:w="468" w:type="pct"/>
                  <w:tcBorders>
                    <w:tl2br w:val="nil"/>
                    <w:tr2bl w:val="nil"/>
                  </w:tcBorders>
                  <w:vAlign w:val="center"/>
                </w:tcPr>
                <w:p>
                  <w:pPr>
                    <w:spacing w:line="320" w:lineRule="exact"/>
                    <w:jc w:val="center"/>
                    <w:rPr>
                      <w:color w:val="auto"/>
                      <w:szCs w:val="21"/>
                    </w:rPr>
                  </w:pPr>
                  <w:r>
                    <w:rPr>
                      <w:color w:val="auto"/>
                      <w:szCs w:val="21"/>
                    </w:rPr>
                    <w:t>符合</w:t>
                  </w:r>
                </w:p>
              </w:tc>
            </w:tr>
          </w:tbl>
          <w:p>
            <w:pPr>
              <w:pStyle w:val="45"/>
              <w:spacing w:line="460" w:lineRule="exact"/>
              <w:ind w:firstLineChars="200"/>
              <w:jc w:val="left"/>
              <w:rPr>
                <w:rFonts w:eastAsia="宋体" w:cs="Times New Roman"/>
                <w:color w:val="auto"/>
              </w:rPr>
            </w:pPr>
            <w:r>
              <w:rPr>
                <w:rFonts w:eastAsia="宋体" w:cs="Times New Roman"/>
                <w:color w:val="auto"/>
              </w:rPr>
              <w:t>由上表可知，本项目符合《2020年挥发性有机物治理攻坚方案》（环大气[2020]33号）文件的相关要求。</w:t>
            </w:r>
          </w:p>
          <w:p>
            <w:pPr>
              <w:snapToGrid w:val="0"/>
              <w:spacing w:line="360" w:lineRule="auto"/>
              <w:rPr>
                <w:b/>
                <w:color w:val="auto"/>
                <w:sz w:val="24"/>
              </w:rPr>
            </w:pPr>
            <w:r>
              <w:rPr>
                <w:rFonts w:hint="eastAsia"/>
                <w:b/>
                <w:color w:val="auto"/>
                <w:sz w:val="24"/>
              </w:rPr>
              <w:t>7.与</w:t>
            </w:r>
            <w:r>
              <w:rPr>
                <w:b/>
                <w:color w:val="auto"/>
                <w:sz w:val="24"/>
              </w:rPr>
              <w:t>《重庆市产业投资准入工作手册》（</w:t>
            </w:r>
            <w:r>
              <w:rPr>
                <w:rFonts w:hint="eastAsia"/>
                <w:b/>
                <w:color w:val="auto"/>
              </w:rPr>
              <w:t>渝发改投资</w:t>
            </w:r>
            <w:r>
              <w:rPr>
                <w:rFonts w:hint="eastAsia" w:ascii="宋体" w:hAnsi="宋体" w:cs="宋体"/>
                <w:b/>
                <w:color w:val="auto"/>
              </w:rPr>
              <w:t>[</w:t>
            </w:r>
            <w:r>
              <w:rPr>
                <w:rFonts w:hint="eastAsia"/>
                <w:b/>
                <w:color w:val="auto"/>
              </w:rPr>
              <w:t>2022</w:t>
            </w:r>
            <w:r>
              <w:rPr>
                <w:rFonts w:hint="eastAsia" w:ascii="宋体" w:hAnsi="宋体" w:cs="宋体"/>
                <w:b/>
                <w:color w:val="auto"/>
              </w:rPr>
              <w:t>]</w:t>
            </w:r>
            <w:r>
              <w:rPr>
                <w:rFonts w:hint="eastAsia"/>
                <w:b/>
                <w:color w:val="auto"/>
              </w:rPr>
              <w:t>1436号</w:t>
            </w:r>
            <w:r>
              <w:rPr>
                <w:b/>
                <w:color w:val="auto"/>
                <w:sz w:val="24"/>
              </w:rPr>
              <w:t>）符合性分析</w:t>
            </w:r>
          </w:p>
          <w:p>
            <w:pPr>
              <w:adjustRightInd w:val="0"/>
              <w:snapToGrid w:val="0"/>
              <w:spacing w:line="360" w:lineRule="auto"/>
              <w:jc w:val="center"/>
              <w:rPr>
                <w:color w:val="auto"/>
                <w:sz w:val="21"/>
                <w:szCs w:val="21"/>
              </w:rPr>
            </w:pPr>
            <w:r>
              <w:rPr>
                <w:color w:val="auto"/>
                <w:sz w:val="21"/>
                <w:szCs w:val="21"/>
              </w:rPr>
              <w:t>表</w:t>
            </w:r>
            <w:r>
              <w:rPr>
                <w:rFonts w:hint="eastAsia"/>
                <w:color w:val="auto"/>
                <w:sz w:val="21"/>
                <w:szCs w:val="21"/>
              </w:rPr>
              <w:t>1.7</w:t>
            </w:r>
            <w:r>
              <w:rPr>
                <w:color w:val="auto"/>
                <w:sz w:val="21"/>
                <w:szCs w:val="21"/>
              </w:rPr>
              <w:t xml:space="preserve"> 重庆市产业投资准入工作手册符合性分析表</w:t>
            </w:r>
          </w:p>
          <w:tbl>
            <w:tblPr>
              <w:tblStyle w:val="2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954"/>
              <w:gridCol w:w="1808"/>
              <w:gridCol w:w="11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6"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szCs w:val="21"/>
                    </w:rPr>
                  </w:pPr>
                  <w:r>
                    <w:rPr>
                      <w:color w:val="auto"/>
                      <w:szCs w:val="21"/>
                    </w:rPr>
                    <w:t>区域</w:t>
                  </w: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color w:val="auto"/>
                      <w:szCs w:val="21"/>
                    </w:rPr>
                  </w:pPr>
                  <w:r>
                    <w:rPr>
                      <w:color w:val="auto"/>
                      <w:szCs w:val="21"/>
                    </w:rPr>
                    <w:t>不予准入项目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项目情况</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6" w:type="pct"/>
                  <w:vMerge w:val="restart"/>
                  <w:tcBorders>
                    <w:top w:val="single" w:color="auto" w:sz="4" w:space="0"/>
                    <w:left w:val="nil"/>
                    <w:right w:val="single" w:color="auto" w:sz="4" w:space="0"/>
                  </w:tcBorders>
                  <w:vAlign w:val="center"/>
                </w:tcPr>
                <w:p>
                  <w:pPr>
                    <w:adjustRightInd w:val="0"/>
                    <w:snapToGrid w:val="0"/>
                    <w:jc w:val="center"/>
                    <w:rPr>
                      <w:color w:val="auto"/>
                      <w:szCs w:val="21"/>
                    </w:rPr>
                  </w:pPr>
                  <w:r>
                    <w:rPr>
                      <w:color w:val="auto"/>
                      <w:szCs w:val="21"/>
                      <w:shd w:val="clear" w:color="auto" w:fill="FFFFFF"/>
                    </w:rPr>
                    <w:t>全市范围</w:t>
                  </w: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rPr>
                    <w:t>国家产业结构调整指导目录中的淘汰类项目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本项目为允许类</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right w:val="single" w:color="auto" w:sz="4" w:space="0"/>
                  </w:tcBorders>
                  <w:vAlign w:val="center"/>
                </w:tcPr>
                <w:p>
                  <w:pPr>
                    <w:adjustRightInd w:val="0"/>
                    <w:snapToGrid w:val="0"/>
                    <w:rPr>
                      <w:color w:val="auto"/>
                      <w:szCs w:val="21"/>
                    </w:rPr>
                  </w:pPr>
                  <w:r>
                    <w:rPr>
                      <w:color w:val="auto"/>
                      <w:szCs w:val="21"/>
                    </w:rPr>
                    <w:t>天然林商业性采伐</w:t>
                  </w:r>
                </w:p>
              </w:tc>
              <w:tc>
                <w:tcPr>
                  <w:tcW w:w="1160" w:type="pct"/>
                  <w:tcBorders>
                    <w:top w:val="single" w:color="auto" w:sz="4" w:space="0"/>
                    <w:left w:val="single" w:color="auto" w:sz="4" w:space="0"/>
                    <w:right w:val="single" w:color="auto" w:sz="4" w:space="0"/>
                  </w:tcBorders>
                  <w:vAlign w:val="center"/>
                </w:tcPr>
                <w:p>
                  <w:pPr>
                    <w:adjustRightInd w:val="0"/>
                    <w:snapToGrid w:val="0"/>
                    <w:rPr>
                      <w:color w:val="auto"/>
                      <w:szCs w:val="21"/>
                    </w:rPr>
                  </w:pPr>
                  <w:r>
                    <w:rPr>
                      <w:color w:val="auto"/>
                      <w:szCs w:val="21"/>
                    </w:rPr>
                    <w:t>本项目不进行天然林采伐</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right w:val="single" w:color="auto" w:sz="4" w:space="0"/>
                  </w:tcBorders>
                  <w:vAlign w:val="center"/>
                </w:tcPr>
                <w:p>
                  <w:pPr>
                    <w:pStyle w:val="19"/>
                    <w:adjustRightInd w:val="0"/>
                    <w:snapToGrid w:val="0"/>
                    <w:spacing w:before="0" w:beforeAutospacing="0" w:after="0" w:afterAutospacing="0"/>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法律法规和相关政策明令不予准入的其他项目</w:t>
                  </w:r>
                </w:p>
              </w:tc>
              <w:tc>
                <w:tcPr>
                  <w:tcW w:w="1160" w:type="pct"/>
                  <w:tcBorders>
                    <w:top w:val="single" w:color="auto" w:sz="4" w:space="0"/>
                    <w:left w:val="single" w:color="auto" w:sz="4" w:space="0"/>
                    <w:right w:val="single" w:color="auto" w:sz="4" w:space="0"/>
                  </w:tcBorders>
                  <w:vAlign w:val="center"/>
                </w:tcPr>
                <w:p>
                  <w:pPr>
                    <w:pStyle w:val="19"/>
                    <w:adjustRightInd w:val="0"/>
                    <w:snapToGrid w:val="0"/>
                    <w:spacing w:before="0" w:beforeAutospacing="0" w:after="0" w:afterAutospacing="0"/>
                    <w:rPr>
                      <w:rFonts w:ascii="Times New Roman" w:hAnsi="Times New Roman" w:cs="Times New Roman"/>
                      <w:color w:val="auto"/>
                      <w:sz w:val="21"/>
                      <w:szCs w:val="21"/>
                    </w:rPr>
                  </w:pPr>
                  <w:r>
                    <w:rPr>
                      <w:rFonts w:ascii="Times New Roman" w:hAnsi="Times New Roman" w:cs="Times New Roman"/>
                      <w:color w:val="auto"/>
                      <w:sz w:val="21"/>
                      <w:szCs w:val="21"/>
                    </w:rPr>
                    <w:t>本项目不属于法律立规和相关</w:t>
                  </w:r>
                  <w:r>
                    <w:rPr>
                      <w:rFonts w:ascii="Times New Roman" w:hAnsi="Times New Roman" w:cs="Times New Roman"/>
                      <w:color w:val="auto"/>
                      <w:sz w:val="21"/>
                      <w:szCs w:val="21"/>
                      <w:shd w:val="clear" w:color="auto" w:fill="FFFFFF"/>
                    </w:rPr>
                    <w:t>政策明令不予准入的其他项目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pPr>
                    <w:widowControl/>
                    <w:adjustRightInd w:val="0"/>
                    <w:snapToGrid w:val="0"/>
                    <w:jc w:val="center"/>
                    <w:rPr>
                      <w:color w:val="auto"/>
                      <w:szCs w:val="21"/>
                    </w:rPr>
                  </w:pPr>
                  <w:r>
                    <w:rPr>
                      <w:color w:val="auto"/>
                      <w:szCs w:val="21"/>
                      <w:shd w:val="clear" w:color="auto" w:fill="FFFFFF"/>
                    </w:rPr>
                    <w:t>重点区域范围</w:t>
                  </w:r>
                </w:p>
              </w:tc>
              <w:tc>
                <w:tcPr>
                  <w:tcW w:w="2537" w:type="pct"/>
                  <w:tcBorders>
                    <w:top w:val="single" w:color="auto" w:sz="4" w:space="0"/>
                    <w:left w:val="single" w:color="auto" w:sz="4" w:space="0"/>
                    <w:bottom w:val="single" w:color="auto" w:sz="4" w:space="0"/>
                    <w:right w:val="single" w:color="auto" w:sz="4" w:space="0"/>
                  </w:tcBorders>
                </w:tcPr>
                <w:p>
                  <w:pPr>
                    <w:adjustRightInd w:val="0"/>
                    <w:snapToGrid w:val="0"/>
                    <w:rPr>
                      <w:color w:val="auto"/>
                      <w:szCs w:val="21"/>
                    </w:rPr>
                  </w:pPr>
                  <w:r>
                    <w:rPr>
                      <w:color w:val="auto"/>
                      <w:szCs w:val="21"/>
                      <w:shd w:val="clear" w:color="auto" w:fill="FFFFFF"/>
                    </w:rPr>
                    <w:t>外环绕城高速公路以内长江、嘉陵江水域采砂</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本项目不属于采砂项目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二十五度以上陡坡地开垦种植农作物</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w:t>
                  </w:r>
                  <w:r>
                    <w:rPr>
                      <w:color w:val="auto"/>
                      <w:szCs w:val="21"/>
                    </w:rPr>
                    <w:t>不进行陡坡地开垦种植农作物</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在自然保护区核心区、缓冲区的岸线和河段范围内投资建设旅游和生产经营项目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本项目涉及</w:t>
                  </w:r>
                  <w:r>
                    <w:rPr>
                      <w:color w:val="auto"/>
                      <w:szCs w:val="21"/>
                      <w:shd w:val="clear" w:color="auto" w:fill="FFFFFF"/>
                    </w:rPr>
                    <w:t>自然保护区核心区、缓冲区的岸线和河段范围</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本项目不涉及</w:t>
                  </w:r>
                  <w:r>
                    <w:rPr>
                      <w:color w:val="auto"/>
                      <w:szCs w:val="21"/>
                      <w:shd w:val="clear" w:color="auto" w:fill="FFFFFF"/>
                    </w:rPr>
                    <w:t>饮用水水源一级保护区的岸线和河段</w:t>
                  </w:r>
                  <w:r>
                    <w:rPr>
                      <w:rFonts w:hint="eastAsia"/>
                      <w:color w:val="auto"/>
                      <w:szCs w:val="21"/>
                      <w:shd w:val="clear" w:color="auto" w:fill="FFFFFF"/>
                    </w:rPr>
                    <w:t>，不涉及</w:t>
                  </w:r>
                  <w:r>
                    <w:rPr>
                      <w:color w:val="auto"/>
                      <w:szCs w:val="21"/>
                      <w:shd w:val="clear" w:color="auto" w:fill="FFFFFF"/>
                    </w:rPr>
                    <w:t>饮用水水源二级保护区的岸线和河段</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tcPr>
                <w:p>
                  <w:pPr>
                    <w:pStyle w:val="19"/>
                    <w:adjustRightInd w:val="0"/>
                    <w:snapToGrid w:val="0"/>
                    <w:spacing w:before="0" w:beforeAutospacing="0" w:after="0" w:afterAutospacing="0"/>
                    <w:rPr>
                      <w:rFonts w:ascii="Times New Roman" w:hAnsi="Times New Roman" w:cs="Times New Roman"/>
                      <w:color w:val="auto"/>
                      <w:sz w:val="21"/>
                      <w:szCs w:val="21"/>
                    </w:rPr>
                  </w:pPr>
                  <w:r>
                    <w:rPr>
                      <w:rFonts w:ascii="Times New Roman" w:hAnsi="Times New Roman" w:cs="Times New Roman"/>
                      <w:color w:val="auto"/>
                      <w:sz w:val="21"/>
                      <w:szCs w:val="21"/>
                      <w:shd w:val="clear" w:color="auto" w:fill="FFFFFF"/>
                    </w:rPr>
                    <w:t>长江干流岸线3公里范围内和重要支流岸线1公里范围内新建、改建、扩建尾矿库、冶炼渣库和磷石膏库（以提升安全、生态环境保护水平为目的的改建除外）。</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尾矿库、冶炼渣库和磷石膏库</w:t>
                  </w:r>
                  <w:r>
                    <w:rPr>
                      <w:rFonts w:hint="eastAsia"/>
                      <w:color w:val="auto"/>
                      <w:szCs w:val="21"/>
                      <w:shd w:val="clear" w:color="auto" w:fill="FFFFFF"/>
                    </w:rPr>
                    <w:t>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在风景名胜区核心景区的岸线和河段范围内投资建设与风景名胜资源保护无关的项目。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本项目不涉及</w:t>
                  </w:r>
                  <w:r>
                    <w:rPr>
                      <w:rFonts w:hint="eastAsia"/>
                      <w:color w:val="auto"/>
                      <w:szCs w:val="21"/>
                      <w:shd w:val="clear" w:color="auto" w:fill="FFFFFF"/>
                    </w:rPr>
                    <w:t>风景名胜区</w:t>
                  </w:r>
                  <w:r>
                    <w:rPr>
                      <w:color w:val="auto"/>
                      <w:szCs w:val="21"/>
                      <w:shd w:val="clear" w:color="auto" w:fill="FFFFFF"/>
                    </w:rPr>
                    <w:t>核心景区的岸线和河段</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在国家湿地公园的岸线和河段范围内挖沙、采矿，以及任何不符合主体功能定位的投资建设项目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本项目不涉及</w:t>
                  </w:r>
                  <w:r>
                    <w:rPr>
                      <w:color w:val="auto"/>
                      <w:szCs w:val="21"/>
                      <w:shd w:val="clear" w:color="auto" w:fill="FFFFFF"/>
                    </w:rPr>
                    <w:t>国家湿地公园的岸线和河段范围</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在《长江岸线保护和开发利用总体规划》划定的岸线保护区和保留区内投资建设除事关公共安全及公众利益的防洪护岸、河道治理、供水、生态环境保护、航道整治、国家重要基础设施以外的项目。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本项目不涉及</w:t>
                  </w:r>
                  <w:r>
                    <w:rPr>
                      <w:color w:val="auto"/>
                      <w:szCs w:val="21"/>
                      <w:shd w:val="clear" w:color="auto" w:fill="FFFFFF"/>
                    </w:rPr>
                    <w:t>长江岸线保护和开发利用总体规划》划定的岸线保护区和保留区</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在《全国重要江河湖泊水功能区划》划定的河段及湖泊保护区、保留区内投资建设不利于水资源及自然生态保护的项目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本项目不涉及</w:t>
                  </w:r>
                  <w:r>
                    <w:rPr>
                      <w:color w:val="auto"/>
                      <w:szCs w:val="21"/>
                      <w:shd w:val="clear" w:color="auto" w:fill="FFFFFF"/>
                    </w:rPr>
                    <w:t>《全国重要江河湖泊水功能区划》划定的河段及湖泊保护区、保留区</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tcBorders>
                    <w:left w:val="nil"/>
                    <w:right w:val="single" w:color="auto" w:sz="4" w:space="0"/>
                  </w:tcBorders>
                  <w:vAlign w:val="center"/>
                </w:tcPr>
                <w:p>
                  <w:pPr>
                    <w:adjustRightInd w:val="0"/>
                    <w:snapToGrid w:val="0"/>
                    <w:jc w:val="center"/>
                    <w:rPr>
                      <w:color w:val="auto"/>
                      <w:szCs w:val="21"/>
                    </w:rPr>
                  </w:pPr>
                  <w:r>
                    <w:rPr>
                      <w:color w:val="auto"/>
                      <w:szCs w:val="21"/>
                    </w:rPr>
                    <w:t>区域</w:t>
                  </w: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jc w:val="center"/>
                    <w:rPr>
                      <w:color w:val="auto"/>
                      <w:szCs w:val="21"/>
                    </w:rPr>
                  </w:pPr>
                  <w:r>
                    <w:rPr>
                      <w:color w:val="auto"/>
                      <w:szCs w:val="21"/>
                    </w:rPr>
                    <w:t>限制准入项目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项目情况</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pPr>
                    <w:widowControl/>
                    <w:adjustRightInd w:val="0"/>
                    <w:snapToGrid w:val="0"/>
                    <w:jc w:val="left"/>
                    <w:rPr>
                      <w:color w:val="auto"/>
                      <w:szCs w:val="21"/>
                    </w:rPr>
                  </w:pPr>
                  <w:r>
                    <w:rPr>
                      <w:color w:val="auto"/>
                      <w:szCs w:val="21"/>
                      <w:shd w:val="clear" w:color="auto" w:fill="FFFFFF"/>
                    </w:rPr>
                    <w:t>全市范围</w:t>
                  </w: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新建、扩建不符合国家产能置换要求的严重过剩产能行业的项目。新建、扩建不符合要求的高耗能高排放项目。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本项目不属于产能过剩项目，不属于高耗能高排放项目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新建、扩建不符合国家石化、现代煤化工等产业布局规划的项目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石化、现代煤化工等产业布局规划的项目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在合规园区外新建、扩建钢铁、石化、化工、焦化、建材、有色、制浆造纸等高污染项目。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钢铁、石化、化工、焦化、建材、有色、制浆造纸等高污染项目。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《汽车产业投资管理规定》（国家发展和改革委员会令第22号）明确禁止建设的汽车投资项目。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汽车投资</w:t>
                  </w:r>
                  <w:r>
                    <w:rPr>
                      <w:rFonts w:hint="eastAsia"/>
                      <w:color w:val="auto"/>
                      <w:szCs w:val="21"/>
                      <w:shd w:val="clear" w:color="auto" w:fill="FFFFFF"/>
                    </w:rPr>
                    <w:t>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pPr>
                    <w:widowControl/>
                    <w:adjustRightInd w:val="0"/>
                    <w:snapToGrid w:val="0"/>
                    <w:jc w:val="left"/>
                    <w:rPr>
                      <w:color w:val="auto"/>
                      <w:szCs w:val="21"/>
                    </w:rPr>
                  </w:pPr>
                  <w:r>
                    <w:rPr>
                      <w:color w:val="auto"/>
                      <w:szCs w:val="21"/>
                      <w:shd w:val="clear" w:color="auto" w:fill="FFFFFF"/>
                    </w:rPr>
                    <w:t>重点区域范围</w:t>
                  </w: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长江干支流、重要湖泊岸线1公里范围内新建、扩建化工园区和化工项目，长江、嘉陵江、乌江岸线1公里范围内布局新建纸浆制造、印染等存在环境风险的项目。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纸浆制造、印染等存在环境风险的项目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pPr>
                    <w:widowControl/>
                    <w:adjustRightInd w:val="0"/>
                    <w:snapToGrid w:val="0"/>
                    <w:jc w:val="left"/>
                    <w:rPr>
                      <w:color w:val="auto"/>
                      <w:szCs w:val="21"/>
                    </w:rPr>
                  </w:pPr>
                </w:p>
              </w:tc>
              <w:tc>
                <w:tcPr>
                  <w:tcW w:w="2537"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color w:val="auto"/>
                      <w:szCs w:val="21"/>
                      <w:shd w:val="clear" w:color="auto" w:fill="FFFFFF"/>
                    </w:rPr>
                    <w:t>在水产种质资源保护区的岸线和河段范围内新建围湖造田等投资建设项目。</w:t>
                  </w:r>
                </w:p>
              </w:tc>
              <w:tc>
                <w:tcPr>
                  <w:tcW w:w="1160"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rPr>
                    <w:t>本项目不属于</w:t>
                  </w:r>
                  <w:r>
                    <w:rPr>
                      <w:color w:val="auto"/>
                      <w:szCs w:val="21"/>
                      <w:shd w:val="clear" w:color="auto" w:fill="FFFFFF"/>
                    </w:rPr>
                    <w:t>围湖造田等投资建设项目</w:t>
                  </w:r>
                </w:p>
              </w:tc>
              <w:tc>
                <w:tcPr>
                  <w:tcW w:w="72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color w:val="auto"/>
                      <w:szCs w:val="21"/>
                    </w:rPr>
                    <w:t>符合</w:t>
                  </w:r>
                </w:p>
              </w:tc>
            </w:tr>
          </w:tbl>
          <w:p>
            <w:pPr>
              <w:pStyle w:val="11"/>
              <w:adjustRightInd w:val="0"/>
              <w:snapToGrid w:val="0"/>
              <w:spacing w:after="0" w:line="360" w:lineRule="auto"/>
              <w:ind w:left="0" w:leftChars="0" w:firstLine="480" w:firstLineChars="200"/>
              <w:rPr>
                <w:color w:val="auto"/>
                <w:sz w:val="24"/>
              </w:rPr>
            </w:pPr>
            <w:r>
              <w:rPr>
                <w:color w:val="auto"/>
                <w:sz w:val="24"/>
              </w:rPr>
              <w:t>由表1.7分析可知：本项目符合《重庆市产业投资准入工作手册》（渝发改投资[2022]1436号）的要求。</w:t>
            </w:r>
          </w:p>
          <w:p>
            <w:pPr>
              <w:pStyle w:val="11"/>
              <w:adjustRightInd w:val="0"/>
              <w:snapToGrid w:val="0"/>
              <w:spacing w:after="0" w:line="360" w:lineRule="auto"/>
              <w:ind w:left="0" w:leftChars="0" w:firstLine="480" w:firstLineChars="200"/>
              <w:rPr>
                <w:color w:val="auto"/>
                <w:sz w:val="24"/>
              </w:rPr>
            </w:pPr>
          </w:p>
          <w:p>
            <w:pPr>
              <w:pStyle w:val="11"/>
              <w:adjustRightInd w:val="0"/>
              <w:snapToGrid w:val="0"/>
              <w:spacing w:after="0" w:line="360" w:lineRule="auto"/>
              <w:ind w:left="0" w:leftChars="0" w:firstLine="480" w:firstLineChars="200"/>
              <w:rPr>
                <w:color w:val="auto"/>
                <w:sz w:val="24"/>
              </w:rPr>
            </w:pPr>
          </w:p>
          <w:p>
            <w:pPr>
              <w:pStyle w:val="12"/>
              <w:rPr>
                <w:b w:val="0"/>
                <w:bCs w:val="0"/>
                <w:color w:val="auto"/>
                <w:sz w:val="24"/>
                <w:szCs w:val="24"/>
              </w:rPr>
            </w:pPr>
          </w:p>
          <w:p>
            <w:pPr>
              <w:rPr>
                <w:color w:val="auto"/>
                <w:sz w:val="24"/>
              </w:rPr>
            </w:pPr>
          </w:p>
          <w:p>
            <w:pPr>
              <w:pStyle w:val="2"/>
              <w:rPr>
                <w:color w:val="auto"/>
              </w:rPr>
            </w:pPr>
          </w:p>
          <w:p>
            <w:pPr>
              <w:pStyle w:val="11"/>
              <w:adjustRightInd w:val="0"/>
              <w:snapToGrid w:val="0"/>
              <w:spacing w:after="0" w:line="360" w:lineRule="auto"/>
              <w:ind w:left="0" w:leftChars="0" w:firstLine="480" w:firstLineChars="200"/>
              <w:rPr>
                <w:color w:val="auto"/>
                <w:sz w:val="24"/>
              </w:rPr>
            </w:pPr>
          </w:p>
          <w:p>
            <w:pPr>
              <w:pStyle w:val="11"/>
              <w:adjustRightInd w:val="0"/>
              <w:snapToGrid w:val="0"/>
              <w:spacing w:after="0" w:line="360" w:lineRule="auto"/>
              <w:ind w:left="0" w:leftChars="0"/>
              <w:rPr>
                <w:color w:val="auto"/>
                <w:sz w:val="24"/>
              </w:rPr>
            </w:pPr>
          </w:p>
        </w:tc>
      </w:tr>
    </w:tbl>
    <w:p>
      <w:pPr>
        <w:spacing w:line="360" w:lineRule="auto"/>
        <w:outlineLvl w:val="0"/>
        <w:rPr>
          <w:rFonts w:eastAsia="黑体"/>
          <w:color w:val="auto"/>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2"/>
        <w:gridCol w:w="85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02" w:type="dxa"/>
            <w:vAlign w:val="center"/>
          </w:tcPr>
          <w:p>
            <w:pPr>
              <w:pStyle w:val="19"/>
              <w:adjustRightInd w:val="0"/>
              <w:snapToGrid w:val="0"/>
              <w:spacing w:before="0" w:beforeAutospacing="0" w:after="0" w:afterAutospacing="0"/>
              <w:jc w:val="center"/>
              <w:rPr>
                <w:rFonts w:ascii="Times New Roman" w:hAnsi="Times New Roman" w:cs="Times New Roman"/>
                <w:color w:val="auto"/>
                <w:sz w:val="21"/>
                <w:szCs w:val="21"/>
              </w:rPr>
            </w:pPr>
          </w:p>
          <w:p>
            <w:pPr>
              <w:pStyle w:val="19"/>
              <w:adjustRightInd w:val="0"/>
              <w:snapToGrid w:val="0"/>
              <w:spacing w:before="0" w:beforeAutospacing="0" w:after="0" w:afterAutospacing="0"/>
              <w:jc w:val="center"/>
              <w:rPr>
                <w:rFonts w:ascii="Times New Roman" w:hAnsi="Times New Roman" w:cs="Times New Roman"/>
                <w:color w:val="auto"/>
                <w:sz w:val="21"/>
                <w:szCs w:val="21"/>
              </w:rPr>
            </w:pPr>
          </w:p>
        </w:tc>
        <w:tc>
          <w:tcPr>
            <w:tcW w:w="8582" w:type="dxa"/>
          </w:tcPr>
          <w:p>
            <w:pPr>
              <w:adjustRightInd w:val="0"/>
              <w:snapToGrid w:val="0"/>
              <w:spacing w:line="360" w:lineRule="auto"/>
              <w:rPr>
                <w:rFonts w:ascii="宋体" w:hAnsi="宋体" w:cs="宋体"/>
                <w:b/>
                <w:bCs/>
                <w:color w:val="auto"/>
                <w:sz w:val="24"/>
              </w:rPr>
            </w:pPr>
            <w:r>
              <w:rPr>
                <w:rFonts w:hint="eastAsia" w:ascii="宋体" w:hAnsi="宋体" w:cs="宋体"/>
                <w:b/>
                <w:bCs/>
                <w:color w:val="auto"/>
                <w:sz w:val="24"/>
              </w:rPr>
              <w:t>项目由来</w:t>
            </w:r>
          </w:p>
          <w:p>
            <w:pPr>
              <w:adjustRightInd w:val="0"/>
              <w:snapToGrid w:val="0"/>
              <w:spacing w:line="360" w:lineRule="auto"/>
              <w:ind w:firstLine="480"/>
              <w:rPr>
                <w:color w:val="auto"/>
                <w:kern w:val="0"/>
                <w:sz w:val="24"/>
                <w:highlight w:val="none"/>
              </w:rPr>
            </w:pPr>
            <w:r>
              <w:rPr>
                <w:rFonts w:hint="eastAsia"/>
                <w:color w:val="auto"/>
                <w:spacing w:val="8"/>
                <w:sz w:val="24"/>
                <w:highlight w:val="none"/>
                <w:shd w:val="clear" w:color="auto" w:fill="FFFFFF"/>
              </w:rPr>
              <w:t>重庆英洛维科技有限公司</w:t>
            </w:r>
            <w:r>
              <w:rPr>
                <w:color w:val="auto"/>
                <w:kern w:val="0"/>
                <w:sz w:val="24"/>
                <w:highlight w:val="none"/>
              </w:rPr>
              <w:t>是一家专业</w:t>
            </w:r>
            <w:r>
              <w:rPr>
                <w:rFonts w:hint="eastAsia"/>
                <w:color w:val="auto"/>
                <w:kern w:val="0"/>
                <w:sz w:val="24"/>
                <w:highlight w:val="none"/>
              </w:rPr>
              <w:t>生产汽车内饰材料及零部件</w:t>
            </w:r>
            <w:r>
              <w:rPr>
                <w:color w:val="auto"/>
                <w:kern w:val="0"/>
                <w:sz w:val="24"/>
                <w:highlight w:val="none"/>
              </w:rPr>
              <w:t>的企业。</w:t>
            </w:r>
            <w:r>
              <w:rPr>
                <w:rFonts w:hint="eastAsia"/>
                <w:color w:val="auto"/>
                <w:kern w:val="0"/>
                <w:sz w:val="24"/>
                <w:highlight w:val="none"/>
                <w:lang w:eastAsia="zh-CN"/>
              </w:rPr>
              <w:t>该企业于</w:t>
            </w:r>
            <w:r>
              <w:rPr>
                <w:rFonts w:hint="eastAsia"/>
                <w:color w:val="auto"/>
                <w:kern w:val="0"/>
                <w:sz w:val="24"/>
                <w:highlight w:val="none"/>
                <w:lang w:val="en-US" w:eastAsia="zh-CN"/>
              </w:rPr>
              <w:t>2018年7月在</w:t>
            </w:r>
            <w:r>
              <w:rPr>
                <w:rFonts w:hint="eastAsia"/>
                <w:color w:val="auto"/>
                <w:spacing w:val="8"/>
                <w:sz w:val="24"/>
                <w:highlight w:val="none"/>
                <w:shd w:val="clear" w:color="auto" w:fill="FFFFFF"/>
              </w:rPr>
              <w:t>重庆市铜梁区东城街道祝英南路7号</w:t>
            </w:r>
            <w:r>
              <w:rPr>
                <w:rFonts w:hint="eastAsia"/>
                <w:color w:val="auto"/>
                <w:spacing w:val="8"/>
                <w:sz w:val="24"/>
                <w:highlight w:val="none"/>
                <w:shd w:val="clear" w:color="auto" w:fill="FFFFFF"/>
                <w:lang w:eastAsia="zh-CN"/>
              </w:rPr>
              <w:t>投资建设</w:t>
            </w:r>
            <w:r>
              <w:rPr>
                <w:rFonts w:hint="eastAsia"/>
                <w:color w:val="auto"/>
                <w:sz w:val="24"/>
                <w:highlight w:val="none"/>
              </w:rPr>
              <w:t>汽车内饰材料及零部件生产加工项目</w:t>
            </w:r>
            <w:r>
              <w:rPr>
                <w:rFonts w:hint="eastAsia"/>
                <w:color w:val="auto"/>
                <w:sz w:val="24"/>
                <w:highlight w:val="none"/>
                <w:lang w:eastAsia="zh-CN"/>
              </w:rPr>
              <w:t>；</w:t>
            </w:r>
            <w:r>
              <w:rPr>
                <w:rFonts w:hint="eastAsia"/>
                <w:color w:val="auto"/>
                <w:sz w:val="24"/>
                <w:highlight w:val="none"/>
                <w:lang w:val="en-US" w:eastAsia="zh-CN"/>
              </w:rPr>
              <w:t>2021年11月该企业利用现有生产厂房投资建设</w:t>
            </w:r>
            <w:r>
              <w:rPr>
                <w:color w:val="auto"/>
                <w:spacing w:val="8"/>
                <w:sz w:val="24"/>
                <w:highlight w:val="none"/>
                <w:shd w:val="clear" w:color="auto" w:fill="FFFFFF"/>
              </w:rPr>
              <w:t>年产汽车零部件800万件及汽车纤维材料8000吨扩建项目</w:t>
            </w:r>
            <w:r>
              <w:rPr>
                <w:rFonts w:hint="eastAsia"/>
                <w:color w:val="auto"/>
                <w:spacing w:val="8"/>
                <w:sz w:val="24"/>
                <w:highlight w:val="none"/>
                <w:shd w:val="clear" w:color="auto" w:fill="FFFFFF"/>
                <w:lang w:eastAsia="zh-CN"/>
              </w:rPr>
              <w:t>。为满足市场需求，扩大生产规模，</w:t>
            </w:r>
            <w:r>
              <w:rPr>
                <w:color w:val="auto"/>
                <w:kern w:val="0"/>
                <w:sz w:val="24"/>
                <w:highlight w:val="none"/>
              </w:rPr>
              <w:t>该企业</w:t>
            </w:r>
            <w:r>
              <w:rPr>
                <w:rFonts w:hint="eastAsia"/>
                <w:color w:val="auto"/>
                <w:kern w:val="0"/>
                <w:sz w:val="24"/>
                <w:highlight w:val="none"/>
              </w:rPr>
              <w:t>利用现有生产厂房</w:t>
            </w:r>
            <w:r>
              <w:rPr>
                <w:color w:val="auto"/>
                <w:kern w:val="0"/>
                <w:sz w:val="24"/>
                <w:highlight w:val="none"/>
              </w:rPr>
              <w:t>投资</w:t>
            </w:r>
            <w:r>
              <w:rPr>
                <w:rFonts w:hint="eastAsia"/>
                <w:color w:val="auto"/>
                <w:kern w:val="0"/>
                <w:sz w:val="24"/>
                <w:highlight w:val="none"/>
              </w:rPr>
              <w:t>10</w:t>
            </w:r>
            <w:r>
              <w:rPr>
                <w:color w:val="auto"/>
                <w:kern w:val="0"/>
                <w:sz w:val="24"/>
                <w:highlight w:val="none"/>
              </w:rPr>
              <w:t>00万元新建“</w:t>
            </w:r>
            <w:r>
              <w:rPr>
                <w:rFonts w:hint="eastAsia"/>
                <w:color w:val="auto"/>
                <w:sz w:val="24"/>
                <w:highlight w:val="none"/>
              </w:rPr>
              <w:t>年产拉幅定型无纺布500吨、淋膜无纺布300吨扩建项目</w:t>
            </w:r>
            <w:r>
              <w:rPr>
                <w:color w:val="auto"/>
                <w:kern w:val="0"/>
                <w:sz w:val="24"/>
                <w:highlight w:val="none"/>
              </w:rPr>
              <w:t>”，以下简称“</w:t>
            </w:r>
            <w:r>
              <w:rPr>
                <w:rFonts w:hint="eastAsia"/>
                <w:color w:val="auto"/>
                <w:kern w:val="0"/>
                <w:sz w:val="24"/>
                <w:highlight w:val="none"/>
                <w:lang w:eastAsia="zh-CN"/>
              </w:rPr>
              <w:t>扩建项目</w:t>
            </w:r>
            <w:r>
              <w:rPr>
                <w:color w:val="auto"/>
                <w:kern w:val="0"/>
                <w:sz w:val="24"/>
                <w:highlight w:val="none"/>
              </w:rPr>
              <w:t>”。</w:t>
            </w:r>
          </w:p>
          <w:p>
            <w:pPr>
              <w:widowControl/>
              <w:spacing w:line="360" w:lineRule="auto"/>
              <w:ind w:firstLine="480" w:firstLineChars="200"/>
              <w:jc w:val="left"/>
              <w:rPr>
                <w:b/>
                <w:bCs/>
                <w:color w:val="auto"/>
                <w:sz w:val="24"/>
              </w:rPr>
            </w:pPr>
            <w:r>
              <w:rPr>
                <w:color w:val="auto"/>
                <w:sz w:val="24"/>
                <w:highlight w:val="none"/>
              </w:rPr>
              <w:t>根据《中华人民共和国环境保护法》、《中华人民共和国环境影响评价法》、《建设项目环境保护管理条例》及《建设项目环境影响评价分类管理名录》等法律法规的要求，</w:t>
            </w:r>
            <w:r>
              <w:rPr>
                <w:rFonts w:hint="eastAsia" w:ascii="Times New Roman" w:hAnsi="Times New Roman" w:cs="Times New Roman"/>
                <w:color w:val="auto"/>
                <w:sz w:val="24"/>
                <w:szCs w:val="24"/>
                <w:highlight w:val="none"/>
                <w:lang w:eastAsia="zh-CN"/>
              </w:rPr>
              <w:t>扩建项目</w:t>
            </w:r>
            <w:r>
              <w:rPr>
                <w:color w:val="auto"/>
                <w:sz w:val="24"/>
                <w:highlight w:val="none"/>
              </w:rPr>
              <w:t>属于分类管理名录中“三十三、汽车制造业—71</w:t>
            </w:r>
            <w:r>
              <w:rPr>
                <w:color w:val="auto"/>
                <w:kern w:val="0"/>
                <w:sz w:val="24"/>
                <w:highlight w:val="none"/>
                <w:lang w:bidi="ar"/>
              </w:rPr>
              <w:t>汽车整车制造361；汽车用发动机制造362；改装汽车制造363；低速汽车制造364；电车制造365；汽车身、挂车制造366；</w:t>
            </w:r>
            <w:r>
              <w:rPr>
                <w:b/>
                <w:bCs/>
                <w:color w:val="auto"/>
                <w:kern w:val="0"/>
                <w:sz w:val="24"/>
                <w:highlight w:val="none"/>
                <w:lang w:bidi="ar"/>
              </w:rPr>
              <w:t>汽车零部件及配件制造367</w:t>
            </w:r>
            <w:r>
              <w:rPr>
                <w:color w:val="auto"/>
                <w:sz w:val="24"/>
                <w:highlight w:val="none"/>
              </w:rPr>
              <w:t>—</w:t>
            </w:r>
            <w:r>
              <w:rPr>
                <w:b/>
                <w:bCs/>
                <w:color w:val="auto"/>
                <w:sz w:val="24"/>
                <w:highlight w:val="none"/>
              </w:rPr>
              <w:t>其它（年用非溶剂低VOCs含量涂料10吨以下的除外）</w:t>
            </w:r>
            <w:r>
              <w:rPr>
                <w:color w:val="auto"/>
                <w:sz w:val="24"/>
                <w:highlight w:val="none"/>
              </w:rPr>
              <w:t>”，</w:t>
            </w:r>
            <w:r>
              <w:rPr>
                <w:rFonts w:hint="eastAsia"/>
                <w:color w:val="auto"/>
                <w:sz w:val="24"/>
                <w:highlight w:val="none"/>
                <w:lang w:eastAsia="zh-CN"/>
              </w:rPr>
              <w:t>扩建项目应编制“环境影响报告表”，</w:t>
            </w:r>
            <w:r>
              <w:rPr>
                <w:color w:val="auto"/>
                <w:sz w:val="24"/>
                <w:highlight w:val="none"/>
              </w:rPr>
              <w:t>受</w:t>
            </w:r>
            <w:r>
              <w:rPr>
                <w:rFonts w:hint="eastAsia"/>
                <w:color w:val="auto"/>
                <w:spacing w:val="8"/>
                <w:sz w:val="24"/>
                <w:highlight w:val="none"/>
                <w:shd w:val="clear" w:color="auto" w:fill="FFFFFF"/>
              </w:rPr>
              <w:t>重庆英洛维科技有限公司</w:t>
            </w:r>
            <w:r>
              <w:rPr>
                <w:color w:val="auto"/>
                <w:sz w:val="24"/>
                <w:highlight w:val="none"/>
              </w:rPr>
              <w:t>委托，重庆景临生态环境科技有限公司承担了</w:t>
            </w:r>
            <w:r>
              <w:rPr>
                <w:rFonts w:hint="eastAsia"/>
                <w:color w:val="auto"/>
                <w:sz w:val="24"/>
                <w:highlight w:val="none"/>
                <w:lang w:eastAsia="zh-CN"/>
              </w:rPr>
              <w:t>该项目</w:t>
            </w:r>
            <w:r>
              <w:rPr>
                <w:color w:val="auto"/>
                <w:sz w:val="24"/>
                <w:highlight w:val="none"/>
              </w:rPr>
              <w:t>环评工作</w:t>
            </w:r>
            <w:r>
              <w:rPr>
                <w:rFonts w:hint="eastAsia"/>
                <w:color w:val="auto"/>
                <w:sz w:val="24"/>
                <w:highlight w:val="none"/>
              </w:rPr>
              <w:t>，</w:t>
            </w:r>
            <w:r>
              <w:rPr>
                <w:color w:val="auto"/>
                <w:sz w:val="24"/>
                <w:highlight w:val="none"/>
              </w:rPr>
              <w:t>编制完成了《</w:t>
            </w:r>
            <w:r>
              <w:rPr>
                <w:rFonts w:hint="eastAsia"/>
                <w:color w:val="auto"/>
                <w:sz w:val="24"/>
                <w:highlight w:val="none"/>
              </w:rPr>
              <w:t>年产拉幅定型无纺布500吨、淋膜无纺布300吨扩建项目</w:t>
            </w:r>
            <w:r>
              <w:rPr>
                <w:color w:val="auto"/>
                <w:sz w:val="24"/>
                <w:highlight w:val="none"/>
              </w:rPr>
              <w:t>环境影响报</w:t>
            </w:r>
            <w:r>
              <w:rPr>
                <w:rFonts w:hAnsi="宋体"/>
                <w:color w:val="auto"/>
                <w:sz w:val="24"/>
                <w:highlight w:val="none"/>
              </w:rPr>
              <w:t>告表》，呈</w:t>
            </w:r>
            <w:r>
              <w:rPr>
                <w:rFonts w:hint="eastAsia" w:hAnsi="宋体"/>
                <w:color w:val="auto"/>
                <w:sz w:val="24"/>
                <w:highlight w:val="none"/>
              </w:rPr>
              <w:t>重庆市铜梁区生态环境局</w:t>
            </w:r>
            <w:r>
              <w:rPr>
                <w:rFonts w:hAnsi="宋体"/>
                <w:color w:val="auto"/>
                <w:sz w:val="24"/>
                <w:highlight w:val="none"/>
              </w:rPr>
              <w:t>审批</w:t>
            </w:r>
            <w:r>
              <w:rPr>
                <w:rFonts w:hAnsi="宋体"/>
                <w:color w:val="auto"/>
                <w:sz w:val="24"/>
              </w:rPr>
              <w:t>。</w:t>
            </w:r>
          </w:p>
          <w:p>
            <w:pPr>
              <w:adjustRightInd w:val="0"/>
              <w:snapToGrid w:val="0"/>
              <w:spacing w:line="360" w:lineRule="auto"/>
              <w:rPr>
                <w:b/>
                <w:bCs/>
                <w:color w:val="auto"/>
                <w:sz w:val="24"/>
              </w:rPr>
            </w:pPr>
            <w:r>
              <w:rPr>
                <w:b/>
                <w:bCs/>
                <w:color w:val="auto"/>
                <w:sz w:val="24"/>
              </w:rPr>
              <w:t>项目组成</w:t>
            </w:r>
          </w:p>
          <w:p>
            <w:pPr>
              <w:adjustRightInd w:val="0"/>
              <w:snapToGrid w:val="0"/>
              <w:spacing w:line="360" w:lineRule="auto"/>
              <w:ind w:firstLine="480" w:firstLineChars="200"/>
              <w:jc w:val="left"/>
              <w:rPr>
                <w:iCs/>
                <w:color w:val="auto"/>
                <w:kern w:val="0"/>
                <w:sz w:val="24"/>
              </w:rPr>
            </w:pPr>
            <w:r>
              <w:rPr>
                <w:color w:val="auto"/>
                <w:kern w:val="0"/>
                <w:sz w:val="24"/>
              </w:rPr>
              <w:t>项目名称：</w:t>
            </w:r>
            <w:r>
              <w:rPr>
                <w:rFonts w:hint="eastAsia"/>
                <w:color w:val="auto"/>
                <w:sz w:val="24"/>
              </w:rPr>
              <w:t>年产拉幅定型无纺布500吨、淋膜无纺布300吨扩建项目</w:t>
            </w:r>
          </w:p>
          <w:p>
            <w:pPr>
              <w:adjustRightInd w:val="0"/>
              <w:snapToGrid w:val="0"/>
              <w:spacing w:line="360" w:lineRule="auto"/>
              <w:ind w:firstLine="480" w:firstLineChars="200"/>
              <w:rPr>
                <w:iCs/>
                <w:color w:val="auto"/>
                <w:kern w:val="0"/>
                <w:sz w:val="24"/>
              </w:rPr>
            </w:pPr>
            <w:r>
              <w:rPr>
                <w:iCs/>
                <w:color w:val="auto"/>
                <w:kern w:val="0"/>
                <w:sz w:val="24"/>
              </w:rPr>
              <w:t>建设单位：</w:t>
            </w:r>
            <w:r>
              <w:rPr>
                <w:rFonts w:hint="eastAsia"/>
                <w:color w:val="auto"/>
                <w:spacing w:val="8"/>
                <w:sz w:val="24"/>
                <w:shd w:val="clear" w:color="auto" w:fill="FFFFFF"/>
              </w:rPr>
              <w:t>重庆英洛维科技有限公司</w:t>
            </w:r>
          </w:p>
          <w:p>
            <w:pPr>
              <w:adjustRightInd w:val="0"/>
              <w:snapToGrid w:val="0"/>
              <w:spacing w:line="360" w:lineRule="auto"/>
              <w:ind w:firstLine="480" w:firstLineChars="200"/>
              <w:rPr>
                <w:iCs/>
                <w:color w:val="auto"/>
                <w:kern w:val="0"/>
                <w:sz w:val="24"/>
              </w:rPr>
            </w:pPr>
            <w:r>
              <w:rPr>
                <w:iCs/>
                <w:color w:val="auto"/>
                <w:kern w:val="0"/>
                <w:sz w:val="24"/>
              </w:rPr>
              <w:t>项目性质：</w:t>
            </w:r>
            <w:r>
              <w:rPr>
                <w:rFonts w:hint="eastAsia"/>
                <w:iCs/>
                <w:color w:val="auto"/>
                <w:kern w:val="0"/>
                <w:sz w:val="24"/>
              </w:rPr>
              <w:t>扩建</w:t>
            </w:r>
          </w:p>
          <w:p>
            <w:pPr>
              <w:adjustRightInd w:val="0"/>
              <w:snapToGrid w:val="0"/>
              <w:spacing w:line="360" w:lineRule="auto"/>
              <w:ind w:firstLine="480" w:firstLineChars="200"/>
              <w:rPr>
                <w:color w:val="auto"/>
                <w:kern w:val="0"/>
                <w:sz w:val="24"/>
              </w:rPr>
            </w:pPr>
            <w:r>
              <w:rPr>
                <w:iCs/>
                <w:color w:val="auto"/>
                <w:kern w:val="0"/>
                <w:sz w:val="24"/>
              </w:rPr>
              <w:t>建设地点：</w:t>
            </w:r>
            <w:r>
              <w:rPr>
                <w:rFonts w:hint="eastAsia"/>
                <w:color w:val="auto"/>
                <w:spacing w:val="8"/>
                <w:sz w:val="24"/>
                <w:shd w:val="clear" w:color="auto" w:fill="FFFFFF"/>
              </w:rPr>
              <w:t>重庆市铜梁区东城街道祝英南路7号</w:t>
            </w:r>
          </w:p>
          <w:p>
            <w:pPr>
              <w:adjustRightInd w:val="0"/>
              <w:snapToGrid w:val="0"/>
              <w:spacing w:line="360" w:lineRule="auto"/>
              <w:ind w:firstLine="480" w:firstLineChars="200"/>
              <w:rPr>
                <w:color w:val="auto"/>
                <w:kern w:val="0"/>
                <w:sz w:val="24"/>
              </w:rPr>
            </w:pPr>
            <w:r>
              <w:rPr>
                <w:color w:val="auto"/>
                <w:kern w:val="0"/>
                <w:sz w:val="24"/>
              </w:rPr>
              <w:t>总 投 资：1000万元</w:t>
            </w:r>
          </w:p>
          <w:p>
            <w:pPr>
              <w:adjustRightInd w:val="0"/>
              <w:snapToGrid w:val="0"/>
              <w:spacing w:line="360" w:lineRule="auto"/>
              <w:ind w:firstLine="480" w:firstLineChars="200"/>
              <w:rPr>
                <w:color w:val="auto"/>
                <w:sz w:val="24"/>
              </w:rPr>
            </w:pPr>
            <w:r>
              <w:rPr>
                <w:color w:val="auto"/>
                <w:kern w:val="0"/>
                <w:sz w:val="24"/>
              </w:rPr>
              <w:t>生产规模：拉幅定型无纺布500吨/a</w:t>
            </w:r>
            <w:r>
              <w:rPr>
                <w:color w:val="auto"/>
                <w:sz w:val="24"/>
              </w:rPr>
              <w:t>、淋膜无纺布300吨/a</w:t>
            </w:r>
          </w:p>
          <w:p>
            <w:pPr>
              <w:adjustRightInd w:val="0"/>
              <w:snapToGrid w:val="0"/>
              <w:spacing w:line="360" w:lineRule="auto"/>
              <w:ind w:firstLine="480" w:firstLineChars="200"/>
              <w:rPr>
                <w:color w:val="auto"/>
                <w:kern w:val="0"/>
                <w:sz w:val="24"/>
              </w:rPr>
            </w:pPr>
            <w:r>
              <w:rPr>
                <w:color w:val="auto"/>
                <w:sz w:val="24"/>
              </w:rPr>
              <w:t>劳动定员及工作制度：</w:t>
            </w:r>
            <w:r>
              <w:rPr>
                <w:rFonts w:hint="eastAsia"/>
                <w:color w:val="auto"/>
                <w:sz w:val="24"/>
                <w:lang w:eastAsia="zh-CN"/>
              </w:rPr>
              <w:t>扩建项目</w:t>
            </w:r>
            <w:r>
              <w:rPr>
                <w:color w:val="auto"/>
                <w:sz w:val="24"/>
              </w:rPr>
              <w:t>通过厂区内人员结构调整,</w:t>
            </w:r>
            <w:r>
              <w:rPr>
                <w:rFonts w:hint="eastAsia"/>
                <w:color w:val="auto"/>
                <w:sz w:val="24"/>
              </w:rPr>
              <w:t>仅</w:t>
            </w:r>
            <w:r>
              <w:rPr>
                <w:color w:val="auto"/>
                <w:sz w:val="24"/>
              </w:rPr>
              <w:t>新增劳动定员</w:t>
            </w:r>
            <w:r>
              <w:rPr>
                <w:rFonts w:hint="eastAsia"/>
                <w:color w:val="auto"/>
                <w:sz w:val="24"/>
              </w:rPr>
              <w:t>4人</w:t>
            </w:r>
            <w:r>
              <w:rPr>
                <w:color w:val="auto"/>
                <w:kern w:val="0"/>
                <w:sz w:val="24"/>
              </w:rPr>
              <w:t>；</w:t>
            </w:r>
            <w:r>
              <w:rPr>
                <w:rFonts w:hint="eastAsia" w:ascii="Times New Roman" w:hAnsi="Times New Roman" w:cs="Times New Roman"/>
                <w:color w:val="auto"/>
                <w:sz w:val="24"/>
                <w:szCs w:val="24"/>
                <w:lang w:eastAsia="zh-CN"/>
              </w:rPr>
              <w:t>扩建项目</w:t>
            </w:r>
            <w:r>
              <w:rPr>
                <w:color w:val="auto"/>
                <w:kern w:val="0"/>
                <w:sz w:val="24"/>
              </w:rPr>
              <w:t>实行</w:t>
            </w:r>
            <w:r>
              <w:rPr>
                <w:rFonts w:hint="eastAsia"/>
                <w:color w:val="auto"/>
                <w:kern w:val="0"/>
                <w:sz w:val="24"/>
              </w:rPr>
              <w:t>1</w:t>
            </w:r>
            <w:r>
              <w:rPr>
                <w:color w:val="auto"/>
                <w:kern w:val="0"/>
                <w:sz w:val="24"/>
              </w:rPr>
              <w:t>班制，每班工作时间为8小时，全年工作天数为300天。</w:t>
            </w:r>
          </w:p>
          <w:p>
            <w:pPr>
              <w:pStyle w:val="2"/>
              <w:snapToGrid w:val="0"/>
              <w:ind w:firstLine="480" w:firstLineChars="200"/>
              <w:rPr>
                <w:rFonts w:ascii="Times New Roman" w:cs="Times New Roman"/>
                <w:color w:val="auto"/>
              </w:rPr>
            </w:pPr>
            <w:r>
              <w:rPr>
                <w:rFonts w:ascii="Times New Roman" w:cs="Times New Roman"/>
                <w:color w:val="auto"/>
              </w:rPr>
              <w:t>产品方案</w:t>
            </w:r>
            <w:r>
              <w:rPr>
                <w:rFonts w:hint="eastAsia" w:ascii="Times New Roman" w:cs="Times New Roman"/>
                <w:color w:val="auto"/>
              </w:rPr>
              <w:t>：</w:t>
            </w:r>
            <w:r>
              <w:rPr>
                <w:rFonts w:hint="eastAsia" w:cs="Times New Roman"/>
                <w:color w:val="auto"/>
                <w:highlight w:val="none"/>
                <w:lang w:eastAsia="zh-CN"/>
              </w:rPr>
              <w:t>扩建项目</w:t>
            </w:r>
            <w:r>
              <w:rPr>
                <w:rFonts w:hint="eastAsia" w:ascii="Times New Roman" w:cs="Times New Roman"/>
                <w:color w:val="auto"/>
              </w:rPr>
              <w:t>主要生产</w:t>
            </w:r>
            <w:r>
              <w:rPr>
                <w:rFonts w:hint="eastAsia"/>
                <w:color w:val="auto"/>
              </w:rPr>
              <w:t>拉幅定型无纺布、淋膜无纺布</w:t>
            </w:r>
            <w:r>
              <w:rPr>
                <w:rFonts w:ascii="Times New Roman" w:cs="Times New Roman"/>
                <w:color w:val="auto"/>
              </w:rPr>
              <w:t>，</w:t>
            </w:r>
            <w:r>
              <w:rPr>
                <w:rFonts w:hint="eastAsia" w:ascii="Times New Roman" w:cs="Times New Roman"/>
                <w:color w:val="auto"/>
              </w:rPr>
              <w:t>这两种产品均属于汽车内饰件，</w:t>
            </w:r>
            <w:r>
              <w:rPr>
                <w:rFonts w:ascii="Times New Roman" w:cs="Times New Roman"/>
                <w:color w:val="auto"/>
              </w:rPr>
              <w:t>其产品方案见表2.</w:t>
            </w:r>
            <w:r>
              <w:rPr>
                <w:rFonts w:hint="eastAsia" w:ascii="Times New Roman" w:cs="Times New Roman"/>
                <w:color w:val="auto"/>
              </w:rPr>
              <w:t>1</w:t>
            </w:r>
            <w:r>
              <w:rPr>
                <w:rFonts w:ascii="Times New Roman" w:cs="Times New Roman"/>
                <w:color w:val="auto"/>
              </w:rPr>
              <w:t>。</w:t>
            </w:r>
          </w:p>
          <w:p>
            <w:pPr>
              <w:adjustRightInd w:val="0"/>
              <w:snapToGrid w:val="0"/>
              <w:spacing w:line="360" w:lineRule="auto"/>
              <w:jc w:val="center"/>
              <w:rPr>
                <w:color w:val="auto"/>
                <w:sz w:val="21"/>
                <w:szCs w:val="21"/>
                <w:highlight w:val="none"/>
              </w:rPr>
            </w:pPr>
            <w:r>
              <w:rPr>
                <w:color w:val="auto"/>
                <w:sz w:val="21"/>
                <w:szCs w:val="21"/>
                <w:highlight w:val="none"/>
              </w:rPr>
              <w:t>表2.</w:t>
            </w:r>
            <w:r>
              <w:rPr>
                <w:rFonts w:hint="eastAsia"/>
                <w:color w:val="auto"/>
                <w:sz w:val="21"/>
                <w:szCs w:val="21"/>
                <w:highlight w:val="none"/>
              </w:rPr>
              <w:t>1</w:t>
            </w:r>
            <w:r>
              <w:rPr>
                <w:color w:val="auto"/>
                <w:sz w:val="21"/>
                <w:szCs w:val="21"/>
                <w:highlight w:val="none"/>
              </w:rPr>
              <w:t xml:space="preserve"> </w:t>
            </w:r>
            <w:r>
              <w:rPr>
                <w:rFonts w:hint="eastAsia"/>
                <w:color w:val="auto"/>
                <w:sz w:val="21"/>
                <w:szCs w:val="21"/>
                <w:highlight w:val="none"/>
                <w:lang w:eastAsia="zh-CN"/>
              </w:rPr>
              <w:t>扩建项目</w:t>
            </w:r>
            <w:r>
              <w:rPr>
                <w:color w:val="auto"/>
                <w:sz w:val="21"/>
                <w:szCs w:val="21"/>
                <w:highlight w:val="none"/>
              </w:rPr>
              <w:t>产品方案</w:t>
            </w:r>
          </w:p>
          <w:tbl>
            <w:tblPr>
              <w:tblStyle w:val="22"/>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378"/>
              <w:gridCol w:w="1437"/>
              <w:gridCol w:w="383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24" w:type="pct"/>
                  <w:vAlign w:val="center"/>
                </w:tcPr>
                <w:p>
                  <w:pPr>
                    <w:widowControl/>
                    <w:snapToGrid w:val="0"/>
                    <w:jc w:val="center"/>
                    <w:rPr>
                      <w:color w:val="auto"/>
                      <w:szCs w:val="21"/>
                    </w:rPr>
                  </w:pPr>
                  <w:r>
                    <w:rPr>
                      <w:rFonts w:hint="eastAsia"/>
                      <w:color w:val="auto"/>
                      <w:szCs w:val="21"/>
                    </w:rPr>
                    <w:t>产品类型</w:t>
                  </w:r>
                </w:p>
              </w:tc>
              <w:tc>
                <w:tcPr>
                  <w:tcW w:w="823" w:type="pct"/>
                  <w:vAlign w:val="center"/>
                </w:tcPr>
                <w:p>
                  <w:pPr>
                    <w:widowControl/>
                    <w:snapToGrid w:val="0"/>
                    <w:jc w:val="center"/>
                    <w:rPr>
                      <w:color w:val="auto"/>
                      <w:szCs w:val="21"/>
                    </w:rPr>
                  </w:pPr>
                  <w:r>
                    <w:rPr>
                      <w:rFonts w:hint="eastAsia"/>
                      <w:color w:val="auto"/>
                      <w:szCs w:val="21"/>
                    </w:rPr>
                    <w:t>规格</w:t>
                  </w:r>
                </w:p>
              </w:tc>
              <w:tc>
                <w:tcPr>
                  <w:tcW w:w="859" w:type="pct"/>
                  <w:vAlign w:val="center"/>
                </w:tcPr>
                <w:p>
                  <w:pPr>
                    <w:widowControl/>
                    <w:snapToGrid w:val="0"/>
                    <w:jc w:val="center"/>
                    <w:rPr>
                      <w:color w:val="auto"/>
                      <w:szCs w:val="21"/>
                    </w:rPr>
                  </w:pPr>
                  <w:r>
                    <w:rPr>
                      <w:color w:val="auto"/>
                      <w:szCs w:val="21"/>
                    </w:rPr>
                    <w:t>生产能力</w:t>
                  </w:r>
                </w:p>
              </w:tc>
              <w:tc>
                <w:tcPr>
                  <w:tcW w:w="2292" w:type="pct"/>
                  <w:vAlign w:val="center"/>
                </w:tcPr>
                <w:p>
                  <w:pPr>
                    <w:widowControl/>
                    <w:snapToGrid w:val="0"/>
                    <w:jc w:val="center"/>
                    <w:rPr>
                      <w:color w:val="auto"/>
                      <w:szCs w:val="21"/>
                    </w:rPr>
                  </w:pPr>
                  <w:r>
                    <w:rPr>
                      <w:color w:val="auto"/>
                      <w:szCs w:val="21"/>
                    </w:rPr>
                    <w:t>产品信息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4" w:type="pct"/>
                  <w:vAlign w:val="center"/>
                </w:tcPr>
                <w:p>
                  <w:pPr>
                    <w:pStyle w:val="57"/>
                    <w:spacing w:line="240" w:lineRule="auto"/>
                    <w:rPr>
                      <w:color w:val="auto"/>
                      <w:szCs w:val="21"/>
                    </w:rPr>
                  </w:pPr>
                  <w:r>
                    <w:rPr>
                      <w:color w:val="auto"/>
                      <w:szCs w:val="21"/>
                    </w:rPr>
                    <w:t>拉幅定型无纺布</w:t>
                  </w:r>
                </w:p>
              </w:tc>
              <w:tc>
                <w:tcPr>
                  <w:tcW w:w="823" w:type="pct"/>
                  <w:vAlign w:val="center"/>
                </w:tcPr>
                <w:p>
                  <w:pPr>
                    <w:adjustRightInd w:val="0"/>
                    <w:snapToGrid w:val="0"/>
                    <w:jc w:val="center"/>
                    <w:rPr>
                      <w:color w:val="auto"/>
                      <w:szCs w:val="21"/>
                    </w:rPr>
                  </w:pPr>
                  <w:r>
                    <w:rPr>
                      <w:color w:val="auto"/>
                      <w:szCs w:val="21"/>
                    </w:rPr>
                    <w:t>1.5×50m</w:t>
                  </w:r>
                </w:p>
              </w:tc>
              <w:tc>
                <w:tcPr>
                  <w:tcW w:w="859" w:type="pct"/>
                  <w:vAlign w:val="center"/>
                </w:tcPr>
                <w:p>
                  <w:pPr>
                    <w:pStyle w:val="57"/>
                    <w:spacing w:line="240" w:lineRule="auto"/>
                    <w:rPr>
                      <w:color w:val="auto"/>
                      <w:szCs w:val="21"/>
                      <w:highlight w:val="yellow"/>
                    </w:rPr>
                  </w:pPr>
                  <w:r>
                    <w:rPr>
                      <w:rFonts w:hint="eastAsia"/>
                      <w:color w:val="auto"/>
                      <w:szCs w:val="21"/>
                    </w:rPr>
                    <w:t>10000</w:t>
                  </w:r>
                  <w:r>
                    <w:rPr>
                      <w:color w:val="auto"/>
                      <w:szCs w:val="21"/>
                    </w:rPr>
                    <w:t>卷/a</w:t>
                  </w:r>
                </w:p>
                <w:p>
                  <w:pPr>
                    <w:pStyle w:val="57"/>
                    <w:spacing w:line="240" w:lineRule="auto"/>
                    <w:rPr>
                      <w:color w:val="auto"/>
                      <w:szCs w:val="21"/>
                    </w:rPr>
                  </w:pPr>
                  <w:r>
                    <w:rPr>
                      <w:color w:val="auto"/>
                      <w:szCs w:val="21"/>
                    </w:rPr>
                    <w:t>500t/a</w:t>
                  </w:r>
                </w:p>
              </w:tc>
              <w:tc>
                <w:tcPr>
                  <w:tcW w:w="2292" w:type="pct"/>
                  <w:vAlign w:val="center"/>
                </w:tcPr>
                <w:p>
                  <w:pPr>
                    <w:widowControl/>
                    <w:snapToGrid w:val="0"/>
                    <w:rPr>
                      <w:rFonts w:hint="eastAsia" w:eastAsia="宋体"/>
                      <w:color w:val="auto"/>
                      <w:szCs w:val="21"/>
                      <w:highlight w:val="none"/>
                      <w:lang w:eastAsia="zh-CN"/>
                    </w:rPr>
                  </w:pPr>
                  <w:r>
                    <w:rPr>
                      <w:color w:val="auto"/>
                      <w:szCs w:val="21"/>
                      <w:highlight w:val="none"/>
                    </w:rPr>
                    <w:t>重量：</w:t>
                  </w:r>
                  <w:r>
                    <w:rPr>
                      <w:rFonts w:hint="eastAsia"/>
                      <w:color w:val="auto"/>
                      <w:szCs w:val="21"/>
                      <w:highlight w:val="none"/>
                    </w:rPr>
                    <w:t>50</w:t>
                  </w:r>
                  <w:r>
                    <w:rPr>
                      <w:color w:val="auto"/>
                      <w:szCs w:val="21"/>
                      <w:highlight w:val="none"/>
                    </w:rPr>
                    <w:t>kg/卷；原材料：无纺布、</w:t>
                  </w:r>
                  <w:r>
                    <w:rPr>
                      <w:rFonts w:hint="eastAsia"/>
                      <w:color w:val="auto"/>
                      <w:szCs w:val="21"/>
                      <w:highlight w:val="none"/>
                      <w:lang w:eastAsia="zh-CN"/>
                    </w:rPr>
                    <w:t>水性胶粘剂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4" w:type="pct"/>
                  <w:vAlign w:val="center"/>
                </w:tcPr>
                <w:p>
                  <w:pPr>
                    <w:pStyle w:val="57"/>
                    <w:spacing w:line="240" w:lineRule="auto"/>
                    <w:rPr>
                      <w:color w:val="auto"/>
                      <w:szCs w:val="21"/>
                    </w:rPr>
                  </w:pPr>
                  <w:r>
                    <w:rPr>
                      <w:color w:val="auto"/>
                      <w:szCs w:val="21"/>
                    </w:rPr>
                    <w:t>淋膜无纺布</w:t>
                  </w:r>
                </w:p>
              </w:tc>
              <w:tc>
                <w:tcPr>
                  <w:tcW w:w="823" w:type="pct"/>
                  <w:vAlign w:val="center"/>
                </w:tcPr>
                <w:p>
                  <w:pPr>
                    <w:adjustRightInd w:val="0"/>
                    <w:snapToGrid w:val="0"/>
                    <w:jc w:val="center"/>
                    <w:rPr>
                      <w:color w:val="auto"/>
                      <w:szCs w:val="21"/>
                    </w:rPr>
                  </w:pPr>
                  <w:r>
                    <w:rPr>
                      <w:color w:val="auto"/>
                      <w:szCs w:val="21"/>
                    </w:rPr>
                    <w:t>1.5×50m</w:t>
                  </w:r>
                </w:p>
              </w:tc>
              <w:tc>
                <w:tcPr>
                  <w:tcW w:w="859" w:type="pct"/>
                  <w:vAlign w:val="center"/>
                </w:tcPr>
                <w:p>
                  <w:pPr>
                    <w:pStyle w:val="57"/>
                    <w:spacing w:line="240" w:lineRule="auto"/>
                    <w:rPr>
                      <w:color w:val="auto"/>
                      <w:szCs w:val="21"/>
                    </w:rPr>
                  </w:pPr>
                  <w:r>
                    <w:rPr>
                      <w:color w:val="auto"/>
                      <w:szCs w:val="21"/>
                    </w:rPr>
                    <w:t>5000卷/a</w:t>
                  </w:r>
                </w:p>
                <w:p>
                  <w:pPr>
                    <w:pStyle w:val="57"/>
                    <w:spacing w:line="240" w:lineRule="auto"/>
                    <w:rPr>
                      <w:color w:val="auto"/>
                      <w:szCs w:val="21"/>
                    </w:rPr>
                  </w:pPr>
                  <w:r>
                    <w:rPr>
                      <w:color w:val="auto"/>
                      <w:szCs w:val="21"/>
                    </w:rPr>
                    <w:t>300t/a</w:t>
                  </w:r>
                </w:p>
              </w:tc>
              <w:tc>
                <w:tcPr>
                  <w:tcW w:w="2292" w:type="pct"/>
                  <w:vAlign w:val="center"/>
                </w:tcPr>
                <w:p>
                  <w:pPr>
                    <w:widowControl/>
                    <w:snapToGrid w:val="0"/>
                    <w:rPr>
                      <w:color w:val="auto"/>
                      <w:szCs w:val="21"/>
                      <w:highlight w:val="none"/>
                    </w:rPr>
                  </w:pPr>
                  <w:r>
                    <w:rPr>
                      <w:color w:val="auto"/>
                      <w:szCs w:val="21"/>
                      <w:highlight w:val="none"/>
                    </w:rPr>
                    <w:t>重量：60kg/卷；原材料：无纺布、P</w:t>
                  </w:r>
                  <w:r>
                    <w:rPr>
                      <w:rFonts w:hint="eastAsia"/>
                      <w:color w:val="auto"/>
                      <w:szCs w:val="21"/>
                      <w:highlight w:val="none"/>
                      <w:lang w:val="en-US" w:eastAsia="zh-CN"/>
                    </w:rPr>
                    <w:t>E</w:t>
                  </w:r>
                  <w:r>
                    <w:rPr>
                      <w:color w:val="auto"/>
                      <w:szCs w:val="21"/>
                      <w:highlight w:val="none"/>
                    </w:rPr>
                    <w:t>塑料粒</w:t>
                  </w:r>
                </w:p>
              </w:tc>
            </w:tr>
          </w:tbl>
          <w:p>
            <w:pPr>
              <w:adjustRightInd w:val="0"/>
              <w:snapToGrid w:val="0"/>
              <w:spacing w:line="360" w:lineRule="auto"/>
              <w:ind w:firstLine="480" w:firstLineChars="200"/>
              <w:rPr>
                <w:color w:val="auto"/>
                <w:sz w:val="24"/>
              </w:rPr>
            </w:pPr>
            <w:r>
              <w:rPr>
                <w:color w:val="auto"/>
                <w:sz w:val="24"/>
              </w:rPr>
              <w:t>建设内容：</w:t>
            </w:r>
            <w:r>
              <w:rPr>
                <w:rFonts w:hint="eastAsia"/>
                <w:color w:val="auto"/>
                <w:sz w:val="24"/>
                <w:highlight w:val="none"/>
                <w:lang w:eastAsia="zh-CN"/>
              </w:rPr>
              <w:t>扩建项目</w:t>
            </w:r>
            <w:r>
              <w:rPr>
                <w:rFonts w:hint="eastAsia"/>
                <w:color w:val="auto"/>
                <w:sz w:val="24"/>
              </w:rPr>
              <w:t>利用现有2#厂房，新增2条</w:t>
            </w:r>
            <w:r>
              <w:rPr>
                <w:color w:val="auto"/>
                <w:kern w:val="0"/>
                <w:sz w:val="24"/>
              </w:rPr>
              <w:t>拉幅定型无纺布</w:t>
            </w:r>
            <w:r>
              <w:rPr>
                <w:rFonts w:hint="eastAsia"/>
                <w:color w:val="auto"/>
                <w:kern w:val="0"/>
                <w:sz w:val="24"/>
              </w:rPr>
              <w:t>生产线、2条</w:t>
            </w:r>
            <w:r>
              <w:rPr>
                <w:color w:val="auto"/>
                <w:sz w:val="24"/>
              </w:rPr>
              <w:t>淋膜无纺布</w:t>
            </w:r>
            <w:r>
              <w:rPr>
                <w:rFonts w:hint="eastAsia"/>
                <w:color w:val="auto"/>
                <w:sz w:val="24"/>
              </w:rPr>
              <w:t>生产线，</w:t>
            </w:r>
            <w:r>
              <w:rPr>
                <w:rFonts w:hint="eastAsia"/>
                <w:color w:val="auto"/>
                <w:kern w:val="0"/>
                <w:sz w:val="24"/>
                <w:lang w:eastAsia="zh-CN"/>
              </w:rPr>
              <w:t>扩建项目</w:t>
            </w:r>
            <w:r>
              <w:rPr>
                <w:rFonts w:hint="eastAsia"/>
                <w:color w:val="auto"/>
                <w:kern w:val="0"/>
                <w:sz w:val="24"/>
              </w:rPr>
              <w:t>新增员工食宿依托厂区现有员工食堂、员工宿舍，供水、供电和排水依托</w:t>
            </w:r>
            <w:r>
              <w:rPr>
                <w:rFonts w:hint="eastAsia"/>
                <w:color w:val="auto"/>
                <w:sz w:val="24"/>
              </w:rPr>
              <w:t>厂区</w:t>
            </w:r>
            <w:r>
              <w:rPr>
                <w:rFonts w:hint="eastAsia"/>
                <w:color w:val="auto"/>
                <w:kern w:val="0"/>
                <w:sz w:val="24"/>
              </w:rPr>
              <w:t>现有设施，</w:t>
            </w:r>
            <w:r>
              <w:rPr>
                <w:color w:val="auto"/>
                <w:sz w:val="24"/>
              </w:rPr>
              <w:t>项目组成见表2.2</w:t>
            </w:r>
            <w:r>
              <w:rPr>
                <w:rFonts w:hint="eastAsia"/>
                <w:color w:val="auto"/>
                <w:sz w:val="24"/>
                <w:lang w:eastAsia="zh-CN"/>
              </w:rPr>
              <w:t>，扩建项目依托可行性分析见表</w:t>
            </w:r>
            <w:r>
              <w:rPr>
                <w:rFonts w:hint="eastAsia"/>
                <w:color w:val="auto"/>
                <w:sz w:val="24"/>
                <w:lang w:val="en-US" w:eastAsia="zh-CN"/>
              </w:rPr>
              <w:t>2.3</w:t>
            </w:r>
            <w:r>
              <w:rPr>
                <w:color w:val="auto"/>
                <w:sz w:val="24"/>
              </w:rPr>
              <w:t>。</w:t>
            </w:r>
          </w:p>
          <w:p>
            <w:pPr>
              <w:adjustRightInd w:val="0"/>
              <w:snapToGrid w:val="0"/>
              <w:spacing w:line="360" w:lineRule="auto"/>
              <w:jc w:val="center"/>
              <w:rPr>
                <w:color w:val="auto"/>
                <w:sz w:val="21"/>
                <w:szCs w:val="21"/>
              </w:rPr>
            </w:pPr>
            <w:r>
              <w:rPr>
                <w:color w:val="auto"/>
                <w:sz w:val="21"/>
                <w:szCs w:val="21"/>
              </w:rPr>
              <w:t>表2.</w:t>
            </w:r>
            <w:r>
              <w:rPr>
                <w:rFonts w:hint="eastAsia"/>
                <w:color w:val="auto"/>
                <w:sz w:val="21"/>
                <w:szCs w:val="21"/>
              </w:rPr>
              <w:t>2</w:t>
            </w:r>
            <w:r>
              <w:rPr>
                <w:color w:val="auto"/>
                <w:sz w:val="21"/>
                <w:szCs w:val="21"/>
              </w:rPr>
              <w:t xml:space="preserve"> </w:t>
            </w:r>
            <w:r>
              <w:rPr>
                <w:color w:val="auto"/>
                <w:sz w:val="21"/>
                <w:szCs w:val="21"/>
                <w:highlight w:val="none"/>
              </w:rPr>
              <w:t>项目组成一览表</w:t>
            </w:r>
          </w:p>
          <w:tbl>
            <w:tblPr>
              <w:tblStyle w:val="22"/>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694"/>
              <w:gridCol w:w="977"/>
              <w:gridCol w:w="4827"/>
              <w:gridCol w:w="679"/>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pct"/>
                  <w:tcBorders>
                    <w:top w:val="single" w:color="auto" w:sz="6" w:space="0"/>
                    <w:left w:val="nil"/>
                    <w:bottom w:val="single" w:color="auto" w:sz="6" w:space="0"/>
                    <w:right w:val="single" w:color="auto" w:sz="6" w:space="0"/>
                  </w:tcBorders>
                  <w:vAlign w:val="center"/>
                </w:tcPr>
                <w:p>
                  <w:pPr>
                    <w:adjustRightInd w:val="0"/>
                    <w:snapToGrid w:val="0"/>
                    <w:jc w:val="center"/>
                    <w:rPr>
                      <w:color w:val="auto"/>
                    </w:rPr>
                  </w:pPr>
                  <w:r>
                    <w:rPr>
                      <w:color w:val="auto"/>
                    </w:rPr>
                    <w:t>工程类别</w:t>
                  </w: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项目</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color w:val="auto"/>
                    </w:rPr>
                  </w:pPr>
                  <w:r>
                    <w:rPr>
                      <w:color w:val="auto"/>
                    </w:rPr>
                    <w:t>内容及规模</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备注</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710" w:type="pct"/>
                  <w:vMerge w:val="restart"/>
                  <w:tcBorders>
                    <w:top w:val="single" w:color="auto" w:sz="6" w:space="0"/>
                    <w:left w:val="nil"/>
                    <w:right w:val="single" w:color="auto" w:sz="6" w:space="0"/>
                  </w:tcBorders>
                  <w:vAlign w:val="center"/>
                </w:tcPr>
                <w:p>
                  <w:pPr>
                    <w:adjustRightInd w:val="0"/>
                    <w:snapToGrid w:val="0"/>
                    <w:jc w:val="center"/>
                    <w:rPr>
                      <w:color w:val="auto"/>
                    </w:rPr>
                  </w:pPr>
                  <w:r>
                    <w:rPr>
                      <w:rFonts w:hint="eastAsia"/>
                      <w:color w:val="auto"/>
                    </w:rPr>
                    <w:t>主体工程</w:t>
                  </w: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kern w:val="0"/>
                      <w:szCs w:val="21"/>
                    </w:rPr>
                    <w:t>拉幅定型无纺布生产线</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szCs w:val="21"/>
                      <w:highlight w:val="yellow"/>
                    </w:rPr>
                  </w:pPr>
                  <w:r>
                    <w:rPr>
                      <w:rFonts w:hint="eastAsia"/>
                      <w:color w:val="auto"/>
                      <w:szCs w:val="21"/>
                    </w:rPr>
                    <w:t>2条</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highlight w:val="none"/>
                    </w:rPr>
                    <w:t>生产能力为</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000卷/a·</w:t>
                  </w:r>
                  <w:r>
                    <w:rPr>
                      <w:rFonts w:hint="default" w:ascii="Times New Roman" w:hAnsi="Times New Roman" w:eastAsia="宋体" w:cs="Times New Roman"/>
                      <w:color w:val="auto"/>
                      <w:szCs w:val="21"/>
                      <w:highlight w:val="none"/>
                      <w:lang w:eastAsia="zh-CN"/>
                    </w:rPr>
                    <w:t>条</w:t>
                  </w:r>
                  <w:r>
                    <w:rPr>
                      <w:rFonts w:hint="default" w:ascii="Times New Roman" w:hAnsi="Times New Roman" w:eastAsia="宋体" w:cs="Times New Roman"/>
                      <w:color w:val="auto"/>
                      <w:szCs w:val="21"/>
                      <w:highlight w:val="none"/>
                    </w:rPr>
                    <w:t>（500t/a·</w:t>
                  </w:r>
                  <w:r>
                    <w:rPr>
                      <w:rFonts w:hint="default" w:ascii="Times New Roman" w:hAnsi="Times New Roman" w:eastAsia="宋体" w:cs="Times New Roman"/>
                      <w:color w:val="auto"/>
                      <w:szCs w:val="21"/>
                      <w:highlight w:val="none"/>
                      <w:lang w:eastAsia="zh-CN"/>
                    </w:rPr>
                    <w:t>条</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rPr>
                    <w:t>传送带</w:t>
                  </w:r>
                  <w:r>
                    <w:rPr>
                      <w:rFonts w:hint="default" w:ascii="Times New Roman" w:hAnsi="Times New Roman" w:eastAsia="宋体" w:cs="Times New Roman"/>
                      <w:color w:val="auto"/>
                    </w:rPr>
                    <w:t>运行速度4m/min，传输带长度50m，烘烤</w:t>
                  </w:r>
                  <w:r>
                    <w:rPr>
                      <w:rFonts w:hint="eastAsia"/>
                      <w:color w:val="auto"/>
                    </w:rPr>
                    <w:t>段传输带长度25m。主要工序包括：开卷、涂胶、烘干、收卷。</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szCs w:val="21"/>
                    </w:rPr>
                  </w:pPr>
                  <w:r>
                    <w:rPr>
                      <w:rFonts w:hint="eastAsia"/>
                      <w:color w:val="auto"/>
                      <w:szCs w:val="21"/>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pct"/>
                  <w:vMerge w:val="continue"/>
                  <w:tcBorders>
                    <w:left w:val="nil"/>
                    <w:right w:val="single" w:color="auto" w:sz="6" w:space="0"/>
                  </w:tcBorders>
                  <w:vAlign w:val="center"/>
                </w:tcPr>
                <w:p>
                  <w:pPr>
                    <w:adjustRightInd w:val="0"/>
                    <w:snapToGrid w:val="0"/>
                    <w:jc w:val="center"/>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淋膜无纺布</w:t>
                  </w:r>
                  <w:r>
                    <w:rPr>
                      <w:rFonts w:hint="eastAsia"/>
                      <w:color w:val="auto"/>
                      <w:szCs w:val="21"/>
                    </w:rPr>
                    <w:t>生产线</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szCs w:val="21"/>
                      <w:highlight w:val="yellow"/>
                    </w:rPr>
                  </w:pPr>
                  <w:r>
                    <w:rPr>
                      <w:rFonts w:hint="eastAsia"/>
                      <w:color w:val="auto"/>
                      <w:szCs w:val="21"/>
                      <w:highlight w:val="none"/>
                    </w:rPr>
                    <w:t>2条，生产能力为</w:t>
                  </w:r>
                  <w:r>
                    <w:rPr>
                      <w:rFonts w:hint="eastAsia"/>
                      <w:color w:val="auto"/>
                      <w:szCs w:val="21"/>
                      <w:highlight w:val="none"/>
                      <w:lang w:val="en-US" w:eastAsia="zh-CN"/>
                    </w:rPr>
                    <w:t>25</w:t>
                  </w:r>
                  <w:r>
                    <w:rPr>
                      <w:rFonts w:hint="eastAsia"/>
                      <w:color w:val="auto"/>
                      <w:szCs w:val="21"/>
                      <w:highlight w:val="none"/>
                    </w:rPr>
                    <w:t>00卷/a</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条</w:t>
                  </w:r>
                  <w:r>
                    <w:rPr>
                      <w:rFonts w:hint="eastAsia"/>
                      <w:color w:val="auto"/>
                      <w:szCs w:val="21"/>
                      <w:highlight w:val="none"/>
                    </w:rPr>
                    <w:t>（</w:t>
                  </w:r>
                  <w:r>
                    <w:rPr>
                      <w:rFonts w:hint="eastAsia"/>
                      <w:color w:val="auto"/>
                      <w:szCs w:val="21"/>
                      <w:highlight w:val="none"/>
                      <w:lang w:val="en-US" w:eastAsia="zh-CN"/>
                    </w:rPr>
                    <w:t>15</w:t>
                  </w:r>
                  <w:r>
                    <w:rPr>
                      <w:rFonts w:hint="eastAsia"/>
                      <w:color w:val="auto"/>
                      <w:szCs w:val="21"/>
                      <w:highlight w:val="none"/>
                    </w:rPr>
                    <w:t>0t/a</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条</w:t>
                  </w:r>
                  <w:r>
                    <w:rPr>
                      <w:rFonts w:hint="eastAsia"/>
                      <w:color w:val="auto"/>
                      <w:szCs w:val="21"/>
                      <w:highlight w:val="none"/>
                    </w:rPr>
                    <w:t>），</w:t>
                  </w:r>
                  <w:r>
                    <w:rPr>
                      <w:rFonts w:hint="eastAsia"/>
                      <w:color w:val="auto"/>
                      <w:szCs w:val="21"/>
                    </w:rPr>
                    <w:t>传送</w:t>
                  </w:r>
                  <w:r>
                    <w:rPr>
                      <w:rFonts w:hint="eastAsia"/>
                      <w:color w:val="auto"/>
                    </w:rPr>
                    <w:t>速度2m/min，。主要工序包括：开卷、热融、淋膜、冷却、收卷。</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szCs w:val="21"/>
                    </w:rPr>
                  </w:pPr>
                  <w:r>
                    <w:rPr>
                      <w:rFonts w:hint="eastAsia"/>
                      <w:color w:val="auto"/>
                      <w:szCs w:val="21"/>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10" w:type="pct"/>
                  <w:vMerge w:val="restart"/>
                  <w:tcBorders>
                    <w:top w:val="single" w:color="auto" w:sz="6" w:space="0"/>
                    <w:left w:val="nil"/>
                    <w:right w:val="single" w:color="auto" w:sz="6" w:space="0"/>
                  </w:tcBorders>
                  <w:vAlign w:val="center"/>
                </w:tcPr>
                <w:p>
                  <w:pPr>
                    <w:adjustRightInd w:val="0"/>
                    <w:snapToGrid w:val="0"/>
                    <w:jc w:val="center"/>
                    <w:rPr>
                      <w:color w:val="auto"/>
                    </w:rPr>
                  </w:pPr>
                  <w:r>
                    <w:rPr>
                      <w:color w:val="auto"/>
                    </w:rPr>
                    <w:t>储运工程</w:t>
                  </w: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成品</w:t>
                  </w:r>
                  <w:r>
                    <w:rPr>
                      <w:rFonts w:hint="eastAsia"/>
                      <w:color w:val="auto"/>
                    </w:rPr>
                    <w:t>堆放</w:t>
                  </w:r>
                  <w:r>
                    <w:rPr>
                      <w:color w:val="auto"/>
                    </w:rPr>
                    <w:t>区</w:t>
                  </w:r>
                </w:p>
              </w:tc>
              <w:tc>
                <w:tcPr>
                  <w:tcW w:w="2884" w:type="pct"/>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color w:val="auto"/>
                      <w:highlight w:val="yellow"/>
                    </w:rPr>
                  </w:pPr>
                  <w:r>
                    <w:rPr>
                      <w:rFonts w:hint="eastAsia"/>
                      <w:color w:val="auto"/>
                    </w:rPr>
                    <w:t>依托现有成品堆放区，建筑面积约450m</w:t>
                  </w:r>
                  <w:r>
                    <w:rPr>
                      <w:rFonts w:hint="eastAsia"/>
                      <w:color w:val="auto"/>
                      <w:vertAlign w:val="superscript"/>
                    </w:rPr>
                    <w:t>2</w:t>
                  </w:r>
                  <w:r>
                    <w:rPr>
                      <w:rFonts w:hint="eastAsia"/>
                      <w:color w:val="auto"/>
                    </w:rPr>
                    <w:t>，设置在2#厂房的西北部，贮存无纺布、成品拉幅定型无纺布、淋膜无纺布。</w:t>
                  </w:r>
                </w:p>
              </w:tc>
              <w:tc>
                <w:tcPr>
                  <w:tcW w:w="406" w:type="pct"/>
                  <w:tcBorders>
                    <w:top w:val="single" w:color="auto" w:sz="6" w:space="0"/>
                    <w:left w:val="single" w:color="auto" w:sz="4" w:space="0"/>
                    <w:bottom w:val="single" w:color="auto" w:sz="6" w:space="0"/>
                    <w:right w:val="nil"/>
                  </w:tcBorders>
                  <w:vAlign w:val="center"/>
                </w:tcPr>
                <w:p>
                  <w:pPr>
                    <w:widowControl/>
                    <w:adjustRightInd w:val="0"/>
                    <w:snapToGrid w:val="0"/>
                    <w:jc w:val="center"/>
                    <w:rPr>
                      <w:color w:val="auto"/>
                      <w:highlight w:val="yellow"/>
                    </w:rPr>
                  </w:pPr>
                  <w:r>
                    <w:rPr>
                      <w:rFonts w:hint="eastAsia"/>
                      <w:color w:val="auto"/>
                      <w:szCs w:val="21"/>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710" w:type="pct"/>
                  <w:vMerge w:val="continue"/>
                  <w:tcBorders>
                    <w:left w:val="nil"/>
                    <w:right w:val="single" w:color="auto" w:sz="6" w:space="0"/>
                  </w:tcBorders>
                  <w:vAlign w:val="center"/>
                </w:tcPr>
                <w:p>
                  <w:pPr>
                    <w:widowControl/>
                    <w:jc w:val="left"/>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原材料</w:t>
                  </w:r>
                  <w:r>
                    <w:rPr>
                      <w:rFonts w:hint="eastAsia"/>
                      <w:color w:val="auto"/>
                    </w:rPr>
                    <w:t>堆放</w:t>
                  </w:r>
                  <w:r>
                    <w:rPr>
                      <w:color w:val="auto"/>
                    </w:rPr>
                    <w:t>区</w:t>
                  </w:r>
                </w:p>
              </w:tc>
              <w:tc>
                <w:tcPr>
                  <w:tcW w:w="2884" w:type="pct"/>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color w:val="auto"/>
                      <w:highlight w:val="yellow"/>
                    </w:rPr>
                  </w:pPr>
                  <w:r>
                    <w:rPr>
                      <w:rFonts w:hint="eastAsia"/>
                      <w:color w:val="auto"/>
                    </w:rPr>
                    <w:t>依托现有原材料堆放区，建筑面积约450m</w:t>
                  </w:r>
                  <w:r>
                    <w:rPr>
                      <w:rFonts w:hint="eastAsia"/>
                      <w:color w:val="auto"/>
                      <w:vertAlign w:val="superscript"/>
                    </w:rPr>
                    <w:t>2</w:t>
                  </w:r>
                  <w:r>
                    <w:rPr>
                      <w:rFonts w:hint="eastAsia"/>
                      <w:color w:val="auto"/>
                    </w:rPr>
                    <w:t>，设置在2#厂房的西北部，贮存P</w:t>
                  </w:r>
                  <w:r>
                    <w:rPr>
                      <w:rFonts w:hint="eastAsia"/>
                      <w:color w:val="auto"/>
                      <w:lang w:val="en-US" w:eastAsia="zh-CN"/>
                    </w:rPr>
                    <w:t>E</w:t>
                  </w:r>
                  <w:r>
                    <w:rPr>
                      <w:rFonts w:hint="eastAsia"/>
                      <w:color w:val="auto"/>
                    </w:rPr>
                    <w:t>塑料粒、胶粘剂等</w:t>
                  </w:r>
                </w:p>
              </w:tc>
              <w:tc>
                <w:tcPr>
                  <w:tcW w:w="406" w:type="pct"/>
                  <w:tcBorders>
                    <w:top w:val="single" w:color="auto" w:sz="6" w:space="0"/>
                    <w:left w:val="single" w:color="auto" w:sz="4" w:space="0"/>
                    <w:bottom w:val="single" w:color="auto" w:sz="6" w:space="0"/>
                    <w:right w:val="nil"/>
                  </w:tcBorders>
                  <w:vAlign w:val="center"/>
                </w:tcPr>
                <w:p>
                  <w:pPr>
                    <w:widowControl/>
                    <w:adjustRightInd w:val="0"/>
                    <w:snapToGrid w:val="0"/>
                    <w:jc w:val="center"/>
                    <w:rPr>
                      <w:color w:val="auto"/>
                      <w:highlight w:val="yellow"/>
                    </w:rPr>
                  </w:pPr>
                  <w:r>
                    <w:rPr>
                      <w:rFonts w:hint="eastAsia"/>
                      <w:color w:val="auto"/>
                      <w:szCs w:val="21"/>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pct"/>
                  <w:tcBorders>
                    <w:top w:val="single" w:color="auto" w:sz="4" w:space="0"/>
                    <w:left w:val="nil"/>
                    <w:right w:val="single" w:color="auto" w:sz="6" w:space="0"/>
                  </w:tcBorders>
                  <w:vAlign w:val="center"/>
                </w:tcPr>
                <w:p>
                  <w:pPr>
                    <w:adjustRightInd w:val="0"/>
                    <w:snapToGrid w:val="0"/>
                    <w:jc w:val="center"/>
                    <w:rPr>
                      <w:color w:val="auto"/>
                    </w:rPr>
                  </w:pPr>
                  <w:r>
                    <w:rPr>
                      <w:color w:val="auto"/>
                    </w:rPr>
                    <w:t>辅助工程</w:t>
                  </w:r>
                </w:p>
              </w:tc>
              <w:tc>
                <w:tcPr>
                  <w:tcW w:w="998" w:type="pct"/>
                  <w:gridSpan w:val="2"/>
                  <w:tcBorders>
                    <w:top w:val="single" w:color="auto" w:sz="4" w:space="0"/>
                    <w:left w:val="single" w:color="auto" w:sz="6" w:space="0"/>
                    <w:right w:val="single" w:color="auto" w:sz="6" w:space="0"/>
                  </w:tcBorders>
                  <w:vAlign w:val="center"/>
                </w:tcPr>
                <w:p>
                  <w:pPr>
                    <w:adjustRightInd w:val="0"/>
                    <w:snapToGrid w:val="0"/>
                    <w:jc w:val="center"/>
                    <w:rPr>
                      <w:color w:val="auto"/>
                    </w:rPr>
                  </w:pPr>
                  <w:r>
                    <w:rPr>
                      <w:color w:val="auto"/>
                    </w:rPr>
                    <w:t>综合楼</w:t>
                  </w:r>
                </w:p>
              </w:tc>
              <w:tc>
                <w:tcPr>
                  <w:tcW w:w="2884" w:type="pct"/>
                  <w:tcBorders>
                    <w:top w:val="single" w:color="auto" w:sz="6" w:space="0"/>
                    <w:left w:val="single" w:color="auto" w:sz="6" w:space="0"/>
                    <w:right w:val="single" w:color="auto" w:sz="4" w:space="0"/>
                  </w:tcBorders>
                  <w:vAlign w:val="center"/>
                </w:tcPr>
                <w:p>
                  <w:pPr>
                    <w:adjustRightInd w:val="0"/>
                    <w:snapToGrid w:val="0"/>
                    <w:rPr>
                      <w:color w:val="auto"/>
                    </w:rPr>
                  </w:pPr>
                  <w:r>
                    <w:rPr>
                      <w:rFonts w:hint="eastAsia"/>
                      <w:color w:val="auto"/>
                      <w:szCs w:val="21"/>
                    </w:rPr>
                    <w:t>高3层，其中1F设置为员工食堂、展览大厅、检验区；2F设置为行政办公室；3F设置为员工宿舍</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szCs w:val="21"/>
                      <w:highlight w:val="yellow"/>
                    </w:rPr>
                  </w:pPr>
                  <w:r>
                    <w:rPr>
                      <w:rFonts w:hint="eastAsia"/>
                      <w:color w:val="auto"/>
                      <w:szCs w:val="21"/>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restart"/>
                  <w:tcBorders>
                    <w:top w:val="single" w:color="auto" w:sz="6" w:space="0"/>
                    <w:left w:val="nil"/>
                    <w:bottom w:val="single" w:color="auto" w:sz="6" w:space="0"/>
                    <w:right w:val="single" w:color="auto" w:sz="6" w:space="0"/>
                  </w:tcBorders>
                  <w:vAlign w:val="center"/>
                </w:tcPr>
                <w:p>
                  <w:pPr>
                    <w:widowControl/>
                    <w:jc w:val="center"/>
                    <w:rPr>
                      <w:color w:val="auto"/>
                    </w:rPr>
                  </w:pPr>
                  <w:r>
                    <w:rPr>
                      <w:color w:val="auto"/>
                      <w:highlight w:val="none"/>
                    </w:rPr>
                    <w:t>公用工程</w:t>
                  </w: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给水</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依托厂区现有给水管网，由厂区东南面市政供水管网接入</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left w:val="nil"/>
                    <w:right w:val="single" w:color="auto" w:sz="6" w:space="0"/>
                  </w:tcBorders>
                  <w:vAlign w:val="center"/>
                </w:tcPr>
                <w:p>
                  <w:pPr>
                    <w:widowControl/>
                    <w:jc w:val="center"/>
                    <w:rPr>
                      <w:color w:val="auto"/>
                    </w:rPr>
                  </w:pPr>
                </w:p>
              </w:tc>
              <w:tc>
                <w:tcPr>
                  <w:tcW w:w="1671" w:type="dxa"/>
                  <w:gridSpan w:val="2"/>
                  <w:tcBorders>
                    <w:top w:val="single" w:color="auto" w:sz="6" w:space="0"/>
                    <w:left w:val="single" w:color="auto" w:sz="6" w:space="0"/>
                    <w:bottom w:val="single" w:color="auto" w:sz="6" w:space="0"/>
                    <w:right w:val="single" w:color="auto" w:sz="6" w:space="0"/>
                  </w:tcBorders>
                  <w:vAlign w:val="center"/>
                </w:tcPr>
                <w:p>
                  <w:pPr>
                    <w:jc w:val="center"/>
                    <w:rPr>
                      <w:color w:val="auto"/>
                    </w:rPr>
                  </w:pPr>
                  <w:r>
                    <w:rPr>
                      <w:rFonts w:hint="eastAsia"/>
                      <w:color w:val="auto"/>
                      <w:szCs w:val="21"/>
                    </w:rPr>
                    <w:t>冷却水循环系统</w:t>
                  </w:r>
                </w:p>
              </w:tc>
              <w:tc>
                <w:tcPr>
                  <w:tcW w:w="4827" w:type="dxa"/>
                  <w:tcBorders>
                    <w:top w:val="single" w:color="auto" w:sz="6" w:space="0"/>
                    <w:left w:val="single" w:color="auto" w:sz="6" w:space="0"/>
                    <w:bottom w:val="single" w:color="auto" w:sz="6" w:space="0"/>
                    <w:right w:val="single" w:color="auto" w:sz="4" w:space="0"/>
                  </w:tcBorders>
                  <w:vAlign w:val="center"/>
                </w:tcPr>
                <w:p>
                  <w:pPr>
                    <w:rPr>
                      <w:rFonts w:hint="eastAsia"/>
                      <w:color w:val="auto"/>
                    </w:rPr>
                  </w:pPr>
                  <w:r>
                    <w:rPr>
                      <w:rFonts w:hint="eastAsia"/>
                      <w:color w:val="auto"/>
                      <w:szCs w:val="21"/>
                    </w:rPr>
                    <w:t>厂房北侧设配备1套</w:t>
                  </w:r>
                  <w:r>
                    <w:rPr>
                      <w:rFonts w:hint="eastAsia"/>
                      <w:color w:val="auto"/>
                      <w:kern w:val="0"/>
                      <w:szCs w:val="21"/>
                    </w:rPr>
                    <w:t>冷却塔</w:t>
                  </w:r>
                  <w:r>
                    <w:rPr>
                      <w:rFonts w:hint="eastAsia"/>
                      <w:color w:val="auto"/>
                      <w:szCs w:val="21"/>
                    </w:rPr>
                    <w:t>，循环水池容积为80m</w:t>
                  </w:r>
                  <w:r>
                    <w:rPr>
                      <w:rFonts w:hint="eastAsia"/>
                      <w:color w:val="auto"/>
                      <w:szCs w:val="21"/>
                      <w:vertAlign w:val="superscript"/>
                    </w:rPr>
                    <w:t>3</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rFonts w:hint="eastAsia" w:eastAsia="宋体"/>
                      <w:color w:val="auto"/>
                      <w:lang w:eastAsia="zh-CN"/>
                    </w:rPr>
                  </w:pPr>
                  <w:r>
                    <w:rPr>
                      <w:rFonts w:hint="eastAsia"/>
                      <w:color w:val="auto"/>
                      <w:lang w:eastAsia="zh-CN"/>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top w:val="single" w:color="auto" w:sz="6" w:space="0"/>
                    <w:left w:val="nil"/>
                    <w:bottom w:val="single" w:color="auto" w:sz="6" w:space="0"/>
                    <w:right w:val="single" w:color="auto" w:sz="6" w:space="0"/>
                  </w:tcBorders>
                  <w:vAlign w:val="center"/>
                </w:tcPr>
                <w:p>
                  <w:pPr>
                    <w:widowControl/>
                    <w:jc w:val="left"/>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排水</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color w:val="auto"/>
                    </w:rPr>
                    <w:t>依托厂区现有排水管网，采用雨、污分流，雨水</w:t>
                  </w:r>
                  <w:r>
                    <w:rPr>
                      <w:rFonts w:hint="eastAsia"/>
                      <w:color w:val="auto"/>
                    </w:rPr>
                    <w:t>接入厂区东南角</w:t>
                  </w:r>
                  <w:r>
                    <w:rPr>
                      <w:color w:val="auto"/>
                    </w:rPr>
                    <w:t>市政雨水管网，废水</w:t>
                  </w:r>
                  <w:r>
                    <w:rPr>
                      <w:rFonts w:hint="eastAsia"/>
                      <w:color w:val="auto"/>
                    </w:rPr>
                    <w:t>经处理后</w:t>
                  </w:r>
                  <w:r>
                    <w:rPr>
                      <w:color w:val="auto"/>
                    </w:rPr>
                    <w:t>接入</w:t>
                  </w:r>
                  <w:r>
                    <w:rPr>
                      <w:rFonts w:hint="eastAsia"/>
                      <w:color w:val="auto"/>
                    </w:rPr>
                    <w:t>厂区东南角的</w:t>
                  </w:r>
                  <w:r>
                    <w:rPr>
                      <w:color w:val="auto"/>
                    </w:rPr>
                    <w:t>市政污水管网，经</w:t>
                  </w:r>
                  <w:r>
                    <w:rPr>
                      <w:rFonts w:hint="eastAsia"/>
                      <w:color w:val="auto"/>
                    </w:rPr>
                    <w:t>蒲吕</w:t>
                  </w:r>
                  <w:r>
                    <w:rPr>
                      <w:color w:val="auto"/>
                    </w:rPr>
                    <w:t>污水处理厂深度处理达标后排入</w:t>
                  </w:r>
                  <w:r>
                    <w:rPr>
                      <w:rFonts w:hint="eastAsia"/>
                      <w:color w:val="auto"/>
                    </w:rPr>
                    <w:t>小安溪</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top w:val="single" w:color="auto" w:sz="6" w:space="0"/>
                    <w:left w:val="nil"/>
                    <w:bottom w:val="single" w:color="auto" w:sz="6" w:space="0"/>
                    <w:right w:val="single" w:color="auto" w:sz="6" w:space="0"/>
                  </w:tcBorders>
                  <w:vAlign w:val="center"/>
                </w:tcPr>
                <w:p>
                  <w:pPr>
                    <w:widowControl/>
                    <w:jc w:val="left"/>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供气</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依托厂区现有供气管网</w:t>
                  </w:r>
                  <w:r>
                    <w:rPr>
                      <w:color w:val="auto"/>
                    </w:rPr>
                    <w:t>，由</w:t>
                  </w:r>
                  <w:r>
                    <w:rPr>
                      <w:rFonts w:hint="eastAsia"/>
                      <w:color w:val="auto"/>
                    </w:rPr>
                    <w:t>厂区东南面天然气</w:t>
                  </w:r>
                  <w:r>
                    <w:rPr>
                      <w:color w:val="auto"/>
                    </w:rPr>
                    <w:t>供气管网接入</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top w:val="single" w:color="auto" w:sz="6" w:space="0"/>
                    <w:left w:val="nil"/>
                    <w:bottom w:val="single" w:color="auto" w:sz="6" w:space="0"/>
                    <w:right w:val="single" w:color="auto" w:sz="6" w:space="0"/>
                  </w:tcBorders>
                  <w:vAlign w:val="center"/>
                </w:tcPr>
                <w:p>
                  <w:pPr>
                    <w:widowControl/>
                    <w:jc w:val="left"/>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供配电</w:t>
                  </w:r>
                </w:p>
              </w:tc>
              <w:tc>
                <w:tcPr>
                  <w:tcW w:w="2884" w:type="pct"/>
                  <w:tcBorders>
                    <w:top w:val="single" w:color="auto" w:sz="6" w:space="0"/>
                    <w:left w:val="single" w:color="auto" w:sz="6" w:space="0"/>
                    <w:bottom w:val="single" w:color="auto" w:sz="6" w:space="0"/>
                    <w:right w:val="single" w:color="auto" w:sz="4" w:space="0"/>
                  </w:tcBorders>
                  <w:vAlign w:val="center"/>
                </w:tcPr>
                <w:p>
                  <w:pPr>
                    <w:tabs>
                      <w:tab w:val="center" w:pos="2250"/>
                    </w:tabs>
                    <w:adjustRightInd w:val="0"/>
                    <w:snapToGrid w:val="0"/>
                    <w:rPr>
                      <w:color w:val="auto"/>
                    </w:rPr>
                  </w:pPr>
                  <w:r>
                    <w:rPr>
                      <w:color w:val="auto"/>
                    </w:rPr>
                    <w:t>依托厂区现有供电网络</w:t>
                  </w:r>
                  <w:r>
                    <w:rPr>
                      <w:rFonts w:hint="eastAsia"/>
                      <w:color w:val="auto"/>
                    </w:rPr>
                    <w:tab/>
                  </w:r>
                  <w:r>
                    <w:rPr>
                      <w:color w:val="auto"/>
                    </w:rPr>
                    <w:t>，由</w:t>
                  </w:r>
                  <w:r>
                    <w:rPr>
                      <w:rFonts w:hint="eastAsia"/>
                      <w:color w:val="auto"/>
                    </w:rPr>
                    <w:t>厂区东南面市政供电网络</w:t>
                  </w:r>
                  <w:r>
                    <w:rPr>
                      <w:color w:val="auto"/>
                    </w:rPr>
                    <w:t>接入</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pct"/>
                  <w:vMerge w:val="restart"/>
                  <w:tcBorders>
                    <w:top w:val="single" w:color="auto" w:sz="6" w:space="0"/>
                    <w:left w:val="nil"/>
                    <w:right w:val="single" w:color="auto" w:sz="6" w:space="0"/>
                  </w:tcBorders>
                  <w:vAlign w:val="center"/>
                </w:tcPr>
                <w:p>
                  <w:pPr>
                    <w:widowControl/>
                    <w:jc w:val="center"/>
                    <w:rPr>
                      <w:color w:val="auto"/>
                    </w:rPr>
                  </w:pPr>
                  <w:r>
                    <w:rPr>
                      <w:color w:val="auto"/>
                    </w:rPr>
                    <w:t>环保工程</w:t>
                  </w: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废气处理</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涂胶、烘干工序产生的挥发性有机物经集气罩收集后采</w:t>
                  </w:r>
                  <w:r>
                    <w:rPr>
                      <w:rFonts w:hint="eastAsia"/>
                      <w:color w:val="auto"/>
                      <w:highlight w:val="none"/>
                    </w:rPr>
                    <w:t>用“</w:t>
                  </w:r>
                  <w:r>
                    <w:rPr>
                      <w:rFonts w:hint="eastAsia"/>
                      <w:color w:val="auto"/>
                      <w:highlight w:val="none"/>
                      <w:lang w:val="en-US" w:eastAsia="zh-CN"/>
                    </w:rPr>
                    <w:t>UV光解+</w:t>
                  </w:r>
                  <w:r>
                    <w:rPr>
                      <w:rFonts w:hint="eastAsia"/>
                      <w:color w:val="auto"/>
                      <w:highlight w:val="none"/>
                    </w:rPr>
                    <w:t>二级活性炭吸附”处理后，最后引至15m高的3#排气筒排放；淋膜、冷却工序产生的挥发性有机物经集气罩收集后采用“</w:t>
                  </w:r>
                  <w:r>
                    <w:rPr>
                      <w:rFonts w:hint="eastAsia"/>
                      <w:color w:val="auto"/>
                      <w:highlight w:val="none"/>
                      <w:lang w:val="en-US" w:eastAsia="zh-CN"/>
                    </w:rPr>
                    <w:t>UV光解+</w:t>
                  </w:r>
                  <w:r>
                    <w:rPr>
                      <w:rFonts w:hint="eastAsia"/>
                      <w:color w:val="auto"/>
                      <w:highlight w:val="none"/>
                    </w:rPr>
                    <w:t>二级活性炭吸附”处理后，最后引至15m高的4#排气筒排放</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szCs w:val="21"/>
                    </w:rPr>
                    <w:t>新增</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left w:val="nil"/>
                    <w:right w:val="single" w:color="auto" w:sz="6" w:space="0"/>
                  </w:tcBorders>
                  <w:vAlign w:val="center"/>
                </w:tcPr>
                <w:p>
                  <w:pPr>
                    <w:widowControl/>
                    <w:jc w:val="left"/>
                    <w:rPr>
                      <w:color w:val="auto"/>
                    </w:rPr>
                  </w:pPr>
                </w:p>
              </w:tc>
              <w:tc>
                <w:tcPr>
                  <w:tcW w:w="998"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rPr>
                  </w:pPr>
                  <w:r>
                    <w:rPr>
                      <w:color w:val="auto"/>
                    </w:rPr>
                    <w:t>废水处理</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员工食堂建有处理能力为2m</w:t>
                  </w:r>
                  <w:r>
                    <w:rPr>
                      <w:rFonts w:hint="eastAsia"/>
                      <w:color w:val="auto"/>
                      <w:vertAlign w:val="superscript"/>
                    </w:rPr>
                    <w:t>3</w:t>
                  </w:r>
                  <w:r>
                    <w:rPr>
                      <w:rFonts w:hint="eastAsia"/>
                      <w:color w:val="auto"/>
                    </w:rPr>
                    <w:t>/d的隔油池、厂区东南角建有处理能力为20m</w:t>
                  </w:r>
                  <w:r>
                    <w:rPr>
                      <w:rFonts w:hint="eastAsia"/>
                      <w:color w:val="auto"/>
                      <w:vertAlign w:val="superscript"/>
                    </w:rPr>
                    <w:t>3</w:t>
                  </w:r>
                  <w:r>
                    <w:rPr>
                      <w:rFonts w:hint="eastAsia"/>
                      <w:color w:val="auto"/>
                    </w:rPr>
                    <w:t>/d的生化池，食堂废水经隔油处理后与生活污水进入生化池处理达三级标准后排入市政污水管网，经东城污水处理厂深度处理达一级B标后排入淮远河。</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left w:val="nil"/>
                    <w:right w:val="single" w:color="auto" w:sz="6" w:space="0"/>
                  </w:tcBorders>
                  <w:vAlign w:val="center"/>
                </w:tcPr>
                <w:p>
                  <w:pPr>
                    <w:widowControl/>
                    <w:jc w:val="left"/>
                    <w:rPr>
                      <w:color w:val="auto"/>
                    </w:rPr>
                  </w:pPr>
                </w:p>
              </w:tc>
              <w:tc>
                <w:tcPr>
                  <w:tcW w:w="414" w:type="pct"/>
                  <w:vMerge w:val="restart"/>
                  <w:tcBorders>
                    <w:top w:val="single" w:color="auto" w:sz="6" w:space="0"/>
                    <w:left w:val="single" w:color="auto" w:sz="6" w:space="0"/>
                    <w:right w:val="single" w:color="auto" w:sz="4" w:space="0"/>
                  </w:tcBorders>
                  <w:vAlign w:val="center"/>
                </w:tcPr>
                <w:p>
                  <w:pPr>
                    <w:adjustRightInd w:val="0"/>
                    <w:snapToGrid w:val="0"/>
                    <w:jc w:val="center"/>
                    <w:rPr>
                      <w:color w:val="auto"/>
                    </w:rPr>
                  </w:pPr>
                  <w:r>
                    <w:rPr>
                      <w:color w:val="auto"/>
                    </w:rPr>
                    <w:t>固废</w:t>
                  </w:r>
                </w:p>
                <w:p>
                  <w:pPr>
                    <w:adjustRightInd w:val="0"/>
                    <w:snapToGrid w:val="0"/>
                    <w:jc w:val="center"/>
                    <w:rPr>
                      <w:color w:val="auto"/>
                    </w:rPr>
                  </w:pPr>
                  <w:r>
                    <w:rPr>
                      <w:color w:val="auto"/>
                    </w:rPr>
                    <w:t>处理</w:t>
                  </w:r>
                </w:p>
              </w:tc>
              <w:tc>
                <w:tcPr>
                  <w:tcW w:w="583" w:type="pc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color w:val="auto"/>
                    </w:rPr>
                  </w:pPr>
                  <w:r>
                    <w:rPr>
                      <w:color w:val="auto"/>
                    </w:rPr>
                    <w:t>危险</w:t>
                  </w:r>
                </w:p>
                <w:p>
                  <w:pPr>
                    <w:adjustRightInd w:val="0"/>
                    <w:snapToGrid w:val="0"/>
                    <w:jc w:val="center"/>
                    <w:rPr>
                      <w:color w:val="auto"/>
                    </w:rPr>
                  </w:pPr>
                  <w:r>
                    <w:rPr>
                      <w:color w:val="auto"/>
                    </w:rPr>
                    <w:t>废物</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2#</w:t>
                  </w:r>
                  <w:r>
                    <w:rPr>
                      <w:color w:val="auto"/>
                    </w:rPr>
                    <w:t>厂房</w:t>
                  </w:r>
                  <w:r>
                    <w:rPr>
                      <w:rFonts w:hint="eastAsia"/>
                      <w:color w:val="auto"/>
                    </w:rPr>
                    <w:t>东北侧</w:t>
                  </w:r>
                  <w:r>
                    <w:rPr>
                      <w:color w:val="auto"/>
                    </w:rPr>
                    <w:t>设置1个面积为</w:t>
                  </w:r>
                  <w:r>
                    <w:rPr>
                      <w:rFonts w:hint="eastAsia"/>
                      <w:color w:val="auto"/>
                    </w:rPr>
                    <w:t>10</w:t>
                  </w:r>
                  <w:r>
                    <w:rPr>
                      <w:color w:val="auto"/>
                    </w:rPr>
                    <w:t>m</w:t>
                  </w:r>
                  <w:r>
                    <w:rPr>
                      <w:color w:val="auto"/>
                      <w:vertAlign w:val="superscript"/>
                    </w:rPr>
                    <w:t>2</w:t>
                  </w:r>
                  <w:r>
                    <w:rPr>
                      <w:color w:val="auto"/>
                    </w:rPr>
                    <w:t>危险废物暂存间，其地面及裙角进行防腐、防渗处理，并设置</w:t>
                  </w:r>
                  <w:r>
                    <w:rPr>
                      <w:rFonts w:hint="eastAsia"/>
                      <w:color w:val="auto"/>
                      <w:lang w:eastAsia="zh-CN"/>
                    </w:rPr>
                    <w:t>围挡</w:t>
                  </w:r>
                  <w:r>
                    <w:rPr>
                      <w:color w:val="auto"/>
                    </w:rPr>
                    <w:t>，</w:t>
                  </w:r>
                  <w:r>
                    <w:rPr>
                      <w:rFonts w:hint="eastAsia"/>
                      <w:color w:val="auto"/>
                    </w:rPr>
                    <w:t>危险废物</w:t>
                  </w:r>
                  <w:r>
                    <w:rPr>
                      <w:color w:val="auto"/>
                    </w:rPr>
                    <w:t>经分类暂存后定期交有危险废物处理制造单位处置。</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10" w:type="pct"/>
                  <w:vMerge w:val="continue"/>
                  <w:tcBorders>
                    <w:left w:val="nil"/>
                    <w:right w:val="single" w:color="auto" w:sz="6" w:space="0"/>
                  </w:tcBorders>
                  <w:vAlign w:val="center"/>
                </w:tcPr>
                <w:p>
                  <w:pPr>
                    <w:widowControl/>
                    <w:jc w:val="left"/>
                    <w:rPr>
                      <w:color w:val="auto"/>
                    </w:rPr>
                  </w:pPr>
                </w:p>
              </w:tc>
              <w:tc>
                <w:tcPr>
                  <w:tcW w:w="414" w:type="pct"/>
                  <w:vMerge w:val="continue"/>
                  <w:tcBorders>
                    <w:left w:val="single" w:color="auto" w:sz="6" w:space="0"/>
                    <w:bottom w:val="single" w:color="auto" w:sz="6" w:space="0"/>
                    <w:right w:val="single" w:color="auto" w:sz="4" w:space="0"/>
                  </w:tcBorders>
                  <w:vAlign w:val="center"/>
                </w:tcPr>
                <w:p>
                  <w:pPr>
                    <w:adjustRightInd w:val="0"/>
                    <w:snapToGrid w:val="0"/>
                    <w:jc w:val="center"/>
                    <w:rPr>
                      <w:color w:val="auto"/>
                    </w:rPr>
                  </w:pPr>
                </w:p>
              </w:tc>
              <w:tc>
                <w:tcPr>
                  <w:tcW w:w="583" w:type="pc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color w:val="auto"/>
                    </w:rPr>
                  </w:pPr>
                  <w:r>
                    <w:rPr>
                      <w:color w:val="auto"/>
                    </w:rPr>
                    <w:t>一般工业固废</w:t>
                  </w:r>
                </w:p>
              </w:tc>
              <w:tc>
                <w:tcPr>
                  <w:tcW w:w="2884" w:type="pct"/>
                  <w:tcBorders>
                    <w:top w:val="single" w:color="auto" w:sz="6" w:space="0"/>
                    <w:left w:val="single" w:color="auto" w:sz="6" w:space="0"/>
                    <w:bottom w:val="single" w:color="auto" w:sz="6" w:space="0"/>
                    <w:right w:val="single" w:color="auto" w:sz="4" w:space="0"/>
                  </w:tcBorders>
                  <w:vAlign w:val="center"/>
                </w:tcPr>
                <w:p>
                  <w:pPr>
                    <w:adjustRightInd w:val="0"/>
                    <w:snapToGrid w:val="0"/>
                    <w:rPr>
                      <w:color w:val="auto"/>
                    </w:rPr>
                  </w:pPr>
                  <w:r>
                    <w:rPr>
                      <w:rFonts w:hint="eastAsia"/>
                      <w:color w:val="auto"/>
                    </w:rPr>
                    <w:t>2#</w:t>
                  </w:r>
                  <w:r>
                    <w:rPr>
                      <w:color w:val="auto"/>
                    </w:rPr>
                    <w:t>厂房</w:t>
                  </w:r>
                  <w:r>
                    <w:rPr>
                      <w:rFonts w:hint="eastAsia"/>
                      <w:color w:val="auto"/>
                    </w:rPr>
                    <w:t>东南部</w:t>
                  </w:r>
                  <w:r>
                    <w:rPr>
                      <w:color w:val="auto"/>
                    </w:rPr>
                    <w:t>设置1个面积为</w:t>
                  </w:r>
                  <w:r>
                    <w:rPr>
                      <w:rFonts w:hint="eastAsia"/>
                      <w:color w:val="auto"/>
                    </w:rPr>
                    <w:t>10</w:t>
                  </w:r>
                  <w:r>
                    <w:rPr>
                      <w:color w:val="auto"/>
                    </w:rPr>
                    <w:t>m</w:t>
                  </w:r>
                  <w:r>
                    <w:rPr>
                      <w:color w:val="auto"/>
                      <w:vertAlign w:val="superscript"/>
                    </w:rPr>
                    <w:t>2</w:t>
                  </w:r>
                  <w:r>
                    <w:rPr>
                      <w:rFonts w:hint="eastAsia"/>
                      <w:color w:val="auto"/>
                    </w:rPr>
                    <w:t>一般工业固废暂存间</w:t>
                  </w:r>
                  <w:r>
                    <w:rPr>
                      <w:color w:val="auto"/>
                    </w:rPr>
                    <w:t>，</w:t>
                  </w:r>
                  <w:r>
                    <w:rPr>
                      <w:rFonts w:hint="eastAsia"/>
                      <w:color w:val="auto"/>
                    </w:rPr>
                    <w:t>一般工业固废分类收集后交废品回收公司处置。</w:t>
                  </w:r>
                </w:p>
              </w:tc>
              <w:tc>
                <w:tcPr>
                  <w:tcW w:w="406" w:type="pct"/>
                  <w:tcBorders>
                    <w:top w:val="single" w:color="auto" w:sz="6" w:space="0"/>
                    <w:left w:val="single" w:color="auto" w:sz="4" w:space="0"/>
                    <w:bottom w:val="single" w:color="auto" w:sz="6" w:space="0"/>
                    <w:right w:val="nil"/>
                  </w:tcBorders>
                  <w:vAlign w:val="center"/>
                </w:tcPr>
                <w:p>
                  <w:pPr>
                    <w:adjustRightInd w:val="0"/>
                    <w:snapToGrid w:val="0"/>
                    <w:jc w:val="center"/>
                    <w:rPr>
                      <w:color w:val="auto"/>
                    </w:rPr>
                  </w:pPr>
                  <w:r>
                    <w:rPr>
                      <w:rFonts w:hint="eastAsia"/>
                      <w:color w:val="auto"/>
                    </w:rPr>
                    <w:t>依托</w:t>
                  </w:r>
                </w:p>
              </w:tc>
            </w:tr>
          </w:tbl>
          <w:p>
            <w:pPr>
              <w:pStyle w:val="2"/>
              <w:jc w:val="center"/>
              <w:rPr>
                <w:rFonts w:hint="default" w:ascii="Times New Roman" w:eastAsia="宋体" w:cs="Times New Roman"/>
                <w:b/>
                <w:bCs/>
                <w:color w:val="auto"/>
                <w:sz w:val="21"/>
                <w:szCs w:val="21"/>
                <w:lang w:val="en-US" w:eastAsia="zh-CN"/>
              </w:rPr>
            </w:pPr>
            <w:r>
              <w:rPr>
                <w:rFonts w:hint="eastAsia" w:ascii="Times New Roman" w:cs="Times New Roman"/>
                <w:b w:val="0"/>
                <w:bCs w:val="0"/>
                <w:color w:val="auto"/>
                <w:sz w:val="21"/>
                <w:szCs w:val="21"/>
                <w:lang w:eastAsia="zh-CN"/>
              </w:rPr>
              <w:t>表</w:t>
            </w:r>
            <w:r>
              <w:rPr>
                <w:rFonts w:hint="eastAsia" w:ascii="Times New Roman" w:cs="Times New Roman"/>
                <w:b w:val="0"/>
                <w:bCs w:val="0"/>
                <w:color w:val="auto"/>
                <w:sz w:val="21"/>
                <w:szCs w:val="21"/>
                <w:lang w:val="en-US" w:eastAsia="zh-CN"/>
              </w:rPr>
              <w:t>2.3 扩建项目依托可行性分析一览表</w:t>
            </w:r>
          </w:p>
          <w:tbl>
            <w:tblPr>
              <w:tblStyle w:val="23"/>
              <w:tblW w:w="8366"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68"/>
              <w:gridCol w:w="4757"/>
              <w:gridCol w:w="10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序号</w:t>
                  </w:r>
                </w:p>
              </w:tc>
              <w:tc>
                <w:tcPr>
                  <w:tcW w:w="1768"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依托内容</w:t>
                  </w:r>
                </w:p>
              </w:tc>
              <w:tc>
                <w:tcPr>
                  <w:tcW w:w="475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依托情况分析</w:t>
                  </w:r>
                </w:p>
              </w:tc>
              <w:tc>
                <w:tcPr>
                  <w:tcW w:w="104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可行性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val="en-US" w:eastAsia="zh-CN"/>
                    </w:rPr>
                  </w:pPr>
                  <w:r>
                    <w:rPr>
                      <w:rFonts w:hint="eastAsia" w:ascii="Times New Roman" w:cs="Times New Roman"/>
                      <w:b w:val="0"/>
                      <w:bCs w:val="0"/>
                      <w:color w:val="auto"/>
                      <w:sz w:val="21"/>
                      <w:szCs w:val="21"/>
                      <w:vertAlign w:val="baseline"/>
                      <w:lang w:val="en-US" w:eastAsia="zh-CN"/>
                    </w:rPr>
                    <w:t>1</w:t>
                  </w:r>
                </w:p>
              </w:tc>
              <w:tc>
                <w:tcPr>
                  <w:tcW w:w="1768"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污水处理设施</w:t>
                  </w:r>
                </w:p>
              </w:tc>
              <w:tc>
                <w:tcPr>
                  <w:tcW w:w="475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cs="Times New Roman"/>
                      <w:b w:val="0"/>
                      <w:bCs w:val="0"/>
                      <w:color w:val="auto"/>
                      <w:sz w:val="21"/>
                      <w:szCs w:val="21"/>
                      <w:vertAlign w:val="baseline"/>
                    </w:rPr>
                  </w:pPr>
                  <w:r>
                    <w:rPr>
                      <w:rFonts w:hint="default" w:ascii="Times New Roman" w:hAnsi="Times New Roman" w:cs="Times New Roman"/>
                      <w:color w:val="auto"/>
                      <w:sz w:val="21"/>
                      <w:szCs w:val="21"/>
                      <w:lang w:val="en-US" w:eastAsia="zh-CN"/>
                    </w:rPr>
                    <w:t>厂区排放管网已完善，依托生化池设计处理规模20m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/d，剩余处理能力约11m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/d，扩建项目废水排放量为0.7</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/d，符合要求。该生化池已通过竣工环境保护验收，能保证达标排放。</w:t>
                  </w:r>
                </w:p>
              </w:tc>
              <w:tc>
                <w:tcPr>
                  <w:tcW w:w="104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可行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val="en-US" w:eastAsia="zh-CN"/>
                    </w:rPr>
                  </w:pPr>
                  <w:r>
                    <w:rPr>
                      <w:rFonts w:hint="eastAsia" w:ascii="Times New Roman" w:cs="Times New Roman"/>
                      <w:b w:val="0"/>
                      <w:bCs w:val="0"/>
                      <w:color w:val="auto"/>
                      <w:sz w:val="21"/>
                      <w:szCs w:val="21"/>
                      <w:vertAlign w:val="baseline"/>
                      <w:lang w:val="en-US" w:eastAsia="zh-CN"/>
                    </w:rPr>
                    <w:t>2</w:t>
                  </w:r>
                </w:p>
              </w:tc>
              <w:tc>
                <w:tcPr>
                  <w:tcW w:w="1768"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eastAsia="宋体"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危废暂存间</w:t>
                  </w:r>
                </w:p>
              </w:tc>
              <w:tc>
                <w:tcPr>
                  <w:tcW w:w="475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cs="Times New Roman"/>
                      <w:b w:val="0"/>
                      <w:bCs w:val="0"/>
                      <w:color w:val="auto"/>
                      <w:sz w:val="21"/>
                      <w:szCs w:val="21"/>
                      <w:vertAlign w:val="baseline"/>
                    </w:rPr>
                  </w:pPr>
                  <w:r>
                    <w:rPr>
                      <w:rFonts w:hint="default" w:ascii="Times New Roman" w:hAnsi="Times New Roman" w:cs="Times New Roman"/>
                      <w:color w:val="auto"/>
                      <w:sz w:val="21"/>
                      <w:szCs w:val="21"/>
                    </w:rPr>
                    <w:t>2#厂房东北侧设置1个面积为10m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危险废物暂存间，其地面及裙角进行防腐、防渗处理，并设置</w:t>
                  </w:r>
                  <w:r>
                    <w:rPr>
                      <w:rFonts w:hint="eastAsia"/>
                      <w:color w:val="auto"/>
                      <w:sz w:val="21"/>
                      <w:szCs w:val="21"/>
                      <w:lang w:eastAsia="zh-CN"/>
                    </w:rPr>
                    <w:t>围挡</w:t>
                  </w:r>
                  <w:r>
                    <w:rPr>
                      <w:rFonts w:hint="default" w:ascii="Times New Roman" w:hAnsi="Times New Roman" w:cs="Times New Roman"/>
                      <w:color w:val="auto"/>
                      <w:sz w:val="21"/>
                      <w:szCs w:val="21"/>
                    </w:rPr>
                    <w:t>，危险废物经分类暂存后定期交有危险废物处理制造单位处置</w:t>
                  </w:r>
                  <w:r>
                    <w:rPr>
                      <w:rFonts w:hint="default" w:ascii="Times New Roman" w:hAnsi="Times New Roman" w:cs="Times New Roman"/>
                      <w:color w:val="auto"/>
                      <w:sz w:val="21"/>
                      <w:szCs w:val="21"/>
                      <w:lang w:eastAsia="zh-CN"/>
                    </w:rPr>
                    <w:t>，满足相关环保要求</w:t>
                  </w:r>
                  <w:r>
                    <w:rPr>
                      <w:rFonts w:hint="default" w:ascii="Times New Roman" w:hAnsi="Times New Roman" w:cs="Times New Roman"/>
                      <w:color w:val="auto"/>
                      <w:sz w:val="21"/>
                      <w:szCs w:val="21"/>
                    </w:rPr>
                    <w:t>。</w:t>
                  </w:r>
                </w:p>
              </w:tc>
              <w:tc>
                <w:tcPr>
                  <w:tcW w:w="104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cs="Times New Roman"/>
                      <w:b w:val="0"/>
                      <w:bCs w:val="0"/>
                      <w:color w:val="auto"/>
                      <w:sz w:val="21"/>
                      <w:szCs w:val="21"/>
                      <w:vertAlign w:val="baseline"/>
                    </w:rPr>
                  </w:pPr>
                  <w:r>
                    <w:rPr>
                      <w:rFonts w:hint="eastAsia" w:ascii="Times New Roman" w:cs="Times New Roman"/>
                      <w:b w:val="0"/>
                      <w:bCs w:val="0"/>
                      <w:color w:val="auto"/>
                      <w:sz w:val="21"/>
                      <w:szCs w:val="21"/>
                      <w:vertAlign w:val="baseline"/>
                      <w:lang w:eastAsia="zh-CN"/>
                    </w:rPr>
                    <w:t>可行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4"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cs="Times New Roman"/>
                      <w:b w:val="0"/>
                      <w:bCs w:val="0"/>
                      <w:color w:val="auto"/>
                      <w:sz w:val="21"/>
                      <w:szCs w:val="21"/>
                      <w:vertAlign w:val="baseline"/>
                      <w:lang w:val="en-US" w:eastAsia="zh-CN"/>
                    </w:rPr>
                  </w:pPr>
                  <w:r>
                    <w:rPr>
                      <w:rFonts w:hint="eastAsia" w:ascii="Times New Roman" w:cs="Times New Roman"/>
                      <w:b w:val="0"/>
                      <w:bCs w:val="0"/>
                      <w:color w:val="auto"/>
                      <w:sz w:val="21"/>
                      <w:szCs w:val="21"/>
                      <w:vertAlign w:val="baseline"/>
                      <w:lang w:val="en-US" w:eastAsia="zh-CN"/>
                    </w:rPr>
                    <w:t>3</w:t>
                  </w:r>
                </w:p>
              </w:tc>
              <w:tc>
                <w:tcPr>
                  <w:tcW w:w="1768"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一般固废暂存间</w:t>
                  </w:r>
                </w:p>
              </w:tc>
              <w:tc>
                <w:tcPr>
                  <w:tcW w:w="475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2#厂房东南部设置1个面积为10m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一般工业固废暂存间，一般工业固废分类收集后交废品回收公司处置</w:t>
                  </w:r>
                  <w:r>
                    <w:rPr>
                      <w:rFonts w:hint="default" w:ascii="Times New Roman" w:hAnsi="Times New Roman" w:cs="Times New Roman"/>
                      <w:color w:val="auto"/>
                      <w:sz w:val="21"/>
                      <w:szCs w:val="21"/>
                      <w:lang w:eastAsia="zh-CN"/>
                    </w:rPr>
                    <w:t>，满足相关环保要求</w:t>
                  </w:r>
                  <w:r>
                    <w:rPr>
                      <w:rFonts w:hint="default" w:ascii="Times New Roman" w:hAnsi="Times New Roman" w:cs="Times New Roman"/>
                      <w:color w:val="auto"/>
                      <w:sz w:val="21"/>
                      <w:szCs w:val="21"/>
                    </w:rPr>
                    <w:t>。</w:t>
                  </w:r>
                </w:p>
              </w:tc>
              <w:tc>
                <w:tcPr>
                  <w:tcW w:w="1047" w:type="dxa"/>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cs="Times New Roman"/>
                      <w:b w:val="0"/>
                      <w:bCs w:val="0"/>
                      <w:color w:val="auto"/>
                      <w:sz w:val="21"/>
                      <w:szCs w:val="21"/>
                      <w:vertAlign w:val="baseline"/>
                      <w:lang w:eastAsia="zh-CN"/>
                    </w:rPr>
                  </w:pPr>
                  <w:r>
                    <w:rPr>
                      <w:rFonts w:hint="eastAsia" w:ascii="Times New Roman" w:cs="Times New Roman"/>
                      <w:b w:val="0"/>
                      <w:bCs w:val="0"/>
                      <w:color w:val="auto"/>
                      <w:sz w:val="21"/>
                      <w:szCs w:val="21"/>
                      <w:vertAlign w:val="baseline"/>
                      <w:lang w:eastAsia="zh-CN"/>
                    </w:rPr>
                    <w:t>可行</w:t>
                  </w:r>
                </w:p>
              </w:tc>
            </w:tr>
          </w:tbl>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eastAsia="宋体" w:cs="Times New Roman"/>
                <w:b w:val="0"/>
                <w:bCs w:val="0"/>
                <w:color w:val="auto"/>
                <w:lang w:eastAsia="zh-CN"/>
              </w:rPr>
            </w:pPr>
            <w:r>
              <w:rPr>
                <w:rFonts w:hint="eastAsia" w:ascii="Times New Roman" w:cs="Times New Roman"/>
                <w:b w:val="0"/>
                <w:bCs w:val="0"/>
                <w:color w:val="auto"/>
                <w:lang w:eastAsia="zh-CN"/>
              </w:rPr>
              <w:t>由上表分析可知，扩建项目主要依托设施能够满足扩建项目的需求。</w:t>
            </w:r>
          </w:p>
          <w:p>
            <w:pPr>
              <w:pStyle w:val="2"/>
              <w:rPr>
                <w:rFonts w:ascii="Times New Roman" w:cs="Times New Roman"/>
                <w:b/>
                <w:bCs/>
                <w:color w:val="auto"/>
              </w:rPr>
            </w:pPr>
            <w:r>
              <w:rPr>
                <w:rFonts w:ascii="Times New Roman" w:cs="Times New Roman"/>
                <w:b/>
                <w:bCs/>
                <w:color w:val="auto"/>
              </w:rPr>
              <w:t>生产单元、主要工艺、主要生产设施及设施参数</w:t>
            </w:r>
          </w:p>
          <w:p>
            <w:pPr>
              <w:pStyle w:val="3"/>
              <w:snapToGrid/>
              <w:ind w:firstLine="480" w:firstLineChars="200"/>
              <w:rPr>
                <w:rFonts w:hint="eastAsia" w:ascii="Times New Roman" w:hAnsi="Times New Roman" w:eastAsia="宋体" w:cs="Times New Roman"/>
                <w:color w:val="auto"/>
                <w:lang w:eastAsia="zh-CN"/>
              </w:rPr>
            </w:pPr>
            <w:r>
              <w:rPr>
                <w:rFonts w:hint="eastAsia" w:ascii="Times New Roman" w:hAnsi="Times New Roman" w:cs="Times New Roman"/>
                <w:color w:val="auto"/>
                <w:highlight w:val="none"/>
                <w:lang w:eastAsia="zh-CN"/>
              </w:rPr>
              <w:t>扩建项目</w:t>
            </w:r>
            <w:r>
              <w:rPr>
                <w:rFonts w:ascii="Times New Roman" w:hAnsi="Times New Roman" w:cs="Times New Roman"/>
                <w:color w:val="auto"/>
                <w:highlight w:val="none"/>
              </w:rPr>
              <w:t>主</w:t>
            </w:r>
            <w:r>
              <w:rPr>
                <w:rFonts w:ascii="Times New Roman" w:hAnsi="Times New Roman" w:cs="Times New Roman"/>
                <w:color w:val="auto"/>
              </w:rPr>
              <w:t>要生产设备见表2.</w:t>
            </w:r>
            <w:r>
              <w:rPr>
                <w:rFonts w:hint="eastAsia" w:ascii="Times New Roman" w:hAnsi="Times New Roman" w:cs="Times New Roman"/>
                <w:color w:val="auto"/>
                <w:lang w:val="en-US" w:eastAsia="zh-CN"/>
              </w:rPr>
              <w:t>4</w:t>
            </w:r>
            <w:r>
              <w:rPr>
                <w:rFonts w:ascii="Times New Roman" w:hAnsi="Times New Roman" w:cs="Times New Roman"/>
                <w:color w:val="auto"/>
              </w:rPr>
              <w:t>、生产节拍与产生匹配性分析见表2.</w:t>
            </w:r>
            <w:r>
              <w:rPr>
                <w:rFonts w:hint="eastAsia" w:ascii="Times New Roman" w:hAnsi="Times New Roman" w:cs="Times New Roman"/>
                <w:color w:val="auto"/>
                <w:lang w:val="en-US" w:eastAsia="zh-CN"/>
              </w:rPr>
              <w:t>5。</w:t>
            </w:r>
          </w:p>
          <w:p>
            <w:pPr>
              <w:pStyle w:val="2"/>
              <w:jc w:val="center"/>
              <w:rPr>
                <w:color w:val="auto"/>
                <w:sz w:val="21"/>
                <w:szCs w:val="21"/>
              </w:rPr>
            </w:pPr>
            <w:r>
              <w:rPr>
                <w:rFonts w:ascii="Times New Roman" w:cs="Times New Roman"/>
                <w:color w:val="auto"/>
                <w:sz w:val="21"/>
                <w:szCs w:val="21"/>
              </w:rPr>
              <w:t>表2.</w:t>
            </w:r>
            <w:r>
              <w:rPr>
                <w:rFonts w:hint="eastAsia" w:ascii="Times New Roman" w:cs="Times New Roman"/>
                <w:color w:val="auto"/>
                <w:sz w:val="21"/>
                <w:szCs w:val="21"/>
                <w:lang w:val="en-US" w:eastAsia="zh-CN"/>
              </w:rPr>
              <w:t>4</w:t>
            </w:r>
            <w:r>
              <w:rPr>
                <w:rFonts w:ascii="Times New Roman" w:cs="Times New Roman"/>
                <w:color w:val="auto"/>
                <w:sz w:val="21"/>
                <w:szCs w:val="21"/>
              </w:rPr>
              <w:t xml:space="preserve"> 生产单元</w:t>
            </w:r>
            <w:r>
              <w:rPr>
                <w:color w:val="auto"/>
                <w:sz w:val="21"/>
                <w:szCs w:val="21"/>
              </w:rPr>
              <w:t>、主要工艺、主要生产设施及设施参数</w:t>
            </w:r>
          </w:p>
          <w:tbl>
            <w:tblPr>
              <w:tblStyle w:val="23"/>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500"/>
              <w:gridCol w:w="1584"/>
              <w:gridCol w:w="2488"/>
              <w:gridCol w:w="644"/>
              <w:gridCol w:w="64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生产单元</w:t>
                  </w:r>
                </w:p>
              </w:tc>
              <w:tc>
                <w:tcPr>
                  <w:tcW w:w="89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主要工艺</w:t>
                  </w:r>
                </w:p>
              </w:tc>
              <w:tc>
                <w:tcPr>
                  <w:tcW w:w="94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设施名称</w:t>
                  </w:r>
                </w:p>
              </w:tc>
              <w:tc>
                <w:tcPr>
                  <w:tcW w:w="148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lang w:eastAsia="zh-CN"/>
                    </w:rPr>
                    <w:t>单条生产线</w:t>
                  </w:r>
                  <w:r>
                    <w:rPr>
                      <w:rFonts w:hint="eastAsia" w:ascii="Times New Roman" w:cs="Times New Roman"/>
                      <w:color w:val="auto"/>
                      <w:sz w:val="21"/>
                      <w:szCs w:val="21"/>
                    </w:rPr>
                    <w:t>设施参数</w:t>
                  </w:r>
                </w:p>
              </w:tc>
              <w:tc>
                <w:tcPr>
                  <w:tcW w:w="385"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数量</w:t>
                  </w:r>
                </w:p>
              </w:tc>
              <w:tc>
                <w:tcPr>
                  <w:tcW w:w="385"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hAnsi="Times New Roman" w:cs="Times New Roman"/>
                      <w:color w:val="auto"/>
                      <w:sz w:val="21"/>
                      <w:szCs w:val="21"/>
                    </w:rPr>
                    <w:t>拉幅定型无纺布生产线</w:t>
                  </w:r>
                </w:p>
              </w:tc>
              <w:tc>
                <w:tcPr>
                  <w:tcW w:w="897" w:type="pct"/>
                  <w:tcBorders>
                    <w:tl2br w:val="nil"/>
                    <w:tr2bl w:val="nil"/>
                  </w:tcBorders>
                  <w:vAlign w:val="center"/>
                </w:tcPr>
                <w:p>
                  <w:pPr>
                    <w:pStyle w:val="2"/>
                    <w:snapToGrid w:val="0"/>
                    <w:spacing w:line="240" w:lineRule="auto"/>
                    <w:jc w:val="center"/>
                    <w:rPr>
                      <w:rFonts w:hint="eastAsia" w:ascii="Times New Roman" w:eastAsia="宋体" w:cs="Times New Roman"/>
                      <w:color w:val="auto"/>
                      <w:sz w:val="21"/>
                      <w:szCs w:val="21"/>
                      <w:lang w:eastAsia="zh-CN"/>
                    </w:rPr>
                  </w:pPr>
                  <w:r>
                    <w:rPr>
                      <w:rFonts w:hint="eastAsia" w:ascii="Times New Roman" w:cs="Times New Roman"/>
                      <w:color w:val="auto"/>
                      <w:sz w:val="21"/>
                      <w:szCs w:val="21"/>
                      <w:lang w:eastAsia="zh-CN"/>
                    </w:rPr>
                    <w:t>开卷</w:t>
                  </w:r>
                </w:p>
              </w:tc>
              <w:tc>
                <w:tcPr>
                  <w:tcW w:w="947" w:type="pct"/>
                  <w:vMerge w:val="restart"/>
                  <w:tcBorders>
                    <w:tl2br w:val="nil"/>
                    <w:tr2bl w:val="nil"/>
                  </w:tcBorders>
                  <w:vAlign w:val="center"/>
                </w:tcPr>
                <w:p>
                  <w:pPr>
                    <w:pStyle w:val="2"/>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针刺机</w:t>
                  </w:r>
                </w:p>
              </w:tc>
              <w:tc>
                <w:tcPr>
                  <w:tcW w:w="1487" w:type="pct"/>
                  <w:vMerge w:val="restart"/>
                  <w:tcBorders>
                    <w:tl2br w:val="nil"/>
                    <w:tr2bl w:val="nil"/>
                  </w:tcBorders>
                  <w:vAlign w:val="center"/>
                </w:tcPr>
                <w:p>
                  <w:pPr>
                    <w:pStyle w:val="2"/>
                    <w:snapToGrid w:val="0"/>
                    <w:spacing w:line="240" w:lineRule="auto"/>
                    <w:jc w:val="center"/>
                    <w:rPr>
                      <w:rFonts w:hint="default" w:asci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YY-250型</w:t>
                  </w:r>
                </w:p>
              </w:tc>
              <w:tc>
                <w:tcPr>
                  <w:tcW w:w="385" w:type="pct"/>
                  <w:vMerge w:val="restart"/>
                  <w:tcBorders>
                    <w:tl2br w:val="nil"/>
                    <w:tr2bl w:val="nil"/>
                  </w:tcBorders>
                  <w:vAlign w:val="center"/>
                </w:tcPr>
                <w:p>
                  <w:pPr>
                    <w:pStyle w:val="2"/>
                    <w:snapToGrid w:val="0"/>
                    <w:spacing w:line="240" w:lineRule="auto"/>
                    <w:jc w:val="center"/>
                    <w:rPr>
                      <w:rFonts w:hint="eastAsia"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2台</w:t>
                  </w:r>
                </w:p>
              </w:tc>
              <w:tc>
                <w:tcPr>
                  <w:tcW w:w="385" w:type="pct"/>
                  <w:vMerge w:val="restart"/>
                  <w:tcBorders>
                    <w:tl2br w:val="nil"/>
                    <w:tr2bl w:val="nil"/>
                  </w:tcBorders>
                  <w:vAlign w:val="center"/>
                </w:tcPr>
                <w:p>
                  <w:pPr>
                    <w:pStyle w:val="2"/>
                    <w:snapToGrid w:val="0"/>
                    <w:spacing w:line="240" w:lineRule="auto"/>
                    <w:jc w:val="center"/>
                    <w:rPr>
                      <w:rFonts w:hint="eastAsia" w:ascii="Times New Roman" w:eastAsia="宋体" w:cs="Times New Roman"/>
                      <w:color w:val="auto"/>
                      <w:sz w:val="21"/>
                      <w:szCs w:val="21"/>
                      <w:lang w:eastAsia="zh-CN"/>
                    </w:rPr>
                  </w:pPr>
                  <w:r>
                    <w:rPr>
                      <w:rFonts w:hint="eastAsia" w:ascii="Times New Roman" w:cs="Times New Roman"/>
                      <w:color w:val="auto"/>
                      <w:sz w:val="21"/>
                      <w:szCs w:val="21"/>
                      <w:lang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pct"/>
                  <w:vMerge w:val="continue"/>
                  <w:tcBorders>
                    <w:tl2br w:val="nil"/>
                    <w:tr2bl w:val="nil"/>
                  </w:tcBorders>
                  <w:vAlign w:val="center"/>
                </w:tcPr>
                <w:p>
                  <w:pPr>
                    <w:pStyle w:val="2"/>
                    <w:snapToGrid w:val="0"/>
                    <w:spacing w:line="240" w:lineRule="auto"/>
                    <w:jc w:val="center"/>
                    <w:rPr>
                      <w:rFonts w:ascii="Times New Roman" w:hAnsi="Times New Roman" w:cs="Times New Roman"/>
                      <w:color w:val="auto"/>
                      <w:sz w:val="21"/>
                      <w:szCs w:val="21"/>
                    </w:rPr>
                  </w:pPr>
                </w:p>
              </w:tc>
              <w:tc>
                <w:tcPr>
                  <w:tcW w:w="897" w:type="pct"/>
                  <w:tcBorders>
                    <w:tl2br w:val="nil"/>
                    <w:tr2bl w:val="nil"/>
                  </w:tcBorders>
                  <w:vAlign w:val="center"/>
                </w:tcPr>
                <w:p>
                  <w:pPr>
                    <w:pStyle w:val="2"/>
                    <w:snapToGrid w:val="0"/>
                    <w:spacing w:line="240" w:lineRule="auto"/>
                    <w:jc w:val="center"/>
                    <w:rPr>
                      <w:rFonts w:hint="eastAsia" w:ascii="Times New Roman" w:eastAsia="宋体" w:cs="Times New Roman"/>
                      <w:color w:val="auto"/>
                      <w:sz w:val="21"/>
                      <w:szCs w:val="21"/>
                      <w:lang w:eastAsia="zh-CN"/>
                    </w:rPr>
                  </w:pPr>
                  <w:r>
                    <w:rPr>
                      <w:rFonts w:hint="eastAsia" w:ascii="Times New Roman" w:cs="Times New Roman"/>
                      <w:color w:val="auto"/>
                      <w:sz w:val="21"/>
                      <w:szCs w:val="21"/>
                      <w:lang w:eastAsia="zh-CN"/>
                    </w:rPr>
                    <w:t>针刺</w:t>
                  </w:r>
                </w:p>
              </w:tc>
              <w:tc>
                <w:tcPr>
                  <w:tcW w:w="947" w:type="pct"/>
                  <w:vMerge w:val="continue"/>
                  <w:tcBorders>
                    <w:tl2br w:val="nil"/>
                    <w:tr2bl w:val="nil"/>
                  </w:tcBorders>
                  <w:vAlign w:val="center"/>
                </w:tcPr>
                <w:p>
                  <w:pPr>
                    <w:pStyle w:val="2"/>
                    <w:snapToGrid w:val="0"/>
                    <w:spacing w:line="240" w:lineRule="auto"/>
                    <w:jc w:val="center"/>
                    <w:rPr>
                      <w:rFonts w:hint="eastAsia" w:ascii="Times New Roman" w:cs="Times New Roman"/>
                      <w:color w:val="auto"/>
                      <w:sz w:val="21"/>
                      <w:szCs w:val="21"/>
                      <w:lang w:val="en-US" w:eastAsia="zh-CN"/>
                    </w:rPr>
                  </w:pPr>
                </w:p>
              </w:tc>
              <w:tc>
                <w:tcPr>
                  <w:tcW w:w="1487" w:type="pct"/>
                  <w:vMerge w:val="continue"/>
                  <w:tcBorders>
                    <w:tl2br w:val="nil"/>
                    <w:tr2bl w:val="nil"/>
                  </w:tcBorders>
                  <w:vAlign w:val="center"/>
                </w:tcPr>
                <w:p>
                  <w:pPr>
                    <w:pStyle w:val="2"/>
                    <w:snapToGrid w:val="0"/>
                    <w:spacing w:line="240" w:lineRule="auto"/>
                    <w:jc w:val="center"/>
                    <w:rPr>
                      <w:rFonts w:hint="eastAsia" w:ascii="Times New Roman" w:cs="Times New Roman"/>
                      <w:color w:val="auto"/>
                      <w:sz w:val="21"/>
                      <w:szCs w:val="21"/>
                      <w:lang w:eastAsia="zh-CN"/>
                    </w:rPr>
                  </w:pPr>
                </w:p>
              </w:tc>
              <w:tc>
                <w:tcPr>
                  <w:tcW w:w="385" w:type="pct"/>
                  <w:vMerge w:val="continue"/>
                  <w:tcBorders>
                    <w:tl2br w:val="nil"/>
                    <w:tr2bl w:val="nil"/>
                  </w:tcBorders>
                  <w:vAlign w:val="center"/>
                </w:tcPr>
                <w:p>
                  <w:pPr>
                    <w:pStyle w:val="2"/>
                    <w:snapToGrid w:val="0"/>
                    <w:spacing w:line="240" w:lineRule="auto"/>
                    <w:jc w:val="center"/>
                    <w:rPr>
                      <w:rFonts w:hint="eastAsia" w:ascii="Times New Roman" w:cs="Times New Roman"/>
                      <w:color w:val="auto"/>
                      <w:sz w:val="21"/>
                      <w:szCs w:val="21"/>
                    </w:rPr>
                  </w:pPr>
                </w:p>
              </w:tc>
              <w:tc>
                <w:tcPr>
                  <w:tcW w:w="385" w:type="pct"/>
                  <w:vMerge w:val="continue"/>
                  <w:tcBorders>
                    <w:tl2br w:val="nil"/>
                    <w:tr2bl w:val="nil"/>
                  </w:tcBorders>
                  <w:vAlign w:val="center"/>
                </w:tcPr>
                <w:p>
                  <w:pPr>
                    <w:pStyle w:val="2"/>
                    <w:snapToGrid w:val="0"/>
                    <w:spacing w:line="240" w:lineRule="auto"/>
                    <w:jc w:val="center"/>
                    <w:rPr>
                      <w:rFonts w:hint="eastAsia" w:asci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9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9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涂胶</w:t>
                  </w:r>
                </w:p>
              </w:tc>
              <w:tc>
                <w:tcPr>
                  <w:tcW w:w="947"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拉幅定型设备</w:t>
                  </w:r>
                </w:p>
                <w:p>
                  <w:pPr>
                    <w:adjustRightInd w:val="0"/>
                    <w:snapToGrid w:val="0"/>
                    <w:jc w:val="center"/>
                    <w:rPr>
                      <w:color w:val="auto"/>
                      <w:szCs w:val="21"/>
                    </w:rPr>
                  </w:pPr>
                  <w:r>
                    <w:rPr>
                      <w:rFonts w:hint="eastAsia"/>
                      <w:color w:val="auto"/>
                      <w:szCs w:val="21"/>
                    </w:rPr>
                    <w:t>（非标设备）</w:t>
                  </w:r>
                </w:p>
              </w:tc>
              <w:tc>
                <w:tcPr>
                  <w:tcW w:w="1487" w:type="pct"/>
                  <w:vMerge w:val="restart"/>
                  <w:tcBorders>
                    <w:tl2br w:val="nil"/>
                    <w:tr2bl w:val="nil"/>
                  </w:tcBorders>
                  <w:vAlign w:val="center"/>
                </w:tcPr>
                <w:p>
                  <w:pPr>
                    <w:pStyle w:val="2"/>
                    <w:snapToGrid w:val="0"/>
                    <w:spacing w:line="240" w:lineRule="auto"/>
                    <w:rPr>
                      <w:rFonts w:ascii="Times New Roman" w:cs="Times New Roman"/>
                      <w:color w:val="auto"/>
                      <w:sz w:val="21"/>
                      <w:szCs w:val="21"/>
                    </w:rPr>
                  </w:pPr>
                  <w:r>
                    <w:rPr>
                      <w:rFonts w:hint="eastAsia" w:ascii="Times New Roman" w:cs="Times New Roman"/>
                      <w:color w:val="auto"/>
                      <w:sz w:val="21"/>
                      <w:szCs w:val="21"/>
                      <w:highlight w:val="none"/>
                    </w:rPr>
                    <w:t>设备尺寸：55</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5</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rPr>
                    <w:t>4.5m；传输带长度：</w:t>
                  </w:r>
                  <w:r>
                    <w:rPr>
                      <w:rFonts w:hint="eastAsia" w:ascii="Times New Roman" w:hAnsi="Times New Roman" w:cs="Times New Roman"/>
                      <w:color w:val="auto"/>
                      <w:sz w:val="21"/>
                      <w:szCs w:val="21"/>
                    </w:rPr>
                    <w:t>50m；烘干段传送带长度：25m；运行速度4m/min,烘干段额定用气量65m</w:t>
                  </w:r>
                  <w:r>
                    <w:rPr>
                      <w:rFonts w:hint="eastAsia" w:ascii="Times New Roman" w:hAnsi="Times New Roman" w:cs="Times New Roman"/>
                      <w:color w:val="auto"/>
                      <w:sz w:val="21"/>
                      <w:szCs w:val="21"/>
                      <w:vertAlign w:val="superscript"/>
                    </w:rPr>
                    <w:t>3</w:t>
                  </w:r>
                  <w:r>
                    <w:rPr>
                      <w:rFonts w:hint="eastAsia" w:ascii="Times New Roman" w:hAnsi="Times New Roman" w:cs="Times New Roman"/>
                      <w:color w:val="auto"/>
                      <w:sz w:val="21"/>
                      <w:szCs w:val="21"/>
                    </w:rPr>
                    <w:t>/h：</w:t>
                  </w:r>
                </w:p>
              </w:tc>
              <w:tc>
                <w:tcPr>
                  <w:tcW w:w="385" w:type="pct"/>
                  <w:vMerge w:val="restart"/>
                  <w:tcBorders>
                    <w:tl2br w:val="nil"/>
                    <w:tr2bl w:val="nil"/>
                  </w:tcBorders>
                  <w:vAlign w:val="center"/>
                </w:tcPr>
                <w:p>
                  <w:pPr>
                    <w:adjustRightInd w:val="0"/>
                    <w:snapToGrid w:val="0"/>
                    <w:jc w:val="center"/>
                    <w:rPr>
                      <w:color w:val="auto"/>
                      <w:szCs w:val="21"/>
                    </w:rPr>
                  </w:pPr>
                  <w:r>
                    <w:rPr>
                      <w:rFonts w:hint="eastAsia"/>
                      <w:color w:val="auto"/>
                      <w:szCs w:val="21"/>
                      <w:highlight w:val="none"/>
                    </w:rPr>
                    <w:t>2</w:t>
                  </w:r>
                  <w:r>
                    <w:rPr>
                      <w:rFonts w:hint="eastAsia"/>
                      <w:color w:val="auto"/>
                      <w:szCs w:val="21"/>
                      <w:highlight w:val="none"/>
                      <w:lang w:eastAsia="zh-CN"/>
                    </w:rPr>
                    <w:t>条</w:t>
                  </w:r>
                </w:p>
              </w:tc>
              <w:tc>
                <w:tcPr>
                  <w:tcW w:w="385"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97" w:type="pct"/>
                  <w:vMerge w:val="continue"/>
                  <w:tcBorders>
                    <w:tl2br w:val="nil"/>
                    <w:tr2bl w:val="nil"/>
                  </w:tcBorders>
                  <w:vAlign w:val="center"/>
                </w:tcPr>
                <w:p>
                  <w:pPr>
                    <w:pStyle w:val="2"/>
                    <w:snapToGrid w:val="0"/>
                    <w:spacing w:line="240" w:lineRule="auto"/>
                    <w:rPr>
                      <w:rFonts w:ascii="Times New Roman" w:cs="Times New Roman"/>
                      <w:color w:val="auto"/>
                      <w:sz w:val="21"/>
                      <w:szCs w:val="21"/>
                    </w:rPr>
                  </w:pPr>
                </w:p>
              </w:tc>
              <w:tc>
                <w:tcPr>
                  <w:tcW w:w="89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烘干</w:t>
                  </w:r>
                </w:p>
              </w:tc>
              <w:tc>
                <w:tcPr>
                  <w:tcW w:w="947" w:type="pct"/>
                  <w:vMerge w:val="continue"/>
                  <w:tcBorders>
                    <w:tl2br w:val="nil"/>
                    <w:tr2bl w:val="nil"/>
                  </w:tcBorders>
                  <w:vAlign w:val="center"/>
                </w:tcPr>
                <w:p>
                  <w:pPr>
                    <w:adjustRightInd w:val="0"/>
                    <w:snapToGrid w:val="0"/>
                    <w:jc w:val="center"/>
                    <w:rPr>
                      <w:color w:val="auto"/>
                      <w:szCs w:val="21"/>
                    </w:rPr>
                  </w:pPr>
                </w:p>
              </w:tc>
              <w:tc>
                <w:tcPr>
                  <w:tcW w:w="148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385"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vMerge w:val="continue"/>
                  <w:tcBorders>
                    <w:tl2br w:val="nil"/>
                    <w:tr2bl w:val="nil"/>
                  </w:tcBorders>
                  <w:vAlign w:val="center"/>
                </w:tcPr>
                <w:p>
                  <w:pPr>
                    <w:pStyle w:val="2"/>
                    <w:snapToGrid w:val="0"/>
                    <w:spacing w:line="240" w:lineRule="auto"/>
                    <w:rPr>
                      <w:rFonts w:ascii="Times New Roman" w:cs="Times New Roman"/>
                      <w:color w:val="auto"/>
                      <w:sz w:val="21"/>
                      <w:szCs w:val="21"/>
                    </w:rPr>
                  </w:pPr>
                </w:p>
              </w:tc>
              <w:tc>
                <w:tcPr>
                  <w:tcW w:w="89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收卷</w:t>
                  </w:r>
                </w:p>
              </w:tc>
              <w:tc>
                <w:tcPr>
                  <w:tcW w:w="947" w:type="pct"/>
                  <w:vMerge w:val="continue"/>
                  <w:tcBorders>
                    <w:tl2br w:val="nil"/>
                    <w:tr2bl w:val="nil"/>
                  </w:tcBorders>
                  <w:vAlign w:val="center"/>
                </w:tcPr>
                <w:p>
                  <w:pPr>
                    <w:adjustRightInd w:val="0"/>
                    <w:snapToGrid w:val="0"/>
                    <w:jc w:val="center"/>
                    <w:rPr>
                      <w:color w:val="auto"/>
                      <w:szCs w:val="21"/>
                    </w:rPr>
                  </w:pPr>
                </w:p>
              </w:tc>
              <w:tc>
                <w:tcPr>
                  <w:tcW w:w="148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385"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hAnsi="Times New Roman" w:cs="Times New Roman"/>
                      <w:color w:val="auto"/>
                      <w:sz w:val="21"/>
                      <w:szCs w:val="21"/>
                    </w:rPr>
                    <w:t>淋膜无纺布</w:t>
                  </w:r>
                  <w:r>
                    <w:rPr>
                      <w:rFonts w:hint="eastAsia" w:ascii="Times New Roman" w:hAnsi="Times New Roman" w:cs="Times New Roman"/>
                      <w:color w:val="auto"/>
                      <w:sz w:val="21"/>
                      <w:szCs w:val="21"/>
                    </w:rPr>
                    <w:t>生产线</w:t>
                  </w:r>
                </w:p>
              </w:tc>
              <w:tc>
                <w:tcPr>
                  <w:tcW w:w="897" w:type="pct"/>
                  <w:tcBorders>
                    <w:tl2br w:val="nil"/>
                    <w:tr2bl w:val="nil"/>
                  </w:tcBorders>
                  <w:vAlign w:val="center"/>
                </w:tcPr>
                <w:p>
                  <w:pPr>
                    <w:adjustRightInd w:val="0"/>
                    <w:snapToGrid w:val="0"/>
                    <w:jc w:val="center"/>
                    <w:rPr>
                      <w:color w:val="auto"/>
                      <w:szCs w:val="21"/>
                    </w:rPr>
                  </w:pPr>
                  <w:r>
                    <w:rPr>
                      <w:rFonts w:hint="eastAsia"/>
                      <w:color w:val="auto"/>
                      <w:szCs w:val="21"/>
                    </w:rPr>
                    <w:t>开卷</w:t>
                  </w:r>
                </w:p>
              </w:tc>
              <w:tc>
                <w:tcPr>
                  <w:tcW w:w="947" w:type="pct"/>
                  <w:vMerge w:val="restart"/>
                  <w:tcBorders>
                    <w:tl2br w:val="nil"/>
                    <w:tr2bl w:val="nil"/>
                  </w:tcBorders>
                  <w:vAlign w:val="center"/>
                </w:tcPr>
                <w:p>
                  <w:pPr>
                    <w:adjustRightInd w:val="0"/>
                    <w:snapToGrid w:val="0"/>
                    <w:jc w:val="center"/>
                    <w:rPr>
                      <w:color w:val="auto"/>
                      <w:kern w:val="0"/>
                      <w:szCs w:val="21"/>
                      <w:lang w:bidi="ar"/>
                    </w:rPr>
                  </w:pPr>
                  <w:r>
                    <w:rPr>
                      <w:rFonts w:hint="eastAsia"/>
                      <w:color w:val="auto"/>
                      <w:kern w:val="0"/>
                      <w:szCs w:val="21"/>
                      <w:lang w:bidi="ar"/>
                    </w:rPr>
                    <w:t>淋膜机</w:t>
                  </w:r>
                </w:p>
                <w:p>
                  <w:pPr>
                    <w:adjustRightInd w:val="0"/>
                    <w:snapToGrid w:val="0"/>
                    <w:jc w:val="center"/>
                    <w:rPr>
                      <w:color w:val="auto"/>
                      <w:kern w:val="0"/>
                      <w:szCs w:val="21"/>
                      <w:lang w:bidi="ar"/>
                    </w:rPr>
                  </w:pPr>
                  <w:r>
                    <w:rPr>
                      <w:rFonts w:hint="eastAsia"/>
                      <w:color w:val="auto"/>
                      <w:szCs w:val="21"/>
                    </w:rPr>
                    <w:t>（非标设备）</w:t>
                  </w:r>
                </w:p>
              </w:tc>
              <w:tc>
                <w:tcPr>
                  <w:tcW w:w="1487" w:type="pct"/>
                  <w:vMerge w:val="restart"/>
                  <w:tcBorders>
                    <w:tl2br w:val="nil"/>
                    <w:tr2bl w:val="nil"/>
                  </w:tcBorders>
                  <w:vAlign w:val="center"/>
                </w:tcPr>
                <w:p>
                  <w:pPr>
                    <w:widowControl/>
                    <w:adjustRightInd w:val="0"/>
                    <w:snapToGrid w:val="0"/>
                    <w:textAlignment w:val="center"/>
                    <w:rPr>
                      <w:color w:val="auto"/>
                      <w:szCs w:val="21"/>
                    </w:rPr>
                  </w:pPr>
                  <w:r>
                    <w:rPr>
                      <w:rFonts w:hint="eastAsia"/>
                      <w:color w:val="auto"/>
                      <w:szCs w:val="21"/>
                    </w:rPr>
                    <w:t>设备尺寸：15</w:t>
                  </w:r>
                  <w:r>
                    <w:rPr>
                      <w:color w:val="auto"/>
                      <w:kern w:val="0"/>
                      <w:szCs w:val="21"/>
                    </w:rPr>
                    <w:t>×</w:t>
                  </w:r>
                  <w:r>
                    <w:rPr>
                      <w:rFonts w:hint="eastAsia"/>
                      <w:color w:val="auto"/>
                      <w:kern w:val="0"/>
                      <w:szCs w:val="21"/>
                    </w:rPr>
                    <w:t>3.2</w:t>
                  </w:r>
                  <w:r>
                    <w:rPr>
                      <w:color w:val="auto"/>
                      <w:kern w:val="0"/>
                      <w:szCs w:val="21"/>
                    </w:rPr>
                    <w:t>×</w:t>
                  </w:r>
                  <w:r>
                    <w:rPr>
                      <w:rFonts w:hint="eastAsia"/>
                      <w:color w:val="auto"/>
                      <w:kern w:val="0"/>
                      <w:szCs w:val="21"/>
                    </w:rPr>
                    <w:t>2m；传输速度2m/min,</w:t>
                  </w:r>
                </w:p>
              </w:tc>
              <w:tc>
                <w:tcPr>
                  <w:tcW w:w="385" w:type="pct"/>
                  <w:vMerge w:val="restart"/>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rPr>
                    <w:t>2</w:t>
                  </w:r>
                  <w:r>
                    <w:rPr>
                      <w:rFonts w:hint="eastAsia"/>
                      <w:color w:val="auto"/>
                      <w:szCs w:val="21"/>
                      <w:lang w:eastAsia="zh-CN"/>
                    </w:rPr>
                    <w:t>条</w:t>
                  </w:r>
                </w:p>
              </w:tc>
              <w:tc>
                <w:tcPr>
                  <w:tcW w:w="385"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97" w:type="pct"/>
                  <w:tcBorders>
                    <w:tl2br w:val="nil"/>
                    <w:tr2bl w:val="nil"/>
                  </w:tcBorders>
                  <w:vAlign w:val="center"/>
                </w:tcPr>
                <w:p>
                  <w:pPr>
                    <w:widowControl/>
                    <w:adjustRightInd w:val="0"/>
                    <w:snapToGrid w:val="0"/>
                    <w:jc w:val="center"/>
                    <w:rPr>
                      <w:color w:val="auto"/>
                      <w:szCs w:val="21"/>
                    </w:rPr>
                  </w:pPr>
                  <w:r>
                    <w:rPr>
                      <w:rFonts w:hint="eastAsia"/>
                      <w:color w:val="auto"/>
                      <w:szCs w:val="21"/>
                    </w:rPr>
                    <w:t>热融</w:t>
                  </w:r>
                </w:p>
              </w:tc>
              <w:tc>
                <w:tcPr>
                  <w:tcW w:w="947" w:type="pct"/>
                  <w:vMerge w:val="continue"/>
                  <w:tcBorders>
                    <w:tl2br w:val="nil"/>
                    <w:tr2bl w:val="nil"/>
                  </w:tcBorders>
                  <w:vAlign w:val="center"/>
                </w:tcPr>
                <w:p>
                  <w:pPr>
                    <w:widowControl/>
                    <w:adjustRightInd w:val="0"/>
                    <w:snapToGrid w:val="0"/>
                    <w:jc w:val="center"/>
                    <w:rPr>
                      <w:color w:val="auto"/>
                      <w:kern w:val="0"/>
                      <w:szCs w:val="21"/>
                      <w:lang w:bidi="ar"/>
                    </w:rPr>
                  </w:pPr>
                </w:p>
              </w:tc>
              <w:tc>
                <w:tcPr>
                  <w:tcW w:w="1487"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97" w:type="pct"/>
                  <w:tcBorders>
                    <w:tl2br w:val="nil"/>
                    <w:tr2bl w:val="nil"/>
                  </w:tcBorders>
                  <w:vAlign w:val="center"/>
                </w:tcPr>
                <w:p>
                  <w:pPr>
                    <w:adjustRightInd w:val="0"/>
                    <w:snapToGrid w:val="0"/>
                    <w:jc w:val="center"/>
                    <w:rPr>
                      <w:color w:val="auto"/>
                      <w:szCs w:val="21"/>
                    </w:rPr>
                  </w:pPr>
                  <w:r>
                    <w:rPr>
                      <w:rFonts w:hint="eastAsia"/>
                      <w:color w:val="auto"/>
                      <w:szCs w:val="21"/>
                    </w:rPr>
                    <w:t>淋膜</w:t>
                  </w:r>
                </w:p>
              </w:tc>
              <w:tc>
                <w:tcPr>
                  <w:tcW w:w="947" w:type="pct"/>
                  <w:vMerge w:val="continue"/>
                  <w:tcBorders>
                    <w:tl2br w:val="nil"/>
                    <w:tr2bl w:val="nil"/>
                  </w:tcBorders>
                  <w:vAlign w:val="center"/>
                </w:tcPr>
                <w:p>
                  <w:pPr>
                    <w:adjustRightInd w:val="0"/>
                    <w:snapToGrid w:val="0"/>
                    <w:jc w:val="center"/>
                    <w:rPr>
                      <w:color w:val="auto"/>
                      <w:kern w:val="0"/>
                      <w:szCs w:val="21"/>
                    </w:rPr>
                  </w:pPr>
                </w:p>
              </w:tc>
              <w:tc>
                <w:tcPr>
                  <w:tcW w:w="1487" w:type="pct"/>
                  <w:vMerge w:val="continue"/>
                  <w:tcBorders>
                    <w:tl2br w:val="nil"/>
                    <w:tr2bl w:val="nil"/>
                  </w:tcBorders>
                  <w:vAlign w:val="center"/>
                </w:tcPr>
                <w:p>
                  <w:pPr>
                    <w:widowControl/>
                    <w:adjustRightInd w:val="0"/>
                    <w:snapToGrid w:val="0"/>
                    <w:jc w:val="center"/>
                    <w:textAlignment w:val="center"/>
                    <w:rPr>
                      <w:color w:val="auto"/>
                      <w:kern w:val="0"/>
                      <w:szCs w:val="21"/>
                    </w:rPr>
                  </w:pPr>
                </w:p>
              </w:tc>
              <w:tc>
                <w:tcPr>
                  <w:tcW w:w="385"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97" w:type="pct"/>
                  <w:tcBorders>
                    <w:tl2br w:val="nil"/>
                    <w:tr2bl w:val="nil"/>
                  </w:tcBorders>
                  <w:vAlign w:val="center"/>
                </w:tcPr>
                <w:p>
                  <w:pPr>
                    <w:widowControl/>
                    <w:adjustRightInd w:val="0"/>
                    <w:snapToGrid w:val="0"/>
                    <w:jc w:val="center"/>
                    <w:rPr>
                      <w:color w:val="auto"/>
                      <w:szCs w:val="21"/>
                    </w:rPr>
                  </w:pPr>
                  <w:r>
                    <w:rPr>
                      <w:rFonts w:hint="eastAsia"/>
                      <w:color w:val="auto"/>
                      <w:szCs w:val="21"/>
                    </w:rPr>
                    <w:t>收卷</w:t>
                  </w:r>
                </w:p>
              </w:tc>
              <w:tc>
                <w:tcPr>
                  <w:tcW w:w="947" w:type="pct"/>
                  <w:vMerge w:val="continue"/>
                  <w:tcBorders>
                    <w:tl2br w:val="nil"/>
                    <w:tr2bl w:val="nil"/>
                  </w:tcBorders>
                  <w:vAlign w:val="center"/>
                </w:tcPr>
                <w:p>
                  <w:pPr>
                    <w:widowControl/>
                    <w:adjustRightInd w:val="0"/>
                    <w:snapToGrid w:val="0"/>
                    <w:jc w:val="center"/>
                    <w:rPr>
                      <w:color w:val="auto"/>
                      <w:kern w:val="0"/>
                      <w:szCs w:val="21"/>
                      <w:lang w:bidi="ar"/>
                    </w:rPr>
                  </w:pPr>
                </w:p>
              </w:tc>
              <w:tc>
                <w:tcPr>
                  <w:tcW w:w="1487"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c>
                <w:tcPr>
                  <w:tcW w:w="385" w:type="pct"/>
                  <w:vMerge w:val="continue"/>
                  <w:tcBorders>
                    <w:tl2br w:val="nil"/>
                    <w:tr2bl w:val="nil"/>
                  </w:tcBorders>
                  <w:vAlign w:val="center"/>
                </w:tcPr>
                <w:p>
                  <w:pPr>
                    <w:adjustRightInd w:val="0"/>
                    <w:snapToGri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97" w:type="pct"/>
                  <w:tcBorders>
                    <w:tl2br w:val="nil"/>
                    <w:tr2bl w:val="nil"/>
                  </w:tcBorders>
                  <w:vAlign w:val="center"/>
                </w:tcPr>
                <w:p>
                  <w:pPr>
                    <w:widowControl/>
                    <w:adjustRightInd w:val="0"/>
                    <w:snapToGrid w:val="0"/>
                    <w:jc w:val="center"/>
                    <w:rPr>
                      <w:color w:val="auto"/>
                      <w:szCs w:val="21"/>
                    </w:rPr>
                  </w:pPr>
                  <w:r>
                    <w:rPr>
                      <w:rFonts w:hint="eastAsia"/>
                      <w:color w:val="auto"/>
                      <w:szCs w:val="21"/>
                    </w:rPr>
                    <w:t>冷却</w:t>
                  </w:r>
                </w:p>
              </w:tc>
              <w:tc>
                <w:tcPr>
                  <w:tcW w:w="947" w:type="pct"/>
                  <w:tcBorders>
                    <w:tl2br w:val="nil"/>
                    <w:tr2bl w:val="nil"/>
                  </w:tcBorders>
                  <w:vAlign w:val="center"/>
                </w:tcPr>
                <w:p>
                  <w:pPr>
                    <w:widowControl/>
                    <w:adjustRightInd w:val="0"/>
                    <w:snapToGrid w:val="0"/>
                    <w:jc w:val="center"/>
                    <w:rPr>
                      <w:color w:val="auto"/>
                      <w:kern w:val="0"/>
                      <w:szCs w:val="21"/>
                      <w:lang w:bidi="ar"/>
                    </w:rPr>
                  </w:pPr>
                  <w:r>
                    <w:rPr>
                      <w:rFonts w:hint="eastAsia"/>
                      <w:color w:val="auto"/>
                      <w:szCs w:val="21"/>
                    </w:rPr>
                    <w:t>冷却塔</w:t>
                  </w:r>
                </w:p>
              </w:tc>
              <w:tc>
                <w:tcPr>
                  <w:tcW w:w="1487" w:type="pct"/>
                  <w:tcBorders>
                    <w:tl2br w:val="nil"/>
                    <w:tr2bl w:val="nil"/>
                  </w:tcBorders>
                  <w:vAlign w:val="center"/>
                </w:tcPr>
                <w:p>
                  <w:pPr>
                    <w:adjustRightInd w:val="0"/>
                    <w:snapToGrid w:val="0"/>
                    <w:jc w:val="center"/>
                    <w:rPr>
                      <w:color w:val="auto"/>
                      <w:szCs w:val="21"/>
                    </w:rPr>
                  </w:pPr>
                  <w:r>
                    <w:rPr>
                      <w:rFonts w:hint="eastAsia"/>
                      <w:color w:val="auto"/>
                      <w:kern w:val="0"/>
                      <w:szCs w:val="21"/>
                    </w:rPr>
                    <w:t>冷却水槽容积：80m</w:t>
                  </w:r>
                  <w:r>
                    <w:rPr>
                      <w:rFonts w:hint="eastAsia"/>
                      <w:color w:val="auto"/>
                      <w:kern w:val="0"/>
                      <w:szCs w:val="21"/>
                      <w:vertAlign w:val="superscript"/>
                    </w:rPr>
                    <w:t>3</w:t>
                  </w:r>
                  <w:r>
                    <w:rPr>
                      <w:rFonts w:hint="eastAsia"/>
                      <w:color w:val="auto"/>
                      <w:kern w:val="0"/>
                      <w:szCs w:val="21"/>
                    </w:rPr>
                    <w:t>/d，循环水量：220m</w:t>
                  </w:r>
                  <w:r>
                    <w:rPr>
                      <w:rFonts w:hint="eastAsia"/>
                      <w:color w:val="auto"/>
                      <w:kern w:val="0"/>
                      <w:szCs w:val="21"/>
                      <w:vertAlign w:val="superscript"/>
                    </w:rPr>
                    <w:t>3</w:t>
                  </w:r>
                  <w:r>
                    <w:rPr>
                      <w:rFonts w:hint="eastAsia"/>
                      <w:color w:val="auto"/>
                      <w:kern w:val="0"/>
                      <w:szCs w:val="21"/>
                    </w:rPr>
                    <w:t>/h</w:t>
                  </w:r>
                </w:p>
              </w:tc>
              <w:tc>
                <w:tcPr>
                  <w:tcW w:w="385" w:type="pct"/>
                  <w:tcBorders>
                    <w:tl2br w:val="nil"/>
                    <w:tr2bl w:val="nil"/>
                  </w:tcBorders>
                  <w:vAlign w:val="center"/>
                </w:tcPr>
                <w:p>
                  <w:pPr>
                    <w:adjustRightInd w:val="0"/>
                    <w:snapToGrid w:val="0"/>
                    <w:jc w:val="center"/>
                    <w:rPr>
                      <w:color w:val="auto"/>
                      <w:szCs w:val="21"/>
                    </w:rPr>
                  </w:pPr>
                  <w:r>
                    <w:rPr>
                      <w:rFonts w:hint="eastAsia"/>
                      <w:color w:val="auto"/>
                      <w:szCs w:val="21"/>
                    </w:rPr>
                    <w:t>1台</w:t>
                  </w:r>
                </w:p>
              </w:tc>
              <w:tc>
                <w:tcPr>
                  <w:tcW w:w="385" w:type="pct"/>
                  <w:tcBorders>
                    <w:tl2br w:val="nil"/>
                    <w:tr2bl w:val="nil"/>
                  </w:tcBorders>
                  <w:vAlign w:val="center"/>
                </w:tcPr>
                <w:p>
                  <w:pPr>
                    <w:adjustRightInd w:val="0"/>
                    <w:snapToGrid w:val="0"/>
                    <w:jc w:val="center"/>
                    <w:rPr>
                      <w:color w:val="auto"/>
                      <w:szCs w:val="21"/>
                    </w:rPr>
                  </w:pPr>
                  <w:r>
                    <w:rPr>
                      <w:rFonts w:hint="eastAsia"/>
                      <w:color w:val="auto"/>
                      <w:szCs w:val="21"/>
                    </w:rPr>
                    <w:t>新增</w:t>
                  </w:r>
                </w:p>
              </w:tc>
            </w:tr>
          </w:tbl>
          <w:p>
            <w:pPr>
              <w:pStyle w:val="36"/>
              <w:ind w:firstLine="0" w:firstLineChars="0"/>
              <w:jc w:val="center"/>
              <w:rPr>
                <w:rFonts w:ascii="Times New Roman" w:hAnsi="Times New Roman"/>
                <w:color w:val="auto"/>
                <w:kern w:val="0"/>
                <w:sz w:val="21"/>
                <w:szCs w:val="21"/>
              </w:rPr>
            </w:pPr>
            <w:r>
              <w:rPr>
                <w:rFonts w:ascii="Times New Roman" w:hAnsi="Times New Roman"/>
                <w:color w:val="auto"/>
                <w:kern w:val="0"/>
                <w:sz w:val="21"/>
                <w:szCs w:val="21"/>
              </w:rPr>
              <w:t>表</w:t>
            </w:r>
            <w:r>
              <w:rPr>
                <w:rFonts w:hint="eastAsia" w:ascii="Times New Roman" w:hAnsi="Times New Roman"/>
                <w:color w:val="auto"/>
                <w:kern w:val="0"/>
                <w:sz w:val="21"/>
                <w:szCs w:val="21"/>
              </w:rPr>
              <w:t>2.</w:t>
            </w:r>
            <w:r>
              <w:rPr>
                <w:rFonts w:hint="eastAsia" w:ascii="Times New Roman" w:hAnsi="Times New Roman"/>
                <w:color w:val="auto"/>
                <w:kern w:val="0"/>
                <w:sz w:val="21"/>
                <w:szCs w:val="21"/>
                <w:lang w:val="en-US" w:eastAsia="zh-CN"/>
              </w:rPr>
              <w:t>5</w:t>
            </w:r>
            <w:r>
              <w:rPr>
                <w:rFonts w:hint="eastAsia" w:ascii="Times New Roman" w:hAnsi="Times New Roman"/>
                <w:color w:val="auto"/>
                <w:kern w:val="0"/>
                <w:sz w:val="21"/>
                <w:szCs w:val="21"/>
              </w:rPr>
              <w:t xml:space="preserve"> 生产节拍与产能匹配性一览表</w:t>
            </w:r>
          </w:p>
          <w:tbl>
            <w:tblPr>
              <w:tblStyle w:val="2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24"/>
              <w:gridCol w:w="2218"/>
              <w:gridCol w:w="1146"/>
              <w:gridCol w:w="1339"/>
              <w:gridCol w:w="11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645"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ascii="Times New Roman" w:hAnsi="Times New Roman"/>
                      <w:snapToGrid w:val="0"/>
                      <w:color w:val="auto"/>
                      <w:sz w:val="21"/>
                      <w:szCs w:val="21"/>
                    </w:rPr>
                    <w:t>生产线</w:t>
                  </w:r>
                </w:p>
              </w:tc>
              <w:tc>
                <w:tcPr>
                  <w:tcW w:w="824"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数量</w:t>
                  </w:r>
                </w:p>
              </w:tc>
              <w:tc>
                <w:tcPr>
                  <w:tcW w:w="2218"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lang w:eastAsia="zh-CN"/>
                    </w:rPr>
                    <w:t>单条生产线</w:t>
                  </w:r>
                  <w:r>
                    <w:rPr>
                      <w:rFonts w:hint="eastAsia" w:ascii="Times New Roman" w:hAnsi="Times New Roman"/>
                      <w:snapToGrid w:val="0"/>
                      <w:color w:val="auto"/>
                      <w:sz w:val="21"/>
                      <w:szCs w:val="21"/>
                    </w:rPr>
                    <w:t>设备参数</w:t>
                  </w:r>
                </w:p>
              </w:tc>
              <w:tc>
                <w:tcPr>
                  <w:tcW w:w="1146"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运行时间</w:t>
                  </w:r>
                </w:p>
              </w:tc>
              <w:tc>
                <w:tcPr>
                  <w:tcW w:w="1339"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最大产能</w:t>
                  </w:r>
                </w:p>
              </w:tc>
              <w:tc>
                <w:tcPr>
                  <w:tcW w:w="1194"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设计产能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45" w:type="dxa"/>
                  <w:tcBorders>
                    <w:tl2br w:val="nil"/>
                    <w:tr2bl w:val="nil"/>
                  </w:tcBorders>
                  <w:vAlign w:val="center"/>
                </w:tcPr>
                <w:p>
                  <w:pPr>
                    <w:pStyle w:val="2"/>
                    <w:snapToGrid w:val="0"/>
                    <w:spacing w:line="240" w:lineRule="auto"/>
                    <w:jc w:val="center"/>
                    <w:rPr>
                      <w:rFonts w:ascii="Times New Roman" w:hAnsi="Times New Roman"/>
                      <w:snapToGrid w:val="0"/>
                      <w:color w:val="auto"/>
                      <w:sz w:val="21"/>
                      <w:szCs w:val="21"/>
                    </w:rPr>
                  </w:pPr>
                  <w:r>
                    <w:rPr>
                      <w:rFonts w:ascii="Times New Roman" w:hAnsi="Times New Roman" w:cs="Times New Roman"/>
                      <w:color w:val="auto"/>
                      <w:sz w:val="21"/>
                      <w:szCs w:val="21"/>
                    </w:rPr>
                    <w:t>拉幅定型无纺布生产线</w:t>
                  </w:r>
                </w:p>
              </w:tc>
              <w:tc>
                <w:tcPr>
                  <w:tcW w:w="824"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2条</w:t>
                  </w:r>
                </w:p>
              </w:tc>
              <w:tc>
                <w:tcPr>
                  <w:tcW w:w="2218"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color w:val="auto"/>
                      <w:kern w:val="0"/>
                      <w:sz w:val="21"/>
                      <w:szCs w:val="21"/>
                      <w:highlight w:val="none"/>
                    </w:rPr>
                    <w:t>运行</w:t>
                  </w:r>
                  <w:r>
                    <w:rPr>
                      <w:rFonts w:hint="eastAsia" w:ascii="Times New Roman" w:hAnsi="Times New Roman"/>
                      <w:color w:val="auto"/>
                      <w:kern w:val="0"/>
                      <w:sz w:val="21"/>
                      <w:szCs w:val="21"/>
                    </w:rPr>
                    <w:t>速度4m/min</w:t>
                  </w:r>
                </w:p>
              </w:tc>
              <w:tc>
                <w:tcPr>
                  <w:tcW w:w="1146"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7h/d</w:t>
                  </w:r>
                </w:p>
              </w:tc>
              <w:tc>
                <w:tcPr>
                  <w:tcW w:w="1339" w:type="dxa"/>
                  <w:tcBorders>
                    <w:tl2br w:val="nil"/>
                    <w:tr2bl w:val="nil"/>
                  </w:tcBorders>
                  <w:vAlign w:val="center"/>
                </w:tcPr>
                <w:p>
                  <w:pPr>
                    <w:pStyle w:val="36"/>
                    <w:spacing w:line="240" w:lineRule="auto"/>
                    <w:ind w:firstLine="0" w:firstLineChars="0"/>
                    <w:jc w:val="center"/>
                    <w:outlineLvl w:val="9"/>
                    <w:rPr>
                      <w:rFonts w:ascii="Times New Roman" w:hAnsi="Times New Roman"/>
                      <w:color w:val="auto"/>
                      <w:sz w:val="21"/>
                      <w:szCs w:val="21"/>
                      <w:highlight w:val="none"/>
                    </w:rPr>
                  </w:pPr>
                  <w:r>
                    <w:rPr>
                      <w:rFonts w:ascii="Times New Roman" w:hAnsi="Times New Roman"/>
                      <w:color w:val="auto"/>
                      <w:sz w:val="21"/>
                      <w:szCs w:val="21"/>
                      <w:highlight w:val="none"/>
                    </w:rPr>
                    <w:t>10080卷/a</w:t>
                  </w:r>
                </w:p>
                <w:p>
                  <w:pPr>
                    <w:pStyle w:val="36"/>
                    <w:spacing w:line="240" w:lineRule="auto"/>
                    <w:ind w:firstLine="0" w:firstLineChars="0"/>
                    <w:jc w:val="center"/>
                    <w:outlineLvl w:val="9"/>
                    <w:rPr>
                      <w:rFonts w:ascii="Times New Roman" w:hAnsi="Times New Roman"/>
                      <w:color w:val="auto"/>
                      <w:sz w:val="21"/>
                      <w:szCs w:val="21"/>
                      <w:highlight w:val="none"/>
                    </w:rPr>
                  </w:pPr>
                  <w:r>
                    <w:rPr>
                      <w:rFonts w:ascii="Times New Roman" w:hAnsi="Times New Roman"/>
                      <w:color w:val="auto"/>
                      <w:sz w:val="21"/>
                      <w:szCs w:val="21"/>
                      <w:highlight w:val="none"/>
                    </w:rPr>
                    <w:t>554t/a</w:t>
                  </w:r>
                </w:p>
              </w:tc>
              <w:tc>
                <w:tcPr>
                  <w:tcW w:w="1194" w:type="dxa"/>
                  <w:tcBorders>
                    <w:tl2br w:val="nil"/>
                    <w:tr2bl w:val="nil"/>
                  </w:tcBorders>
                  <w:vAlign w:val="center"/>
                </w:tcPr>
                <w:p>
                  <w:pPr>
                    <w:pStyle w:val="36"/>
                    <w:spacing w:line="240" w:lineRule="auto"/>
                    <w:ind w:firstLine="0" w:firstLineChars="0"/>
                    <w:jc w:val="center"/>
                    <w:outlineLvl w:val="9"/>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10000</w:t>
                  </w:r>
                  <w:r>
                    <w:rPr>
                      <w:rFonts w:ascii="Times New Roman" w:hAnsi="Times New Roman"/>
                      <w:color w:val="auto"/>
                      <w:sz w:val="21"/>
                      <w:szCs w:val="21"/>
                      <w:highlight w:val="none"/>
                    </w:rPr>
                    <w:t>卷/a</w:t>
                  </w:r>
                </w:p>
                <w:p>
                  <w:pPr>
                    <w:pStyle w:val="36"/>
                    <w:spacing w:line="240" w:lineRule="auto"/>
                    <w:ind w:firstLine="0" w:firstLineChars="0"/>
                    <w:jc w:val="center"/>
                    <w:outlineLvl w:val="9"/>
                    <w:rPr>
                      <w:rFonts w:ascii="Times New Roman" w:hAnsi="Times New Roman"/>
                      <w:color w:val="auto"/>
                      <w:sz w:val="21"/>
                      <w:szCs w:val="21"/>
                      <w:highlight w:val="none"/>
                    </w:rPr>
                  </w:pPr>
                  <w:r>
                    <w:rPr>
                      <w:rFonts w:ascii="Times New Roman" w:hAnsi="Times New Roman"/>
                      <w:color w:val="auto"/>
                      <w:sz w:val="21"/>
                      <w:szCs w:val="21"/>
                      <w:highlight w:val="none"/>
                    </w:rPr>
                    <w:t>500t/a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5" w:type="dxa"/>
                  <w:tcBorders>
                    <w:tl2br w:val="nil"/>
                    <w:tr2bl w:val="nil"/>
                  </w:tcBorders>
                  <w:vAlign w:val="center"/>
                </w:tcPr>
                <w:p>
                  <w:pPr>
                    <w:pStyle w:val="2"/>
                    <w:snapToGrid w:val="0"/>
                    <w:spacing w:line="240" w:lineRule="auto"/>
                    <w:jc w:val="center"/>
                    <w:rPr>
                      <w:rFonts w:ascii="Times New Roman" w:hAnsi="Times New Roman"/>
                      <w:snapToGrid w:val="0"/>
                      <w:color w:val="auto"/>
                      <w:sz w:val="21"/>
                      <w:szCs w:val="21"/>
                    </w:rPr>
                  </w:pPr>
                  <w:r>
                    <w:rPr>
                      <w:rFonts w:ascii="Times New Roman" w:hAnsi="Times New Roman" w:cs="Times New Roman"/>
                      <w:color w:val="auto"/>
                      <w:sz w:val="21"/>
                      <w:szCs w:val="21"/>
                    </w:rPr>
                    <w:t>淋膜无纺布</w:t>
                  </w:r>
                  <w:r>
                    <w:rPr>
                      <w:rFonts w:hint="eastAsia" w:ascii="Times New Roman" w:hAnsi="Times New Roman" w:cs="Times New Roman"/>
                      <w:color w:val="auto"/>
                      <w:sz w:val="21"/>
                      <w:szCs w:val="21"/>
                    </w:rPr>
                    <w:t>生产线</w:t>
                  </w:r>
                </w:p>
              </w:tc>
              <w:tc>
                <w:tcPr>
                  <w:tcW w:w="824"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2条</w:t>
                  </w:r>
                </w:p>
              </w:tc>
              <w:tc>
                <w:tcPr>
                  <w:tcW w:w="2218"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color w:val="auto"/>
                      <w:kern w:val="0"/>
                      <w:sz w:val="21"/>
                      <w:szCs w:val="21"/>
                    </w:rPr>
                    <w:t>运行速度2m/min</w:t>
                  </w:r>
                </w:p>
              </w:tc>
              <w:tc>
                <w:tcPr>
                  <w:tcW w:w="1146" w:type="dxa"/>
                  <w:tcBorders>
                    <w:tl2br w:val="nil"/>
                    <w:tr2bl w:val="nil"/>
                  </w:tcBorders>
                  <w:vAlign w:val="center"/>
                </w:tcPr>
                <w:p>
                  <w:pPr>
                    <w:pStyle w:val="36"/>
                    <w:spacing w:line="240" w:lineRule="auto"/>
                    <w:ind w:firstLine="0" w:firstLineChars="0"/>
                    <w:jc w:val="center"/>
                    <w:outlineLvl w:val="9"/>
                    <w:rPr>
                      <w:rFonts w:ascii="Times New Roman" w:hAnsi="Times New Roman"/>
                      <w:snapToGrid w:val="0"/>
                      <w:color w:val="auto"/>
                      <w:sz w:val="21"/>
                      <w:szCs w:val="21"/>
                    </w:rPr>
                  </w:pPr>
                  <w:r>
                    <w:rPr>
                      <w:rFonts w:hint="eastAsia" w:ascii="Times New Roman" w:hAnsi="Times New Roman"/>
                      <w:snapToGrid w:val="0"/>
                      <w:color w:val="auto"/>
                      <w:sz w:val="21"/>
                      <w:szCs w:val="21"/>
                    </w:rPr>
                    <w:t>7h/d</w:t>
                  </w:r>
                </w:p>
              </w:tc>
              <w:tc>
                <w:tcPr>
                  <w:tcW w:w="1339" w:type="dxa"/>
                  <w:tcBorders>
                    <w:tl2br w:val="nil"/>
                    <w:tr2bl w:val="nil"/>
                  </w:tcBorders>
                  <w:vAlign w:val="center"/>
                </w:tcPr>
                <w:p>
                  <w:pPr>
                    <w:pStyle w:val="36"/>
                    <w:spacing w:line="240" w:lineRule="auto"/>
                    <w:ind w:firstLine="0" w:firstLineChars="0"/>
                    <w:jc w:val="center"/>
                    <w:outlineLvl w:val="9"/>
                    <w:rPr>
                      <w:rFonts w:ascii="Times New Roman" w:hAnsi="Times New Roman"/>
                      <w:color w:val="auto"/>
                      <w:sz w:val="21"/>
                      <w:szCs w:val="21"/>
                    </w:rPr>
                  </w:pPr>
                  <w:r>
                    <w:rPr>
                      <w:rFonts w:ascii="Times New Roman" w:hAnsi="Times New Roman"/>
                      <w:color w:val="auto"/>
                      <w:sz w:val="21"/>
                      <w:szCs w:val="21"/>
                    </w:rPr>
                    <w:t>5040卷/a</w:t>
                  </w:r>
                </w:p>
                <w:p>
                  <w:pPr>
                    <w:pStyle w:val="36"/>
                    <w:spacing w:line="240" w:lineRule="auto"/>
                    <w:ind w:firstLine="0" w:firstLineChars="0"/>
                    <w:jc w:val="center"/>
                    <w:outlineLvl w:val="9"/>
                    <w:rPr>
                      <w:rFonts w:ascii="Times New Roman" w:hAnsi="Times New Roman"/>
                      <w:color w:val="auto"/>
                      <w:sz w:val="21"/>
                      <w:szCs w:val="21"/>
                    </w:rPr>
                  </w:pPr>
                  <w:r>
                    <w:rPr>
                      <w:rFonts w:ascii="Times New Roman" w:hAnsi="Times New Roman"/>
                      <w:color w:val="auto"/>
                      <w:sz w:val="21"/>
                      <w:szCs w:val="21"/>
                    </w:rPr>
                    <w:t>302t/ta</w:t>
                  </w:r>
                </w:p>
              </w:tc>
              <w:tc>
                <w:tcPr>
                  <w:tcW w:w="1194" w:type="dxa"/>
                  <w:tcBorders>
                    <w:tl2br w:val="nil"/>
                    <w:tr2bl w:val="nil"/>
                  </w:tcBorders>
                  <w:vAlign w:val="center"/>
                </w:tcPr>
                <w:p>
                  <w:pPr>
                    <w:pStyle w:val="36"/>
                    <w:spacing w:line="240" w:lineRule="auto"/>
                    <w:ind w:firstLine="0" w:firstLineChars="0"/>
                    <w:jc w:val="center"/>
                    <w:outlineLvl w:val="9"/>
                    <w:rPr>
                      <w:rFonts w:ascii="Times New Roman" w:hAnsi="Times New Roman"/>
                      <w:color w:val="auto"/>
                      <w:sz w:val="21"/>
                      <w:szCs w:val="21"/>
                    </w:rPr>
                  </w:pPr>
                  <w:r>
                    <w:rPr>
                      <w:rFonts w:ascii="Times New Roman" w:hAnsi="Times New Roman"/>
                      <w:color w:val="auto"/>
                      <w:sz w:val="21"/>
                      <w:szCs w:val="21"/>
                    </w:rPr>
                    <w:t>5000卷/a</w:t>
                  </w:r>
                </w:p>
                <w:p>
                  <w:pPr>
                    <w:pStyle w:val="36"/>
                    <w:spacing w:line="240" w:lineRule="auto"/>
                    <w:ind w:firstLine="0" w:firstLineChars="0"/>
                    <w:jc w:val="center"/>
                    <w:outlineLvl w:val="9"/>
                    <w:rPr>
                      <w:rFonts w:ascii="Times New Roman" w:hAnsi="Times New Roman"/>
                      <w:color w:val="auto"/>
                      <w:sz w:val="21"/>
                      <w:szCs w:val="21"/>
                    </w:rPr>
                  </w:pPr>
                  <w:r>
                    <w:rPr>
                      <w:rFonts w:ascii="Times New Roman" w:hAnsi="Times New Roman"/>
                      <w:color w:val="auto"/>
                      <w:sz w:val="21"/>
                      <w:szCs w:val="21"/>
                    </w:rPr>
                    <w:t>300t/a</w:t>
                  </w:r>
                </w:p>
              </w:tc>
            </w:tr>
          </w:tbl>
          <w:p>
            <w:pPr>
              <w:spacing w:line="360" w:lineRule="auto"/>
              <w:ind w:firstLine="480" w:firstLineChars="200"/>
              <w:rPr>
                <w:color w:val="auto"/>
                <w:sz w:val="24"/>
              </w:rPr>
            </w:pPr>
            <w:r>
              <w:rPr>
                <w:rFonts w:hint="eastAsia"/>
                <w:color w:val="auto"/>
                <w:sz w:val="24"/>
              </w:rPr>
              <w:t>由表2.4分析可知，本项配备的生产设备能够满足项目设计产能的需求。</w:t>
            </w:r>
          </w:p>
          <w:p>
            <w:pPr>
              <w:spacing w:line="360" w:lineRule="auto"/>
              <w:rPr>
                <w:rFonts w:ascii="Times New Roman" w:cs="Times New Roman"/>
                <w:color w:val="auto"/>
              </w:rPr>
            </w:pPr>
            <w:r>
              <w:rPr>
                <w:b/>
                <w:bCs/>
                <w:color w:val="auto"/>
                <w:sz w:val="24"/>
              </w:rPr>
              <w:t>主要原辅材料名称及年消耗数量</w:t>
            </w:r>
          </w:p>
          <w:p>
            <w:pPr>
              <w:pStyle w:val="2"/>
              <w:snapToGrid w:val="0"/>
              <w:spacing w:line="360" w:lineRule="auto"/>
              <w:ind w:firstLine="480" w:firstLineChars="200"/>
              <w:jc w:val="both"/>
              <w:rPr>
                <w:rFonts w:ascii="Times New Roman" w:cs="Times New Roman"/>
                <w:color w:val="auto"/>
              </w:rPr>
            </w:pPr>
            <w:r>
              <w:rPr>
                <w:rFonts w:ascii="Times New Roman" w:cs="Times New Roman"/>
                <w:color w:val="auto"/>
              </w:rPr>
              <w:t>（</w:t>
            </w:r>
            <w:r>
              <w:rPr>
                <w:rFonts w:hint="eastAsia" w:ascii="Times New Roman" w:cs="Times New Roman"/>
                <w:color w:val="auto"/>
              </w:rPr>
              <w:t>1</w:t>
            </w:r>
            <w:r>
              <w:rPr>
                <w:rFonts w:ascii="Times New Roman" w:cs="Times New Roman"/>
                <w:color w:val="auto"/>
              </w:rPr>
              <w:t>）</w:t>
            </w:r>
            <w:r>
              <w:rPr>
                <w:rFonts w:hint="eastAsia" w:ascii="Times New Roman" w:cs="Times New Roman"/>
                <w:color w:val="auto"/>
              </w:rPr>
              <w:t>水性</w:t>
            </w:r>
            <w:r>
              <w:rPr>
                <w:rFonts w:hint="eastAsia" w:ascii="Times New Roman" w:cs="Times New Roman"/>
                <w:color w:val="auto"/>
                <w:lang w:eastAsia="zh-CN"/>
              </w:rPr>
              <w:t>胶粘剂</w:t>
            </w:r>
            <w:r>
              <w:rPr>
                <w:rFonts w:hint="eastAsia" w:ascii="Times New Roman" w:cs="Times New Roman"/>
                <w:color w:val="auto"/>
                <w:lang w:val="en-US" w:eastAsia="zh-CN"/>
              </w:rPr>
              <w:t>/PE塑料粒</w:t>
            </w:r>
            <w:r>
              <w:rPr>
                <w:rFonts w:hint="eastAsia" w:ascii="Times New Roman" w:cs="Times New Roman"/>
                <w:color w:val="auto"/>
              </w:rPr>
              <w:t>用量</w:t>
            </w:r>
            <w:r>
              <w:rPr>
                <w:rFonts w:ascii="Times New Roman" w:cs="Times New Roman"/>
                <w:color w:val="auto"/>
              </w:rPr>
              <w:t>量核算</w:t>
            </w:r>
          </w:p>
          <w:p>
            <w:pPr>
              <w:adjustRightInd w:val="0"/>
              <w:snapToGrid w:val="0"/>
              <w:spacing w:line="360" w:lineRule="auto"/>
              <w:ind w:firstLine="480" w:firstLineChars="200"/>
              <w:rPr>
                <w:color w:val="auto"/>
                <w:sz w:val="24"/>
              </w:rPr>
            </w:pPr>
            <w:r>
              <w:rPr>
                <w:rFonts w:hint="eastAsia"/>
                <w:color w:val="auto"/>
                <w:sz w:val="24"/>
                <w:lang w:eastAsia="zh-CN"/>
              </w:rPr>
              <w:t>扩建项目</w:t>
            </w:r>
            <w:r>
              <w:rPr>
                <w:rFonts w:hint="eastAsia"/>
                <w:color w:val="auto"/>
                <w:sz w:val="24"/>
              </w:rPr>
              <w:t>水性</w:t>
            </w:r>
            <w:r>
              <w:rPr>
                <w:rFonts w:hint="eastAsia"/>
                <w:color w:val="auto"/>
                <w:sz w:val="24"/>
                <w:lang w:eastAsia="zh-CN"/>
              </w:rPr>
              <w:t>胶粘剂</w:t>
            </w:r>
            <w:r>
              <w:rPr>
                <w:color w:val="auto"/>
                <w:sz w:val="24"/>
              </w:rPr>
              <w:t>用量</w:t>
            </w:r>
            <w:r>
              <w:rPr>
                <w:rFonts w:hint="eastAsia"/>
                <w:color w:val="auto"/>
                <w:sz w:val="24"/>
                <w:lang w:eastAsia="zh-CN"/>
              </w:rPr>
              <w:t>、</w:t>
            </w:r>
            <w:r>
              <w:rPr>
                <w:rFonts w:hint="eastAsia"/>
                <w:color w:val="auto"/>
                <w:sz w:val="24"/>
                <w:lang w:val="en-US" w:eastAsia="zh-CN"/>
              </w:rPr>
              <w:t>PE料用量</w:t>
            </w:r>
            <w:r>
              <w:rPr>
                <w:color w:val="auto"/>
                <w:sz w:val="24"/>
              </w:rPr>
              <w:t>核算见表2.</w:t>
            </w:r>
            <w:r>
              <w:rPr>
                <w:rFonts w:hint="eastAsia"/>
                <w:color w:val="auto"/>
                <w:sz w:val="24"/>
                <w:lang w:val="en-US" w:eastAsia="zh-CN"/>
              </w:rPr>
              <w:t>6</w:t>
            </w:r>
            <w:r>
              <w:rPr>
                <w:color w:val="auto"/>
                <w:sz w:val="24"/>
              </w:rPr>
              <w:t>。</w:t>
            </w:r>
          </w:p>
          <w:p>
            <w:pPr>
              <w:adjustRightInd w:val="0"/>
              <w:snapToGrid w:val="0"/>
              <w:spacing w:line="360" w:lineRule="auto"/>
              <w:jc w:val="center"/>
              <w:rPr>
                <w:color w:val="auto"/>
                <w:sz w:val="21"/>
                <w:szCs w:val="21"/>
              </w:rPr>
            </w:pPr>
            <w:r>
              <w:rPr>
                <w:color w:val="auto"/>
                <w:sz w:val="21"/>
                <w:szCs w:val="21"/>
              </w:rPr>
              <w:t>表2.</w:t>
            </w:r>
            <w:r>
              <w:rPr>
                <w:rFonts w:hint="eastAsia"/>
                <w:color w:val="auto"/>
                <w:sz w:val="21"/>
                <w:szCs w:val="21"/>
                <w:lang w:val="en-US" w:eastAsia="zh-CN"/>
              </w:rPr>
              <w:t>6</w:t>
            </w:r>
            <w:r>
              <w:rPr>
                <w:color w:val="auto"/>
                <w:sz w:val="21"/>
                <w:szCs w:val="21"/>
              </w:rPr>
              <w:t xml:space="preserve"> </w:t>
            </w:r>
            <w:r>
              <w:rPr>
                <w:rFonts w:hint="eastAsia"/>
                <w:color w:val="auto"/>
                <w:sz w:val="21"/>
                <w:szCs w:val="21"/>
              </w:rPr>
              <w:t>水性胶水</w:t>
            </w:r>
            <w:r>
              <w:rPr>
                <w:rFonts w:hint="eastAsia"/>
                <w:color w:val="auto"/>
                <w:sz w:val="21"/>
                <w:szCs w:val="21"/>
                <w:lang w:val="en-US" w:eastAsia="zh-CN"/>
              </w:rPr>
              <w:t>/PE料</w:t>
            </w:r>
            <w:r>
              <w:rPr>
                <w:rFonts w:hint="eastAsia"/>
                <w:color w:val="auto"/>
                <w:sz w:val="21"/>
                <w:szCs w:val="21"/>
              </w:rPr>
              <w:t>用量核算</w:t>
            </w:r>
            <w:r>
              <w:rPr>
                <w:color w:val="auto"/>
                <w:sz w:val="21"/>
                <w:szCs w:val="21"/>
              </w:rPr>
              <w:t>一览表</w:t>
            </w:r>
          </w:p>
          <w:tbl>
            <w:tblPr>
              <w:tblStyle w:val="22"/>
              <w:tblW w:w="8412"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326"/>
              <w:gridCol w:w="1267"/>
              <w:gridCol w:w="1665"/>
              <w:gridCol w:w="1136"/>
              <w:gridCol w:w="23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5" w:type="dxa"/>
                  <w:tcBorders>
                    <w:tl2br w:val="nil"/>
                    <w:tr2bl w:val="nil"/>
                  </w:tcBorders>
                  <w:vAlign w:val="center"/>
                </w:tcPr>
                <w:p>
                  <w:pPr>
                    <w:snapToGrid w:val="0"/>
                    <w:jc w:val="center"/>
                    <w:rPr>
                      <w:color w:val="auto"/>
                    </w:rPr>
                  </w:pPr>
                  <w:r>
                    <w:rPr>
                      <w:color w:val="auto"/>
                    </w:rPr>
                    <w:t>序号</w:t>
                  </w:r>
                </w:p>
              </w:tc>
              <w:tc>
                <w:tcPr>
                  <w:tcW w:w="1326" w:type="dxa"/>
                  <w:tcBorders>
                    <w:tl2br w:val="nil"/>
                    <w:tr2bl w:val="nil"/>
                  </w:tcBorders>
                  <w:vAlign w:val="center"/>
                </w:tcPr>
                <w:p>
                  <w:pPr>
                    <w:snapToGrid w:val="0"/>
                    <w:jc w:val="center"/>
                    <w:rPr>
                      <w:color w:val="auto"/>
                    </w:rPr>
                  </w:pPr>
                  <w:r>
                    <w:rPr>
                      <w:color w:val="auto"/>
                    </w:rPr>
                    <w:t>材料名称</w:t>
                  </w:r>
                </w:p>
              </w:tc>
              <w:tc>
                <w:tcPr>
                  <w:tcW w:w="1267" w:type="dxa"/>
                  <w:tcBorders>
                    <w:tl2br w:val="nil"/>
                    <w:tr2bl w:val="nil"/>
                  </w:tcBorders>
                  <w:vAlign w:val="center"/>
                </w:tcPr>
                <w:p>
                  <w:pPr>
                    <w:snapToGrid w:val="0"/>
                    <w:jc w:val="center"/>
                    <w:rPr>
                      <w:color w:val="auto"/>
                    </w:rPr>
                  </w:pPr>
                  <w:r>
                    <w:rPr>
                      <w:rFonts w:hint="eastAsia"/>
                      <w:color w:val="auto"/>
                      <w:lang w:eastAsia="zh-CN"/>
                    </w:rPr>
                    <w:t>涂刷</w:t>
                  </w:r>
                  <w:r>
                    <w:rPr>
                      <w:color w:val="auto"/>
                    </w:rPr>
                    <w:t>面积</w:t>
                  </w:r>
                </w:p>
              </w:tc>
              <w:tc>
                <w:tcPr>
                  <w:tcW w:w="1665" w:type="dxa"/>
                  <w:tcBorders>
                    <w:tl2br w:val="nil"/>
                    <w:tr2bl w:val="nil"/>
                  </w:tcBorders>
                  <w:vAlign w:val="center"/>
                </w:tcPr>
                <w:p>
                  <w:pPr>
                    <w:snapToGrid w:val="0"/>
                    <w:jc w:val="center"/>
                    <w:rPr>
                      <w:color w:val="auto"/>
                    </w:rPr>
                  </w:pPr>
                  <w:r>
                    <w:rPr>
                      <w:rFonts w:hint="eastAsia"/>
                      <w:color w:val="auto"/>
                      <w:lang w:eastAsia="zh-CN"/>
                    </w:rPr>
                    <w:t>涂胶</w:t>
                  </w:r>
                  <w:r>
                    <w:rPr>
                      <w:rFonts w:hint="eastAsia"/>
                      <w:color w:val="auto"/>
                      <w:lang w:val="en-US" w:eastAsia="zh-CN"/>
                    </w:rPr>
                    <w:t>/淋膜</w:t>
                  </w:r>
                  <w:r>
                    <w:rPr>
                      <w:color w:val="auto"/>
                    </w:rPr>
                    <w:t>厚度</w:t>
                  </w:r>
                </w:p>
              </w:tc>
              <w:tc>
                <w:tcPr>
                  <w:tcW w:w="1136" w:type="dxa"/>
                  <w:tcBorders>
                    <w:tl2br w:val="nil"/>
                    <w:tr2bl w:val="nil"/>
                  </w:tcBorders>
                  <w:vAlign w:val="center"/>
                </w:tcPr>
                <w:p>
                  <w:pPr>
                    <w:snapToGrid w:val="0"/>
                    <w:jc w:val="center"/>
                    <w:rPr>
                      <w:color w:val="auto"/>
                    </w:rPr>
                  </w:pPr>
                  <w:r>
                    <w:rPr>
                      <w:color w:val="auto"/>
                    </w:rPr>
                    <w:t>密度</w:t>
                  </w:r>
                </w:p>
              </w:tc>
              <w:tc>
                <w:tcPr>
                  <w:tcW w:w="2333" w:type="dxa"/>
                  <w:tcBorders>
                    <w:tl2br w:val="nil"/>
                    <w:tr2bl w:val="nil"/>
                  </w:tcBorders>
                  <w:vAlign w:val="center"/>
                </w:tcPr>
                <w:p>
                  <w:pPr>
                    <w:snapToGrid w:val="0"/>
                    <w:jc w:val="center"/>
                    <w:rPr>
                      <w:rFonts w:hint="eastAsia" w:eastAsia="宋体"/>
                      <w:color w:val="auto"/>
                      <w:lang w:eastAsia="zh-CN"/>
                    </w:rPr>
                  </w:pPr>
                  <w:r>
                    <w:rPr>
                      <w:rFonts w:hint="eastAsia"/>
                      <w:color w:val="auto"/>
                      <w:lang w:eastAsia="zh-CN"/>
                    </w:rPr>
                    <w:t>原材料用量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685" w:type="dxa"/>
                  <w:tcBorders>
                    <w:tl2br w:val="nil"/>
                    <w:tr2bl w:val="nil"/>
                  </w:tcBorders>
                  <w:vAlign w:val="center"/>
                </w:tcPr>
                <w:p>
                  <w:pPr>
                    <w:snapToGrid w:val="0"/>
                    <w:jc w:val="center"/>
                    <w:rPr>
                      <w:color w:val="auto"/>
                    </w:rPr>
                  </w:pPr>
                  <w:r>
                    <w:rPr>
                      <w:color w:val="auto"/>
                    </w:rPr>
                    <w:t>1</w:t>
                  </w:r>
                </w:p>
              </w:tc>
              <w:tc>
                <w:tcPr>
                  <w:tcW w:w="1326" w:type="dxa"/>
                  <w:tcBorders>
                    <w:tl2br w:val="nil"/>
                    <w:tr2bl w:val="nil"/>
                  </w:tcBorders>
                  <w:vAlign w:val="center"/>
                </w:tcPr>
                <w:p>
                  <w:pPr>
                    <w:snapToGrid w:val="0"/>
                    <w:jc w:val="center"/>
                    <w:rPr>
                      <w:color w:val="auto"/>
                    </w:rPr>
                  </w:pPr>
                  <w:r>
                    <w:rPr>
                      <w:rFonts w:hint="eastAsia"/>
                      <w:color w:val="auto"/>
                    </w:rPr>
                    <w:t>水性胶水</w:t>
                  </w:r>
                </w:p>
              </w:tc>
              <w:tc>
                <w:tcPr>
                  <w:tcW w:w="1267" w:type="dxa"/>
                  <w:tcBorders>
                    <w:tl2br w:val="nil"/>
                    <w:tr2bl w:val="nil"/>
                  </w:tcBorders>
                  <w:vAlign w:val="center"/>
                </w:tcPr>
                <w:p>
                  <w:pPr>
                    <w:snapToGrid w:val="0"/>
                    <w:jc w:val="center"/>
                    <w:rPr>
                      <w:color w:val="auto"/>
                    </w:rPr>
                  </w:pPr>
                  <w:r>
                    <w:rPr>
                      <w:rFonts w:hint="eastAsia"/>
                      <w:color w:val="auto"/>
                      <w:szCs w:val="21"/>
                      <w:lang w:val="en-US" w:eastAsia="zh-CN"/>
                    </w:rPr>
                    <w:t>75</w:t>
                  </w:r>
                  <w:r>
                    <w:rPr>
                      <w:rFonts w:hint="eastAsia"/>
                      <w:color w:val="auto"/>
                      <w:szCs w:val="21"/>
                    </w:rPr>
                    <w:t>0000</w:t>
                  </w:r>
                  <w:r>
                    <w:rPr>
                      <w:color w:val="auto"/>
                    </w:rPr>
                    <w:t>m</w:t>
                  </w:r>
                  <w:r>
                    <w:rPr>
                      <w:color w:val="auto"/>
                      <w:vertAlign w:val="superscript"/>
                    </w:rPr>
                    <w:t>2</w:t>
                  </w:r>
                  <w:r>
                    <w:rPr>
                      <w:color w:val="auto"/>
                    </w:rPr>
                    <w:t>/a</w:t>
                  </w:r>
                </w:p>
              </w:tc>
              <w:tc>
                <w:tcPr>
                  <w:tcW w:w="1665" w:type="dxa"/>
                  <w:tcBorders>
                    <w:tl2br w:val="nil"/>
                    <w:tr2bl w:val="nil"/>
                  </w:tcBorders>
                  <w:vAlign w:val="center"/>
                </w:tcPr>
                <w:p>
                  <w:pPr>
                    <w:snapToGrid w:val="0"/>
                    <w:jc w:val="center"/>
                    <w:rPr>
                      <w:color w:val="auto"/>
                    </w:rPr>
                  </w:pPr>
                  <w:r>
                    <w:rPr>
                      <w:rFonts w:hint="eastAsia"/>
                      <w:color w:val="auto"/>
                      <w:lang w:val="en-US" w:eastAsia="zh-CN"/>
                    </w:rPr>
                    <w:t>60</w:t>
                  </w:r>
                  <w:r>
                    <w:rPr>
                      <w:color w:val="auto"/>
                    </w:rPr>
                    <w:t>um</w:t>
                  </w:r>
                </w:p>
              </w:tc>
              <w:tc>
                <w:tcPr>
                  <w:tcW w:w="1136" w:type="dxa"/>
                  <w:tcBorders>
                    <w:tl2br w:val="nil"/>
                    <w:tr2bl w:val="nil"/>
                  </w:tcBorders>
                  <w:vAlign w:val="center"/>
                </w:tcPr>
                <w:p>
                  <w:pPr>
                    <w:snapToGrid w:val="0"/>
                    <w:jc w:val="center"/>
                    <w:rPr>
                      <w:color w:val="auto"/>
                    </w:rPr>
                  </w:pPr>
                  <w:r>
                    <w:rPr>
                      <w:color w:val="auto"/>
                    </w:rPr>
                    <w:t>1.</w:t>
                  </w:r>
                  <w:r>
                    <w:rPr>
                      <w:rFonts w:hint="eastAsia"/>
                      <w:color w:val="auto"/>
                    </w:rPr>
                    <w:t>3</w:t>
                  </w:r>
                  <w:r>
                    <w:rPr>
                      <w:color w:val="auto"/>
                    </w:rPr>
                    <w:t>g/cm</w:t>
                  </w:r>
                  <w:r>
                    <w:rPr>
                      <w:color w:val="auto"/>
                      <w:vertAlign w:val="superscript"/>
                    </w:rPr>
                    <w:t>3</w:t>
                  </w:r>
                </w:p>
              </w:tc>
              <w:tc>
                <w:tcPr>
                  <w:tcW w:w="2333" w:type="dxa"/>
                  <w:tcBorders>
                    <w:tl2br w:val="nil"/>
                    <w:tr2bl w:val="nil"/>
                  </w:tcBorders>
                  <w:vAlign w:val="center"/>
                </w:tcPr>
                <w:p>
                  <w:pPr>
                    <w:snapToGrid w:val="0"/>
                    <w:jc w:val="center"/>
                    <w:rPr>
                      <w:color w:val="auto"/>
                    </w:rPr>
                  </w:pPr>
                  <w:r>
                    <w:rPr>
                      <w:rFonts w:hint="eastAsia"/>
                      <w:color w:val="auto"/>
                      <w:lang w:val="en-US" w:eastAsia="zh-CN"/>
                    </w:rPr>
                    <w:t>58.5</w:t>
                  </w:r>
                  <w:r>
                    <w:rPr>
                      <w:rFonts w:hint="eastAsia"/>
                      <w:color w:val="auto"/>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vAlign w:val="center"/>
                </w:tcPr>
                <w:p>
                  <w:pPr>
                    <w:snapToGrid w:val="0"/>
                    <w:jc w:val="center"/>
                    <w:rPr>
                      <w:color w:val="auto"/>
                    </w:rPr>
                  </w:pPr>
                  <w:r>
                    <w:rPr>
                      <w:color w:val="auto"/>
                    </w:rPr>
                    <w:t>2</w:t>
                  </w:r>
                </w:p>
              </w:tc>
              <w:tc>
                <w:tcPr>
                  <w:tcW w:w="1326" w:type="dxa"/>
                  <w:tcBorders>
                    <w:tl2br w:val="nil"/>
                    <w:tr2bl w:val="nil"/>
                  </w:tcBorders>
                  <w:vAlign w:val="center"/>
                </w:tcPr>
                <w:p>
                  <w:pPr>
                    <w:snapToGrid w:val="0"/>
                    <w:jc w:val="center"/>
                    <w:rPr>
                      <w:rFonts w:hint="default" w:eastAsia="宋体"/>
                      <w:color w:val="auto"/>
                      <w:lang w:val="en-US" w:eastAsia="zh-CN"/>
                    </w:rPr>
                  </w:pPr>
                  <w:r>
                    <w:rPr>
                      <w:rFonts w:hint="eastAsia"/>
                      <w:color w:val="auto"/>
                      <w:lang w:val="en-US" w:eastAsia="zh-CN"/>
                    </w:rPr>
                    <w:t>PE塑料粒</w:t>
                  </w:r>
                </w:p>
              </w:tc>
              <w:tc>
                <w:tcPr>
                  <w:tcW w:w="1267" w:type="dxa"/>
                  <w:tcBorders>
                    <w:tl2br w:val="nil"/>
                    <w:tr2bl w:val="nil"/>
                  </w:tcBorders>
                  <w:vAlign w:val="center"/>
                </w:tcPr>
                <w:p>
                  <w:pPr>
                    <w:snapToGrid w:val="0"/>
                    <w:jc w:val="center"/>
                    <w:rPr>
                      <w:color w:val="auto"/>
                    </w:rPr>
                  </w:pPr>
                  <w:r>
                    <w:rPr>
                      <w:rFonts w:hint="eastAsia"/>
                      <w:color w:val="auto"/>
                      <w:szCs w:val="21"/>
                      <w:lang w:val="en-US" w:eastAsia="zh-CN"/>
                    </w:rPr>
                    <w:t>375</w:t>
                  </w:r>
                  <w:r>
                    <w:rPr>
                      <w:rFonts w:hint="eastAsia"/>
                      <w:color w:val="auto"/>
                      <w:szCs w:val="21"/>
                    </w:rPr>
                    <w:t>000</w:t>
                  </w:r>
                  <w:r>
                    <w:rPr>
                      <w:color w:val="auto"/>
                    </w:rPr>
                    <w:t>m</w:t>
                  </w:r>
                  <w:r>
                    <w:rPr>
                      <w:color w:val="auto"/>
                      <w:vertAlign w:val="superscript"/>
                    </w:rPr>
                    <w:t>2</w:t>
                  </w:r>
                  <w:r>
                    <w:rPr>
                      <w:color w:val="auto"/>
                    </w:rPr>
                    <w:t>/a</w:t>
                  </w:r>
                </w:p>
              </w:tc>
              <w:tc>
                <w:tcPr>
                  <w:tcW w:w="1665" w:type="dxa"/>
                  <w:tcBorders>
                    <w:tl2br w:val="nil"/>
                    <w:tr2bl w:val="nil"/>
                  </w:tcBorders>
                  <w:vAlign w:val="center"/>
                </w:tcPr>
                <w:p>
                  <w:pPr>
                    <w:snapToGrid w:val="0"/>
                    <w:jc w:val="center"/>
                    <w:rPr>
                      <w:color w:val="auto"/>
                    </w:rPr>
                  </w:pPr>
                  <w:r>
                    <w:rPr>
                      <w:rFonts w:hint="eastAsia"/>
                      <w:color w:val="auto"/>
                      <w:lang w:val="en-US" w:eastAsia="zh-CN"/>
                    </w:rPr>
                    <w:t>180</w:t>
                  </w:r>
                  <w:r>
                    <w:rPr>
                      <w:color w:val="auto"/>
                    </w:rPr>
                    <w:t>um</w:t>
                  </w:r>
                </w:p>
              </w:tc>
              <w:tc>
                <w:tcPr>
                  <w:tcW w:w="1136" w:type="dxa"/>
                  <w:tcBorders>
                    <w:tl2br w:val="nil"/>
                    <w:tr2bl w:val="nil"/>
                  </w:tcBorders>
                  <w:vAlign w:val="center"/>
                </w:tcPr>
                <w:p>
                  <w:pPr>
                    <w:snapToGrid w:val="0"/>
                    <w:jc w:val="center"/>
                    <w:rPr>
                      <w:rFonts w:hint="default" w:eastAsia="宋体"/>
                      <w:color w:val="auto"/>
                      <w:lang w:val="en-US" w:eastAsia="zh-CN"/>
                    </w:rPr>
                  </w:pPr>
                  <w:r>
                    <w:rPr>
                      <w:rFonts w:hint="eastAsia"/>
                      <w:color w:val="auto"/>
                      <w:lang w:val="en-US" w:eastAsia="zh-CN"/>
                    </w:rPr>
                    <w:t>0.90</w:t>
                  </w:r>
                  <w:r>
                    <w:rPr>
                      <w:color w:val="auto"/>
                    </w:rPr>
                    <w:t>g/cm</w:t>
                  </w:r>
                  <w:r>
                    <w:rPr>
                      <w:color w:val="auto"/>
                      <w:vertAlign w:val="superscript"/>
                    </w:rPr>
                    <w:t>3</w:t>
                  </w:r>
                </w:p>
              </w:tc>
              <w:tc>
                <w:tcPr>
                  <w:tcW w:w="2333" w:type="dxa"/>
                  <w:tcBorders>
                    <w:tl2br w:val="nil"/>
                    <w:tr2bl w:val="nil"/>
                  </w:tcBorders>
                  <w:vAlign w:val="center"/>
                </w:tcPr>
                <w:p>
                  <w:pPr>
                    <w:snapToGrid w:val="0"/>
                    <w:jc w:val="center"/>
                    <w:rPr>
                      <w:rFonts w:hint="default" w:eastAsia="宋体"/>
                      <w:color w:val="auto"/>
                      <w:lang w:val="en-US" w:eastAsia="zh-CN"/>
                    </w:rPr>
                  </w:pPr>
                  <w:r>
                    <w:rPr>
                      <w:rFonts w:hint="eastAsia"/>
                      <w:color w:val="auto"/>
                      <w:lang w:val="en-US" w:eastAsia="zh-CN"/>
                    </w:rPr>
                    <w:t>60.75t/a</w:t>
                  </w:r>
                </w:p>
              </w:tc>
            </w:tr>
          </w:tbl>
          <w:p>
            <w:pPr>
              <w:pStyle w:val="2"/>
              <w:ind w:firstLine="480" w:firstLineChars="200"/>
              <w:rPr>
                <w:rFonts w:asci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2</w:t>
            </w:r>
            <w:r>
              <w:rPr>
                <w:rFonts w:hint="eastAsia" w:ascii="Times New Roman" w:cs="Times New Roman"/>
                <w:color w:val="auto"/>
                <w:lang w:eastAsia="zh-CN"/>
              </w:rPr>
              <w:t>）</w:t>
            </w:r>
            <w:r>
              <w:rPr>
                <w:rFonts w:ascii="Times New Roman" w:cs="Times New Roman"/>
                <w:color w:val="auto"/>
              </w:rPr>
              <w:t>用气量核算</w:t>
            </w:r>
          </w:p>
          <w:p>
            <w:pPr>
              <w:adjustRightInd w:val="0"/>
              <w:snapToGrid w:val="0"/>
              <w:spacing w:line="360" w:lineRule="auto"/>
              <w:ind w:firstLine="480" w:firstLineChars="200"/>
              <w:rPr>
                <w:color w:val="auto"/>
                <w:sz w:val="24"/>
              </w:rPr>
            </w:pPr>
            <w:r>
              <w:rPr>
                <w:rFonts w:hint="eastAsia"/>
                <w:color w:val="auto"/>
                <w:sz w:val="24"/>
                <w:highlight w:val="none"/>
                <w:lang w:eastAsia="zh-CN"/>
              </w:rPr>
              <w:t>拉幅定型无纺布生产线</w:t>
            </w:r>
            <w:r>
              <w:rPr>
                <w:rFonts w:hint="eastAsia"/>
                <w:color w:val="auto"/>
                <w:sz w:val="24"/>
                <w:highlight w:val="none"/>
              </w:rPr>
              <w:t>烘烤隧道</w:t>
            </w:r>
            <w:r>
              <w:rPr>
                <w:rFonts w:hint="eastAsia"/>
                <w:color w:val="auto"/>
                <w:sz w:val="24"/>
              </w:rPr>
              <w:t>炉</w:t>
            </w:r>
            <w:r>
              <w:rPr>
                <w:color w:val="auto"/>
                <w:sz w:val="24"/>
              </w:rPr>
              <w:t>使用天然气作为能源，</w:t>
            </w:r>
            <w:r>
              <w:rPr>
                <w:rFonts w:hint="eastAsia" w:ascii="Times New Roman" w:hAnsi="Times New Roman" w:cs="Times New Roman"/>
                <w:color w:val="auto"/>
                <w:sz w:val="24"/>
                <w:szCs w:val="24"/>
                <w:lang w:eastAsia="zh-CN"/>
              </w:rPr>
              <w:t>扩建项目</w:t>
            </w:r>
            <w:r>
              <w:rPr>
                <w:rFonts w:hint="eastAsia"/>
                <w:color w:val="auto"/>
                <w:sz w:val="24"/>
              </w:rPr>
              <w:t>使用天然气为二类天然气。根据《天然气》（GB17820-2018）：二类天然气</w:t>
            </w:r>
            <w:r>
              <w:rPr>
                <w:bCs/>
                <w:color w:val="auto"/>
                <w:sz w:val="24"/>
              </w:rPr>
              <w:t>总S的含量应≤</w:t>
            </w:r>
            <w:r>
              <w:rPr>
                <w:rFonts w:hint="eastAsia"/>
                <w:bCs/>
                <w:color w:val="auto"/>
                <w:sz w:val="24"/>
              </w:rPr>
              <w:t>10</w:t>
            </w:r>
            <w:r>
              <w:rPr>
                <w:bCs/>
                <w:color w:val="auto"/>
                <w:sz w:val="24"/>
              </w:rPr>
              <w:t>0mg</w:t>
            </w:r>
            <w:r>
              <w:rPr>
                <w:rFonts w:hint="eastAsia"/>
                <w:bCs/>
                <w:color w:val="auto"/>
                <w:sz w:val="24"/>
              </w:rPr>
              <w:t>/</w:t>
            </w:r>
            <w:r>
              <w:rPr>
                <w:bCs/>
                <w:color w:val="auto"/>
                <w:sz w:val="24"/>
              </w:rPr>
              <w:t>m</w:t>
            </w:r>
            <w:r>
              <w:rPr>
                <w:bCs/>
                <w:color w:val="auto"/>
                <w:sz w:val="24"/>
                <w:vertAlign w:val="superscript"/>
              </w:rPr>
              <w:t>3</w:t>
            </w:r>
            <w:r>
              <w:rPr>
                <w:bCs/>
                <w:color w:val="auto"/>
                <w:sz w:val="24"/>
              </w:rPr>
              <w:t>，</w:t>
            </w:r>
            <w:r>
              <w:rPr>
                <w:rFonts w:hint="eastAsia"/>
                <w:bCs/>
                <w:color w:val="auto"/>
                <w:sz w:val="24"/>
              </w:rPr>
              <w:t>本评价天然中含硫量</w:t>
            </w:r>
            <w:r>
              <w:rPr>
                <w:bCs/>
                <w:color w:val="auto"/>
                <w:sz w:val="24"/>
              </w:rPr>
              <w:t>S含量取值</w:t>
            </w:r>
            <w:r>
              <w:rPr>
                <w:rFonts w:hint="eastAsia"/>
                <w:bCs/>
                <w:color w:val="auto"/>
                <w:sz w:val="24"/>
              </w:rPr>
              <w:t>100</w:t>
            </w:r>
            <w:r>
              <w:rPr>
                <w:bCs/>
                <w:color w:val="auto"/>
                <w:sz w:val="24"/>
              </w:rPr>
              <w:t>mg/m</w:t>
            </w:r>
            <w:r>
              <w:rPr>
                <w:bCs/>
                <w:color w:val="auto"/>
                <w:sz w:val="24"/>
                <w:vertAlign w:val="superscript"/>
              </w:rPr>
              <w:t>3</w:t>
            </w:r>
            <w:r>
              <w:rPr>
                <w:rFonts w:hint="eastAsia"/>
                <w:bCs/>
                <w:color w:val="auto"/>
                <w:sz w:val="24"/>
              </w:rPr>
              <w:t>，</w:t>
            </w:r>
            <w:r>
              <w:rPr>
                <w:color w:val="auto"/>
                <w:sz w:val="24"/>
              </w:rPr>
              <w:t>其用气量核算见表2.</w:t>
            </w:r>
            <w:r>
              <w:rPr>
                <w:rFonts w:hint="eastAsia"/>
                <w:color w:val="auto"/>
                <w:sz w:val="24"/>
                <w:lang w:val="en-US" w:eastAsia="zh-CN"/>
              </w:rPr>
              <w:t>7</w:t>
            </w:r>
            <w:r>
              <w:rPr>
                <w:color w:val="auto"/>
                <w:sz w:val="24"/>
              </w:rPr>
              <w:t>。</w:t>
            </w:r>
          </w:p>
          <w:p>
            <w:pPr>
              <w:adjustRightInd w:val="0"/>
              <w:snapToGrid w:val="0"/>
              <w:spacing w:line="360" w:lineRule="auto"/>
              <w:jc w:val="center"/>
              <w:rPr>
                <w:color w:val="auto"/>
                <w:sz w:val="21"/>
                <w:szCs w:val="21"/>
              </w:rPr>
            </w:pPr>
            <w:r>
              <w:rPr>
                <w:color w:val="auto"/>
                <w:sz w:val="21"/>
                <w:szCs w:val="21"/>
              </w:rPr>
              <w:t>表2.</w:t>
            </w:r>
            <w:r>
              <w:rPr>
                <w:rFonts w:hint="eastAsia"/>
                <w:color w:val="auto"/>
                <w:sz w:val="21"/>
                <w:szCs w:val="21"/>
                <w:lang w:val="en-US" w:eastAsia="zh-CN"/>
              </w:rPr>
              <w:t>7</w:t>
            </w:r>
            <w:r>
              <w:rPr>
                <w:color w:val="auto"/>
                <w:sz w:val="21"/>
                <w:szCs w:val="21"/>
              </w:rPr>
              <w:t xml:space="preserve"> 本项目用气量核算表</w:t>
            </w:r>
          </w:p>
          <w:tbl>
            <w:tblPr>
              <w:tblStyle w:val="22"/>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49"/>
              <w:gridCol w:w="1326"/>
              <w:gridCol w:w="2609"/>
              <w:gridCol w:w="1106"/>
              <w:gridCol w:w="11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napToGrid w:val="0"/>
                    <w:jc w:val="center"/>
                    <w:rPr>
                      <w:color w:val="auto"/>
                    </w:rPr>
                  </w:pPr>
                  <w:r>
                    <w:rPr>
                      <w:color w:val="auto"/>
                    </w:rPr>
                    <w:t>序号</w:t>
                  </w:r>
                </w:p>
              </w:tc>
              <w:tc>
                <w:tcPr>
                  <w:tcW w:w="925" w:type="pct"/>
                  <w:vAlign w:val="center"/>
                </w:tcPr>
                <w:p>
                  <w:pPr>
                    <w:snapToGrid w:val="0"/>
                    <w:jc w:val="center"/>
                    <w:rPr>
                      <w:color w:val="auto"/>
                    </w:rPr>
                  </w:pPr>
                  <w:r>
                    <w:rPr>
                      <w:color w:val="auto"/>
                    </w:rPr>
                    <w:t>用气单元</w:t>
                  </w:r>
                </w:p>
              </w:tc>
              <w:tc>
                <w:tcPr>
                  <w:tcW w:w="793" w:type="pct"/>
                  <w:vAlign w:val="center"/>
                </w:tcPr>
                <w:p>
                  <w:pPr>
                    <w:snapToGrid w:val="0"/>
                    <w:jc w:val="center"/>
                    <w:rPr>
                      <w:color w:val="auto"/>
                      <w:szCs w:val="21"/>
                    </w:rPr>
                  </w:pPr>
                  <w:r>
                    <w:rPr>
                      <w:color w:val="auto"/>
                      <w:szCs w:val="21"/>
                    </w:rPr>
                    <w:t>额定用气量</w:t>
                  </w:r>
                </w:p>
              </w:tc>
              <w:tc>
                <w:tcPr>
                  <w:tcW w:w="1559" w:type="pct"/>
                  <w:vAlign w:val="center"/>
                </w:tcPr>
                <w:p>
                  <w:pPr>
                    <w:snapToGrid w:val="0"/>
                    <w:jc w:val="center"/>
                    <w:rPr>
                      <w:color w:val="auto"/>
                      <w:szCs w:val="21"/>
                    </w:rPr>
                  </w:pPr>
                  <w:r>
                    <w:rPr>
                      <w:color w:val="auto"/>
                      <w:szCs w:val="21"/>
                    </w:rPr>
                    <w:t>规模</w:t>
                  </w:r>
                </w:p>
              </w:tc>
              <w:tc>
                <w:tcPr>
                  <w:tcW w:w="661" w:type="pct"/>
                  <w:vAlign w:val="center"/>
                </w:tcPr>
                <w:p>
                  <w:pPr>
                    <w:snapToGrid w:val="0"/>
                    <w:jc w:val="center"/>
                    <w:rPr>
                      <w:color w:val="auto"/>
                      <w:szCs w:val="21"/>
                    </w:rPr>
                  </w:pPr>
                  <w:r>
                    <w:rPr>
                      <w:color w:val="auto"/>
                      <w:szCs w:val="21"/>
                    </w:rPr>
                    <w:t>年用气量</w:t>
                  </w:r>
                </w:p>
                <w:p>
                  <w:pPr>
                    <w:snapToGrid w:val="0"/>
                    <w:jc w:val="center"/>
                    <w:rPr>
                      <w:color w:val="auto"/>
                      <w:szCs w:val="21"/>
                    </w:rPr>
                  </w:pPr>
                  <w:r>
                    <w:rPr>
                      <w:color w:val="auto"/>
                      <w:szCs w:val="21"/>
                    </w:rPr>
                    <w:t>（m</w:t>
                  </w:r>
                  <w:r>
                    <w:rPr>
                      <w:color w:val="auto"/>
                      <w:szCs w:val="21"/>
                      <w:vertAlign w:val="superscript"/>
                    </w:rPr>
                    <w:t>3</w:t>
                  </w:r>
                  <w:r>
                    <w:rPr>
                      <w:color w:val="auto"/>
                      <w:szCs w:val="21"/>
                    </w:rPr>
                    <w:t>/a）</w:t>
                  </w:r>
                </w:p>
              </w:tc>
              <w:tc>
                <w:tcPr>
                  <w:tcW w:w="661" w:type="pct"/>
                  <w:vAlign w:val="center"/>
                </w:tcPr>
                <w:p>
                  <w:pPr>
                    <w:snapToGrid w:val="0"/>
                    <w:jc w:val="center"/>
                    <w:rPr>
                      <w:color w:val="auto"/>
                      <w:szCs w:val="21"/>
                    </w:rPr>
                  </w:pPr>
                  <w:r>
                    <w:rPr>
                      <w:rFonts w:hint="eastAsia"/>
                      <w:color w:val="auto"/>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Align w:val="center"/>
                </w:tcPr>
                <w:p>
                  <w:pPr>
                    <w:snapToGrid w:val="0"/>
                    <w:jc w:val="center"/>
                    <w:rPr>
                      <w:color w:val="auto"/>
                    </w:rPr>
                  </w:pPr>
                  <w:r>
                    <w:rPr>
                      <w:color w:val="auto"/>
                    </w:rPr>
                    <w:t>1</w:t>
                  </w:r>
                </w:p>
              </w:tc>
              <w:tc>
                <w:tcPr>
                  <w:tcW w:w="925" w:type="pct"/>
                  <w:vAlign w:val="center"/>
                </w:tcPr>
                <w:p>
                  <w:pPr>
                    <w:snapToGrid w:val="0"/>
                    <w:jc w:val="center"/>
                    <w:rPr>
                      <w:color w:val="auto"/>
                    </w:rPr>
                  </w:pPr>
                  <w:r>
                    <w:rPr>
                      <w:rFonts w:hint="eastAsia"/>
                      <w:color w:val="auto"/>
                      <w:szCs w:val="21"/>
                    </w:rPr>
                    <w:t>拉幅定型设备</w:t>
                  </w:r>
                </w:p>
              </w:tc>
              <w:tc>
                <w:tcPr>
                  <w:tcW w:w="793" w:type="pct"/>
                  <w:vAlign w:val="center"/>
                </w:tcPr>
                <w:p>
                  <w:pPr>
                    <w:snapToGrid w:val="0"/>
                    <w:jc w:val="center"/>
                    <w:rPr>
                      <w:color w:val="auto"/>
                      <w:szCs w:val="21"/>
                    </w:rPr>
                  </w:pPr>
                  <w:r>
                    <w:rPr>
                      <w:rFonts w:hint="eastAsia"/>
                      <w:color w:val="auto"/>
                      <w:szCs w:val="21"/>
                    </w:rPr>
                    <w:t>65</w:t>
                  </w:r>
                  <w:r>
                    <w:rPr>
                      <w:color w:val="auto"/>
                      <w:szCs w:val="21"/>
                    </w:rPr>
                    <w:t>m</w:t>
                  </w:r>
                  <w:r>
                    <w:rPr>
                      <w:color w:val="auto"/>
                      <w:szCs w:val="21"/>
                      <w:vertAlign w:val="superscript"/>
                    </w:rPr>
                    <w:t>3</w:t>
                  </w:r>
                  <w:r>
                    <w:rPr>
                      <w:color w:val="auto"/>
                      <w:szCs w:val="21"/>
                    </w:rPr>
                    <w:t>/h</w:t>
                  </w:r>
                </w:p>
              </w:tc>
              <w:tc>
                <w:tcPr>
                  <w:tcW w:w="1559" w:type="pct"/>
                  <w:vAlign w:val="center"/>
                </w:tcPr>
                <w:p>
                  <w:pPr>
                    <w:snapToGrid w:val="0"/>
                    <w:jc w:val="center"/>
                    <w:rPr>
                      <w:color w:val="auto"/>
                      <w:szCs w:val="21"/>
                    </w:rPr>
                  </w:pPr>
                  <w:r>
                    <w:rPr>
                      <w:rFonts w:hint="eastAsia"/>
                      <w:color w:val="auto"/>
                      <w:szCs w:val="21"/>
                    </w:rPr>
                    <w:t>2台</w:t>
                  </w:r>
                  <w:r>
                    <w:rPr>
                      <w:color w:val="auto"/>
                      <w:szCs w:val="21"/>
                    </w:rPr>
                    <w:t>，</w:t>
                  </w:r>
                  <w:r>
                    <w:rPr>
                      <w:rFonts w:hint="eastAsia"/>
                      <w:color w:val="auto"/>
                      <w:szCs w:val="21"/>
                    </w:rPr>
                    <w:t>7</w:t>
                  </w:r>
                  <w:r>
                    <w:rPr>
                      <w:color w:val="auto"/>
                      <w:szCs w:val="21"/>
                    </w:rPr>
                    <w:t>h/d，</w:t>
                  </w:r>
                  <w:r>
                    <w:rPr>
                      <w:rFonts w:hint="eastAsia"/>
                      <w:color w:val="auto"/>
                      <w:szCs w:val="21"/>
                    </w:rPr>
                    <w:t>300</w:t>
                  </w:r>
                  <w:r>
                    <w:rPr>
                      <w:color w:val="auto"/>
                      <w:szCs w:val="21"/>
                    </w:rPr>
                    <w:t>天/年</w:t>
                  </w:r>
                </w:p>
              </w:tc>
              <w:tc>
                <w:tcPr>
                  <w:tcW w:w="661" w:type="pct"/>
                  <w:vAlign w:val="center"/>
                </w:tcPr>
                <w:p>
                  <w:pPr>
                    <w:widowControl/>
                    <w:jc w:val="center"/>
                    <w:textAlignment w:val="center"/>
                    <w:rPr>
                      <w:color w:val="auto"/>
                      <w:szCs w:val="21"/>
                    </w:rPr>
                  </w:pPr>
                  <w:r>
                    <w:rPr>
                      <w:rFonts w:hint="eastAsia"/>
                      <w:color w:val="auto"/>
                      <w:szCs w:val="21"/>
                    </w:rPr>
                    <w:t>273000</w:t>
                  </w:r>
                </w:p>
              </w:tc>
              <w:tc>
                <w:tcPr>
                  <w:tcW w:w="661" w:type="pct"/>
                  <w:vAlign w:val="center"/>
                </w:tcPr>
                <w:p>
                  <w:pPr>
                    <w:widowControl/>
                    <w:jc w:val="center"/>
                    <w:textAlignment w:val="center"/>
                    <w:rPr>
                      <w:color w:val="auto"/>
                      <w:szCs w:val="21"/>
                    </w:rPr>
                  </w:pPr>
                  <w:r>
                    <w:rPr>
                      <w:rFonts w:hint="eastAsia"/>
                      <w:color w:val="auto"/>
                      <w:szCs w:val="21"/>
                    </w:rPr>
                    <w:t>烘干工序</w:t>
                  </w:r>
                </w:p>
              </w:tc>
            </w:tr>
          </w:tbl>
          <w:p>
            <w:pPr>
              <w:pStyle w:val="2"/>
              <w:ind w:firstLine="480" w:firstLineChars="200"/>
              <w:rPr>
                <w:rFonts w:ascii="Times New Roman" w:cs="Times New Roman"/>
                <w:color w:val="auto"/>
              </w:rPr>
            </w:pPr>
            <w:r>
              <w:rPr>
                <w:rFonts w:ascii="Times New Roman" w:cs="Times New Roman"/>
                <w:color w:val="auto"/>
              </w:rPr>
              <w:t>（</w:t>
            </w:r>
            <w:r>
              <w:rPr>
                <w:rFonts w:hint="eastAsia" w:ascii="Times New Roman" w:cs="Times New Roman"/>
                <w:color w:val="auto"/>
              </w:rPr>
              <w:t>2</w:t>
            </w:r>
            <w:r>
              <w:rPr>
                <w:rFonts w:ascii="Times New Roman" w:cs="Times New Roman"/>
                <w:color w:val="auto"/>
              </w:rPr>
              <w:t>）用水量核算</w:t>
            </w:r>
          </w:p>
          <w:p>
            <w:pPr>
              <w:snapToGrid w:val="0"/>
              <w:spacing w:line="360" w:lineRule="auto"/>
              <w:ind w:firstLine="480" w:firstLineChars="200"/>
              <w:rPr>
                <w:color w:val="auto"/>
                <w:sz w:val="24"/>
              </w:rPr>
            </w:pPr>
            <w:r>
              <w:rPr>
                <w:rFonts w:hint="eastAsia"/>
                <w:color w:val="auto"/>
                <w:sz w:val="24"/>
                <w:lang w:eastAsia="zh-CN"/>
              </w:rPr>
              <w:t>扩建项目</w:t>
            </w:r>
            <w:r>
              <w:rPr>
                <w:color w:val="auto"/>
                <w:sz w:val="24"/>
              </w:rPr>
              <w:t>用水主要包括生产用水、</w:t>
            </w:r>
            <w:r>
              <w:rPr>
                <w:rFonts w:hint="eastAsia"/>
                <w:color w:val="auto"/>
                <w:sz w:val="24"/>
              </w:rPr>
              <w:t>员工</w:t>
            </w:r>
            <w:r>
              <w:rPr>
                <w:color w:val="auto"/>
                <w:sz w:val="24"/>
              </w:rPr>
              <w:t>生活用水</w:t>
            </w:r>
            <w:r>
              <w:rPr>
                <w:rFonts w:hint="eastAsia"/>
                <w:color w:val="auto"/>
                <w:sz w:val="24"/>
              </w:rPr>
              <w:t>、食堂用水</w:t>
            </w:r>
            <w:r>
              <w:rPr>
                <w:color w:val="auto"/>
                <w:sz w:val="24"/>
              </w:rPr>
              <w:t>，根据《建筑给排水设计</w:t>
            </w:r>
            <w:r>
              <w:rPr>
                <w:rFonts w:hint="eastAsia"/>
                <w:color w:val="auto"/>
                <w:sz w:val="24"/>
              </w:rPr>
              <w:t>规范</w:t>
            </w:r>
            <w:r>
              <w:rPr>
                <w:color w:val="auto"/>
                <w:sz w:val="24"/>
              </w:rPr>
              <w:t>》（GB50015-</w:t>
            </w:r>
            <w:r>
              <w:rPr>
                <w:rFonts w:hint="eastAsia"/>
                <w:color w:val="auto"/>
                <w:sz w:val="24"/>
              </w:rPr>
              <w:t>2019</w:t>
            </w:r>
            <w:r>
              <w:rPr>
                <w:color w:val="auto"/>
                <w:sz w:val="24"/>
              </w:rPr>
              <w:t>）及重庆市水利局、重庆市城市管理委员会关于《关于印发重庆市城市生活用水定额（2017年修订版）的通知</w:t>
            </w:r>
            <w:r>
              <w:rPr>
                <w:rFonts w:hint="eastAsia"/>
                <w:color w:val="auto"/>
                <w:sz w:val="24"/>
              </w:rPr>
              <w:t>》</w:t>
            </w:r>
            <w:r>
              <w:rPr>
                <w:color w:val="auto"/>
                <w:sz w:val="24"/>
              </w:rPr>
              <w:t>（渝水[2018]66号）等相关规范要求，生活用水定额按照</w:t>
            </w:r>
            <w:r>
              <w:rPr>
                <w:rFonts w:hint="eastAsia"/>
                <w:color w:val="auto"/>
                <w:sz w:val="24"/>
              </w:rPr>
              <w:t>179</w:t>
            </w:r>
            <w:r>
              <w:rPr>
                <w:color w:val="auto"/>
                <w:sz w:val="24"/>
              </w:rPr>
              <w:t>L/人•d计</w:t>
            </w:r>
            <w:r>
              <w:rPr>
                <w:rFonts w:hint="eastAsia"/>
                <w:color w:val="auto"/>
                <w:sz w:val="24"/>
              </w:rPr>
              <w:t>；根据《排放源统计调查产排污核算方法和系数手册》</w:t>
            </w:r>
            <w:r>
              <w:rPr>
                <w:rFonts w:eastAsiaTheme="minorEastAsia"/>
                <w:bCs/>
                <w:color w:val="auto"/>
                <w:sz w:val="24"/>
              </w:rPr>
              <w:t>（生态环境部公告2021年第24号）</w:t>
            </w:r>
            <w:r>
              <w:rPr>
                <w:rFonts w:hint="eastAsia" w:eastAsiaTheme="minorEastAsia"/>
                <w:bCs/>
                <w:color w:val="auto"/>
                <w:sz w:val="24"/>
              </w:rPr>
              <w:t>生活污水的折</w:t>
            </w:r>
            <w:r>
              <w:rPr>
                <w:color w:val="auto"/>
                <w:sz w:val="24"/>
              </w:rPr>
              <w:t>污系数按</w:t>
            </w:r>
            <w:r>
              <w:rPr>
                <w:rFonts w:hint="eastAsia"/>
                <w:color w:val="auto"/>
                <w:sz w:val="24"/>
              </w:rPr>
              <w:t>0.83计，</w:t>
            </w:r>
            <w:r>
              <w:rPr>
                <w:color w:val="auto"/>
                <w:sz w:val="24"/>
              </w:rPr>
              <w:t>其用水量核算见表2.</w:t>
            </w:r>
            <w:r>
              <w:rPr>
                <w:rFonts w:hint="eastAsia"/>
                <w:color w:val="auto"/>
                <w:sz w:val="24"/>
                <w:lang w:val="en-US" w:eastAsia="zh-CN"/>
              </w:rPr>
              <w:t>8</w:t>
            </w:r>
            <w:r>
              <w:rPr>
                <w:rFonts w:hint="eastAsia"/>
                <w:color w:val="auto"/>
                <w:sz w:val="24"/>
              </w:rPr>
              <w:t>。</w:t>
            </w:r>
            <w:r>
              <w:rPr>
                <w:color w:val="auto"/>
                <w:sz w:val="24"/>
              </w:rPr>
              <w:t>其水平衡见图2.1。</w:t>
            </w:r>
          </w:p>
          <w:p>
            <w:pPr>
              <w:adjustRightInd w:val="0"/>
              <w:snapToGrid w:val="0"/>
              <w:spacing w:line="360" w:lineRule="auto"/>
              <w:jc w:val="center"/>
              <w:rPr>
                <w:color w:val="auto"/>
                <w:sz w:val="21"/>
                <w:szCs w:val="21"/>
              </w:rPr>
            </w:pPr>
            <w:r>
              <w:rPr>
                <w:color w:val="auto"/>
                <w:sz w:val="21"/>
                <w:szCs w:val="21"/>
              </w:rPr>
              <w:t>表2.</w:t>
            </w:r>
            <w:r>
              <w:rPr>
                <w:rFonts w:hint="eastAsia"/>
                <w:color w:val="auto"/>
                <w:sz w:val="21"/>
                <w:szCs w:val="21"/>
                <w:lang w:val="en-US" w:eastAsia="zh-CN"/>
              </w:rPr>
              <w:t>8</w:t>
            </w:r>
            <w:r>
              <w:rPr>
                <w:color w:val="auto"/>
                <w:sz w:val="21"/>
                <w:szCs w:val="21"/>
              </w:rPr>
              <w:t xml:space="preserve"> </w:t>
            </w:r>
            <w:r>
              <w:rPr>
                <w:rFonts w:hint="eastAsia"/>
                <w:color w:val="auto"/>
                <w:sz w:val="21"/>
                <w:szCs w:val="21"/>
                <w:lang w:eastAsia="zh-CN"/>
              </w:rPr>
              <w:t>扩建项目</w:t>
            </w:r>
            <w:r>
              <w:rPr>
                <w:color w:val="auto"/>
                <w:sz w:val="21"/>
                <w:szCs w:val="21"/>
              </w:rPr>
              <w:t>用水量核算表</w:t>
            </w:r>
          </w:p>
          <w:tbl>
            <w:tblPr>
              <w:tblStyle w:val="22"/>
              <w:tblW w:w="84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51"/>
              <w:gridCol w:w="878"/>
              <w:gridCol w:w="1215"/>
              <w:gridCol w:w="1031"/>
              <w:gridCol w:w="1019"/>
              <w:gridCol w:w="1171"/>
              <w:gridCol w:w="10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 w:type="dxa"/>
                  <w:tcBorders>
                    <w:top w:val="single" w:color="auto" w:sz="4" w:space="0"/>
                    <w:left w:val="nil"/>
                    <w:bottom w:val="single" w:color="auto" w:sz="4" w:space="0"/>
                    <w:right w:val="single" w:color="auto" w:sz="4" w:space="0"/>
                  </w:tcBorders>
                  <w:vAlign w:val="center"/>
                </w:tcPr>
                <w:p>
                  <w:pPr>
                    <w:jc w:val="center"/>
                    <w:rPr>
                      <w:color w:val="auto"/>
                    </w:rPr>
                  </w:pPr>
                  <w:r>
                    <w:rPr>
                      <w:color w:val="auto"/>
                    </w:rPr>
                    <w:t>序号</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用水项目</w:t>
                  </w:r>
                </w:p>
              </w:tc>
              <w:tc>
                <w:tcPr>
                  <w:tcW w:w="878"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color w:val="auto"/>
                    </w:rPr>
                    <w:t>用水标准</w:t>
                  </w: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用水量</w:t>
                  </w:r>
                </w:p>
                <w:p>
                  <w:pPr>
                    <w:jc w:val="center"/>
                    <w:rPr>
                      <w:color w:val="auto"/>
                      <w:szCs w:val="21"/>
                    </w:rPr>
                  </w:pPr>
                  <w:r>
                    <w:rPr>
                      <w:color w:val="auto"/>
                      <w:szCs w:val="21"/>
                    </w:rPr>
                    <w:t>（m</w:t>
                  </w:r>
                  <w:r>
                    <w:rPr>
                      <w:color w:val="auto"/>
                      <w:szCs w:val="21"/>
                      <w:vertAlign w:val="superscript"/>
                    </w:rPr>
                    <w:t>3</w:t>
                  </w:r>
                  <w:r>
                    <w:rPr>
                      <w:color w:val="auto"/>
                      <w:szCs w:val="21"/>
                    </w:rPr>
                    <w:t>/d）</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年用</w:t>
                  </w:r>
                </w:p>
                <w:p>
                  <w:pPr>
                    <w:jc w:val="center"/>
                    <w:rPr>
                      <w:color w:val="auto"/>
                      <w:szCs w:val="21"/>
                    </w:rPr>
                  </w:pPr>
                  <w:r>
                    <w:rPr>
                      <w:color w:val="auto"/>
                      <w:szCs w:val="21"/>
                    </w:rPr>
                    <w:t>水量</w:t>
                  </w:r>
                </w:p>
                <w:p>
                  <w:pPr>
                    <w:pStyle w:val="8"/>
                    <w:ind w:firstLine="0"/>
                    <w:jc w:val="center"/>
                    <w:rPr>
                      <w:rFonts w:ascii="Times New Roman" w:hAnsi="Times New Roman"/>
                      <w:color w:val="auto"/>
                      <w:sz w:val="21"/>
                      <w:szCs w:val="21"/>
                    </w:rPr>
                  </w:pPr>
                  <w:r>
                    <w:rPr>
                      <w:rFonts w:ascii="Times New Roman" w:hAnsi="Times New Roman"/>
                      <w:color w:val="auto"/>
                      <w:sz w:val="21"/>
                      <w:szCs w:val="21"/>
                    </w:rPr>
                    <w:t>（m</w:t>
                  </w:r>
                  <w:r>
                    <w:rPr>
                      <w:rFonts w:ascii="Times New Roman" w:hAnsi="Times New Roman"/>
                      <w:color w:val="auto"/>
                      <w:sz w:val="21"/>
                      <w:szCs w:val="21"/>
                      <w:vertAlign w:val="superscript"/>
                    </w:rPr>
                    <w:t>3</w:t>
                  </w:r>
                  <w:r>
                    <w:rPr>
                      <w:rFonts w:ascii="Times New Roman" w:hAnsi="Times New Roman"/>
                      <w:color w:val="auto"/>
                      <w:sz w:val="21"/>
                      <w:szCs w:val="21"/>
                    </w:rPr>
                    <w:t>/a）</w:t>
                  </w:r>
                </w:p>
              </w:tc>
              <w:tc>
                <w:tcPr>
                  <w:tcW w:w="1171" w:type="dxa"/>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szCs w:val="21"/>
                    </w:rPr>
                    <w:t>排</w:t>
                  </w:r>
                  <w:r>
                    <w:rPr>
                      <w:color w:val="auto"/>
                      <w:szCs w:val="21"/>
                    </w:rPr>
                    <w:t>用水量（m</w:t>
                  </w:r>
                  <w:r>
                    <w:rPr>
                      <w:color w:val="auto"/>
                      <w:szCs w:val="21"/>
                      <w:vertAlign w:val="superscript"/>
                    </w:rPr>
                    <w:t>3</w:t>
                  </w:r>
                  <w:r>
                    <w:rPr>
                      <w:color w:val="auto"/>
                      <w:szCs w:val="21"/>
                    </w:rPr>
                    <w:t>/d）</w:t>
                  </w:r>
                </w:p>
              </w:tc>
              <w:tc>
                <w:tcPr>
                  <w:tcW w:w="1022" w:type="dxa"/>
                  <w:tcBorders>
                    <w:top w:val="single" w:color="auto" w:sz="4" w:space="0"/>
                    <w:left w:val="single" w:color="auto" w:sz="4" w:space="0"/>
                    <w:bottom w:val="single" w:color="auto" w:sz="4" w:space="0"/>
                    <w:right w:val="nil"/>
                  </w:tcBorders>
                  <w:vAlign w:val="center"/>
                </w:tcPr>
                <w:p>
                  <w:pPr>
                    <w:jc w:val="center"/>
                    <w:rPr>
                      <w:color w:val="auto"/>
                      <w:szCs w:val="21"/>
                    </w:rPr>
                  </w:pPr>
                  <w:r>
                    <w:rPr>
                      <w:color w:val="auto"/>
                      <w:szCs w:val="21"/>
                    </w:rPr>
                    <w:t>年</w:t>
                  </w:r>
                  <w:r>
                    <w:rPr>
                      <w:rFonts w:hint="eastAsia"/>
                      <w:color w:val="auto"/>
                      <w:szCs w:val="21"/>
                    </w:rPr>
                    <w:t>排</w:t>
                  </w:r>
                </w:p>
                <w:p>
                  <w:pPr>
                    <w:jc w:val="center"/>
                    <w:rPr>
                      <w:color w:val="auto"/>
                      <w:szCs w:val="21"/>
                    </w:rPr>
                  </w:pPr>
                  <w:r>
                    <w:rPr>
                      <w:color w:val="auto"/>
                      <w:szCs w:val="21"/>
                    </w:rPr>
                    <w:t>水量</w:t>
                  </w:r>
                </w:p>
                <w:p>
                  <w:pPr>
                    <w:jc w:val="center"/>
                    <w:rPr>
                      <w:color w:val="auto"/>
                    </w:rPr>
                  </w:pPr>
                  <w:r>
                    <w:rPr>
                      <w:color w:val="auto"/>
                      <w:szCs w:val="21"/>
                    </w:rPr>
                    <w:t>（m</w:t>
                  </w:r>
                  <w:r>
                    <w:rPr>
                      <w:color w:val="auto"/>
                      <w:szCs w:val="21"/>
                      <w:vertAlign w:val="superscript"/>
                    </w:rPr>
                    <w:t>3</w:t>
                  </w:r>
                  <w:r>
                    <w:rPr>
                      <w:color w:val="auto"/>
                      <w:szCs w:val="21"/>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 w:type="dxa"/>
                  <w:tcBorders>
                    <w:top w:val="single" w:color="auto" w:sz="4" w:space="0"/>
                    <w:left w:val="nil"/>
                    <w:bottom w:val="single" w:color="auto" w:sz="4" w:space="0"/>
                    <w:right w:val="single" w:color="auto" w:sz="4" w:space="0"/>
                  </w:tcBorders>
                  <w:vAlign w:val="center"/>
                </w:tcPr>
                <w:p>
                  <w:pPr>
                    <w:jc w:val="center"/>
                    <w:rPr>
                      <w:color w:val="auto"/>
                      <w:szCs w:val="21"/>
                    </w:rPr>
                  </w:pPr>
                  <w:r>
                    <w:rPr>
                      <w:rFonts w:hint="eastAsia"/>
                      <w:color w:val="auto"/>
                      <w:szCs w:val="21"/>
                    </w:rPr>
                    <w:t>1</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冷却塔蒸发</w:t>
                  </w:r>
                </w:p>
                <w:p>
                  <w:pPr>
                    <w:jc w:val="center"/>
                    <w:rPr>
                      <w:color w:val="auto"/>
                      <w:szCs w:val="21"/>
                    </w:rPr>
                  </w:pPr>
                  <w:r>
                    <w:rPr>
                      <w:rFonts w:hint="eastAsia"/>
                      <w:color w:val="auto"/>
                      <w:szCs w:val="21"/>
                    </w:rPr>
                    <w:t>补充用水</w:t>
                  </w:r>
                </w:p>
              </w:tc>
              <w:tc>
                <w:tcPr>
                  <w:tcW w:w="87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80m</w:t>
                  </w:r>
                  <w:r>
                    <w:rPr>
                      <w:rFonts w:hint="eastAsia"/>
                      <w:color w:val="auto"/>
                      <w:szCs w:val="21"/>
                      <w:vertAlign w:val="superscript"/>
                    </w:rPr>
                    <w:t>3</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lang w:val="en-US" w:eastAsia="zh-CN"/>
                    </w:rPr>
                    <w:t>5</w:t>
                  </w:r>
                  <w:r>
                    <w:rPr>
                      <w:rFonts w:hint="eastAsia"/>
                      <w:color w:val="auto"/>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szCs w:val="21"/>
                    </w:rPr>
                  </w:pPr>
                  <w:r>
                    <w:rPr>
                      <w:rFonts w:hint="eastAsia"/>
                      <w:color w:val="auto"/>
                      <w:szCs w:val="21"/>
                    </w:rPr>
                    <w:t>0.8</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auto"/>
                      <w:szCs w:val="21"/>
                    </w:rPr>
                  </w:pPr>
                  <w:r>
                    <w:rPr>
                      <w:rFonts w:hint="eastAsia"/>
                      <w:color w:val="auto"/>
                      <w:szCs w:val="21"/>
                    </w:rPr>
                    <w:t>240</w:t>
                  </w:r>
                </w:p>
              </w:tc>
              <w:tc>
                <w:tcPr>
                  <w:tcW w:w="1171" w:type="dxa"/>
                  <w:tcBorders>
                    <w:top w:val="single" w:color="auto" w:sz="4" w:space="0"/>
                    <w:left w:val="single" w:color="auto" w:sz="4" w:space="0"/>
                    <w:bottom w:val="single" w:color="auto" w:sz="4" w:space="0"/>
                    <w:right w:val="nil"/>
                  </w:tcBorders>
                  <w:vAlign w:val="center"/>
                </w:tcPr>
                <w:p>
                  <w:pPr>
                    <w:widowControl/>
                    <w:jc w:val="center"/>
                    <w:textAlignment w:val="center"/>
                    <w:rPr>
                      <w:color w:val="auto"/>
                      <w:szCs w:val="21"/>
                    </w:rPr>
                  </w:pPr>
                  <w:r>
                    <w:rPr>
                      <w:color w:val="auto"/>
                      <w:kern w:val="0"/>
                      <w:szCs w:val="21"/>
                      <w:lang w:bidi="ar"/>
                    </w:rPr>
                    <w:t>/</w:t>
                  </w:r>
                </w:p>
              </w:tc>
              <w:tc>
                <w:tcPr>
                  <w:tcW w:w="1022" w:type="dxa"/>
                  <w:tcBorders>
                    <w:top w:val="single" w:color="auto" w:sz="4" w:space="0"/>
                    <w:left w:val="single" w:color="auto" w:sz="4" w:space="0"/>
                    <w:bottom w:val="single" w:color="auto" w:sz="4" w:space="0"/>
                    <w:right w:val="nil"/>
                  </w:tcBorders>
                  <w:vAlign w:val="center"/>
                </w:tcPr>
                <w:p>
                  <w:pPr>
                    <w:widowControl/>
                    <w:jc w:val="center"/>
                    <w:textAlignment w:val="center"/>
                    <w:rPr>
                      <w:color w:val="auto"/>
                      <w:szCs w:val="21"/>
                    </w:rPr>
                  </w:pPr>
                  <w:r>
                    <w:rPr>
                      <w:color w:val="auto"/>
                      <w:kern w:val="0"/>
                      <w:szCs w:val="21"/>
                      <w:lang w:bidi="ar"/>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 w:type="dxa"/>
                  <w:tcBorders>
                    <w:top w:val="single" w:color="auto" w:sz="4" w:space="0"/>
                    <w:left w:val="nil"/>
                    <w:bottom w:val="single" w:color="auto" w:sz="4" w:space="0"/>
                    <w:right w:val="single" w:color="auto" w:sz="4" w:space="0"/>
                  </w:tcBorders>
                  <w:vAlign w:val="center"/>
                </w:tcPr>
                <w:p>
                  <w:pPr>
                    <w:jc w:val="center"/>
                    <w:rPr>
                      <w:rFonts w:hint="eastAsia" w:eastAsia="宋体"/>
                      <w:color w:val="auto"/>
                      <w:szCs w:val="21"/>
                      <w:lang w:val="en-US" w:eastAsia="zh-CN"/>
                    </w:rPr>
                  </w:pPr>
                  <w:r>
                    <w:rPr>
                      <w:rFonts w:hint="eastAsia"/>
                      <w:color w:val="auto"/>
                      <w:szCs w:val="21"/>
                      <w:lang w:val="en-US" w:eastAsia="zh-CN"/>
                    </w:rPr>
                    <w:t>2</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rPr>
                  </w:pPr>
                  <w:r>
                    <w:rPr>
                      <w:rFonts w:hint="eastAsia"/>
                      <w:color w:val="auto"/>
                      <w:szCs w:val="21"/>
                    </w:rPr>
                    <w:t>冷却塔</w:t>
                  </w:r>
                  <w:r>
                    <w:rPr>
                      <w:rFonts w:hint="eastAsia"/>
                      <w:color w:val="auto"/>
                      <w:szCs w:val="21"/>
                      <w:lang w:eastAsia="zh-CN"/>
                    </w:rPr>
                    <w:t>定期排水</w:t>
                  </w:r>
                  <w:r>
                    <w:rPr>
                      <w:rFonts w:hint="eastAsia"/>
                      <w:color w:val="auto"/>
                      <w:szCs w:val="21"/>
                    </w:rPr>
                    <w:t>补充用水</w:t>
                  </w: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Cs w:val="21"/>
                    </w:rPr>
                  </w:pPr>
                  <w:r>
                    <w:rPr>
                      <w:rFonts w:hint="eastAsia"/>
                      <w:color w:val="auto"/>
                      <w:sz w:val="21"/>
                      <w:szCs w:val="21"/>
                      <w:lang w:val="en-US" w:eastAsia="zh-CN"/>
                    </w:rPr>
                    <w:t>80m</w:t>
                  </w:r>
                  <w:r>
                    <w:rPr>
                      <w:rFonts w:hint="eastAsia"/>
                      <w:color w:val="auto"/>
                      <w:sz w:val="21"/>
                      <w:szCs w:val="21"/>
                      <w:vertAlign w:val="superscript"/>
                      <w:lang w:val="en-US" w:eastAsia="zh-CN"/>
                    </w:rPr>
                    <w:t>3</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Cs w:val="21"/>
                    </w:rPr>
                  </w:pPr>
                  <w:r>
                    <w:rPr>
                      <w:rFonts w:hint="eastAsia"/>
                      <w:color w:val="auto"/>
                      <w:sz w:val="21"/>
                      <w:szCs w:val="21"/>
                      <w:lang w:val="en-US" w:eastAsia="zh-CN"/>
                    </w:rPr>
                    <w:t>1次/年</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0.267</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80</w:t>
                  </w:r>
                </w:p>
              </w:tc>
              <w:tc>
                <w:tcPr>
                  <w:tcW w:w="1171"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color w:val="auto"/>
                      <w:kern w:val="0"/>
                      <w:szCs w:val="21"/>
                      <w:lang w:val="en-US" w:bidi="ar"/>
                    </w:rPr>
                  </w:pPr>
                  <w:r>
                    <w:rPr>
                      <w:rFonts w:hint="eastAsia" w:cs="Times New Roman"/>
                      <w:i w:val="0"/>
                      <w:iCs w:val="0"/>
                      <w:color w:val="auto"/>
                      <w:kern w:val="0"/>
                      <w:sz w:val="21"/>
                      <w:szCs w:val="21"/>
                      <w:u w:val="none"/>
                      <w:lang w:val="en-US" w:eastAsia="zh-CN" w:bidi="ar"/>
                    </w:rPr>
                    <w:t>0.267</w:t>
                  </w:r>
                </w:p>
              </w:tc>
              <w:tc>
                <w:tcPr>
                  <w:tcW w:w="1022"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 w:type="dxa"/>
                  <w:tcBorders>
                    <w:top w:val="single" w:color="auto" w:sz="4" w:space="0"/>
                    <w:left w:val="nil"/>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3</w:t>
                  </w:r>
                </w:p>
              </w:tc>
              <w:tc>
                <w:tcPr>
                  <w:tcW w:w="1551" w:type="dxa"/>
                  <w:tcBorders>
                    <w:top w:val="single" w:color="auto" w:sz="4" w:space="0"/>
                    <w:left w:val="single" w:color="auto" w:sz="4" w:space="0"/>
                    <w:right w:val="single" w:color="auto" w:sz="4" w:space="0"/>
                  </w:tcBorders>
                  <w:vAlign w:val="center"/>
                </w:tcPr>
                <w:p>
                  <w:pPr>
                    <w:jc w:val="center"/>
                    <w:rPr>
                      <w:color w:val="auto"/>
                      <w:szCs w:val="21"/>
                    </w:rPr>
                  </w:pPr>
                  <w:r>
                    <w:rPr>
                      <w:color w:val="auto"/>
                      <w:szCs w:val="21"/>
                    </w:rPr>
                    <w:t>生活用水</w:t>
                  </w:r>
                </w:p>
              </w:tc>
              <w:tc>
                <w:tcPr>
                  <w:tcW w:w="878" w:type="dxa"/>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4</w:t>
                  </w:r>
                  <w:r>
                    <w:rPr>
                      <w:color w:val="auto"/>
                      <w:szCs w:val="21"/>
                    </w:rPr>
                    <w:t>人</w:t>
                  </w:r>
                </w:p>
              </w:tc>
              <w:tc>
                <w:tcPr>
                  <w:tcW w:w="1215" w:type="dxa"/>
                  <w:tcBorders>
                    <w:top w:val="single" w:color="auto" w:sz="4" w:space="0"/>
                    <w:left w:val="single" w:color="auto" w:sz="4" w:space="0"/>
                    <w:right w:val="single" w:color="auto" w:sz="4" w:space="0"/>
                  </w:tcBorders>
                  <w:vAlign w:val="center"/>
                </w:tcPr>
                <w:p>
                  <w:pPr>
                    <w:jc w:val="center"/>
                    <w:rPr>
                      <w:color w:val="auto"/>
                      <w:szCs w:val="21"/>
                    </w:rPr>
                  </w:pPr>
                  <w:r>
                    <w:rPr>
                      <w:rFonts w:hint="eastAsia"/>
                      <w:color w:val="auto"/>
                      <w:szCs w:val="21"/>
                    </w:rPr>
                    <w:t>179</w:t>
                  </w:r>
                  <w:r>
                    <w:rPr>
                      <w:color w:val="auto"/>
                      <w:szCs w:val="21"/>
                    </w:rPr>
                    <w:t>L/人·d</w:t>
                  </w:r>
                </w:p>
              </w:tc>
              <w:tc>
                <w:tcPr>
                  <w:tcW w:w="1031" w:type="dxa"/>
                  <w:tcBorders>
                    <w:top w:val="single" w:color="auto" w:sz="4" w:space="0"/>
                    <w:left w:val="single" w:color="auto" w:sz="4" w:space="0"/>
                    <w:right w:val="single" w:color="auto" w:sz="4" w:space="0"/>
                  </w:tcBorders>
                  <w:vAlign w:val="center"/>
                </w:tcPr>
                <w:p>
                  <w:pPr>
                    <w:widowControl/>
                    <w:jc w:val="center"/>
                    <w:textAlignment w:val="center"/>
                    <w:rPr>
                      <w:color w:val="auto"/>
                      <w:szCs w:val="21"/>
                    </w:rPr>
                  </w:pPr>
                  <w:r>
                    <w:rPr>
                      <w:rFonts w:hint="eastAsia"/>
                      <w:color w:val="auto"/>
                      <w:szCs w:val="21"/>
                    </w:rPr>
                    <w:t>0.716</w:t>
                  </w:r>
                </w:p>
              </w:tc>
              <w:tc>
                <w:tcPr>
                  <w:tcW w:w="1019" w:type="dxa"/>
                  <w:tcBorders>
                    <w:top w:val="single" w:color="auto" w:sz="4" w:space="0"/>
                    <w:left w:val="single" w:color="auto" w:sz="4" w:space="0"/>
                    <w:right w:val="single" w:color="auto" w:sz="4" w:space="0"/>
                  </w:tcBorders>
                  <w:vAlign w:val="center"/>
                </w:tcPr>
                <w:p>
                  <w:pPr>
                    <w:widowControl/>
                    <w:jc w:val="center"/>
                    <w:textAlignment w:val="center"/>
                    <w:rPr>
                      <w:color w:val="auto"/>
                      <w:szCs w:val="21"/>
                    </w:rPr>
                  </w:pPr>
                  <w:r>
                    <w:rPr>
                      <w:rFonts w:hint="eastAsia"/>
                      <w:color w:val="auto"/>
                      <w:szCs w:val="21"/>
                    </w:rPr>
                    <w:t>215</w:t>
                  </w:r>
                </w:p>
              </w:tc>
              <w:tc>
                <w:tcPr>
                  <w:tcW w:w="1171" w:type="dxa"/>
                  <w:tcBorders>
                    <w:top w:val="single" w:color="auto" w:sz="4" w:space="0"/>
                    <w:left w:val="single" w:color="auto" w:sz="4" w:space="0"/>
                    <w:right w:val="nil"/>
                  </w:tcBorders>
                  <w:vAlign w:val="center"/>
                </w:tcPr>
                <w:p>
                  <w:pPr>
                    <w:widowControl/>
                    <w:jc w:val="center"/>
                    <w:textAlignment w:val="center"/>
                    <w:rPr>
                      <w:color w:val="auto"/>
                      <w:szCs w:val="21"/>
                    </w:rPr>
                  </w:pPr>
                  <w:r>
                    <w:rPr>
                      <w:rFonts w:hint="eastAsia"/>
                      <w:color w:val="auto"/>
                      <w:szCs w:val="21"/>
                    </w:rPr>
                    <w:t>0.594</w:t>
                  </w:r>
                </w:p>
              </w:tc>
              <w:tc>
                <w:tcPr>
                  <w:tcW w:w="1022" w:type="dxa"/>
                  <w:tcBorders>
                    <w:top w:val="single" w:color="auto" w:sz="4" w:space="0"/>
                    <w:left w:val="single" w:color="auto" w:sz="4" w:space="0"/>
                    <w:right w:val="nil"/>
                  </w:tcBorders>
                  <w:vAlign w:val="center"/>
                </w:tcPr>
                <w:p>
                  <w:pPr>
                    <w:widowControl/>
                    <w:jc w:val="center"/>
                    <w:textAlignment w:val="center"/>
                    <w:rPr>
                      <w:color w:val="auto"/>
                      <w:szCs w:val="21"/>
                    </w:rPr>
                  </w:pPr>
                  <w:r>
                    <w:rPr>
                      <w:rFonts w:hint="eastAsia"/>
                      <w:color w:val="auto"/>
                      <w:szCs w:val="21"/>
                    </w:rPr>
                    <w:t>178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35" w:type="dxa"/>
                  <w:tcBorders>
                    <w:top w:val="single" w:color="auto" w:sz="4" w:space="0"/>
                    <w:left w:val="nil"/>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4</w:t>
                  </w:r>
                </w:p>
              </w:tc>
              <w:tc>
                <w:tcPr>
                  <w:tcW w:w="1551" w:type="dxa"/>
                  <w:tcBorders>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食堂用水</w:t>
                  </w:r>
                </w:p>
              </w:tc>
              <w:tc>
                <w:tcPr>
                  <w:tcW w:w="87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w:t>
                  </w:r>
                  <w:r>
                    <w:rPr>
                      <w:color w:val="auto"/>
                      <w:szCs w:val="21"/>
                      <w:highlight w:val="none"/>
                    </w:rPr>
                    <w:t>人</w:t>
                  </w:r>
                  <w:r>
                    <w:rPr>
                      <w:rFonts w:hint="eastAsia"/>
                      <w:color w:val="auto"/>
                      <w:szCs w:val="21"/>
                      <w:highlight w:val="none"/>
                    </w:rPr>
                    <w:t>次</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lang w:val="en-US" w:eastAsia="zh-CN"/>
                    </w:rPr>
                    <w:t>50</w:t>
                  </w:r>
                  <w:r>
                    <w:rPr>
                      <w:color w:val="auto"/>
                      <w:szCs w:val="21"/>
                      <w:highlight w:val="none"/>
                    </w:rPr>
                    <w:t>L/人</w:t>
                  </w:r>
                  <w:r>
                    <w:rPr>
                      <w:rFonts w:hint="eastAsia"/>
                      <w:color w:val="auto"/>
                      <w:szCs w:val="21"/>
                      <w:highlight w:val="none"/>
                    </w:rPr>
                    <w:t>次</w:t>
                  </w:r>
                  <w:r>
                    <w:rPr>
                      <w:color w:val="auto"/>
                      <w:szCs w:val="21"/>
                      <w:highlight w:val="none"/>
                    </w:rPr>
                    <w:t>·d</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0.200</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171"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rPr>
                    <w:t>0.</w:t>
                  </w:r>
                  <w:r>
                    <w:rPr>
                      <w:rFonts w:hint="eastAsia"/>
                      <w:color w:val="auto"/>
                      <w:szCs w:val="21"/>
                      <w:highlight w:val="none"/>
                      <w:lang w:val="en-US" w:eastAsia="zh-CN"/>
                    </w:rPr>
                    <w:t>166</w:t>
                  </w:r>
                </w:p>
              </w:tc>
              <w:tc>
                <w:tcPr>
                  <w:tcW w:w="1022"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35" w:type="dxa"/>
                  <w:tcBorders>
                    <w:top w:val="single" w:color="auto" w:sz="4" w:space="0"/>
                    <w:left w:val="nil"/>
                    <w:bottom w:val="single" w:color="auto" w:sz="4" w:space="0"/>
                    <w:right w:val="single" w:color="auto" w:sz="4" w:space="0"/>
                  </w:tcBorders>
                  <w:vAlign w:val="center"/>
                </w:tcPr>
                <w:p>
                  <w:pPr>
                    <w:jc w:val="center"/>
                    <w:rPr>
                      <w:rFonts w:hint="eastAsia" w:eastAsia="宋体"/>
                      <w:color w:val="auto"/>
                      <w:szCs w:val="21"/>
                      <w:lang w:eastAsia="zh-CN"/>
                    </w:rPr>
                  </w:pPr>
                  <w:r>
                    <w:rPr>
                      <w:rFonts w:hint="eastAsia"/>
                      <w:color w:val="auto"/>
                      <w:szCs w:val="21"/>
                      <w:lang w:val="en-US" w:eastAsia="zh-CN"/>
                    </w:rPr>
                    <w:t>5</w:t>
                  </w:r>
                </w:p>
              </w:tc>
              <w:tc>
                <w:tcPr>
                  <w:tcW w:w="3644"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合计</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1.983</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595</w:t>
                  </w:r>
                </w:p>
              </w:tc>
              <w:tc>
                <w:tcPr>
                  <w:tcW w:w="1171"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1.027</w:t>
                  </w:r>
                </w:p>
              </w:tc>
              <w:tc>
                <w:tcPr>
                  <w:tcW w:w="1022" w:type="dxa"/>
                  <w:tcBorders>
                    <w:top w:val="single" w:color="auto" w:sz="4" w:space="0"/>
                    <w:left w:val="single" w:color="auto" w:sz="4" w:space="0"/>
                    <w:bottom w:val="single" w:color="auto" w:sz="4" w:space="0"/>
                    <w:right w:val="nil"/>
                  </w:tcBorders>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308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35" w:type="dxa"/>
                  <w:tcBorders>
                    <w:top w:val="single" w:color="auto" w:sz="4" w:space="0"/>
                    <w:left w:val="nil"/>
                    <w:bottom w:val="single" w:color="auto" w:sz="4" w:space="0"/>
                    <w:right w:val="single" w:color="auto" w:sz="4" w:space="0"/>
                  </w:tcBorders>
                  <w:vAlign w:val="center"/>
                </w:tcPr>
                <w:p>
                  <w:pPr>
                    <w:jc w:val="center"/>
                    <w:rPr>
                      <w:rFonts w:hint="eastAsia" w:eastAsia="宋体"/>
                      <w:color w:val="auto"/>
                      <w:lang w:eastAsia="zh-CN"/>
                    </w:rPr>
                  </w:pPr>
                  <w:r>
                    <w:rPr>
                      <w:rFonts w:hint="eastAsia"/>
                      <w:color w:val="auto"/>
                      <w:lang w:val="en-US" w:eastAsia="zh-CN"/>
                    </w:rPr>
                    <w:t>6</w:t>
                  </w:r>
                </w:p>
              </w:tc>
              <w:tc>
                <w:tcPr>
                  <w:tcW w:w="7887" w:type="dxa"/>
                  <w:gridSpan w:val="7"/>
                  <w:tcBorders>
                    <w:top w:val="single" w:color="auto" w:sz="4" w:space="0"/>
                    <w:left w:val="single" w:color="auto" w:sz="4" w:space="0"/>
                    <w:bottom w:val="single" w:color="auto" w:sz="4" w:space="0"/>
                    <w:right w:val="nil"/>
                  </w:tcBorders>
                  <w:vAlign w:val="center"/>
                </w:tcPr>
                <w:p>
                  <w:pPr>
                    <w:rPr>
                      <w:rFonts w:hint="default" w:eastAsia="宋体"/>
                      <w:color w:val="auto"/>
                      <w:lang w:val="en-US" w:eastAsia="zh-CN"/>
                    </w:rPr>
                  </w:pPr>
                  <w:r>
                    <w:rPr>
                      <w:rFonts w:hint="eastAsia"/>
                      <w:color w:val="auto"/>
                    </w:rPr>
                    <w:t>备注：生活污水、食堂废水折污系数0.83</w:t>
                  </w:r>
                  <w:r>
                    <w:rPr>
                      <w:rFonts w:hint="eastAsia"/>
                      <w:color w:val="auto"/>
                      <w:lang w:val="en-US" w:eastAsia="zh-CN"/>
                    </w:rPr>
                    <w:t>;本项目利用现有生产厂房进行扩建，生产厂房地面清洁用水现有工程已做核算，因此本评价不考虑厂房地面清洁用水</w:t>
                  </w:r>
                </w:p>
              </w:tc>
            </w:tr>
          </w:tbl>
          <w:p>
            <w:pPr>
              <w:snapToGrid w:val="0"/>
              <w:spacing w:line="360" w:lineRule="auto"/>
              <w:jc w:val="center"/>
              <w:rPr>
                <w:color w:val="auto"/>
                <w:sz w:val="24"/>
              </w:rPr>
            </w:pPr>
            <w:r>
              <w:rPr>
                <w:color w:val="auto"/>
                <w:sz w:val="24"/>
              </w:rPr>
              <w:object>
                <v:shape id="_x0000_i1025" o:spt="75" type="#_x0000_t75" style="height:166.1pt;width:345.4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pStyle w:val="2"/>
              <w:jc w:val="center"/>
              <w:rPr>
                <w:rFonts w:ascii="Times New Roman" w:cs="Times New Roman"/>
                <w:color w:val="auto"/>
              </w:rPr>
            </w:pPr>
            <w:r>
              <w:rPr>
                <w:rFonts w:ascii="Times New Roman" w:cs="Times New Roman"/>
                <w:color w:val="auto"/>
              </w:rPr>
              <w:t xml:space="preserve">图2.1 </w:t>
            </w:r>
            <w:r>
              <w:rPr>
                <w:rFonts w:hint="eastAsia" w:ascii="Times New Roman" w:hAnsi="Times New Roman" w:cs="Times New Roman"/>
                <w:color w:val="auto"/>
                <w:sz w:val="24"/>
                <w:szCs w:val="24"/>
                <w:lang w:eastAsia="zh-CN"/>
              </w:rPr>
              <w:t>扩建项目</w:t>
            </w:r>
            <w:r>
              <w:rPr>
                <w:rFonts w:ascii="Times New Roman" w:cs="Times New Roman"/>
                <w:color w:val="auto"/>
              </w:rPr>
              <w:t>水平衡图（m</w:t>
            </w:r>
            <w:r>
              <w:rPr>
                <w:rFonts w:ascii="Times New Roman" w:cs="Times New Roman"/>
                <w:color w:val="auto"/>
                <w:vertAlign w:val="superscript"/>
              </w:rPr>
              <w:t>3</w:t>
            </w:r>
            <w:r>
              <w:rPr>
                <w:rFonts w:ascii="Times New Roman" w:cs="Times New Roman"/>
                <w:color w:val="auto"/>
              </w:rPr>
              <w:t>/d）</w:t>
            </w:r>
          </w:p>
          <w:p>
            <w:pPr>
              <w:pStyle w:val="2"/>
              <w:snapToGrid w:val="0"/>
              <w:ind w:firstLine="480" w:firstLineChars="200"/>
              <w:rPr>
                <w:rFonts w:ascii="Times New Roman" w:cs="Times New Roman"/>
                <w:color w:val="auto"/>
              </w:rPr>
            </w:pPr>
            <w:r>
              <w:rPr>
                <w:rFonts w:ascii="Times New Roman" w:cs="Times New Roman"/>
                <w:color w:val="auto"/>
              </w:rPr>
              <w:t>（</w:t>
            </w:r>
            <w:r>
              <w:rPr>
                <w:rFonts w:hint="eastAsia" w:ascii="Times New Roman" w:cs="Times New Roman"/>
                <w:color w:val="auto"/>
              </w:rPr>
              <w:t>3</w:t>
            </w:r>
            <w:r>
              <w:rPr>
                <w:rFonts w:ascii="Times New Roman" w:cs="Times New Roman"/>
                <w:color w:val="auto"/>
              </w:rPr>
              <w:t>）本项目主要原辅材料用量</w:t>
            </w:r>
          </w:p>
          <w:p>
            <w:pPr>
              <w:spacing w:line="360" w:lineRule="auto"/>
              <w:ind w:firstLine="480"/>
              <w:rPr>
                <w:color w:val="auto"/>
                <w:sz w:val="24"/>
              </w:rPr>
            </w:pPr>
            <w:r>
              <w:rPr>
                <w:rFonts w:hint="eastAsia" w:ascii="Times New Roman" w:hAnsi="Times New Roman" w:cs="Times New Roman"/>
                <w:color w:val="auto"/>
                <w:sz w:val="24"/>
                <w:szCs w:val="24"/>
                <w:lang w:eastAsia="zh-CN"/>
              </w:rPr>
              <w:t>扩建项目</w:t>
            </w:r>
            <w:r>
              <w:rPr>
                <w:color w:val="auto"/>
                <w:sz w:val="24"/>
                <w:shd w:val="clear" w:color="auto" w:fill="FFFFFF"/>
              </w:rPr>
              <w:t>主要生产</w:t>
            </w:r>
            <w:r>
              <w:rPr>
                <w:color w:val="auto"/>
                <w:kern w:val="0"/>
                <w:sz w:val="24"/>
              </w:rPr>
              <w:t>拉幅定型无纺布</w:t>
            </w:r>
            <w:r>
              <w:rPr>
                <w:rFonts w:hint="eastAsia"/>
                <w:color w:val="auto"/>
                <w:kern w:val="0"/>
                <w:sz w:val="24"/>
              </w:rPr>
              <w:t>、</w:t>
            </w:r>
            <w:r>
              <w:rPr>
                <w:color w:val="auto"/>
                <w:sz w:val="24"/>
              </w:rPr>
              <w:t>淋膜无纺布，其原辅材料用量见表2.</w:t>
            </w:r>
            <w:r>
              <w:rPr>
                <w:rFonts w:hint="eastAsia"/>
                <w:color w:val="auto"/>
                <w:sz w:val="24"/>
                <w:lang w:val="en-US" w:eastAsia="zh-CN"/>
              </w:rPr>
              <w:t>9</w:t>
            </w:r>
            <w:r>
              <w:rPr>
                <w:color w:val="auto"/>
                <w:sz w:val="24"/>
              </w:rPr>
              <w:t>。</w:t>
            </w:r>
          </w:p>
          <w:p>
            <w:pPr>
              <w:pStyle w:val="2"/>
              <w:snapToGrid w:val="0"/>
              <w:jc w:val="center"/>
              <w:rPr>
                <w:rFonts w:ascii="Times New Roman" w:cs="Times New Roman"/>
                <w:color w:val="auto"/>
                <w:sz w:val="21"/>
                <w:szCs w:val="21"/>
              </w:rPr>
            </w:pPr>
            <w:r>
              <w:rPr>
                <w:rFonts w:ascii="Times New Roman" w:cs="Times New Roman"/>
                <w:color w:val="auto"/>
                <w:sz w:val="21"/>
                <w:szCs w:val="21"/>
              </w:rPr>
              <w:t>表2.</w:t>
            </w:r>
            <w:r>
              <w:rPr>
                <w:rFonts w:hint="eastAsia" w:ascii="Times New Roman" w:cs="Times New Roman"/>
                <w:color w:val="auto"/>
                <w:sz w:val="21"/>
                <w:szCs w:val="21"/>
                <w:lang w:val="en-US" w:eastAsia="zh-CN"/>
              </w:rPr>
              <w:t>9</w:t>
            </w:r>
            <w:r>
              <w:rPr>
                <w:rFonts w:ascii="Times New Roman" w:cs="Times New Roman"/>
                <w:color w:val="auto"/>
                <w:sz w:val="21"/>
                <w:szCs w:val="21"/>
              </w:rPr>
              <w:t xml:space="preserve"> 主要原辅材料用量一览表</w:t>
            </w:r>
          </w:p>
          <w:tbl>
            <w:tblPr>
              <w:tblStyle w:val="22"/>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9"/>
              <w:gridCol w:w="1743"/>
              <w:gridCol w:w="800"/>
              <w:gridCol w:w="848"/>
              <w:gridCol w:w="2393"/>
              <w:gridCol w:w="2063"/>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trHeight w:val="270" w:hRule="atLeast"/>
                <w:tblHeader/>
                <w:jc w:val="center"/>
              </w:trPr>
              <w:tc>
                <w:tcPr>
                  <w:tcW w:w="310" w:type="pct"/>
                  <w:vAlign w:val="center"/>
                </w:tcPr>
                <w:p>
                  <w:pPr>
                    <w:widowControl/>
                    <w:jc w:val="center"/>
                    <w:rPr>
                      <w:color w:val="auto"/>
                    </w:rPr>
                  </w:pPr>
                  <w:r>
                    <w:rPr>
                      <w:color w:val="auto"/>
                    </w:rPr>
                    <w:t>序号</w:t>
                  </w:r>
                </w:p>
              </w:tc>
              <w:tc>
                <w:tcPr>
                  <w:tcW w:w="1042" w:type="pct"/>
                  <w:vAlign w:val="center"/>
                </w:tcPr>
                <w:p>
                  <w:pPr>
                    <w:widowControl/>
                    <w:jc w:val="center"/>
                    <w:rPr>
                      <w:color w:val="auto"/>
                    </w:rPr>
                  </w:pPr>
                  <w:r>
                    <w:rPr>
                      <w:color w:val="auto"/>
                    </w:rPr>
                    <w:t>材料名称</w:t>
                  </w:r>
                </w:p>
              </w:tc>
              <w:tc>
                <w:tcPr>
                  <w:tcW w:w="478" w:type="pct"/>
                  <w:vAlign w:val="center"/>
                </w:tcPr>
                <w:p>
                  <w:pPr>
                    <w:widowControl/>
                    <w:jc w:val="center"/>
                    <w:rPr>
                      <w:color w:val="auto"/>
                    </w:rPr>
                  </w:pPr>
                  <w:r>
                    <w:rPr>
                      <w:color w:val="auto"/>
                    </w:rPr>
                    <w:t>单位</w:t>
                  </w:r>
                </w:p>
              </w:tc>
              <w:tc>
                <w:tcPr>
                  <w:tcW w:w="507" w:type="pct"/>
                  <w:tcBorders>
                    <w:right w:val="single" w:color="auto" w:sz="4" w:space="0"/>
                  </w:tcBorders>
                  <w:vAlign w:val="center"/>
                </w:tcPr>
                <w:p>
                  <w:pPr>
                    <w:widowControl/>
                    <w:jc w:val="center"/>
                    <w:rPr>
                      <w:color w:val="auto"/>
                    </w:rPr>
                  </w:pPr>
                  <w:r>
                    <w:rPr>
                      <w:color w:val="auto"/>
                    </w:rPr>
                    <w:t>年用量</w:t>
                  </w:r>
                </w:p>
              </w:tc>
              <w:tc>
                <w:tcPr>
                  <w:tcW w:w="1430" w:type="pct"/>
                  <w:tcBorders>
                    <w:right w:val="single" w:color="auto" w:sz="4" w:space="0"/>
                  </w:tcBorders>
                  <w:vAlign w:val="center"/>
                </w:tcPr>
                <w:p>
                  <w:pPr>
                    <w:widowControl/>
                    <w:jc w:val="center"/>
                    <w:rPr>
                      <w:color w:val="auto"/>
                    </w:rPr>
                  </w:pPr>
                  <w:r>
                    <w:rPr>
                      <w:color w:val="auto"/>
                    </w:rPr>
                    <w:t>其它信息</w:t>
                  </w:r>
                </w:p>
              </w:tc>
              <w:tc>
                <w:tcPr>
                  <w:tcW w:w="1231" w:type="pct"/>
                  <w:tcBorders>
                    <w:left w:val="single" w:color="auto" w:sz="4" w:space="0"/>
                  </w:tcBorders>
                  <w:vAlign w:val="center"/>
                </w:tcPr>
                <w:p>
                  <w:pPr>
                    <w:widowControl/>
                    <w:jc w:val="center"/>
                    <w:rPr>
                      <w:color w:val="auto"/>
                    </w:rPr>
                  </w:pPr>
                  <w:r>
                    <w:rPr>
                      <w:color w:val="auto"/>
                    </w:rPr>
                    <w:t>污染排放</w:t>
                  </w:r>
                </w:p>
                <w:p>
                  <w:pPr>
                    <w:widowControl/>
                    <w:jc w:val="center"/>
                    <w:rPr>
                      <w:color w:val="auto"/>
                    </w:rPr>
                  </w:pPr>
                  <w:r>
                    <w:rPr>
                      <w:color w:val="auto"/>
                    </w:rPr>
                    <w:t>有关的物质</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5000" w:type="pct"/>
                  <w:gridSpan w:val="6"/>
                  <w:vAlign w:val="center"/>
                </w:tcPr>
                <w:p>
                  <w:pPr>
                    <w:widowControl/>
                    <w:rPr>
                      <w:color w:val="auto"/>
                    </w:rPr>
                  </w:pPr>
                  <w:r>
                    <w:rPr>
                      <w:color w:val="auto"/>
                    </w:rPr>
                    <w:t>主要原材料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10" w:type="pct"/>
                  <w:vAlign w:val="center"/>
                </w:tcPr>
                <w:p>
                  <w:pPr>
                    <w:widowControl/>
                    <w:jc w:val="center"/>
                    <w:rPr>
                      <w:color w:val="auto"/>
                    </w:rPr>
                  </w:pPr>
                  <w:r>
                    <w:rPr>
                      <w:rFonts w:hint="eastAsia"/>
                      <w:color w:val="auto"/>
                    </w:rPr>
                    <w:t>1</w:t>
                  </w:r>
                </w:p>
              </w:tc>
              <w:tc>
                <w:tcPr>
                  <w:tcW w:w="1042" w:type="pct"/>
                  <w:vAlign w:val="center"/>
                </w:tcPr>
                <w:p>
                  <w:pPr>
                    <w:widowControl/>
                    <w:jc w:val="center"/>
                    <w:rPr>
                      <w:color w:val="auto"/>
                    </w:rPr>
                  </w:pPr>
                  <w:r>
                    <w:rPr>
                      <w:rFonts w:hint="eastAsia"/>
                      <w:color w:val="auto"/>
                      <w:highlight w:val="none"/>
                    </w:rPr>
                    <w:t>无纺布</w:t>
                  </w:r>
                </w:p>
              </w:tc>
              <w:tc>
                <w:tcPr>
                  <w:tcW w:w="478" w:type="pct"/>
                  <w:vAlign w:val="center"/>
                </w:tcPr>
                <w:p>
                  <w:pPr>
                    <w:widowControl/>
                    <w:jc w:val="center"/>
                    <w:rPr>
                      <w:color w:val="auto"/>
                    </w:rPr>
                  </w:pPr>
                  <w:r>
                    <w:rPr>
                      <w:rFonts w:hint="eastAsia"/>
                      <w:color w:val="auto"/>
                    </w:rPr>
                    <w:t>卷</w:t>
                  </w:r>
                  <w:r>
                    <w:rPr>
                      <w:color w:val="auto"/>
                    </w:rPr>
                    <w:t>/a</w:t>
                  </w:r>
                </w:p>
              </w:tc>
              <w:tc>
                <w:tcPr>
                  <w:tcW w:w="507" w:type="pct"/>
                  <w:tcBorders>
                    <w:right w:val="single" w:color="auto" w:sz="4" w:space="0"/>
                  </w:tcBorders>
                  <w:vAlign w:val="center"/>
                </w:tcPr>
                <w:p>
                  <w:pPr>
                    <w:widowControl/>
                    <w:jc w:val="center"/>
                    <w:rPr>
                      <w:color w:val="auto"/>
                    </w:rPr>
                  </w:pPr>
                  <w:r>
                    <w:rPr>
                      <w:rFonts w:hint="eastAsia"/>
                      <w:color w:val="auto"/>
                    </w:rPr>
                    <w:t>15000</w:t>
                  </w:r>
                </w:p>
              </w:tc>
              <w:tc>
                <w:tcPr>
                  <w:tcW w:w="1430" w:type="pct"/>
                  <w:tcBorders>
                    <w:right w:val="single" w:color="auto" w:sz="4" w:space="0"/>
                  </w:tcBorders>
                  <w:vAlign w:val="center"/>
                </w:tcPr>
                <w:p>
                  <w:pPr>
                    <w:widowControl/>
                    <w:rPr>
                      <w:rFonts w:hint="eastAsia" w:eastAsia="宋体"/>
                      <w:color w:val="auto"/>
                      <w:szCs w:val="21"/>
                      <w:lang w:eastAsia="zh-CN"/>
                    </w:rPr>
                  </w:pPr>
                  <w:r>
                    <w:rPr>
                      <w:rFonts w:hint="eastAsia"/>
                      <w:color w:val="auto"/>
                      <w:szCs w:val="21"/>
                    </w:rPr>
                    <w:t>规格：1.5</w:t>
                  </w:r>
                  <w:r>
                    <w:rPr>
                      <w:color w:val="auto"/>
                      <w:szCs w:val="21"/>
                    </w:rPr>
                    <w:t>×50m</w:t>
                  </w:r>
                  <w:r>
                    <w:rPr>
                      <w:rFonts w:hint="eastAsia"/>
                      <w:color w:val="auto"/>
                      <w:szCs w:val="21"/>
                    </w:rPr>
                    <w:t>，48kg/卷，</w:t>
                  </w:r>
                  <w:r>
                    <w:rPr>
                      <w:color w:val="auto"/>
                      <w:kern w:val="0"/>
                      <w:szCs w:val="21"/>
                    </w:rPr>
                    <w:t>拉幅定型无纺布</w:t>
                  </w:r>
                  <w:r>
                    <w:rPr>
                      <w:rFonts w:hint="eastAsia"/>
                      <w:color w:val="auto"/>
                      <w:kern w:val="0"/>
                      <w:szCs w:val="21"/>
                    </w:rPr>
                    <w:t>、</w:t>
                  </w:r>
                  <w:r>
                    <w:rPr>
                      <w:color w:val="auto"/>
                      <w:szCs w:val="21"/>
                    </w:rPr>
                    <w:t>淋膜无纺布</w:t>
                  </w:r>
                  <w:r>
                    <w:rPr>
                      <w:rFonts w:hint="eastAsia"/>
                      <w:color w:val="auto"/>
                      <w:szCs w:val="21"/>
                    </w:rPr>
                    <w:t>主要原材料</w:t>
                  </w:r>
                  <w:r>
                    <w:rPr>
                      <w:rFonts w:hint="eastAsia"/>
                      <w:color w:val="auto"/>
                      <w:szCs w:val="21"/>
                      <w:lang w:eastAsia="zh-CN"/>
                    </w:rPr>
                    <w:t>，外购成品</w:t>
                  </w:r>
                </w:p>
              </w:tc>
              <w:tc>
                <w:tcPr>
                  <w:tcW w:w="1231" w:type="pct"/>
                  <w:tcBorders>
                    <w:left w:val="single" w:color="auto" w:sz="4" w:space="0"/>
                  </w:tcBorders>
                  <w:vAlign w:val="center"/>
                </w:tcPr>
                <w:p>
                  <w:pPr>
                    <w:widowControl/>
                    <w:jc w:val="center"/>
                    <w:rPr>
                      <w:color w:val="auto"/>
                    </w:rPr>
                  </w:pPr>
                  <w:r>
                    <w:rPr>
                      <w:rFonts w:hint="eastAsia"/>
                      <w:color w:val="auto"/>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310" w:type="pct"/>
                  <w:vAlign w:val="center"/>
                </w:tcPr>
                <w:p>
                  <w:pPr>
                    <w:widowControl/>
                    <w:jc w:val="center"/>
                    <w:rPr>
                      <w:color w:val="auto"/>
                    </w:rPr>
                  </w:pPr>
                  <w:r>
                    <w:rPr>
                      <w:rFonts w:hint="eastAsia"/>
                      <w:color w:val="auto"/>
                    </w:rPr>
                    <w:t>2</w:t>
                  </w:r>
                </w:p>
              </w:tc>
              <w:tc>
                <w:tcPr>
                  <w:tcW w:w="1042" w:type="pct"/>
                  <w:vAlign w:val="center"/>
                </w:tcPr>
                <w:p>
                  <w:pPr>
                    <w:widowControl/>
                    <w:jc w:val="center"/>
                    <w:rPr>
                      <w:color w:val="auto"/>
                      <w:szCs w:val="21"/>
                    </w:rPr>
                  </w:pPr>
                  <w:r>
                    <w:rPr>
                      <w:rFonts w:hint="eastAsia"/>
                      <w:color w:val="auto"/>
                      <w:szCs w:val="21"/>
                      <w:lang w:val="en-US" w:eastAsia="zh-CN"/>
                    </w:rPr>
                    <w:t>PE</w:t>
                  </w:r>
                  <w:r>
                    <w:rPr>
                      <w:rFonts w:hint="eastAsia"/>
                      <w:color w:val="auto"/>
                      <w:szCs w:val="21"/>
                    </w:rPr>
                    <w:t>塑料粒</w:t>
                  </w:r>
                </w:p>
              </w:tc>
              <w:tc>
                <w:tcPr>
                  <w:tcW w:w="478" w:type="pct"/>
                  <w:vAlign w:val="center"/>
                </w:tcPr>
                <w:p>
                  <w:pPr>
                    <w:widowControl/>
                    <w:jc w:val="center"/>
                    <w:rPr>
                      <w:color w:val="auto"/>
                    </w:rPr>
                  </w:pPr>
                  <w:r>
                    <w:rPr>
                      <w:rFonts w:hint="eastAsia"/>
                      <w:color w:val="auto"/>
                    </w:rPr>
                    <w:t>t</w:t>
                  </w:r>
                  <w:r>
                    <w:rPr>
                      <w:color w:val="auto"/>
                    </w:rPr>
                    <w:t>/a</w:t>
                  </w:r>
                </w:p>
              </w:tc>
              <w:tc>
                <w:tcPr>
                  <w:tcW w:w="507" w:type="pct"/>
                  <w:tcBorders>
                    <w:right w:val="single" w:color="auto" w:sz="4" w:space="0"/>
                  </w:tcBorders>
                  <w:vAlign w:val="center"/>
                </w:tcPr>
                <w:p>
                  <w:pPr>
                    <w:widowControl/>
                    <w:jc w:val="center"/>
                    <w:rPr>
                      <w:rFonts w:hint="default" w:eastAsia="宋体"/>
                      <w:color w:val="auto"/>
                      <w:lang w:val="en-US" w:eastAsia="zh-CN"/>
                    </w:rPr>
                  </w:pPr>
                  <w:r>
                    <w:rPr>
                      <w:rFonts w:hint="eastAsia"/>
                      <w:color w:val="auto"/>
                      <w:lang w:val="en-US" w:eastAsia="zh-CN"/>
                    </w:rPr>
                    <w:t>61</w:t>
                  </w:r>
                </w:p>
              </w:tc>
              <w:tc>
                <w:tcPr>
                  <w:tcW w:w="1430" w:type="pct"/>
                  <w:tcBorders>
                    <w:right w:val="single" w:color="auto" w:sz="4" w:space="0"/>
                  </w:tcBorders>
                  <w:vAlign w:val="center"/>
                </w:tcPr>
                <w:p>
                  <w:pPr>
                    <w:widowControl/>
                    <w:rPr>
                      <w:color w:val="auto"/>
                    </w:rPr>
                  </w:pPr>
                  <w:r>
                    <w:rPr>
                      <w:color w:val="auto"/>
                      <w:kern w:val="0"/>
                      <w:szCs w:val="21"/>
                    </w:rPr>
                    <w:t>形态：颗粒状，25kg/袋，</w:t>
                  </w:r>
                  <w:r>
                    <w:rPr>
                      <w:rFonts w:hint="eastAsia"/>
                      <w:color w:val="auto"/>
                      <w:kern w:val="0"/>
                      <w:szCs w:val="21"/>
                    </w:rPr>
                    <w:t>淋膜工序</w:t>
                  </w:r>
                  <w:r>
                    <w:rPr>
                      <w:color w:val="auto"/>
                      <w:kern w:val="0"/>
                      <w:szCs w:val="21"/>
                    </w:rPr>
                    <w:t>使用</w:t>
                  </w:r>
                  <w:r>
                    <w:rPr>
                      <w:rFonts w:hint="eastAsia"/>
                      <w:color w:val="auto"/>
                      <w:kern w:val="0"/>
                      <w:szCs w:val="21"/>
                    </w:rPr>
                    <w:t>的主要</w:t>
                  </w:r>
                  <w:r>
                    <w:rPr>
                      <w:color w:val="auto"/>
                      <w:kern w:val="0"/>
                      <w:szCs w:val="21"/>
                    </w:rPr>
                    <w:t>原材料</w:t>
                  </w:r>
                </w:p>
              </w:tc>
              <w:tc>
                <w:tcPr>
                  <w:tcW w:w="1231" w:type="pct"/>
                  <w:tcBorders>
                    <w:left w:val="single" w:color="auto" w:sz="4" w:space="0"/>
                  </w:tcBorders>
                  <w:vAlign w:val="center"/>
                </w:tcPr>
                <w:p>
                  <w:pPr>
                    <w:widowControl/>
                    <w:rPr>
                      <w:color w:val="auto"/>
                    </w:rPr>
                  </w:pPr>
                  <w:r>
                    <w:rPr>
                      <w:rFonts w:hint="eastAsia"/>
                      <w:color w:val="auto"/>
                    </w:rPr>
                    <w:t>淋膜、冷却工序使用将产生挥发性有机物</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310" w:type="pct"/>
                  <w:vAlign w:val="center"/>
                </w:tcPr>
                <w:p>
                  <w:pPr>
                    <w:widowControl/>
                    <w:jc w:val="center"/>
                    <w:rPr>
                      <w:color w:val="auto"/>
                    </w:rPr>
                  </w:pPr>
                  <w:r>
                    <w:rPr>
                      <w:rFonts w:hint="eastAsia"/>
                      <w:color w:val="auto"/>
                    </w:rPr>
                    <w:t>3</w:t>
                  </w:r>
                </w:p>
              </w:tc>
              <w:tc>
                <w:tcPr>
                  <w:tcW w:w="1042" w:type="pct"/>
                  <w:vAlign w:val="center"/>
                </w:tcPr>
                <w:p>
                  <w:pPr>
                    <w:widowControl/>
                    <w:jc w:val="center"/>
                    <w:rPr>
                      <w:color w:val="auto"/>
                      <w:szCs w:val="21"/>
                    </w:rPr>
                  </w:pPr>
                  <w:r>
                    <w:rPr>
                      <w:rFonts w:hint="eastAsia"/>
                      <w:color w:val="auto"/>
                      <w:szCs w:val="21"/>
                    </w:rPr>
                    <w:t>胶粘剂</w:t>
                  </w:r>
                </w:p>
              </w:tc>
              <w:tc>
                <w:tcPr>
                  <w:tcW w:w="478" w:type="pct"/>
                  <w:vAlign w:val="center"/>
                </w:tcPr>
                <w:p>
                  <w:pPr>
                    <w:widowControl/>
                    <w:jc w:val="center"/>
                    <w:rPr>
                      <w:color w:val="auto"/>
                    </w:rPr>
                  </w:pPr>
                  <w:r>
                    <w:rPr>
                      <w:rFonts w:hint="eastAsia"/>
                      <w:color w:val="auto"/>
                    </w:rPr>
                    <w:t>t</w:t>
                  </w:r>
                  <w:r>
                    <w:rPr>
                      <w:color w:val="auto"/>
                    </w:rPr>
                    <w:t>/a</w:t>
                  </w:r>
                </w:p>
              </w:tc>
              <w:tc>
                <w:tcPr>
                  <w:tcW w:w="507" w:type="pct"/>
                  <w:tcBorders>
                    <w:right w:val="single" w:color="auto" w:sz="4" w:space="0"/>
                  </w:tcBorders>
                  <w:vAlign w:val="center"/>
                </w:tcPr>
                <w:p>
                  <w:pPr>
                    <w:widowControl/>
                    <w:jc w:val="center"/>
                    <w:rPr>
                      <w:rFonts w:hint="default" w:eastAsia="宋体"/>
                      <w:color w:val="auto"/>
                      <w:lang w:val="en-US" w:eastAsia="zh-CN"/>
                    </w:rPr>
                  </w:pPr>
                  <w:r>
                    <w:rPr>
                      <w:rFonts w:hint="eastAsia"/>
                      <w:color w:val="auto"/>
                      <w:lang w:val="en-US" w:eastAsia="zh-CN"/>
                    </w:rPr>
                    <w:t>59</w:t>
                  </w:r>
                </w:p>
              </w:tc>
              <w:tc>
                <w:tcPr>
                  <w:tcW w:w="1430" w:type="pct"/>
                  <w:tcBorders>
                    <w:right w:val="single" w:color="auto" w:sz="4" w:space="0"/>
                  </w:tcBorders>
                  <w:vAlign w:val="center"/>
                </w:tcPr>
                <w:p>
                  <w:pPr>
                    <w:widowControl/>
                    <w:rPr>
                      <w:color w:val="auto"/>
                    </w:rPr>
                  </w:pPr>
                  <w:r>
                    <w:rPr>
                      <w:rFonts w:hint="eastAsia"/>
                      <w:color w:val="auto"/>
                    </w:rPr>
                    <w:t>水性胶粘剂，规格：1t/桶，最大储存量2t（2桶），涂胶工序使用主要原材料，外购成品直接使用，不需调配。</w:t>
                  </w:r>
                </w:p>
              </w:tc>
              <w:tc>
                <w:tcPr>
                  <w:tcW w:w="1231" w:type="pct"/>
                  <w:tcBorders>
                    <w:left w:val="single" w:color="auto" w:sz="4" w:space="0"/>
                  </w:tcBorders>
                  <w:vAlign w:val="center"/>
                </w:tcPr>
                <w:p>
                  <w:pPr>
                    <w:widowControl/>
                    <w:rPr>
                      <w:color w:val="auto"/>
                    </w:rPr>
                  </w:pPr>
                  <w:r>
                    <w:rPr>
                      <w:rFonts w:hint="eastAsia"/>
                      <w:color w:val="auto"/>
                    </w:rPr>
                    <w:t>涂胶、烘干工序将产生挥发性有机物</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000" w:type="pct"/>
                  <w:gridSpan w:val="6"/>
                  <w:vAlign w:val="center"/>
                </w:tcPr>
                <w:p>
                  <w:pPr>
                    <w:widowControl/>
                    <w:rPr>
                      <w:color w:val="auto"/>
                    </w:rPr>
                  </w:pPr>
                  <w:r>
                    <w:rPr>
                      <w:rFonts w:hint="eastAsia"/>
                      <w:color w:val="auto"/>
                    </w:rPr>
                    <w:t>主要辅助材料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310" w:type="pct"/>
                  <w:vAlign w:val="center"/>
                </w:tcPr>
                <w:p>
                  <w:pPr>
                    <w:widowControl/>
                    <w:jc w:val="center"/>
                    <w:rPr>
                      <w:color w:val="auto"/>
                    </w:rPr>
                  </w:pPr>
                  <w:r>
                    <w:rPr>
                      <w:rFonts w:hint="eastAsia"/>
                      <w:color w:val="auto"/>
                    </w:rPr>
                    <w:t>4</w:t>
                  </w:r>
                </w:p>
              </w:tc>
              <w:tc>
                <w:tcPr>
                  <w:tcW w:w="1042" w:type="pct"/>
                  <w:vAlign w:val="center"/>
                </w:tcPr>
                <w:p>
                  <w:pPr>
                    <w:widowControl/>
                    <w:jc w:val="center"/>
                    <w:rPr>
                      <w:color w:val="auto"/>
                    </w:rPr>
                  </w:pPr>
                  <w:r>
                    <w:rPr>
                      <w:rFonts w:hint="eastAsia"/>
                      <w:color w:val="auto"/>
                    </w:rPr>
                    <w:t>机油</w:t>
                  </w:r>
                </w:p>
              </w:tc>
              <w:tc>
                <w:tcPr>
                  <w:tcW w:w="478" w:type="pct"/>
                  <w:vAlign w:val="center"/>
                </w:tcPr>
                <w:p>
                  <w:pPr>
                    <w:widowControl/>
                    <w:jc w:val="center"/>
                    <w:rPr>
                      <w:color w:val="auto"/>
                    </w:rPr>
                  </w:pPr>
                  <w:r>
                    <w:rPr>
                      <w:rFonts w:hint="eastAsia"/>
                      <w:color w:val="auto"/>
                    </w:rPr>
                    <w:t>t/a</w:t>
                  </w:r>
                </w:p>
              </w:tc>
              <w:tc>
                <w:tcPr>
                  <w:tcW w:w="507" w:type="pct"/>
                  <w:tcBorders>
                    <w:right w:val="single" w:color="auto" w:sz="4" w:space="0"/>
                  </w:tcBorders>
                  <w:vAlign w:val="center"/>
                </w:tcPr>
                <w:p>
                  <w:pPr>
                    <w:widowControl/>
                    <w:jc w:val="center"/>
                    <w:rPr>
                      <w:color w:val="auto"/>
                    </w:rPr>
                  </w:pPr>
                  <w:r>
                    <w:rPr>
                      <w:rFonts w:hint="eastAsia"/>
                      <w:color w:val="auto"/>
                    </w:rPr>
                    <w:t>0.03</w:t>
                  </w:r>
                </w:p>
              </w:tc>
              <w:tc>
                <w:tcPr>
                  <w:tcW w:w="1430" w:type="pct"/>
                  <w:tcBorders>
                    <w:right w:val="single" w:color="auto" w:sz="4" w:space="0"/>
                  </w:tcBorders>
                  <w:vAlign w:val="center"/>
                </w:tcPr>
                <w:p>
                  <w:pPr>
                    <w:widowControl/>
                    <w:rPr>
                      <w:rFonts w:cs="宋体"/>
                      <w:color w:val="auto"/>
                      <w:kern w:val="0"/>
                      <w:szCs w:val="21"/>
                    </w:rPr>
                  </w:pPr>
                  <w:r>
                    <w:rPr>
                      <w:rFonts w:hint="eastAsia"/>
                      <w:color w:val="auto"/>
                    </w:rPr>
                    <w:t>18L</w:t>
                  </w:r>
                  <w:r>
                    <w:rPr>
                      <w:color w:val="auto"/>
                    </w:rPr>
                    <w:t>/桶，最大储存量为</w:t>
                  </w:r>
                  <w:r>
                    <w:rPr>
                      <w:rFonts w:hint="eastAsia"/>
                      <w:color w:val="auto"/>
                    </w:rPr>
                    <w:t>32</w:t>
                  </w:r>
                  <w:r>
                    <w:rPr>
                      <w:color w:val="auto"/>
                    </w:rPr>
                    <w:t>kg(</w:t>
                  </w:r>
                  <w:r>
                    <w:rPr>
                      <w:rFonts w:hint="eastAsia"/>
                      <w:color w:val="auto"/>
                    </w:rPr>
                    <w:t>1</w:t>
                  </w:r>
                  <w:r>
                    <w:rPr>
                      <w:color w:val="auto"/>
                    </w:rPr>
                    <w:t>桶)，设备润滑使用</w:t>
                  </w:r>
                </w:p>
              </w:tc>
              <w:tc>
                <w:tcPr>
                  <w:tcW w:w="1231" w:type="pct"/>
                  <w:tcBorders>
                    <w:left w:val="single" w:color="auto" w:sz="4" w:space="0"/>
                  </w:tcBorders>
                  <w:vAlign w:val="center"/>
                </w:tcPr>
                <w:p>
                  <w:pPr>
                    <w:widowControl/>
                    <w:jc w:val="center"/>
                    <w:rPr>
                      <w:color w:val="auto"/>
                    </w:rPr>
                  </w:pPr>
                  <w:r>
                    <w:rPr>
                      <w:rFonts w:hint="eastAsia"/>
                      <w:color w:val="auto"/>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310" w:type="pct"/>
                  <w:vAlign w:val="center"/>
                </w:tcPr>
                <w:p>
                  <w:pPr>
                    <w:widowControl/>
                    <w:jc w:val="center"/>
                    <w:rPr>
                      <w:color w:val="auto"/>
                    </w:rPr>
                  </w:pPr>
                  <w:r>
                    <w:rPr>
                      <w:rFonts w:hint="eastAsia"/>
                      <w:color w:val="auto"/>
                    </w:rPr>
                    <w:t>5</w:t>
                  </w:r>
                </w:p>
              </w:tc>
              <w:tc>
                <w:tcPr>
                  <w:tcW w:w="1042" w:type="pct"/>
                  <w:vAlign w:val="center"/>
                </w:tcPr>
                <w:p>
                  <w:pPr>
                    <w:widowControl/>
                    <w:jc w:val="center"/>
                    <w:rPr>
                      <w:color w:val="auto"/>
                    </w:rPr>
                  </w:pPr>
                  <w:r>
                    <w:rPr>
                      <w:color w:val="auto"/>
                    </w:rPr>
                    <w:t>抹布、劳保用品</w:t>
                  </w:r>
                </w:p>
              </w:tc>
              <w:tc>
                <w:tcPr>
                  <w:tcW w:w="478" w:type="pct"/>
                  <w:vAlign w:val="center"/>
                </w:tcPr>
                <w:p>
                  <w:pPr>
                    <w:widowControl/>
                    <w:jc w:val="center"/>
                    <w:rPr>
                      <w:color w:val="auto"/>
                    </w:rPr>
                  </w:pPr>
                  <w:r>
                    <w:rPr>
                      <w:rFonts w:hint="eastAsia"/>
                      <w:color w:val="auto"/>
                    </w:rPr>
                    <w:t>t/a</w:t>
                  </w:r>
                </w:p>
              </w:tc>
              <w:tc>
                <w:tcPr>
                  <w:tcW w:w="507" w:type="pct"/>
                  <w:tcBorders>
                    <w:right w:val="single" w:color="auto" w:sz="4" w:space="0"/>
                  </w:tcBorders>
                  <w:vAlign w:val="center"/>
                </w:tcPr>
                <w:p>
                  <w:pPr>
                    <w:widowControl/>
                    <w:jc w:val="center"/>
                    <w:rPr>
                      <w:color w:val="auto"/>
                    </w:rPr>
                  </w:pPr>
                  <w:r>
                    <w:rPr>
                      <w:rFonts w:hint="eastAsia"/>
                      <w:color w:val="auto"/>
                    </w:rPr>
                    <w:t>0.03</w:t>
                  </w:r>
                </w:p>
              </w:tc>
              <w:tc>
                <w:tcPr>
                  <w:tcW w:w="1430" w:type="pct"/>
                  <w:tcBorders>
                    <w:right w:val="single" w:color="auto" w:sz="4" w:space="0"/>
                  </w:tcBorders>
                  <w:vAlign w:val="center"/>
                </w:tcPr>
                <w:p>
                  <w:pPr>
                    <w:widowControl/>
                    <w:jc w:val="center"/>
                    <w:rPr>
                      <w:color w:val="auto"/>
                    </w:rPr>
                  </w:pPr>
                  <w:r>
                    <w:rPr>
                      <w:rFonts w:hint="eastAsia"/>
                      <w:color w:val="auto"/>
                    </w:rPr>
                    <w:t>模具维护使用</w:t>
                  </w:r>
                </w:p>
              </w:tc>
              <w:tc>
                <w:tcPr>
                  <w:tcW w:w="1231" w:type="pct"/>
                  <w:tcBorders>
                    <w:left w:val="single" w:color="auto" w:sz="4" w:space="0"/>
                  </w:tcBorders>
                  <w:vAlign w:val="center"/>
                </w:tcPr>
                <w:p>
                  <w:pPr>
                    <w:widowControl/>
                    <w:jc w:val="center"/>
                    <w:rPr>
                      <w:color w:val="auto"/>
                    </w:rPr>
                  </w:pPr>
                  <w:r>
                    <w:rPr>
                      <w:rFonts w:hint="eastAsia"/>
                      <w:color w:val="auto"/>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000" w:type="pct"/>
                  <w:gridSpan w:val="6"/>
                  <w:vAlign w:val="center"/>
                </w:tcPr>
                <w:p>
                  <w:pPr>
                    <w:widowControl/>
                    <w:rPr>
                      <w:color w:val="auto"/>
                    </w:rPr>
                  </w:pPr>
                  <w:r>
                    <w:rPr>
                      <w:color w:val="auto"/>
                    </w:rPr>
                    <w:t>能源消耗</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trHeight w:val="270" w:hRule="atLeast"/>
                <w:jc w:val="center"/>
              </w:trPr>
              <w:tc>
                <w:tcPr>
                  <w:tcW w:w="310" w:type="pct"/>
                  <w:vAlign w:val="center"/>
                </w:tcPr>
                <w:p>
                  <w:pPr>
                    <w:widowControl/>
                    <w:jc w:val="center"/>
                    <w:rPr>
                      <w:color w:val="auto"/>
                    </w:rPr>
                  </w:pPr>
                  <w:r>
                    <w:rPr>
                      <w:rFonts w:hint="eastAsia"/>
                      <w:color w:val="auto"/>
                    </w:rPr>
                    <w:t>5</w:t>
                  </w:r>
                </w:p>
              </w:tc>
              <w:tc>
                <w:tcPr>
                  <w:tcW w:w="1042" w:type="pct"/>
                  <w:vAlign w:val="center"/>
                </w:tcPr>
                <w:p>
                  <w:pPr>
                    <w:widowControl/>
                    <w:jc w:val="center"/>
                    <w:rPr>
                      <w:color w:val="auto"/>
                    </w:rPr>
                  </w:pPr>
                  <w:r>
                    <w:rPr>
                      <w:color w:val="auto"/>
                    </w:rPr>
                    <w:t>水</w:t>
                  </w:r>
                </w:p>
              </w:tc>
              <w:tc>
                <w:tcPr>
                  <w:tcW w:w="478" w:type="pct"/>
                  <w:vAlign w:val="center"/>
                </w:tcPr>
                <w:p>
                  <w:pPr>
                    <w:widowControl/>
                    <w:jc w:val="center"/>
                    <w:rPr>
                      <w:color w:val="auto"/>
                    </w:rPr>
                  </w:pPr>
                  <w:r>
                    <w:rPr>
                      <w:color w:val="auto"/>
                    </w:rPr>
                    <w:t>m</w:t>
                  </w:r>
                  <w:r>
                    <w:rPr>
                      <w:color w:val="auto"/>
                      <w:vertAlign w:val="superscript"/>
                    </w:rPr>
                    <w:t>3</w:t>
                  </w:r>
                  <w:r>
                    <w:rPr>
                      <w:color w:val="auto"/>
                    </w:rPr>
                    <w:t>/a</w:t>
                  </w:r>
                </w:p>
              </w:tc>
              <w:tc>
                <w:tcPr>
                  <w:tcW w:w="507" w:type="pct"/>
                  <w:tcBorders>
                    <w:right w:val="single" w:color="auto" w:sz="4" w:space="0"/>
                  </w:tcBorders>
                  <w:vAlign w:val="center"/>
                </w:tcPr>
                <w:p>
                  <w:pPr>
                    <w:widowControl/>
                    <w:jc w:val="center"/>
                    <w:rPr>
                      <w:rFonts w:hint="default" w:eastAsia="宋体"/>
                      <w:color w:val="auto"/>
                      <w:lang w:val="en-US" w:eastAsia="zh-CN"/>
                    </w:rPr>
                  </w:pPr>
                  <w:r>
                    <w:rPr>
                      <w:rFonts w:hint="eastAsia"/>
                      <w:color w:val="auto"/>
                      <w:lang w:val="en-US" w:eastAsia="zh-CN"/>
                    </w:rPr>
                    <w:t>515</w:t>
                  </w:r>
                </w:p>
              </w:tc>
              <w:tc>
                <w:tcPr>
                  <w:tcW w:w="1430" w:type="pct"/>
                  <w:tcBorders>
                    <w:right w:val="single" w:color="auto" w:sz="4" w:space="0"/>
                  </w:tcBorders>
                  <w:vAlign w:val="center"/>
                </w:tcPr>
                <w:p>
                  <w:pPr>
                    <w:widowControl/>
                    <w:jc w:val="center"/>
                    <w:rPr>
                      <w:color w:val="auto"/>
                    </w:rPr>
                  </w:pPr>
                  <w:r>
                    <w:rPr>
                      <w:color w:val="auto"/>
                    </w:rPr>
                    <w:t>园区供水网络</w:t>
                  </w:r>
                </w:p>
              </w:tc>
              <w:tc>
                <w:tcPr>
                  <w:tcW w:w="1231" w:type="pct"/>
                  <w:tcBorders>
                    <w:left w:val="single" w:color="auto" w:sz="4" w:space="0"/>
                  </w:tcBorders>
                  <w:vAlign w:val="center"/>
                </w:tcPr>
                <w:p>
                  <w:pPr>
                    <w:widowControl/>
                    <w:jc w:val="center"/>
                    <w:rPr>
                      <w:color w:val="auto"/>
                    </w:rPr>
                  </w:pPr>
                  <w:r>
                    <w:rPr>
                      <w:color w:val="auto"/>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310" w:type="pct"/>
                  <w:vAlign w:val="center"/>
                </w:tcPr>
                <w:p>
                  <w:pPr>
                    <w:widowControl/>
                    <w:jc w:val="center"/>
                    <w:rPr>
                      <w:color w:val="auto"/>
                    </w:rPr>
                  </w:pPr>
                  <w:r>
                    <w:rPr>
                      <w:rFonts w:hint="eastAsia"/>
                      <w:color w:val="auto"/>
                    </w:rPr>
                    <w:t>6</w:t>
                  </w:r>
                </w:p>
              </w:tc>
              <w:tc>
                <w:tcPr>
                  <w:tcW w:w="1042" w:type="pct"/>
                  <w:vAlign w:val="center"/>
                </w:tcPr>
                <w:p>
                  <w:pPr>
                    <w:widowControl/>
                    <w:jc w:val="center"/>
                    <w:rPr>
                      <w:color w:val="auto"/>
                    </w:rPr>
                  </w:pPr>
                  <w:r>
                    <w:rPr>
                      <w:color w:val="auto"/>
                    </w:rPr>
                    <w:t>电</w:t>
                  </w:r>
                </w:p>
              </w:tc>
              <w:tc>
                <w:tcPr>
                  <w:tcW w:w="478" w:type="pct"/>
                  <w:vAlign w:val="center"/>
                </w:tcPr>
                <w:p>
                  <w:pPr>
                    <w:widowControl/>
                    <w:jc w:val="center"/>
                    <w:rPr>
                      <w:color w:val="auto"/>
                    </w:rPr>
                  </w:pPr>
                  <w:r>
                    <w:rPr>
                      <w:color w:val="auto"/>
                    </w:rPr>
                    <w:t>万度/a</w:t>
                  </w:r>
                </w:p>
              </w:tc>
              <w:tc>
                <w:tcPr>
                  <w:tcW w:w="507" w:type="pct"/>
                  <w:tcBorders>
                    <w:right w:val="single" w:color="auto" w:sz="4" w:space="0"/>
                  </w:tcBorders>
                  <w:vAlign w:val="center"/>
                </w:tcPr>
                <w:p>
                  <w:pPr>
                    <w:widowControl/>
                    <w:jc w:val="center"/>
                    <w:rPr>
                      <w:color w:val="auto"/>
                    </w:rPr>
                  </w:pPr>
                  <w:r>
                    <w:rPr>
                      <w:rFonts w:hint="eastAsia"/>
                      <w:color w:val="auto"/>
                    </w:rPr>
                    <w:t>10</w:t>
                  </w:r>
                </w:p>
              </w:tc>
              <w:tc>
                <w:tcPr>
                  <w:tcW w:w="1430" w:type="pct"/>
                  <w:tcBorders>
                    <w:right w:val="single" w:color="auto" w:sz="4" w:space="0"/>
                  </w:tcBorders>
                  <w:vAlign w:val="center"/>
                </w:tcPr>
                <w:p>
                  <w:pPr>
                    <w:widowControl/>
                    <w:jc w:val="center"/>
                    <w:rPr>
                      <w:color w:val="auto"/>
                    </w:rPr>
                  </w:pPr>
                  <w:r>
                    <w:rPr>
                      <w:color w:val="auto"/>
                    </w:rPr>
                    <w:t>园区供电网络</w:t>
                  </w:r>
                </w:p>
              </w:tc>
              <w:tc>
                <w:tcPr>
                  <w:tcW w:w="1231" w:type="pct"/>
                  <w:tcBorders>
                    <w:left w:val="single" w:color="auto" w:sz="4" w:space="0"/>
                  </w:tcBorders>
                  <w:vAlign w:val="center"/>
                </w:tcPr>
                <w:p>
                  <w:pPr>
                    <w:widowControl/>
                    <w:jc w:val="center"/>
                    <w:rPr>
                      <w:color w:val="auto"/>
                    </w:rPr>
                  </w:pPr>
                  <w:r>
                    <w:rPr>
                      <w:color w:val="auto"/>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310" w:type="pct"/>
                  <w:vAlign w:val="center"/>
                </w:tcPr>
                <w:p>
                  <w:pPr>
                    <w:widowControl/>
                    <w:jc w:val="center"/>
                    <w:rPr>
                      <w:color w:val="auto"/>
                    </w:rPr>
                  </w:pPr>
                  <w:r>
                    <w:rPr>
                      <w:rFonts w:hint="eastAsia"/>
                      <w:color w:val="auto"/>
                    </w:rPr>
                    <w:t>7</w:t>
                  </w:r>
                </w:p>
              </w:tc>
              <w:tc>
                <w:tcPr>
                  <w:tcW w:w="1042" w:type="pct"/>
                  <w:vAlign w:val="center"/>
                </w:tcPr>
                <w:p>
                  <w:pPr>
                    <w:widowControl/>
                    <w:jc w:val="center"/>
                    <w:rPr>
                      <w:color w:val="auto"/>
                    </w:rPr>
                  </w:pPr>
                  <w:r>
                    <w:rPr>
                      <w:rFonts w:hint="eastAsia"/>
                      <w:color w:val="auto"/>
                    </w:rPr>
                    <w:t>天然气</w:t>
                  </w:r>
                </w:p>
              </w:tc>
              <w:tc>
                <w:tcPr>
                  <w:tcW w:w="478" w:type="pct"/>
                  <w:vAlign w:val="center"/>
                </w:tcPr>
                <w:p>
                  <w:pPr>
                    <w:widowControl/>
                    <w:jc w:val="center"/>
                    <w:rPr>
                      <w:color w:val="auto"/>
                    </w:rPr>
                  </w:pPr>
                  <w:r>
                    <w:rPr>
                      <w:color w:val="auto"/>
                    </w:rPr>
                    <w:t>m</w:t>
                  </w:r>
                  <w:r>
                    <w:rPr>
                      <w:color w:val="auto"/>
                      <w:vertAlign w:val="superscript"/>
                    </w:rPr>
                    <w:t>3</w:t>
                  </w:r>
                  <w:r>
                    <w:rPr>
                      <w:color w:val="auto"/>
                    </w:rPr>
                    <w:t>/a</w:t>
                  </w:r>
                </w:p>
              </w:tc>
              <w:tc>
                <w:tcPr>
                  <w:tcW w:w="507" w:type="pct"/>
                  <w:tcBorders>
                    <w:right w:val="single" w:color="auto" w:sz="4" w:space="0"/>
                  </w:tcBorders>
                  <w:vAlign w:val="center"/>
                </w:tcPr>
                <w:p>
                  <w:pPr>
                    <w:widowControl/>
                    <w:jc w:val="center"/>
                    <w:rPr>
                      <w:color w:val="auto"/>
                    </w:rPr>
                  </w:pPr>
                  <w:r>
                    <w:rPr>
                      <w:rFonts w:hint="eastAsia"/>
                      <w:color w:val="auto"/>
                    </w:rPr>
                    <w:t>273000</w:t>
                  </w:r>
                </w:p>
              </w:tc>
              <w:tc>
                <w:tcPr>
                  <w:tcW w:w="1430" w:type="pct"/>
                  <w:tcBorders>
                    <w:right w:val="single" w:color="auto" w:sz="4" w:space="0"/>
                  </w:tcBorders>
                  <w:vAlign w:val="center"/>
                </w:tcPr>
                <w:p>
                  <w:pPr>
                    <w:widowControl/>
                    <w:jc w:val="center"/>
                    <w:rPr>
                      <w:color w:val="auto"/>
                    </w:rPr>
                  </w:pPr>
                  <w:r>
                    <w:rPr>
                      <w:color w:val="auto"/>
                    </w:rPr>
                    <w:t>园区供</w:t>
                  </w:r>
                  <w:r>
                    <w:rPr>
                      <w:rFonts w:hint="eastAsia"/>
                      <w:color w:val="auto"/>
                    </w:rPr>
                    <w:t>气</w:t>
                  </w:r>
                  <w:r>
                    <w:rPr>
                      <w:color w:val="auto"/>
                    </w:rPr>
                    <w:t>网络</w:t>
                  </w:r>
                </w:p>
              </w:tc>
              <w:tc>
                <w:tcPr>
                  <w:tcW w:w="1231" w:type="pct"/>
                  <w:tcBorders>
                    <w:left w:val="single" w:color="auto" w:sz="4" w:space="0"/>
                  </w:tcBorders>
                  <w:vAlign w:val="center"/>
                </w:tcPr>
                <w:p>
                  <w:pPr>
                    <w:widowControl/>
                    <w:jc w:val="center"/>
                    <w:rPr>
                      <w:color w:val="auto"/>
                    </w:rPr>
                  </w:pPr>
                  <w:r>
                    <w:rPr>
                      <w:rFonts w:hint="eastAsia"/>
                      <w:color w:val="auto"/>
                    </w:rPr>
                    <w:t>/</w:t>
                  </w:r>
                </w:p>
              </w:tc>
            </w:tr>
          </w:tbl>
          <w:p>
            <w:pPr>
              <w:pStyle w:val="2"/>
              <w:snapToGrid w:val="0"/>
              <w:ind w:firstLine="480" w:firstLineChars="200"/>
              <w:rPr>
                <w:rFonts w:ascii="Times New Roman" w:cs="Times New Roman"/>
                <w:color w:val="auto"/>
              </w:rPr>
            </w:pPr>
            <w:r>
              <w:rPr>
                <w:rFonts w:ascii="Times New Roman" w:cs="Times New Roman"/>
                <w:color w:val="auto"/>
              </w:rPr>
              <w:t>（</w:t>
            </w:r>
            <w:r>
              <w:rPr>
                <w:rFonts w:hint="eastAsia" w:ascii="Times New Roman" w:cs="Times New Roman"/>
                <w:color w:val="auto"/>
              </w:rPr>
              <w:t>3</w:t>
            </w:r>
            <w:r>
              <w:rPr>
                <w:rFonts w:ascii="Times New Roman" w:cs="Times New Roman"/>
                <w:color w:val="auto"/>
              </w:rPr>
              <w:t>）原辅材材料理化性质</w:t>
            </w:r>
          </w:p>
          <w:p>
            <w:pPr>
              <w:pStyle w:val="2"/>
              <w:snapToGrid w:val="0"/>
              <w:ind w:firstLine="480" w:firstLineChars="200"/>
              <w:rPr>
                <w:rFonts w:ascii="Times New Roman" w:cs="Times New Roman"/>
                <w:color w:val="auto"/>
              </w:rPr>
            </w:pPr>
            <w:r>
              <w:rPr>
                <w:rFonts w:ascii="Times New Roman" w:cs="Times New Roman"/>
                <w:color w:val="auto"/>
              </w:rPr>
              <w:t>①</w:t>
            </w:r>
            <w:r>
              <w:rPr>
                <w:rFonts w:hint="eastAsia" w:ascii="Times New Roman" w:cs="Times New Roman"/>
                <w:color w:val="auto"/>
              </w:rPr>
              <w:t>胶粘剂</w:t>
            </w:r>
            <w:r>
              <w:rPr>
                <w:rFonts w:ascii="Times New Roman" w:cs="Times New Roman"/>
                <w:color w:val="auto"/>
              </w:rPr>
              <w:t>理化性质</w:t>
            </w:r>
          </w:p>
          <w:p>
            <w:pPr>
              <w:pStyle w:val="2"/>
              <w:snapToGrid w:val="0"/>
              <w:ind w:firstLine="480" w:firstLineChars="200"/>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扩建项目</w:t>
            </w:r>
            <w:r>
              <w:rPr>
                <w:rFonts w:hint="eastAsia" w:ascii="Times New Roman" w:cs="Times New Roman"/>
                <w:color w:val="auto"/>
              </w:rPr>
              <w:t>使用已经完成调配的成品水性胶粘剂，可直接使用，不需调配，根据其化学品安全技术说明书（MSDS），其</w:t>
            </w:r>
            <w:r>
              <w:rPr>
                <w:rFonts w:ascii="Times New Roman" w:hAnsi="Times New Roman" w:cs="Times New Roman"/>
                <w:color w:val="auto"/>
              </w:rPr>
              <w:t>主要成分含量见表2.</w:t>
            </w:r>
            <w:r>
              <w:rPr>
                <w:rFonts w:hint="eastAsia" w:ascii="Times New Roman" w:hAnsi="Times New Roman" w:cs="Times New Roman"/>
                <w:color w:val="auto"/>
                <w:lang w:val="en-US" w:eastAsia="zh-CN"/>
              </w:rPr>
              <w:t>10</w:t>
            </w:r>
            <w:r>
              <w:rPr>
                <w:rFonts w:hint="eastAsia" w:ascii="Times New Roman" w:cs="Times New Roman"/>
                <w:color w:val="auto"/>
                <w:lang w:val="en-US" w:eastAsia="zh-CN"/>
              </w:rPr>
              <w:t>，本项目使用的水性胶粘剂与</w:t>
            </w:r>
            <w:r>
              <w:rPr>
                <w:rFonts w:hint="default" w:ascii="Times New Roman" w:hAnsi="Times New Roman" w:eastAsia="宋体" w:cs="Times New Roman"/>
                <w:color w:val="auto"/>
                <w:kern w:val="2"/>
                <w:sz w:val="24"/>
                <w:szCs w:val="24"/>
                <w:lang w:val="en-US" w:eastAsia="zh-CN" w:bidi="ar-SA"/>
              </w:rPr>
              <w:t>《胶粘剂挥发性有机物化合物限量》（GB33372-2020）</w:t>
            </w:r>
            <w:r>
              <w:rPr>
                <w:rFonts w:hint="eastAsia" w:ascii="Times New Roman" w:hAnsi="Times New Roman" w:eastAsia="宋体" w:cs="Times New Roman"/>
                <w:color w:val="auto"/>
                <w:kern w:val="2"/>
                <w:sz w:val="24"/>
                <w:szCs w:val="24"/>
                <w:lang w:val="en-US" w:eastAsia="zh-CN" w:bidi="ar-SA"/>
              </w:rPr>
              <w:t>符合性分析见表2.11</w:t>
            </w:r>
            <w:r>
              <w:rPr>
                <w:rFonts w:ascii="Times New Roman" w:hAnsi="Times New Roman" w:cs="Times New Roman"/>
                <w:color w:val="auto"/>
              </w:rPr>
              <w:t>。</w:t>
            </w:r>
          </w:p>
          <w:p>
            <w:pPr>
              <w:adjustRightInd w:val="0"/>
              <w:snapToGrid w:val="0"/>
              <w:spacing w:line="360" w:lineRule="auto"/>
              <w:jc w:val="center"/>
              <w:rPr>
                <w:bCs/>
                <w:color w:val="auto"/>
                <w:sz w:val="21"/>
                <w:szCs w:val="21"/>
              </w:rPr>
            </w:pPr>
            <w:r>
              <w:rPr>
                <w:bCs/>
                <w:color w:val="auto"/>
                <w:sz w:val="21"/>
                <w:szCs w:val="21"/>
              </w:rPr>
              <w:t>表2</w:t>
            </w:r>
            <w:r>
              <w:rPr>
                <w:rFonts w:hint="eastAsia"/>
                <w:bCs/>
                <w:color w:val="auto"/>
                <w:sz w:val="21"/>
                <w:szCs w:val="21"/>
              </w:rPr>
              <w:t>.</w:t>
            </w:r>
            <w:r>
              <w:rPr>
                <w:rFonts w:hint="eastAsia"/>
                <w:bCs/>
                <w:color w:val="auto"/>
                <w:sz w:val="21"/>
                <w:szCs w:val="21"/>
                <w:lang w:val="en-US" w:eastAsia="zh-CN"/>
              </w:rPr>
              <w:t>10</w:t>
            </w:r>
            <w:r>
              <w:rPr>
                <w:bCs/>
                <w:color w:val="auto"/>
                <w:sz w:val="21"/>
                <w:szCs w:val="21"/>
              </w:rPr>
              <w:t xml:space="preserve"> </w:t>
            </w:r>
            <w:r>
              <w:rPr>
                <w:rFonts w:hint="eastAsia"/>
                <w:bCs/>
                <w:color w:val="auto"/>
                <w:sz w:val="21"/>
                <w:szCs w:val="21"/>
              </w:rPr>
              <w:t>水性胶粘剂</w:t>
            </w:r>
            <w:r>
              <w:rPr>
                <w:bCs/>
                <w:color w:val="auto"/>
                <w:sz w:val="21"/>
                <w:szCs w:val="21"/>
              </w:rPr>
              <w:t>主要成分含量一览表</w:t>
            </w:r>
          </w:p>
          <w:tbl>
            <w:tblPr>
              <w:tblStyle w:val="22"/>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45"/>
              <w:gridCol w:w="3374"/>
              <w:gridCol w:w="17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87" w:type="pct"/>
                  <w:tcBorders>
                    <w:tl2br w:val="nil"/>
                    <w:tr2bl w:val="nil"/>
                  </w:tcBorders>
                </w:tcPr>
                <w:p>
                  <w:pPr>
                    <w:adjustRightInd w:val="0"/>
                    <w:snapToGrid w:val="0"/>
                    <w:jc w:val="center"/>
                    <w:rPr>
                      <w:bCs/>
                      <w:color w:val="auto"/>
                      <w:szCs w:val="21"/>
                    </w:rPr>
                  </w:pPr>
                  <w:r>
                    <w:rPr>
                      <w:bCs/>
                      <w:color w:val="auto"/>
                      <w:szCs w:val="21"/>
                    </w:rPr>
                    <w:t>名称</w:t>
                  </w:r>
                </w:p>
              </w:tc>
              <w:tc>
                <w:tcPr>
                  <w:tcW w:w="2641" w:type="pct"/>
                  <w:gridSpan w:val="2"/>
                  <w:tcBorders>
                    <w:tl2br w:val="nil"/>
                    <w:tr2bl w:val="nil"/>
                  </w:tcBorders>
                </w:tcPr>
                <w:p>
                  <w:pPr>
                    <w:adjustRightInd w:val="0"/>
                    <w:snapToGrid w:val="0"/>
                    <w:jc w:val="center"/>
                    <w:rPr>
                      <w:bCs/>
                      <w:color w:val="auto"/>
                      <w:szCs w:val="21"/>
                    </w:rPr>
                  </w:pPr>
                  <w:r>
                    <w:rPr>
                      <w:bCs/>
                      <w:color w:val="auto"/>
                      <w:szCs w:val="21"/>
                    </w:rPr>
                    <w:t>主要成分</w:t>
                  </w:r>
                </w:p>
              </w:tc>
              <w:tc>
                <w:tcPr>
                  <w:tcW w:w="1071" w:type="pct"/>
                  <w:tcBorders>
                    <w:tl2br w:val="nil"/>
                    <w:tr2bl w:val="nil"/>
                  </w:tcBorders>
                </w:tcPr>
                <w:p>
                  <w:pPr>
                    <w:adjustRightInd w:val="0"/>
                    <w:snapToGrid w:val="0"/>
                    <w:jc w:val="center"/>
                    <w:rPr>
                      <w:bCs/>
                      <w:color w:val="auto"/>
                      <w:szCs w:val="21"/>
                    </w:rPr>
                  </w:pPr>
                  <w:r>
                    <w:rPr>
                      <w:bCs/>
                      <w:color w:val="auto"/>
                      <w:szCs w:val="21"/>
                    </w:rPr>
                    <w:t>成占比例（%）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水性胶粘剂</w:t>
                  </w:r>
                </w:p>
              </w:tc>
              <w:tc>
                <w:tcPr>
                  <w:tcW w:w="624" w:type="pct"/>
                  <w:tcBorders>
                    <w:tl2br w:val="nil"/>
                    <w:tr2bl w:val="nil"/>
                  </w:tcBorders>
                  <w:vAlign w:val="center"/>
                </w:tcPr>
                <w:p>
                  <w:pPr>
                    <w:widowControl/>
                    <w:adjustRightInd w:val="0"/>
                    <w:snapToGrid w:val="0"/>
                    <w:jc w:val="center"/>
                    <w:rPr>
                      <w:rFonts w:hint="eastAsia" w:eastAsia="宋体"/>
                      <w:color w:val="auto"/>
                      <w:kern w:val="0"/>
                      <w:szCs w:val="21"/>
                      <w:lang w:eastAsia="zh-CN"/>
                    </w:rPr>
                  </w:pPr>
                  <w:r>
                    <w:rPr>
                      <w:rFonts w:hint="eastAsia"/>
                      <w:color w:val="auto"/>
                      <w:kern w:val="0"/>
                      <w:szCs w:val="21"/>
                      <w:lang w:eastAsia="zh-CN"/>
                    </w:rPr>
                    <w:t>固体份</w:t>
                  </w:r>
                </w:p>
              </w:tc>
              <w:tc>
                <w:tcPr>
                  <w:tcW w:w="2016" w:type="pct"/>
                  <w:tcBorders>
                    <w:tl2br w:val="nil"/>
                    <w:tr2bl w:val="nil"/>
                  </w:tcBorders>
                  <w:vAlign w:val="center"/>
                </w:tcPr>
                <w:p>
                  <w:pPr>
                    <w:widowControl/>
                    <w:adjustRightInd w:val="0"/>
                    <w:snapToGrid w:val="0"/>
                    <w:jc w:val="center"/>
                    <w:rPr>
                      <w:rFonts w:hint="eastAsia" w:ascii="PMingLiU" w:hAnsi="PMingLiU" w:cs="PMingLiU"/>
                      <w:color w:val="auto"/>
                      <w:kern w:val="0"/>
                      <w:sz w:val="20"/>
                      <w:szCs w:val="20"/>
                      <w:lang w:eastAsia="zh-CN"/>
                    </w:rPr>
                  </w:pPr>
                  <w:r>
                    <w:rPr>
                      <w:rFonts w:hint="eastAsia" w:ascii="PMingLiU" w:hAnsi="PMingLiU" w:cs="PMingLiU"/>
                      <w:color w:val="auto"/>
                      <w:kern w:val="0"/>
                      <w:sz w:val="20"/>
                      <w:szCs w:val="20"/>
                      <w:lang w:eastAsia="zh-CN"/>
                    </w:rPr>
                    <w:t>有机硅共聚物</w:t>
                  </w:r>
                </w:p>
              </w:tc>
              <w:tc>
                <w:tcPr>
                  <w:tcW w:w="1071" w:type="pct"/>
                  <w:tcBorders>
                    <w:tl2br w:val="nil"/>
                    <w:tr2bl w:val="nil"/>
                  </w:tcBorders>
                  <w:vAlign w:val="center"/>
                </w:tcPr>
                <w:p>
                  <w:pPr>
                    <w:adjustRightInd w:val="0"/>
                    <w:snapToGrid w:val="0"/>
                    <w:jc w:val="center"/>
                    <w:rPr>
                      <w:rFonts w:hint="eastAsia" w:eastAsia="宋体"/>
                      <w:bCs/>
                      <w:color w:val="auto"/>
                      <w:szCs w:val="21"/>
                      <w:lang w:eastAsia="zh-CN"/>
                    </w:rPr>
                  </w:pPr>
                  <w:r>
                    <w:rPr>
                      <w:rFonts w:hint="eastAsia"/>
                      <w:bCs/>
                      <w:color w:val="auto"/>
                      <w:szCs w:val="21"/>
                      <w:lang w:val="en-US" w:eastAsia="zh-CN"/>
                    </w:rPr>
                    <w:t>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287" w:type="pct"/>
                  <w:vMerge w:val="continue"/>
                  <w:tcBorders>
                    <w:tl2br w:val="nil"/>
                    <w:tr2bl w:val="nil"/>
                  </w:tcBorders>
                  <w:vAlign w:val="center"/>
                </w:tcPr>
                <w:p>
                  <w:pPr>
                    <w:adjustRightInd w:val="0"/>
                    <w:snapToGrid w:val="0"/>
                    <w:jc w:val="center"/>
                    <w:rPr>
                      <w:rFonts w:hint="eastAsia"/>
                      <w:bCs/>
                      <w:color w:val="auto"/>
                      <w:szCs w:val="21"/>
                    </w:rPr>
                  </w:pPr>
                </w:p>
              </w:tc>
              <w:tc>
                <w:tcPr>
                  <w:tcW w:w="624" w:type="pct"/>
                  <w:tcBorders>
                    <w:tl2br w:val="nil"/>
                    <w:tr2bl w:val="nil"/>
                  </w:tcBorders>
                  <w:vAlign w:val="center"/>
                </w:tcPr>
                <w:p>
                  <w:pPr>
                    <w:widowControl/>
                    <w:adjustRightInd w:val="0"/>
                    <w:snapToGrid w:val="0"/>
                    <w:jc w:val="center"/>
                    <w:rPr>
                      <w:rFonts w:hint="eastAsia" w:ascii="PMingLiU" w:hAnsi="PMingLiU" w:eastAsia="宋体" w:cs="PMingLiU"/>
                      <w:color w:val="auto"/>
                      <w:kern w:val="0"/>
                      <w:sz w:val="20"/>
                      <w:szCs w:val="20"/>
                      <w:lang w:eastAsia="zh-CN"/>
                    </w:rPr>
                  </w:pPr>
                  <w:r>
                    <w:rPr>
                      <w:rFonts w:hint="eastAsia" w:ascii="PMingLiU" w:hAnsi="PMingLiU" w:cs="PMingLiU"/>
                      <w:color w:val="auto"/>
                      <w:kern w:val="0"/>
                      <w:sz w:val="20"/>
                      <w:szCs w:val="20"/>
                      <w:lang w:eastAsia="zh-CN"/>
                    </w:rPr>
                    <w:t>挥发份</w:t>
                  </w:r>
                </w:p>
              </w:tc>
              <w:tc>
                <w:tcPr>
                  <w:tcW w:w="2016" w:type="pct"/>
                  <w:tcBorders>
                    <w:tl2br w:val="nil"/>
                    <w:tr2bl w:val="nil"/>
                  </w:tcBorders>
                  <w:vAlign w:val="center"/>
                </w:tcPr>
                <w:p>
                  <w:pPr>
                    <w:widowControl/>
                    <w:adjustRightInd w:val="0"/>
                    <w:snapToGrid w:val="0"/>
                    <w:jc w:val="center"/>
                    <w:rPr>
                      <w:rFonts w:hint="eastAsia" w:ascii="PMingLiU" w:hAnsi="PMingLiU" w:cs="PMingLiU"/>
                      <w:color w:val="auto"/>
                      <w:kern w:val="0"/>
                      <w:sz w:val="20"/>
                      <w:szCs w:val="20"/>
                    </w:rPr>
                  </w:pPr>
                  <w:r>
                    <w:rPr>
                      <w:rFonts w:hint="eastAsia" w:ascii="PMingLiU" w:hAnsi="PMingLiU" w:cs="PMingLiU"/>
                      <w:color w:val="auto"/>
                      <w:kern w:val="0"/>
                      <w:sz w:val="20"/>
                      <w:szCs w:val="20"/>
                    </w:rPr>
                    <w:t>丙烯酸</w:t>
                  </w:r>
                  <w:r>
                    <w:rPr>
                      <w:rFonts w:hint="eastAsia" w:ascii="PMingLiU" w:hAnsi="PMingLiU" w:cs="PMingLiU"/>
                      <w:color w:val="auto"/>
                      <w:kern w:val="0"/>
                      <w:sz w:val="20"/>
                      <w:szCs w:val="20"/>
                      <w:lang w:eastAsia="zh-CN"/>
                    </w:rPr>
                    <w:t>脂</w:t>
                  </w:r>
                </w:p>
              </w:tc>
              <w:tc>
                <w:tcPr>
                  <w:tcW w:w="1071" w:type="pct"/>
                  <w:tcBorders>
                    <w:tl2br w:val="nil"/>
                    <w:tr2bl w:val="nil"/>
                  </w:tcBorders>
                  <w:vAlign w:val="center"/>
                </w:tcPr>
                <w:p>
                  <w:pPr>
                    <w:adjustRightInd w:val="0"/>
                    <w:snapToGrid w:val="0"/>
                    <w:jc w:val="center"/>
                    <w:rPr>
                      <w:rFonts w:hint="default" w:eastAsia="宋体"/>
                      <w:bCs/>
                      <w:color w:val="auto"/>
                      <w:szCs w:val="21"/>
                      <w:lang w:val="en-US" w:eastAsia="zh-CN"/>
                    </w:rPr>
                  </w:pPr>
                  <w:r>
                    <w:rPr>
                      <w:rFonts w:hint="eastAsia"/>
                      <w:bCs/>
                      <w:color w:val="auto"/>
                      <w:szCs w:val="21"/>
                      <w:lang w:val="en-US" w:eastAsia="zh-CN"/>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87" w:type="pct"/>
                  <w:vMerge w:val="continue"/>
                  <w:tcBorders>
                    <w:tl2br w:val="nil"/>
                    <w:tr2bl w:val="nil"/>
                  </w:tcBorders>
                </w:tcPr>
                <w:p>
                  <w:pPr>
                    <w:adjustRightInd w:val="0"/>
                    <w:snapToGrid w:val="0"/>
                    <w:rPr>
                      <w:bCs/>
                      <w:color w:val="auto"/>
                      <w:szCs w:val="21"/>
                    </w:rPr>
                  </w:pPr>
                </w:p>
              </w:tc>
              <w:tc>
                <w:tcPr>
                  <w:tcW w:w="624" w:type="pct"/>
                  <w:tcBorders>
                    <w:tl2br w:val="nil"/>
                    <w:tr2bl w:val="nil"/>
                  </w:tcBorders>
                  <w:vAlign w:val="center"/>
                </w:tcPr>
                <w:p>
                  <w:pPr>
                    <w:widowControl/>
                    <w:adjustRightInd w:val="0"/>
                    <w:snapToGrid w:val="0"/>
                    <w:jc w:val="center"/>
                    <w:rPr>
                      <w:rFonts w:hint="eastAsia" w:eastAsia="宋体"/>
                      <w:color w:val="auto"/>
                      <w:kern w:val="0"/>
                      <w:szCs w:val="21"/>
                      <w:lang w:eastAsia="zh-CN"/>
                    </w:rPr>
                  </w:pPr>
                  <w:r>
                    <w:rPr>
                      <w:rFonts w:hint="eastAsia"/>
                      <w:color w:val="auto"/>
                      <w:kern w:val="0"/>
                      <w:szCs w:val="21"/>
                      <w:lang w:eastAsia="zh-CN"/>
                    </w:rPr>
                    <w:t>其它</w:t>
                  </w:r>
                </w:p>
              </w:tc>
              <w:tc>
                <w:tcPr>
                  <w:tcW w:w="2016" w:type="pct"/>
                  <w:tcBorders>
                    <w:tl2br w:val="nil"/>
                    <w:tr2bl w:val="nil"/>
                  </w:tcBorders>
                  <w:vAlign w:val="center"/>
                </w:tcPr>
                <w:p>
                  <w:pPr>
                    <w:widowControl/>
                    <w:adjustRightInd w:val="0"/>
                    <w:snapToGrid w:val="0"/>
                    <w:jc w:val="center"/>
                    <w:rPr>
                      <w:rFonts w:hint="eastAsia"/>
                      <w:color w:val="auto"/>
                      <w:kern w:val="0"/>
                      <w:szCs w:val="21"/>
                    </w:rPr>
                  </w:pPr>
                  <w:r>
                    <w:rPr>
                      <w:rFonts w:hint="eastAsia"/>
                      <w:color w:val="auto"/>
                      <w:kern w:val="0"/>
                      <w:szCs w:val="21"/>
                    </w:rPr>
                    <w:t>水</w:t>
                  </w:r>
                </w:p>
              </w:tc>
              <w:tc>
                <w:tcPr>
                  <w:tcW w:w="1071" w:type="pct"/>
                  <w:tcBorders>
                    <w:tl2br w:val="nil"/>
                    <w:tr2bl w:val="nil"/>
                  </w:tcBorders>
                  <w:vAlign w:val="center"/>
                </w:tcPr>
                <w:p>
                  <w:pPr>
                    <w:adjustRightInd w:val="0"/>
                    <w:snapToGrid w:val="0"/>
                    <w:jc w:val="center"/>
                    <w:rPr>
                      <w:bCs/>
                      <w:color w:val="auto"/>
                      <w:szCs w:val="21"/>
                    </w:rPr>
                  </w:pPr>
                  <w:r>
                    <w:rPr>
                      <w:rFonts w:hint="eastAsia"/>
                      <w:bCs/>
                      <w:color w:val="auto"/>
                      <w:szCs w:val="21"/>
                    </w:rPr>
                    <w:t>60</w:t>
                  </w:r>
                </w:p>
              </w:tc>
            </w:tr>
          </w:tbl>
          <w:p>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cs="Times New Roman"/>
                <w:color w:val="auto"/>
                <w:sz w:val="21"/>
                <w:szCs w:val="21"/>
                <w:u w:val="none"/>
                <w:lang w:val="en-US" w:eastAsia="zh-CN"/>
              </w:rPr>
            </w:pPr>
            <w:r>
              <w:rPr>
                <w:rFonts w:hint="eastAsia" w:ascii="Times New Roman" w:hAnsi="Times New Roman" w:cs="Times New Roman"/>
                <w:color w:val="auto"/>
                <w:sz w:val="24"/>
                <w:szCs w:val="24"/>
                <w:u w:val="none"/>
                <w:lang w:val="en-US" w:eastAsia="zh-CN"/>
              </w:rPr>
              <w:t>表</w:t>
            </w:r>
            <w:r>
              <w:rPr>
                <w:rFonts w:hint="eastAsia" w:ascii="Times New Roman" w:hAnsi="Times New Roman" w:cs="Times New Roman"/>
                <w:color w:val="auto"/>
                <w:sz w:val="21"/>
                <w:szCs w:val="21"/>
                <w:u w:val="none"/>
                <w:lang w:val="en-US" w:eastAsia="zh-CN"/>
              </w:rPr>
              <w:t>2.11</w:t>
            </w:r>
            <w:r>
              <w:rPr>
                <w:rFonts w:hint="default" w:ascii="Times New Roman" w:hAnsi="Times New Roman" w:eastAsia="宋体" w:cs="Times New Roman"/>
                <w:color w:val="auto"/>
                <w:kern w:val="2"/>
                <w:sz w:val="21"/>
                <w:szCs w:val="21"/>
                <w:lang w:val="en-US" w:eastAsia="zh-CN" w:bidi="ar-SA"/>
              </w:rPr>
              <w:t>《胶粘剂挥发性有机物化合物限量》（GB33372-2020）</w:t>
            </w:r>
            <w:r>
              <w:rPr>
                <w:rFonts w:hint="eastAsia" w:ascii="Times New Roman" w:cs="Times New Roman"/>
                <w:color w:val="auto"/>
                <w:sz w:val="21"/>
                <w:szCs w:val="21"/>
                <w:u w:val="none"/>
                <w:lang w:val="en-US" w:eastAsia="zh-CN"/>
              </w:rPr>
              <w:t>符合性分析</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1382"/>
              <w:gridCol w:w="1382"/>
              <w:gridCol w:w="923"/>
              <w:gridCol w:w="18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项目</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项目含量值</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含量限值</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符合性</w:t>
                  </w:r>
                </w:p>
              </w:tc>
              <w:tc>
                <w:tcPr>
                  <w:tcW w:w="110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聚乙酸乙烯脂类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restar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水基型胶粘剂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聚丙烯醇类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橡胶类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聚氨酯类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醋酸乙烯-乙烯共聚乳液类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highlight w:val="none"/>
                      <w:u w:val="none"/>
                      <w:vertAlign w:val="baseline"/>
                      <w:lang w:val="en-US" w:eastAsia="zh-CN"/>
                    </w:rPr>
                  </w:pPr>
                  <w:r>
                    <w:rPr>
                      <w:rFonts w:hint="eastAsia" w:ascii="Times New Roman" w:cs="Times New Roman"/>
                      <w:color w:val="auto"/>
                      <w:sz w:val="21"/>
                      <w:szCs w:val="21"/>
                      <w:highlight w:val="none"/>
                      <w:u w:val="none"/>
                      <w:vertAlign w:val="baseline"/>
                      <w:lang w:val="en-US" w:eastAsia="zh-CN"/>
                    </w:rPr>
                    <w:t>丙烯酸脂类</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highlight w:val="none"/>
                      <w:u w:val="none"/>
                      <w:vertAlign w:val="baseline"/>
                      <w:lang w:val="en-US" w:eastAsia="zh-CN"/>
                    </w:rPr>
                  </w:pPr>
                  <w:r>
                    <w:rPr>
                      <w:rFonts w:hint="eastAsia" w:ascii="Times New Roman" w:cs="Times New Roman"/>
                      <w:color w:val="auto"/>
                      <w:sz w:val="21"/>
                      <w:szCs w:val="21"/>
                      <w:highlight w:val="none"/>
                      <w:u w:val="none"/>
                      <w:vertAlign w:val="baseline"/>
                      <w:lang w:val="en-US" w:eastAsia="zh-CN"/>
                    </w:rPr>
                    <w:t>39g/L</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highlight w:val="none"/>
                      <w:u w:val="none"/>
                      <w:vertAlign w:val="baseline"/>
                      <w:lang w:val="en-US" w:eastAsia="zh-CN"/>
                    </w:rPr>
                  </w:pPr>
                  <w:r>
                    <w:rPr>
                      <w:rFonts w:hint="eastAsia" w:ascii="Times New Roman" w:cs="Times New Roman"/>
                      <w:color w:val="auto"/>
                      <w:sz w:val="21"/>
                      <w:szCs w:val="21"/>
                      <w:highlight w:val="none"/>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highlight w:val="none"/>
                      <w:u w:val="none"/>
                      <w:vertAlign w:val="baseline"/>
                      <w:lang w:val="en-US" w:eastAsia="zh-CN"/>
                    </w:rPr>
                  </w:pPr>
                  <w:r>
                    <w:rPr>
                      <w:rFonts w:hint="eastAsia" w:ascii="Times New Roman" w:cs="Times New Roman"/>
                      <w:color w:val="auto"/>
                      <w:sz w:val="21"/>
                      <w:szCs w:val="21"/>
                      <w:highlight w:val="none"/>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93"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其它</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w:t>
                  </w:r>
                </w:p>
              </w:tc>
              <w:tc>
                <w:tcPr>
                  <w:tcW w:w="826"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50g/L</w:t>
                  </w:r>
                </w:p>
              </w:tc>
              <w:tc>
                <w:tcPr>
                  <w:tcW w:w="551" w:type="pct"/>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r>
                    <w:rPr>
                      <w:rFonts w:hint="eastAsia" w:ascii="Times New Roman" w:cs="Times New Roman"/>
                      <w:color w:val="auto"/>
                      <w:sz w:val="21"/>
                      <w:szCs w:val="21"/>
                      <w:u w:val="none"/>
                      <w:vertAlign w:val="baseline"/>
                      <w:lang w:val="en-US" w:eastAsia="zh-CN"/>
                    </w:rPr>
                    <w:t>符合</w:t>
                  </w:r>
                </w:p>
              </w:tc>
              <w:tc>
                <w:tcPr>
                  <w:tcW w:w="1101" w:type="pct"/>
                  <w:vMerge w:val="continue"/>
                  <w:tcBorders>
                    <w:tl2br w:val="nil"/>
                    <w:tr2bl w:val="nil"/>
                  </w:tcBorders>
                  <w:vAlign w:val="center"/>
                </w:tcPr>
                <w:p>
                  <w:pPr>
                    <w:pStyle w:val="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color w:val="auto"/>
                      <w:sz w:val="21"/>
                      <w:szCs w:val="21"/>
                      <w:u w:val="none"/>
                      <w:vertAlign w:val="baseline"/>
                      <w:lang w:val="en-US" w:eastAsia="zh-CN"/>
                    </w:rPr>
                  </w:pPr>
                </w:p>
              </w:tc>
            </w:tr>
          </w:tbl>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由表</w:t>
            </w:r>
            <w:r>
              <w:rPr>
                <w:rFonts w:hint="eastAsia" w:ascii="Times New Roman" w:hAnsi="Times New Roman" w:cs="Times New Roman"/>
                <w:color w:val="auto"/>
                <w:sz w:val="24"/>
                <w:szCs w:val="24"/>
                <w:highlight w:val="none"/>
                <w:lang w:val="en-US" w:eastAsia="zh-CN"/>
              </w:rPr>
              <w:t>2.11分析可知，本项目使用的胶粘剂符合</w:t>
            </w:r>
            <w:r>
              <w:rPr>
                <w:rFonts w:hint="default" w:ascii="Times New Roman" w:hAnsi="Times New Roman" w:eastAsia="宋体" w:cs="Times New Roman"/>
                <w:color w:val="auto"/>
                <w:kern w:val="2"/>
                <w:sz w:val="24"/>
                <w:szCs w:val="24"/>
                <w:lang w:val="en-US" w:eastAsia="zh-CN" w:bidi="ar-SA"/>
              </w:rPr>
              <w:t>《胶粘剂挥发性有机物化合物限量》（GB33372-2020）</w:t>
            </w:r>
            <w:r>
              <w:rPr>
                <w:rFonts w:hint="eastAsia" w:ascii="Times New Roman" w:hAnsi="Times New Roman" w:cs="Times New Roman"/>
                <w:color w:val="auto"/>
                <w:kern w:val="2"/>
                <w:sz w:val="24"/>
                <w:szCs w:val="24"/>
                <w:lang w:val="en-US" w:eastAsia="zh-CN" w:bidi="ar-SA"/>
              </w:rPr>
              <w:t>的相关要求。</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bCs/>
                <w:color w:val="auto"/>
                <w:lang w:val="en-US" w:eastAsia="zh-CN"/>
              </w:rPr>
            </w:pPr>
            <w:r>
              <w:rPr>
                <w:rFonts w:hint="default" w:ascii="Times New Roman" w:hAnsi="Times New Roman" w:eastAsia="宋体" w:cs="Times New Roman"/>
                <w:color w:val="auto"/>
                <w:highlight w:val="none"/>
              </w:rPr>
              <w:t>②</w:t>
            </w:r>
            <w:r>
              <w:rPr>
                <w:rFonts w:hint="default" w:ascii="Times New Roman" w:hAnsi="Times New Roman" w:eastAsia="宋体" w:cs="Times New Roman"/>
                <w:color w:val="auto"/>
                <w:sz w:val="24"/>
                <w:szCs w:val="24"/>
                <w:lang w:val="en-US" w:eastAsia="zh-CN"/>
              </w:rPr>
              <w:t>聚乙烯塑料粒（PE）：PE</w:t>
            </w:r>
            <w:r>
              <w:rPr>
                <w:rFonts w:hint="default" w:ascii="Times New Roman" w:hAnsi="Times New Roman" w:eastAsia="宋体" w:cs="Times New Roman"/>
                <w:i w:val="0"/>
                <w:iCs w:val="0"/>
                <w:caps w:val="0"/>
                <w:color w:val="auto"/>
                <w:spacing w:val="0"/>
                <w:sz w:val="24"/>
                <w:szCs w:val="24"/>
                <w:shd w:val="clear" w:fill="FFFFFF"/>
              </w:rPr>
              <w:t>是</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"https://baike.baidu.com/item/%E4%B9%99%E7%83%AF/312903" \t "https://baike.baidu.com/item/%E8%81%9A%E4%B9%99%E7%83%AF/_blank"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6"/>
                <w:rFonts w:hint="default" w:ascii="Times New Roman" w:hAnsi="Times New Roman" w:eastAsia="宋体" w:cs="Times New Roman"/>
                <w:i w:val="0"/>
                <w:iCs w:val="0"/>
                <w:caps w:val="0"/>
                <w:color w:val="auto"/>
                <w:spacing w:val="0"/>
                <w:sz w:val="24"/>
                <w:szCs w:val="24"/>
                <w:u w:val="none"/>
                <w:shd w:val="clear" w:fill="FFFFFF"/>
              </w:rPr>
              <w:t>乙烯</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经聚合制得的一种</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"https://baike.baidu.com/item/%E7%83%AD%E5%A1%91%E6%80%A7%E6%A0%91%E8%84%82/2750555" \t "https://baike.baidu.com/item/%E8%81%9A%E4%B9%99%E7%83%AF/_blank"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6"/>
                <w:rFonts w:hint="default" w:ascii="Times New Roman" w:hAnsi="Times New Roman" w:eastAsia="宋体" w:cs="Times New Roman"/>
                <w:i w:val="0"/>
                <w:iCs w:val="0"/>
                <w:caps w:val="0"/>
                <w:color w:val="auto"/>
                <w:spacing w:val="0"/>
                <w:sz w:val="24"/>
                <w:szCs w:val="24"/>
                <w:u w:val="none"/>
                <w:shd w:val="clear" w:fill="FFFFFF"/>
              </w:rPr>
              <w:t>热塑性树脂</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u w:val="none"/>
                <w:shd w:val="clear" w:fill="FFFFFF"/>
                <w:lang w:eastAsia="zh-CN"/>
              </w:rPr>
              <w:t>，</w:t>
            </w:r>
            <w:r>
              <w:rPr>
                <w:rFonts w:hint="default" w:ascii="Times New Roman" w:hAnsi="Times New Roman" w:eastAsia="宋体" w:cs="Times New Roman"/>
                <w:color w:val="auto"/>
                <w:sz w:val="24"/>
                <w:szCs w:val="24"/>
                <w:lang w:val="en-US" w:eastAsia="zh-CN"/>
              </w:rPr>
              <w:t>外观呈</w:t>
            </w:r>
            <w:r>
              <w:rPr>
                <w:rFonts w:hint="default" w:ascii="Times New Roman" w:hAnsi="Times New Roman" w:eastAsia="宋体" w:cs="Times New Roman"/>
                <w:i w:val="0"/>
                <w:iCs w:val="0"/>
                <w:caps w:val="0"/>
                <w:color w:val="auto"/>
                <w:spacing w:val="0"/>
                <w:sz w:val="24"/>
                <w:szCs w:val="24"/>
                <w:shd w:val="clear" w:fill="FFFFFF"/>
              </w:rPr>
              <w:t>颗粒状</w:t>
            </w:r>
            <w:r>
              <w:rPr>
                <w:rFonts w:hint="default"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无毒，无味，</w:t>
            </w:r>
            <w:r>
              <w:rPr>
                <w:rFonts w:hint="default" w:ascii="Times New Roman" w:hAnsi="Times New Roman" w:eastAsia="宋体" w:cs="Times New Roman"/>
                <w:i w:val="0"/>
                <w:iCs w:val="0"/>
                <w:caps w:val="0"/>
                <w:color w:val="auto"/>
                <w:spacing w:val="0"/>
                <w:sz w:val="24"/>
                <w:szCs w:val="24"/>
                <w:shd w:val="clear" w:fill="FFFFFF"/>
                <w:lang w:eastAsia="zh-CN"/>
              </w:rPr>
              <w:t>密度为</w:t>
            </w:r>
            <w:r>
              <w:rPr>
                <w:rFonts w:hint="default" w:ascii="Times New Roman" w:hAnsi="Times New Roman" w:eastAsia="Helvetica" w:cs="Times New Roman"/>
                <w:i w:val="0"/>
                <w:iCs w:val="0"/>
                <w:caps w:val="0"/>
                <w:color w:val="auto"/>
                <w:spacing w:val="0"/>
                <w:sz w:val="24"/>
                <w:szCs w:val="24"/>
                <w:shd w:val="clear" w:fill="FFFFFF"/>
              </w:rPr>
              <w:t>0.941~0.960</w:t>
            </w:r>
            <w:r>
              <w:rPr>
                <w:rFonts w:hint="default" w:ascii="Times New Roman" w:hAnsi="Times New Roman" w:cs="Times New Roman"/>
                <w:color w:val="auto"/>
                <w:sz w:val="24"/>
                <w:szCs w:val="24"/>
                <w:highlight w:val="none"/>
              </w:rPr>
              <w:t>g/cm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i w:val="0"/>
                <w:iCs w:val="0"/>
                <w:caps w:val="0"/>
                <w:color w:val="auto"/>
                <w:spacing w:val="0"/>
                <w:sz w:val="24"/>
                <w:szCs w:val="24"/>
                <w:shd w:val="clear" w:fill="FFFFFF"/>
              </w:rPr>
              <w:t>结晶度为80%～90%，软化点为125～135℃，使用温度可达100℃</w:t>
            </w:r>
            <w:r>
              <w:rPr>
                <w:rFonts w:hint="default" w:ascii="Times New Roman" w:hAnsi="Times New Roman" w:eastAsia="宋体" w:cs="Times New Roman"/>
                <w:color w:val="auto"/>
                <w:sz w:val="24"/>
                <w:szCs w:val="24"/>
                <w:highlight w:val="none"/>
              </w:rPr>
              <w:t>，分解温度为</w:t>
            </w:r>
            <w:r>
              <w:rPr>
                <w:rFonts w:hint="default" w:ascii="Times New Roman" w:hAnsi="Times New Roman" w:eastAsia="宋体" w:cs="Times New Roman"/>
                <w:color w:val="auto"/>
                <w:sz w:val="24"/>
                <w:szCs w:val="24"/>
                <w:highlight w:val="none"/>
                <w:lang w:val="en-US" w:eastAsia="zh-CN"/>
              </w:rPr>
              <w:t>335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450</w:t>
            </w:r>
            <w:r>
              <w:rPr>
                <w:rFonts w:hint="default" w:ascii="Times New Roman" w:hAnsi="Times New Roman" w:eastAsia="宋体" w:cs="Times New Roman"/>
                <w:color w:val="auto"/>
                <w:sz w:val="24"/>
                <w:szCs w:val="24"/>
                <w:highlight w:val="none"/>
              </w:rPr>
              <w:t>℃，熔融段温度最好在240℃。</w:t>
            </w:r>
            <w:r>
              <w:rPr>
                <w:rFonts w:hint="default" w:ascii="Times New Roman" w:hAnsi="Times New Roman" w:eastAsia="宋体" w:cs="Times New Roman"/>
                <w:color w:val="auto"/>
                <w:sz w:val="24"/>
                <w:szCs w:val="24"/>
                <w:lang w:val="en-US" w:eastAsia="zh-CN"/>
              </w:rPr>
              <w:t>高密度聚乙烯</w:t>
            </w:r>
            <w:r>
              <w:rPr>
                <w:rFonts w:hint="default" w:ascii="Times New Roman" w:hAnsi="Times New Roman" w:eastAsia="宋体" w:cs="Times New Roman"/>
                <w:i w:val="0"/>
                <w:iCs w:val="0"/>
                <w:caps w:val="0"/>
                <w:color w:val="auto"/>
                <w:spacing w:val="0"/>
                <w:sz w:val="24"/>
                <w:szCs w:val="24"/>
                <w:shd w:val="clear" w:fill="FFFFFF"/>
              </w:rPr>
              <w:t>硬度、拉伸强度和蠕变性优于</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"https://baike.baidu.com/item/%E4%BD%8E%E5%AF%86%E5%BA%A6%E8%81%9A%E4%B9%99%E7%83%AF/4905186" \t "https://baike.baidu.com/item/%E9%AB%98%E5%AF%86%E5%BA%A6%E8%81%9A%E4%B9%99%E7%83%AF/_blank"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6"/>
                <w:rFonts w:hint="default" w:ascii="Times New Roman" w:hAnsi="Times New Roman" w:eastAsia="宋体" w:cs="Times New Roman"/>
                <w:i w:val="0"/>
                <w:iCs w:val="0"/>
                <w:caps w:val="0"/>
                <w:color w:val="auto"/>
                <w:spacing w:val="0"/>
                <w:sz w:val="24"/>
                <w:szCs w:val="24"/>
                <w:u w:val="none"/>
                <w:shd w:val="clear" w:fill="FFFFFF"/>
              </w:rPr>
              <w:t>低密度聚乙烯</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；耐磨性、电绝缘性、韧性及耐寒性较好；</w:t>
            </w:r>
            <w:r>
              <w:rPr>
                <w:rFonts w:hint="default" w:ascii="Times New Roman" w:hAnsi="Times New Roman" w:eastAsia="宋体" w:cs="Times New Roman"/>
                <w:i w:val="0"/>
                <w:iCs w:val="0"/>
                <w:caps w:val="0"/>
                <w:color w:val="auto"/>
                <w:spacing w:val="0"/>
                <w:sz w:val="24"/>
                <w:szCs w:val="24"/>
                <w:u w:val="none"/>
                <w:shd w:val="clear" w:fill="FFFFFF"/>
              </w:rPr>
              <w:fldChar w:fldCharType="begin"/>
            </w:r>
            <w:r>
              <w:rPr>
                <w:rFonts w:hint="default" w:ascii="Times New Roman" w:hAnsi="Times New Roman" w:eastAsia="宋体" w:cs="Times New Roman"/>
                <w:i w:val="0"/>
                <w:iCs w:val="0"/>
                <w:caps w:val="0"/>
                <w:color w:val="auto"/>
                <w:spacing w:val="0"/>
                <w:sz w:val="24"/>
                <w:szCs w:val="24"/>
                <w:u w:val="none"/>
                <w:shd w:val="clear" w:fill="FFFFFF"/>
              </w:rPr>
              <w:instrText xml:space="preserve"> HYPERLINK "https://baike.baidu.com/item/%E5%8C%96%E5%AD%A6%E7%A8%B3%E5%AE%9A%E6%80%A7/1850096" \t "https://baike.baidu.com/item/%E9%AB%98%E5%AF%86%E5%BA%A6%E8%81%9A%E4%B9%99%E7%83%AF/_blank" </w:instrText>
            </w:r>
            <w:r>
              <w:rPr>
                <w:rFonts w:hint="default" w:ascii="Times New Roman" w:hAnsi="Times New Roman" w:eastAsia="宋体" w:cs="Times New Roman"/>
                <w:i w:val="0"/>
                <w:iCs w:val="0"/>
                <w:caps w:val="0"/>
                <w:color w:val="auto"/>
                <w:spacing w:val="0"/>
                <w:sz w:val="24"/>
                <w:szCs w:val="24"/>
                <w:u w:val="none"/>
                <w:shd w:val="clear" w:fill="FFFFFF"/>
              </w:rPr>
              <w:fldChar w:fldCharType="separate"/>
            </w:r>
            <w:r>
              <w:rPr>
                <w:rStyle w:val="26"/>
                <w:rFonts w:hint="default" w:ascii="Times New Roman" w:hAnsi="Times New Roman" w:eastAsia="宋体" w:cs="Times New Roman"/>
                <w:i w:val="0"/>
                <w:iCs w:val="0"/>
                <w:caps w:val="0"/>
                <w:color w:val="auto"/>
                <w:spacing w:val="0"/>
                <w:sz w:val="24"/>
                <w:szCs w:val="24"/>
                <w:u w:val="none"/>
                <w:shd w:val="clear" w:fill="FFFFFF"/>
              </w:rPr>
              <w:t>化学稳定性</w:t>
            </w:r>
            <w:r>
              <w:rPr>
                <w:rFonts w:hint="default" w:ascii="Times New Roman" w:hAnsi="Times New Roman" w:eastAsia="宋体" w:cs="Times New Roman"/>
                <w:i w:val="0"/>
                <w:iCs w:val="0"/>
                <w:caps w:val="0"/>
                <w:color w:val="auto"/>
                <w:spacing w:val="0"/>
                <w:sz w:val="24"/>
                <w:szCs w:val="24"/>
                <w:u w:val="none"/>
                <w:shd w:val="clear" w:fill="FFFFFF"/>
              </w:rPr>
              <w:fldChar w:fldCharType="end"/>
            </w:r>
            <w:r>
              <w:rPr>
                <w:rFonts w:hint="default" w:ascii="Times New Roman" w:hAnsi="Times New Roman" w:eastAsia="宋体" w:cs="Times New Roman"/>
                <w:i w:val="0"/>
                <w:iCs w:val="0"/>
                <w:caps w:val="0"/>
                <w:color w:val="auto"/>
                <w:spacing w:val="0"/>
                <w:sz w:val="24"/>
                <w:szCs w:val="24"/>
                <w:shd w:val="clear" w:fill="FFFFFF"/>
              </w:rPr>
              <w:t>好，在室温条件下，不溶于任何有机溶剂，耐酸、碱和各种盐类的腐蚀。</w:t>
            </w:r>
          </w:p>
          <w:p>
            <w:pPr>
              <w:pStyle w:val="2"/>
              <w:rPr>
                <w:rFonts w:ascii="Times New Roman" w:cs="Times New Roman"/>
                <w:b/>
                <w:bCs/>
                <w:color w:val="auto"/>
                <w:highlight w:val="yellow"/>
              </w:rPr>
            </w:pPr>
            <w:r>
              <w:rPr>
                <w:rFonts w:ascii="Times New Roman" w:cs="Times New Roman"/>
                <w:b/>
                <w:bCs/>
                <w:color w:val="auto"/>
              </w:rPr>
              <w:t>总平面布置及合理性分析</w:t>
            </w:r>
          </w:p>
          <w:p>
            <w:pPr>
              <w:pStyle w:val="2"/>
              <w:ind w:firstLine="480" w:firstLineChars="200"/>
              <w:rPr>
                <w:rFonts w:ascii="Times New Roman" w:hAnsi="Times New Roman" w:cs="Times New Roman"/>
                <w:color w:val="auto"/>
              </w:rPr>
            </w:pPr>
            <w:r>
              <w:rPr>
                <w:rFonts w:hint="eastAsia" w:ascii="Times New Roman" w:cs="Times New Roman"/>
                <w:color w:val="auto"/>
              </w:rPr>
              <w:t>本项目地块呈矩形，厂区由东南向西北依次布置1#综合楼、2#厂房、3#厂房。2#厂房高1层，现有工程的复合区、横切区、裁剪区、缝纫区设置在2#厂房的东南部，现有工程的冲切区、平切区、模具区设置在2#厂房的西部，现有工程的无纺布生产线布置</w:t>
            </w:r>
            <w:r>
              <w:rPr>
                <w:rFonts w:ascii="Times New Roman" w:hAnsi="Times New Roman" w:cs="Times New Roman"/>
                <w:color w:val="auto"/>
              </w:rPr>
              <w:t>在2#厂房的东部，新增的拉幅定型无纺布生产线、淋膜无纺布生产线布置在2#厂房中部，2#厂房的西北部设置为原材料堆放区、成品堆放区；3#厂房高1层，西北角区域设置现有工程的开花区、打包区，其它区域设置为原材料及成品堆放区；1#综合楼高3层，</w:t>
            </w:r>
            <w:r>
              <w:rPr>
                <w:rFonts w:ascii="Times New Roman" w:hAnsi="Times New Roman" w:cs="Times New Roman"/>
                <w:color w:val="auto"/>
                <w:szCs w:val="21"/>
              </w:rPr>
              <w:t>其中1F设置为员工食堂、展览大厅、检验区；2F设置为行政办公室；3F设置为员工宿舍。</w:t>
            </w:r>
          </w:p>
          <w:p>
            <w:pPr>
              <w:pStyle w:val="2"/>
              <w:ind w:firstLine="480" w:firstLineChars="200"/>
              <w:rPr>
                <w:rFonts w:ascii="Times New Roman" w:hAnsi="Times New Roman" w:cs="Times New Roman"/>
                <w:color w:val="auto"/>
              </w:rPr>
            </w:pPr>
            <w:r>
              <w:rPr>
                <w:rFonts w:ascii="Times New Roman" w:hAnsi="Times New Roman" w:cs="Times New Roman"/>
                <w:color w:val="auto"/>
              </w:rPr>
              <w:t>厂区内污水处理设施设置地块东南角，其地势相对较低，并临近生产厂房，便于收集本项目废水；2#车间现有工程复合区产生的废气经收集、处理后引至15mg高1#排气筒排放，2#车间新增拉幅定型无纺布生产线、淋膜无纺布生产线产生的废气经收集、处理后引至15m高的3#排气排放；3#车间现有工程开花区、打包区产生的废气经收集、处理后引至15高的2#排气筒排放；危险废物暂存间设置在2#厂房的东北侧，一般工业固废暂存间设置在3#厂房的西南部，便于收集产生的固体废物。</w:t>
            </w:r>
          </w:p>
          <w:p>
            <w:pPr>
              <w:adjustRightInd w:val="0"/>
              <w:snapToGrid w:val="0"/>
              <w:spacing w:line="360" w:lineRule="auto"/>
              <w:ind w:firstLine="480" w:firstLineChars="200"/>
              <w:rPr>
                <w:color w:val="auto"/>
                <w:sz w:val="24"/>
              </w:rPr>
            </w:pPr>
            <w:r>
              <w:rPr>
                <w:color w:val="auto"/>
                <w:sz w:val="24"/>
              </w:rPr>
              <w:t>综上所述，本项目总体布局能够满足生产的需要，进、出物料运输便捷，功能分区明确，对外联系方便、总体布局合理</w:t>
            </w:r>
            <w:r>
              <w:rPr>
                <w:rFonts w:hint="eastAsia"/>
                <w:color w:val="auto"/>
                <w:sz w:val="24"/>
              </w:rPr>
              <w:t>。</w:t>
            </w:r>
          </w:p>
          <w:p>
            <w:pPr>
              <w:adjustRightInd w:val="0"/>
              <w:snapToGrid w:val="0"/>
              <w:spacing w:line="360" w:lineRule="auto"/>
              <w:rPr>
                <w:color w:val="auto"/>
              </w:rPr>
            </w:pPr>
            <w:r>
              <w:rPr>
                <w:b/>
                <w:color w:val="auto"/>
                <w:sz w:val="24"/>
              </w:rPr>
              <w:t>项目</w:t>
            </w:r>
            <w:r>
              <w:rPr>
                <w:rFonts w:hint="eastAsia"/>
                <w:b/>
                <w:color w:val="auto"/>
                <w:sz w:val="24"/>
              </w:rPr>
              <w:t>改扩建</w:t>
            </w:r>
            <w:r>
              <w:rPr>
                <w:b/>
                <w:color w:val="auto"/>
                <w:sz w:val="24"/>
              </w:rPr>
              <w:t>前后基本情况变化</w:t>
            </w:r>
          </w:p>
          <w:p>
            <w:pPr>
              <w:pStyle w:val="11"/>
              <w:adjustRightInd w:val="0"/>
              <w:snapToGrid w:val="0"/>
              <w:spacing w:after="0" w:line="360" w:lineRule="auto"/>
              <w:ind w:left="0" w:leftChars="0"/>
              <w:jc w:val="center"/>
              <w:rPr>
                <w:color w:val="auto"/>
                <w:sz w:val="21"/>
                <w:szCs w:val="21"/>
              </w:rPr>
            </w:pPr>
            <w:r>
              <w:rPr>
                <w:color w:val="auto"/>
                <w:sz w:val="21"/>
                <w:szCs w:val="21"/>
              </w:rPr>
              <w:t>表</w:t>
            </w:r>
            <w:r>
              <w:rPr>
                <w:rFonts w:hint="eastAsia"/>
                <w:color w:val="auto"/>
                <w:sz w:val="21"/>
                <w:szCs w:val="21"/>
              </w:rPr>
              <w:t>2.</w:t>
            </w:r>
            <w:r>
              <w:rPr>
                <w:rFonts w:hint="eastAsia"/>
                <w:color w:val="auto"/>
                <w:sz w:val="21"/>
                <w:szCs w:val="21"/>
                <w:lang w:val="en-US" w:eastAsia="zh-CN"/>
              </w:rPr>
              <w:t>12</w:t>
            </w:r>
            <w:r>
              <w:rPr>
                <w:rFonts w:hint="eastAsia"/>
                <w:color w:val="auto"/>
                <w:sz w:val="21"/>
                <w:szCs w:val="21"/>
              </w:rPr>
              <w:t xml:space="preserve"> 项目扩建前后</w:t>
            </w:r>
            <w:r>
              <w:rPr>
                <w:color w:val="auto"/>
                <w:sz w:val="21"/>
                <w:szCs w:val="21"/>
              </w:rPr>
              <w:t>基本情况对照表</w:t>
            </w:r>
          </w:p>
          <w:tbl>
            <w:tblPr>
              <w:tblStyle w:val="22"/>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1"/>
              <w:gridCol w:w="1790"/>
              <w:gridCol w:w="1898"/>
              <w:gridCol w:w="1949"/>
              <w:gridCol w:w="2285"/>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1332" w:type="pct"/>
                  <w:gridSpan w:val="2"/>
                  <w:vAlign w:val="center"/>
                </w:tcPr>
                <w:p>
                  <w:pPr>
                    <w:pStyle w:val="62"/>
                    <w:adjustRightInd w:val="0"/>
                    <w:snapToGrid w:val="0"/>
                    <w:spacing w:line="240" w:lineRule="auto"/>
                    <w:ind w:firstLine="0"/>
                    <w:rPr>
                      <w:rFonts w:ascii="Times New Roman" w:hAnsi="Times New Roman"/>
                      <w:color w:val="auto"/>
                      <w:sz w:val="21"/>
                      <w:szCs w:val="21"/>
                    </w:rPr>
                  </w:pPr>
                  <w:r>
                    <w:rPr>
                      <w:rFonts w:ascii="Times New Roman" w:hAnsi="Times New Roman"/>
                      <w:color w:val="auto"/>
                      <w:sz w:val="21"/>
                      <w:szCs w:val="21"/>
                    </w:rPr>
                    <w:t>项目</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ascii="Times New Roman" w:hAnsi="Times New Roman"/>
                      <w:color w:val="auto"/>
                      <w:sz w:val="21"/>
                      <w:szCs w:val="21"/>
                    </w:rPr>
                    <w:t>现有工程</w:t>
                  </w:r>
                </w:p>
              </w:tc>
              <w:tc>
                <w:tcPr>
                  <w:tcW w:w="1165" w:type="pct"/>
                  <w:vAlign w:val="center"/>
                </w:tcPr>
                <w:p>
                  <w:pPr>
                    <w:pStyle w:val="11"/>
                    <w:adjustRightInd w:val="0"/>
                    <w:snapToGrid w:val="0"/>
                    <w:spacing w:after="0"/>
                    <w:ind w:left="0" w:leftChars="0"/>
                    <w:jc w:val="center"/>
                    <w:rPr>
                      <w:color w:val="auto"/>
                      <w:szCs w:val="21"/>
                    </w:rPr>
                  </w:pPr>
                  <w:r>
                    <w:rPr>
                      <w:color w:val="auto"/>
                      <w:szCs w:val="21"/>
                    </w:rPr>
                    <w:t>扩建工程</w:t>
                  </w:r>
                </w:p>
              </w:tc>
              <w:tc>
                <w:tcPr>
                  <w:tcW w:w="1365" w:type="pct"/>
                  <w:vAlign w:val="center"/>
                </w:tcPr>
                <w:p>
                  <w:pPr>
                    <w:pStyle w:val="11"/>
                    <w:adjustRightInd w:val="0"/>
                    <w:snapToGrid w:val="0"/>
                    <w:spacing w:after="0"/>
                    <w:ind w:left="0" w:leftChars="0"/>
                    <w:jc w:val="center"/>
                    <w:rPr>
                      <w:color w:val="auto"/>
                      <w:szCs w:val="21"/>
                    </w:rPr>
                  </w:pPr>
                  <w:r>
                    <w:rPr>
                      <w:color w:val="auto"/>
                      <w:szCs w:val="21"/>
                    </w:rPr>
                    <w:t>总体工程</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97" w:hRule="atLeast"/>
              </w:trPr>
              <w:tc>
                <w:tcPr>
                  <w:tcW w:w="261" w:type="pct"/>
                  <w:vMerge w:val="restart"/>
                  <w:vAlign w:val="center"/>
                </w:tcPr>
                <w:p>
                  <w:pPr>
                    <w:pStyle w:val="11"/>
                    <w:adjustRightInd w:val="0"/>
                    <w:snapToGrid w:val="0"/>
                    <w:spacing w:after="0"/>
                    <w:ind w:left="0" w:leftChars="0"/>
                    <w:jc w:val="center"/>
                    <w:rPr>
                      <w:color w:val="auto"/>
                      <w:szCs w:val="21"/>
                    </w:rPr>
                  </w:pPr>
                  <w:r>
                    <w:rPr>
                      <w:color w:val="auto"/>
                      <w:szCs w:val="21"/>
                    </w:rPr>
                    <w:t>生产规模</w:t>
                  </w:r>
                </w:p>
              </w:tc>
              <w:tc>
                <w:tcPr>
                  <w:tcW w:w="1070" w:type="pct"/>
                  <w:vAlign w:val="center"/>
                </w:tcPr>
                <w:p>
                  <w:pPr>
                    <w:pStyle w:val="11"/>
                    <w:adjustRightInd w:val="0"/>
                    <w:snapToGrid w:val="0"/>
                    <w:spacing w:after="0"/>
                    <w:ind w:left="0" w:leftChars="0"/>
                    <w:jc w:val="center"/>
                    <w:rPr>
                      <w:color w:val="auto"/>
                      <w:szCs w:val="21"/>
                    </w:rPr>
                  </w:pPr>
                  <w:r>
                    <w:rPr>
                      <w:rFonts w:hint="eastAsia"/>
                      <w:color w:val="auto"/>
                      <w:szCs w:val="21"/>
                    </w:rPr>
                    <w:t>拉幅定型无纺布</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ascii="Times New Roman" w:hAnsi="Times New Roman"/>
                      <w:color w:val="auto"/>
                      <w:sz w:val="21"/>
                      <w:szCs w:val="21"/>
                    </w:rPr>
                    <w:t>0t/a</w:t>
                  </w:r>
                </w:p>
              </w:tc>
              <w:tc>
                <w:tcPr>
                  <w:tcW w:w="1165" w:type="pct"/>
                  <w:vAlign w:val="center"/>
                </w:tcPr>
                <w:p>
                  <w:pPr>
                    <w:widowControl/>
                    <w:adjustRightInd w:val="0"/>
                    <w:snapToGrid w:val="0"/>
                    <w:jc w:val="center"/>
                    <w:rPr>
                      <w:color w:val="auto"/>
                      <w:szCs w:val="21"/>
                    </w:rPr>
                  </w:pPr>
                  <w:r>
                    <w:rPr>
                      <w:rFonts w:hint="eastAsia"/>
                      <w:color w:val="auto"/>
                      <w:szCs w:val="21"/>
                    </w:rPr>
                    <w:t>50</w:t>
                  </w:r>
                  <w:r>
                    <w:rPr>
                      <w:color w:val="auto"/>
                      <w:szCs w:val="21"/>
                    </w:rPr>
                    <w:t>0t/a</w:t>
                  </w:r>
                </w:p>
              </w:tc>
              <w:tc>
                <w:tcPr>
                  <w:tcW w:w="1365" w:type="pct"/>
                  <w:vAlign w:val="center"/>
                </w:tcPr>
                <w:p>
                  <w:pPr>
                    <w:widowControl/>
                    <w:adjustRightInd w:val="0"/>
                    <w:snapToGrid w:val="0"/>
                    <w:jc w:val="center"/>
                    <w:rPr>
                      <w:color w:val="auto"/>
                      <w:szCs w:val="21"/>
                    </w:rPr>
                  </w:pPr>
                  <w:r>
                    <w:rPr>
                      <w:rFonts w:hint="eastAsia"/>
                      <w:color w:val="auto"/>
                      <w:kern w:val="0"/>
                      <w:szCs w:val="21"/>
                    </w:rPr>
                    <w:t>500t/a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261" w:type="pct"/>
                  <w:vMerge w:val="continue"/>
                  <w:vAlign w:val="center"/>
                </w:tcPr>
                <w:p>
                  <w:pPr>
                    <w:pStyle w:val="11"/>
                    <w:adjustRightInd w:val="0"/>
                    <w:snapToGrid w:val="0"/>
                    <w:spacing w:after="0"/>
                    <w:ind w:left="0" w:leftChars="0"/>
                    <w:jc w:val="center"/>
                    <w:rPr>
                      <w:color w:val="auto"/>
                      <w:szCs w:val="21"/>
                    </w:rPr>
                  </w:pPr>
                </w:p>
              </w:tc>
              <w:tc>
                <w:tcPr>
                  <w:tcW w:w="1070" w:type="pct"/>
                  <w:vAlign w:val="center"/>
                </w:tcPr>
                <w:p>
                  <w:pPr>
                    <w:pStyle w:val="11"/>
                    <w:adjustRightInd w:val="0"/>
                    <w:snapToGrid w:val="0"/>
                    <w:spacing w:after="0"/>
                    <w:ind w:left="0" w:leftChars="0"/>
                    <w:jc w:val="center"/>
                    <w:rPr>
                      <w:color w:val="auto"/>
                      <w:szCs w:val="21"/>
                    </w:rPr>
                  </w:pPr>
                  <w:r>
                    <w:rPr>
                      <w:rFonts w:hint="eastAsia"/>
                      <w:color w:val="auto"/>
                      <w:szCs w:val="21"/>
                    </w:rPr>
                    <w:t>淋膜无纺布</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ascii="Times New Roman" w:hAnsi="Times New Roman"/>
                      <w:color w:val="auto"/>
                      <w:sz w:val="21"/>
                      <w:szCs w:val="21"/>
                    </w:rPr>
                    <w:t>0t/a</w:t>
                  </w:r>
                </w:p>
              </w:tc>
              <w:tc>
                <w:tcPr>
                  <w:tcW w:w="1165" w:type="pct"/>
                  <w:vAlign w:val="center"/>
                </w:tcPr>
                <w:p>
                  <w:pPr>
                    <w:widowControl/>
                    <w:adjustRightInd w:val="0"/>
                    <w:snapToGrid w:val="0"/>
                    <w:jc w:val="center"/>
                    <w:rPr>
                      <w:color w:val="auto"/>
                      <w:szCs w:val="21"/>
                    </w:rPr>
                  </w:pPr>
                  <w:r>
                    <w:rPr>
                      <w:rFonts w:hint="eastAsia"/>
                      <w:color w:val="auto"/>
                      <w:szCs w:val="21"/>
                    </w:rPr>
                    <w:t>30</w:t>
                  </w:r>
                  <w:r>
                    <w:rPr>
                      <w:color w:val="auto"/>
                      <w:szCs w:val="21"/>
                    </w:rPr>
                    <w:t>0t/a</w:t>
                  </w:r>
                </w:p>
              </w:tc>
              <w:tc>
                <w:tcPr>
                  <w:tcW w:w="1365" w:type="pct"/>
                  <w:vAlign w:val="center"/>
                </w:tcPr>
                <w:p>
                  <w:pPr>
                    <w:widowControl/>
                    <w:adjustRightInd w:val="0"/>
                    <w:snapToGrid w:val="0"/>
                    <w:jc w:val="center"/>
                    <w:rPr>
                      <w:color w:val="auto"/>
                      <w:szCs w:val="21"/>
                    </w:rPr>
                  </w:pPr>
                  <w:r>
                    <w:rPr>
                      <w:rFonts w:hint="eastAsia"/>
                      <w:color w:val="auto"/>
                      <w:szCs w:val="21"/>
                    </w:rPr>
                    <w:t>30</w:t>
                  </w:r>
                  <w:r>
                    <w:rPr>
                      <w:color w:val="auto"/>
                      <w:szCs w:val="21"/>
                    </w:rPr>
                    <w:t>0t/a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47" w:hRule="atLeast"/>
              </w:trPr>
              <w:tc>
                <w:tcPr>
                  <w:tcW w:w="261" w:type="pct"/>
                  <w:vMerge w:val="continue"/>
                  <w:vAlign w:val="center"/>
                </w:tcPr>
                <w:p>
                  <w:pPr>
                    <w:pStyle w:val="11"/>
                    <w:adjustRightInd w:val="0"/>
                    <w:snapToGrid w:val="0"/>
                    <w:spacing w:after="0"/>
                    <w:ind w:left="0" w:leftChars="0"/>
                    <w:jc w:val="center"/>
                    <w:rPr>
                      <w:color w:val="auto"/>
                      <w:szCs w:val="21"/>
                    </w:rPr>
                  </w:pPr>
                </w:p>
              </w:tc>
              <w:tc>
                <w:tcPr>
                  <w:tcW w:w="1070" w:type="pct"/>
                  <w:vAlign w:val="center"/>
                </w:tcPr>
                <w:p>
                  <w:pPr>
                    <w:pStyle w:val="11"/>
                    <w:adjustRightInd w:val="0"/>
                    <w:snapToGrid w:val="0"/>
                    <w:spacing w:after="0"/>
                    <w:ind w:left="0" w:leftChars="0"/>
                    <w:jc w:val="center"/>
                    <w:rPr>
                      <w:color w:val="auto"/>
                      <w:kern w:val="0"/>
                      <w:szCs w:val="21"/>
                    </w:rPr>
                  </w:pPr>
                  <w:r>
                    <w:rPr>
                      <w:rFonts w:hint="eastAsia"/>
                      <w:color w:val="auto"/>
                      <w:kern w:val="0"/>
                      <w:szCs w:val="21"/>
                    </w:rPr>
                    <w:t>汽车纤维材料</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4000</w:t>
                  </w:r>
                  <w:r>
                    <w:rPr>
                      <w:rFonts w:ascii="Times New Roman" w:hAnsi="Times New Roman"/>
                      <w:color w:val="auto"/>
                      <w:sz w:val="21"/>
                      <w:szCs w:val="21"/>
                    </w:rPr>
                    <w:t>t/a</w:t>
                  </w:r>
                </w:p>
              </w:tc>
              <w:tc>
                <w:tcPr>
                  <w:tcW w:w="1165" w:type="pct"/>
                  <w:vAlign w:val="center"/>
                </w:tcPr>
                <w:p>
                  <w:pPr>
                    <w:adjustRightInd w:val="0"/>
                    <w:snapToGrid w:val="0"/>
                    <w:jc w:val="center"/>
                    <w:rPr>
                      <w:color w:val="auto"/>
                      <w:szCs w:val="21"/>
                    </w:rPr>
                  </w:pPr>
                  <w:r>
                    <w:rPr>
                      <w:color w:val="auto"/>
                      <w:szCs w:val="21"/>
                    </w:rPr>
                    <w:t>0t/a</w:t>
                  </w:r>
                </w:p>
              </w:tc>
              <w:tc>
                <w:tcPr>
                  <w:tcW w:w="1365" w:type="pct"/>
                  <w:vAlign w:val="center"/>
                </w:tcPr>
                <w:p>
                  <w:pPr>
                    <w:adjustRightInd w:val="0"/>
                    <w:snapToGrid w:val="0"/>
                    <w:jc w:val="center"/>
                    <w:rPr>
                      <w:color w:val="auto"/>
                      <w:szCs w:val="21"/>
                    </w:rPr>
                  </w:pPr>
                  <w:r>
                    <w:rPr>
                      <w:rFonts w:hint="eastAsia"/>
                      <w:color w:val="auto"/>
                      <w:szCs w:val="21"/>
                    </w:rPr>
                    <w:t>4000</w:t>
                  </w:r>
                  <w:r>
                    <w:rPr>
                      <w:color w:val="auto"/>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261" w:type="pct"/>
                  <w:vMerge w:val="continue"/>
                  <w:vAlign w:val="center"/>
                </w:tcPr>
                <w:p>
                  <w:pPr>
                    <w:pStyle w:val="11"/>
                    <w:adjustRightInd w:val="0"/>
                    <w:snapToGrid w:val="0"/>
                    <w:spacing w:after="0"/>
                    <w:ind w:left="0" w:leftChars="0"/>
                    <w:jc w:val="center"/>
                    <w:rPr>
                      <w:color w:val="auto"/>
                      <w:szCs w:val="21"/>
                    </w:rPr>
                  </w:pPr>
                </w:p>
              </w:tc>
              <w:tc>
                <w:tcPr>
                  <w:tcW w:w="1070" w:type="pct"/>
                  <w:vAlign w:val="center"/>
                </w:tcPr>
                <w:p>
                  <w:pPr>
                    <w:pStyle w:val="11"/>
                    <w:adjustRightInd w:val="0"/>
                    <w:snapToGrid w:val="0"/>
                    <w:spacing w:after="0"/>
                    <w:ind w:left="0" w:leftChars="0"/>
                    <w:jc w:val="center"/>
                    <w:rPr>
                      <w:color w:val="auto"/>
                      <w:szCs w:val="21"/>
                    </w:rPr>
                  </w:pPr>
                  <w:r>
                    <w:rPr>
                      <w:rFonts w:hint="eastAsia"/>
                      <w:color w:val="auto"/>
                      <w:szCs w:val="21"/>
                    </w:rPr>
                    <w:t>汽车内饰件</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337</w:t>
                  </w:r>
                  <w:r>
                    <w:rPr>
                      <w:rFonts w:ascii="Times New Roman" w:hAnsi="Times New Roman"/>
                      <w:color w:val="auto"/>
                      <w:sz w:val="21"/>
                      <w:szCs w:val="21"/>
                    </w:rPr>
                    <w:t>万t/a</w:t>
                  </w:r>
                </w:p>
              </w:tc>
              <w:tc>
                <w:tcPr>
                  <w:tcW w:w="1165" w:type="pct"/>
                </w:tcPr>
                <w:p>
                  <w:pPr>
                    <w:adjustRightInd w:val="0"/>
                    <w:snapToGrid w:val="0"/>
                    <w:jc w:val="center"/>
                    <w:rPr>
                      <w:color w:val="auto"/>
                      <w:szCs w:val="21"/>
                    </w:rPr>
                  </w:pPr>
                  <w:r>
                    <w:rPr>
                      <w:color w:val="auto"/>
                      <w:szCs w:val="21"/>
                    </w:rPr>
                    <w:t>0t/a</w:t>
                  </w:r>
                </w:p>
              </w:tc>
              <w:tc>
                <w:tcPr>
                  <w:tcW w:w="1365" w:type="pct"/>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337</w:t>
                  </w:r>
                  <w:r>
                    <w:rPr>
                      <w:rFonts w:ascii="Times New Roman" w:hAnsi="Times New Roman"/>
                      <w:color w:val="auto"/>
                      <w:sz w:val="21"/>
                      <w:szCs w:val="21"/>
                    </w:rPr>
                    <w:t>万t/a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1332" w:type="pct"/>
                  <w:gridSpan w:val="2"/>
                  <w:vAlign w:val="center"/>
                </w:tcPr>
                <w:p>
                  <w:pPr>
                    <w:pStyle w:val="11"/>
                    <w:adjustRightInd w:val="0"/>
                    <w:snapToGrid w:val="0"/>
                    <w:spacing w:after="0"/>
                    <w:ind w:left="0" w:leftChars="0"/>
                    <w:jc w:val="center"/>
                    <w:rPr>
                      <w:color w:val="auto"/>
                      <w:szCs w:val="21"/>
                    </w:rPr>
                  </w:pPr>
                  <w:r>
                    <w:rPr>
                      <w:color w:val="auto"/>
                      <w:szCs w:val="21"/>
                    </w:rPr>
                    <w:t>工作制度及劳动定员</w:t>
                  </w:r>
                </w:p>
              </w:tc>
              <w:tc>
                <w:tcPr>
                  <w:tcW w:w="1135" w:type="pct"/>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75</w:t>
                  </w:r>
                  <w:r>
                    <w:rPr>
                      <w:rFonts w:ascii="Times New Roman" w:hAnsi="Times New Roman"/>
                      <w:color w:val="auto"/>
                      <w:sz w:val="21"/>
                      <w:szCs w:val="21"/>
                    </w:rPr>
                    <w:t>人，300天，</w:t>
                  </w:r>
                  <w:r>
                    <w:rPr>
                      <w:rFonts w:hint="eastAsia" w:ascii="Times New Roman" w:hAnsi="Times New Roman"/>
                      <w:color w:val="auto"/>
                      <w:sz w:val="21"/>
                      <w:szCs w:val="21"/>
                    </w:rPr>
                    <w:t>2</w:t>
                  </w:r>
                  <w:r>
                    <w:rPr>
                      <w:rFonts w:ascii="Times New Roman" w:hAnsi="Times New Roman"/>
                      <w:color w:val="auto"/>
                      <w:sz w:val="21"/>
                      <w:szCs w:val="21"/>
                    </w:rPr>
                    <w:t>班、8小时/班</w:t>
                  </w:r>
                </w:p>
              </w:tc>
              <w:tc>
                <w:tcPr>
                  <w:tcW w:w="1165" w:type="pct"/>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4</w:t>
                  </w:r>
                  <w:r>
                    <w:rPr>
                      <w:rFonts w:ascii="Times New Roman" w:hAnsi="Times New Roman"/>
                      <w:color w:val="auto"/>
                      <w:sz w:val="21"/>
                      <w:szCs w:val="21"/>
                    </w:rPr>
                    <w:t>人，300天，</w:t>
                  </w:r>
                  <w:r>
                    <w:rPr>
                      <w:rFonts w:hint="eastAsia" w:ascii="Times New Roman" w:hAnsi="Times New Roman"/>
                      <w:color w:val="auto"/>
                      <w:sz w:val="21"/>
                      <w:szCs w:val="21"/>
                    </w:rPr>
                    <w:t>1</w:t>
                  </w:r>
                  <w:r>
                    <w:rPr>
                      <w:rFonts w:ascii="Times New Roman" w:hAnsi="Times New Roman"/>
                      <w:color w:val="auto"/>
                      <w:sz w:val="21"/>
                      <w:szCs w:val="21"/>
                    </w:rPr>
                    <w:t>班、8小时/班</w:t>
                  </w:r>
                </w:p>
              </w:tc>
              <w:tc>
                <w:tcPr>
                  <w:tcW w:w="1365" w:type="pct"/>
                  <w:vAlign w:val="center"/>
                </w:tcPr>
                <w:p>
                  <w:pPr>
                    <w:pStyle w:val="11"/>
                    <w:adjustRightInd w:val="0"/>
                    <w:snapToGrid w:val="0"/>
                    <w:spacing w:after="0"/>
                    <w:ind w:left="0" w:leftChars="0"/>
                    <w:jc w:val="center"/>
                    <w:rPr>
                      <w:color w:val="auto"/>
                      <w:szCs w:val="21"/>
                    </w:rPr>
                  </w:pPr>
                  <w:r>
                    <w:rPr>
                      <w:rFonts w:hint="eastAsia"/>
                      <w:color w:val="auto"/>
                      <w:szCs w:val="21"/>
                    </w:rPr>
                    <w:t>79</w:t>
                  </w:r>
                  <w:r>
                    <w:rPr>
                      <w:color w:val="auto"/>
                      <w:szCs w:val="21"/>
                    </w:rPr>
                    <w:t>人，300天，</w:t>
                  </w:r>
                  <w:r>
                    <w:rPr>
                      <w:rFonts w:hint="eastAsia"/>
                      <w:color w:val="auto"/>
                      <w:szCs w:val="21"/>
                    </w:rPr>
                    <w:t>现有工程2班制、扩建工程1班制，</w:t>
                  </w:r>
                  <w:r>
                    <w:rPr>
                      <w:color w:val="auto"/>
                      <w:szCs w:val="21"/>
                    </w:rPr>
                    <w:t>8小时/班</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restart"/>
                  <w:vAlign w:val="center"/>
                </w:tcPr>
                <w:p>
                  <w:pPr>
                    <w:pStyle w:val="11"/>
                    <w:adjustRightInd w:val="0"/>
                    <w:snapToGrid w:val="0"/>
                    <w:spacing w:after="0"/>
                    <w:ind w:left="0" w:leftChars="0"/>
                    <w:jc w:val="center"/>
                    <w:rPr>
                      <w:color w:val="auto"/>
                      <w:szCs w:val="21"/>
                    </w:rPr>
                  </w:pPr>
                  <w:r>
                    <w:rPr>
                      <w:color w:val="auto"/>
                      <w:szCs w:val="21"/>
                    </w:rPr>
                    <w:t>原辅材料消耗</w:t>
                  </w:r>
                </w:p>
              </w:tc>
              <w:tc>
                <w:tcPr>
                  <w:tcW w:w="1070" w:type="pct"/>
                  <w:vAlign w:val="center"/>
                </w:tcPr>
                <w:p>
                  <w:pPr>
                    <w:adjustRightInd w:val="0"/>
                    <w:snapToGrid w:val="0"/>
                    <w:jc w:val="center"/>
                    <w:rPr>
                      <w:color w:val="auto"/>
                      <w:szCs w:val="21"/>
                    </w:rPr>
                  </w:pPr>
                  <w:r>
                    <w:rPr>
                      <w:rFonts w:hint="eastAsia"/>
                      <w:color w:val="auto"/>
                      <w:szCs w:val="21"/>
                    </w:rPr>
                    <w:t>无纺布</w:t>
                  </w:r>
                </w:p>
              </w:tc>
              <w:tc>
                <w:tcPr>
                  <w:tcW w:w="1135" w:type="pct"/>
                  <w:vAlign w:val="center"/>
                </w:tcPr>
                <w:p>
                  <w:pPr>
                    <w:widowControl/>
                    <w:adjustRightInd w:val="0"/>
                    <w:snapToGrid w:val="0"/>
                    <w:jc w:val="center"/>
                    <w:rPr>
                      <w:color w:val="auto"/>
                      <w:szCs w:val="21"/>
                    </w:rPr>
                  </w:pPr>
                  <w:r>
                    <w:rPr>
                      <w:rFonts w:hint="eastAsia"/>
                      <w:color w:val="auto"/>
                      <w:szCs w:val="21"/>
                    </w:rPr>
                    <w:t>0卷/a</w:t>
                  </w:r>
                </w:p>
              </w:tc>
              <w:tc>
                <w:tcPr>
                  <w:tcW w:w="1165" w:type="pct"/>
                  <w:vAlign w:val="center"/>
                </w:tcPr>
                <w:p>
                  <w:pPr>
                    <w:adjustRightInd w:val="0"/>
                    <w:snapToGrid w:val="0"/>
                    <w:jc w:val="center"/>
                    <w:rPr>
                      <w:color w:val="auto"/>
                      <w:szCs w:val="21"/>
                    </w:rPr>
                  </w:pPr>
                  <w:r>
                    <w:rPr>
                      <w:rFonts w:hint="eastAsia"/>
                      <w:color w:val="auto"/>
                      <w:szCs w:val="21"/>
                    </w:rPr>
                    <w:t>15000卷/a</w:t>
                  </w:r>
                </w:p>
              </w:tc>
              <w:tc>
                <w:tcPr>
                  <w:tcW w:w="1365" w:type="pct"/>
                  <w:vAlign w:val="center"/>
                </w:tcPr>
                <w:p>
                  <w:pPr>
                    <w:adjustRightInd w:val="0"/>
                    <w:snapToGrid w:val="0"/>
                    <w:jc w:val="center"/>
                    <w:rPr>
                      <w:color w:val="auto"/>
                      <w:kern w:val="0"/>
                      <w:szCs w:val="21"/>
                      <w:lang w:bidi="ar"/>
                    </w:rPr>
                  </w:pPr>
                  <w:r>
                    <w:rPr>
                      <w:rFonts w:hint="eastAsia"/>
                      <w:color w:val="auto"/>
                      <w:szCs w:val="21"/>
                    </w:rPr>
                    <w:t>15000卷/a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1"/>
                    <w:adjustRightInd w:val="0"/>
                    <w:snapToGrid w:val="0"/>
                    <w:spacing w:after="0"/>
                    <w:ind w:left="0" w:leftChars="0"/>
                    <w:jc w:val="center"/>
                    <w:rPr>
                      <w:color w:val="auto"/>
                      <w:szCs w:val="21"/>
                    </w:rPr>
                  </w:pPr>
                </w:p>
              </w:tc>
              <w:tc>
                <w:tcPr>
                  <w:tcW w:w="1070" w:type="pct"/>
                  <w:vAlign w:val="center"/>
                </w:tcPr>
                <w:p>
                  <w:pPr>
                    <w:adjustRightInd w:val="0"/>
                    <w:snapToGrid w:val="0"/>
                    <w:jc w:val="center"/>
                    <w:rPr>
                      <w:color w:val="auto"/>
                      <w:szCs w:val="21"/>
                    </w:rPr>
                  </w:pPr>
                  <w:r>
                    <w:rPr>
                      <w:rFonts w:hint="eastAsia"/>
                      <w:color w:val="auto"/>
                      <w:szCs w:val="21"/>
                    </w:rPr>
                    <w:t>PET纤维</w:t>
                  </w:r>
                </w:p>
              </w:tc>
              <w:tc>
                <w:tcPr>
                  <w:tcW w:w="1135" w:type="pct"/>
                  <w:vAlign w:val="center"/>
                </w:tcPr>
                <w:p>
                  <w:pPr>
                    <w:widowControl/>
                    <w:adjustRightInd w:val="0"/>
                    <w:snapToGrid w:val="0"/>
                    <w:jc w:val="center"/>
                    <w:rPr>
                      <w:color w:val="auto"/>
                      <w:szCs w:val="21"/>
                    </w:rPr>
                  </w:pPr>
                  <w:r>
                    <w:rPr>
                      <w:rFonts w:hint="eastAsia"/>
                      <w:color w:val="auto"/>
                      <w:szCs w:val="21"/>
                    </w:rPr>
                    <w:t>420t/a</w:t>
                  </w:r>
                </w:p>
              </w:tc>
              <w:tc>
                <w:tcPr>
                  <w:tcW w:w="1165" w:type="pct"/>
                  <w:vAlign w:val="center"/>
                </w:tcPr>
                <w:p>
                  <w:pPr>
                    <w:adjustRightInd w:val="0"/>
                    <w:snapToGrid w:val="0"/>
                    <w:jc w:val="center"/>
                    <w:rPr>
                      <w:color w:val="auto"/>
                      <w:szCs w:val="21"/>
                    </w:rPr>
                  </w:pPr>
                  <w:r>
                    <w:rPr>
                      <w:rFonts w:hint="eastAsia"/>
                      <w:color w:val="auto"/>
                      <w:szCs w:val="21"/>
                    </w:rPr>
                    <w:t>0t/a</w:t>
                  </w:r>
                </w:p>
              </w:tc>
              <w:tc>
                <w:tcPr>
                  <w:tcW w:w="1365" w:type="pct"/>
                  <w:vAlign w:val="center"/>
                </w:tcPr>
                <w:p>
                  <w:pPr>
                    <w:adjustRightInd w:val="0"/>
                    <w:snapToGrid w:val="0"/>
                    <w:jc w:val="center"/>
                    <w:rPr>
                      <w:color w:val="auto"/>
                      <w:szCs w:val="21"/>
                    </w:rPr>
                  </w:pPr>
                  <w:r>
                    <w:rPr>
                      <w:rFonts w:hint="eastAsia"/>
                      <w:color w:val="auto"/>
                      <w:szCs w:val="21"/>
                    </w:rPr>
                    <w:t>420t/a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1"/>
                    <w:adjustRightInd w:val="0"/>
                    <w:snapToGrid w:val="0"/>
                    <w:spacing w:after="0"/>
                    <w:ind w:left="0" w:leftChars="0"/>
                    <w:jc w:val="center"/>
                    <w:rPr>
                      <w:color w:val="auto"/>
                      <w:szCs w:val="21"/>
                    </w:rPr>
                  </w:pPr>
                </w:p>
              </w:tc>
              <w:tc>
                <w:tcPr>
                  <w:tcW w:w="1070" w:type="pct"/>
                  <w:vAlign w:val="center"/>
                </w:tcPr>
                <w:p>
                  <w:pPr>
                    <w:pStyle w:val="5"/>
                    <w:adjustRightInd w:val="0"/>
                    <w:snapToGrid w:val="0"/>
                    <w:spacing w:beforeLines="0" w:line="240" w:lineRule="auto"/>
                    <w:jc w:val="center"/>
                    <w:rPr>
                      <w:rFonts w:ascii="Times New Roman" w:hAnsi="Times New Roman"/>
                      <w:b w:val="0"/>
                      <w:bCs w:val="0"/>
                      <w:color w:val="auto"/>
                      <w:sz w:val="21"/>
                    </w:rPr>
                  </w:pPr>
                  <w:r>
                    <w:rPr>
                      <w:rFonts w:hint="eastAsia" w:ascii="Times New Roman" w:hAnsi="Times New Roman"/>
                      <w:b w:val="0"/>
                      <w:bCs w:val="0"/>
                      <w:color w:val="auto"/>
                      <w:sz w:val="21"/>
                    </w:rPr>
                    <w:t>P</w:t>
                  </w:r>
                  <w:r>
                    <w:rPr>
                      <w:rFonts w:hint="eastAsia" w:ascii="Times New Roman" w:hAnsi="Times New Roman"/>
                      <w:b w:val="0"/>
                      <w:bCs w:val="0"/>
                      <w:color w:val="auto"/>
                      <w:sz w:val="21"/>
                      <w:lang w:val="en-US" w:eastAsia="zh-CN"/>
                    </w:rPr>
                    <w:t>E</w:t>
                  </w:r>
                  <w:r>
                    <w:rPr>
                      <w:rFonts w:hint="eastAsia" w:ascii="Times New Roman" w:hAnsi="Times New Roman"/>
                      <w:b w:val="0"/>
                      <w:bCs w:val="0"/>
                      <w:color w:val="auto"/>
                      <w:sz w:val="21"/>
                    </w:rPr>
                    <w:t>塑料粒</w:t>
                  </w:r>
                </w:p>
              </w:tc>
              <w:tc>
                <w:tcPr>
                  <w:tcW w:w="1135" w:type="pct"/>
                  <w:vAlign w:val="center"/>
                </w:tcPr>
                <w:p>
                  <w:pPr>
                    <w:widowControl/>
                    <w:adjustRightInd w:val="0"/>
                    <w:snapToGrid w:val="0"/>
                    <w:jc w:val="center"/>
                    <w:rPr>
                      <w:color w:val="auto"/>
                      <w:szCs w:val="21"/>
                    </w:rPr>
                  </w:pPr>
                  <w:r>
                    <w:rPr>
                      <w:rFonts w:hint="eastAsia"/>
                      <w:color w:val="auto"/>
                      <w:szCs w:val="21"/>
                    </w:rPr>
                    <w:t>0</w:t>
                  </w:r>
                  <w:r>
                    <w:rPr>
                      <w:color w:val="auto"/>
                      <w:szCs w:val="21"/>
                    </w:rPr>
                    <w:t>t/a</w:t>
                  </w:r>
                </w:p>
              </w:tc>
              <w:tc>
                <w:tcPr>
                  <w:tcW w:w="1165" w:type="pct"/>
                  <w:vAlign w:val="center"/>
                </w:tcPr>
                <w:p>
                  <w:pPr>
                    <w:adjustRightInd w:val="0"/>
                    <w:snapToGrid w:val="0"/>
                    <w:jc w:val="center"/>
                    <w:rPr>
                      <w:color w:val="auto"/>
                      <w:szCs w:val="21"/>
                    </w:rPr>
                  </w:pPr>
                  <w:r>
                    <w:rPr>
                      <w:rFonts w:hint="eastAsia"/>
                      <w:color w:val="auto"/>
                      <w:szCs w:val="21"/>
                      <w:lang w:val="en-US" w:eastAsia="zh-CN"/>
                    </w:rPr>
                    <w:t>61</w:t>
                  </w:r>
                  <w:r>
                    <w:rPr>
                      <w:color w:val="auto"/>
                      <w:szCs w:val="21"/>
                    </w:rPr>
                    <w:t>t/a</w:t>
                  </w:r>
                </w:p>
              </w:tc>
              <w:tc>
                <w:tcPr>
                  <w:tcW w:w="1365" w:type="pct"/>
                  <w:vAlign w:val="center"/>
                </w:tcPr>
                <w:p>
                  <w:pPr>
                    <w:adjustRightInd w:val="0"/>
                    <w:snapToGrid w:val="0"/>
                    <w:jc w:val="center"/>
                    <w:rPr>
                      <w:color w:val="auto"/>
                      <w:kern w:val="0"/>
                      <w:szCs w:val="21"/>
                      <w:lang w:bidi="ar"/>
                    </w:rPr>
                  </w:pPr>
                  <w:r>
                    <w:rPr>
                      <w:rFonts w:hint="eastAsia"/>
                      <w:color w:val="auto"/>
                      <w:szCs w:val="21"/>
                      <w:lang w:val="en-US" w:eastAsia="zh-CN"/>
                    </w:rPr>
                    <w:t>61</w:t>
                  </w:r>
                  <w:r>
                    <w:rPr>
                      <w:color w:val="auto"/>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color w:val="auto"/>
                      <w:szCs w:val="21"/>
                    </w:rPr>
                    <w:t>水性胶粘剂</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ascii="Times New Roman" w:hAnsi="Times New Roman"/>
                      <w:color w:val="auto"/>
                      <w:sz w:val="21"/>
                      <w:szCs w:val="21"/>
                    </w:rPr>
                    <w:t>0t/a</w:t>
                  </w:r>
                </w:p>
              </w:tc>
              <w:tc>
                <w:tcPr>
                  <w:tcW w:w="1165" w:type="pct"/>
                  <w:tcBorders>
                    <w:left w:val="single" w:color="auto" w:sz="4" w:space="0"/>
                  </w:tcBorders>
                  <w:vAlign w:val="center"/>
                </w:tcPr>
                <w:p>
                  <w:pPr>
                    <w:adjustRightInd w:val="0"/>
                    <w:snapToGrid w:val="0"/>
                    <w:jc w:val="center"/>
                    <w:rPr>
                      <w:color w:val="auto"/>
                      <w:szCs w:val="21"/>
                    </w:rPr>
                  </w:pPr>
                  <w:r>
                    <w:rPr>
                      <w:rFonts w:hint="eastAsia"/>
                      <w:color w:val="auto"/>
                      <w:szCs w:val="21"/>
                      <w:lang w:val="en-US" w:eastAsia="zh-CN"/>
                    </w:rPr>
                    <w:t>59</w:t>
                  </w:r>
                  <w:r>
                    <w:rPr>
                      <w:color w:val="auto"/>
                      <w:szCs w:val="21"/>
                    </w:rPr>
                    <w:t>t/a</w:t>
                  </w:r>
                </w:p>
              </w:tc>
              <w:tc>
                <w:tcPr>
                  <w:tcW w:w="1365" w:type="pct"/>
                  <w:tcBorders>
                    <w:lef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lang w:val="en-US" w:eastAsia="zh-CN"/>
                    </w:rPr>
                    <w:t>59</w:t>
                  </w:r>
                  <w:r>
                    <w:rPr>
                      <w:rFonts w:ascii="Times New Roman" w:hAnsi="Times New Roman"/>
                      <w:color w:val="auto"/>
                      <w:sz w:val="21"/>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rFonts w:hint="eastAsia"/>
                      <w:color w:val="auto"/>
                      <w:szCs w:val="21"/>
                    </w:rPr>
                    <w:t>碎布条</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4000</w:t>
                  </w:r>
                  <w:r>
                    <w:rPr>
                      <w:rFonts w:ascii="Times New Roman" w:hAnsi="Times New Roman"/>
                      <w:color w:val="auto"/>
                      <w:sz w:val="21"/>
                      <w:szCs w:val="21"/>
                    </w:rPr>
                    <w:t>t/a</w:t>
                  </w:r>
                </w:p>
              </w:tc>
              <w:tc>
                <w:tcPr>
                  <w:tcW w:w="1165" w:type="pct"/>
                  <w:tcBorders>
                    <w:left w:val="single" w:color="auto" w:sz="4" w:space="0"/>
                  </w:tcBorders>
                  <w:vAlign w:val="center"/>
                </w:tcPr>
                <w:p>
                  <w:pPr>
                    <w:adjustRightInd w:val="0"/>
                    <w:snapToGrid w:val="0"/>
                    <w:jc w:val="center"/>
                    <w:rPr>
                      <w:color w:val="auto"/>
                      <w:szCs w:val="21"/>
                    </w:rPr>
                  </w:pPr>
                  <w:r>
                    <w:rPr>
                      <w:color w:val="auto"/>
                      <w:szCs w:val="21"/>
                    </w:rPr>
                    <w:t>0t/a</w:t>
                  </w:r>
                </w:p>
              </w:tc>
              <w:tc>
                <w:tcPr>
                  <w:tcW w:w="1365" w:type="pct"/>
                  <w:tcBorders>
                    <w:lef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4000</w:t>
                  </w:r>
                  <w:r>
                    <w:rPr>
                      <w:rFonts w:ascii="Times New Roman" w:hAnsi="Times New Roman"/>
                      <w:color w:val="auto"/>
                      <w:sz w:val="21"/>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rFonts w:hint="eastAsia"/>
                      <w:color w:val="auto"/>
                      <w:szCs w:val="21"/>
                    </w:rPr>
                    <w:t>共聚酯胶粘剂</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t/a</w:t>
                  </w:r>
                </w:p>
              </w:tc>
              <w:tc>
                <w:tcPr>
                  <w:tcW w:w="1165" w:type="pct"/>
                  <w:tcBorders>
                    <w:left w:val="single" w:color="auto" w:sz="4" w:space="0"/>
                  </w:tcBorders>
                  <w:vAlign w:val="center"/>
                </w:tcPr>
                <w:p>
                  <w:pPr>
                    <w:adjustRightInd w:val="0"/>
                    <w:snapToGrid w:val="0"/>
                    <w:jc w:val="center"/>
                    <w:rPr>
                      <w:color w:val="auto"/>
                      <w:szCs w:val="21"/>
                    </w:rPr>
                  </w:pPr>
                  <w:r>
                    <w:rPr>
                      <w:color w:val="auto"/>
                      <w:szCs w:val="21"/>
                    </w:rPr>
                    <w:t>0t/a</w:t>
                  </w:r>
                </w:p>
              </w:tc>
              <w:tc>
                <w:tcPr>
                  <w:tcW w:w="1365" w:type="pct"/>
                  <w:tcBorders>
                    <w:lef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2</w:t>
                  </w:r>
                  <w:r>
                    <w:rPr>
                      <w:rFonts w:ascii="Times New Roman" w:hAnsi="Times New Roman"/>
                      <w:color w:val="auto"/>
                      <w:sz w:val="21"/>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rFonts w:hint="eastAsia"/>
                      <w:color w:val="auto"/>
                      <w:szCs w:val="21"/>
                    </w:rPr>
                    <w:t>液压油</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0.5t/a</w:t>
                  </w:r>
                </w:p>
              </w:tc>
              <w:tc>
                <w:tcPr>
                  <w:tcW w:w="1165" w:type="pct"/>
                  <w:tcBorders>
                    <w:left w:val="single" w:color="auto" w:sz="4" w:space="0"/>
                  </w:tcBorders>
                  <w:vAlign w:val="center"/>
                </w:tcPr>
                <w:p>
                  <w:pPr>
                    <w:adjustRightInd w:val="0"/>
                    <w:snapToGrid w:val="0"/>
                    <w:jc w:val="center"/>
                    <w:rPr>
                      <w:color w:val="auto"/>
                      <w:szCs w:val="21"/>
                    </w:rPr>
                  </w:pPr>
                  <w:r>
                    <w:rPr>
                      <w:rFonts w:hint="eastAsia"/>
                      <w:color w:val="auto"/>
                      <w:szCs w:val="21"/>
                    </w:rPr>
                    <w:t>0t/a</w:t>
                  </w:r>
                </w:p>
              </w:tc>
              <w:tc>
                <w:tcPr>
                  <w:tcW w:w="1365" w:type="pct"/>
                  <w:tcBorders>
                    <w:left w:val="single" w:color="auto" w:sz="4" w:space="0"/>
                  </w:tcBorders>
                  <w:vAlign w:val="center"/>
                </w:tcPr>
                <w:p>
                  <w:pPr>
                    <w:adjustRightInd w:val="0"/>
                    <w:snapToGrid w:val="0"/>
                    <w:jc w:val="center"/>
                    <w:rPr>
                      <w:color w:val="auto"/>
                      <w:kern w:val="0"/>
                      <w:szCs w:val="21"/>
                    </w:rPr>
                  </w:pPr>
                  <w:r>
                    <w:rPr>
                      <w:rFonts w:hint="eastAsia"/>
                      <w:color w:val="auto"/>
                      <w:szCs w:val="21"/>
                    </w:rPr>
                    <w:t>0.5t/a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rFonts w:hint="eastAsia"/>
                      <w:color w:val="auto"/>
                      <w:szCs w:val="21"/>
                    </w:rPr>
                    <w:t>机油</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0.02t/a</w:t>
                  </w:r>
                </w:p>
              </w:tc>
              <w:tc>
                <w:tcPr>
                  <w:tcW w:w="1165" w:type="pct"/>
                  <w:tcBorders>
                    <w:left w:val="single" w:color="auto" w:sz="4" w:space="0"/>
                  </w:tcBorders>
                  <w:vAlign w:val="center"/>
                </w:tcPr>
                <w:p>
                  <w:pPr>
                    <w:adjustRightInd w:val="0"/>
                    <w:snapToGrid w:val="0"/>
                    <w:jc w:val="center"/>
                    <w:rPr>
                      <w:color w:val="auto"/>
                      <w:szCs w:val="21"/>
                    </w:rPr>
                  </w:pPr>
                  <w:r>
                    <w:rPr>
                      <w:rFonts w:hint="eastAsia"/>
                      <w:color w:val="auto"/>
                      <w:szCs w:val="21"/>
                    </w:rPr>
                    <w:t>0.03t/a</w:t>
                  </w:r>
                </w:p>
              </w:tc>
              <w:tc>
                <w:tcPr>
                  <w:tcW w:w="1365" w:type="pct"/>
                  <w:tcBorders>
                    <w:left w:val="single" w:color="auto" w:sz="4" w:space="0"/>
                  </w:tcBorders>
                  <w:vAlign w:val="center"/>
                </w:tcPr>
                <w:p>
                  <w:pPr>
                    <w:adjustRightInd w:val="0"/>
                    <w:snapToGrid w:val="0"/>
                    <w:jc w:val="center"/>
                    <w:rPr>
                      <w:color w:val="auto"/>
                      <w:kern w:val="0"/>
                      <w:szCs w:val="21"/>
                    </w:rPr>
                  </w:pPr>
                  <w:r>
                    <w:rPr>
                      <w:rFonts w:hint="eastAsia"/>
                      <w:color w:val="auto"/>
                      <w:kern w:val="0"/>
                      <w:szCs w:val="21"/>
                    </w:rPr>
                    <w:t>0.05t/a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1" w:type="pct"/>
                  <w:vMerge w:val="continue"/>
                  <w:vAlign w:val="center"/>
                </w:tcPr>
                <w:p>
                  <w:pPr>
                    <w:pStyle w:val="10"/>
                    <w:adjustRightInd w:val="0"/>
                    <w:spacing w:line="240" w:lineRule="auto"/>
                    <w:jc w:val="center"/>
                    <w:rPr>
                      <w:color w:val="auto"/>
                      <w:szCs w:val="21"/>
                    </w:rPr>
                  </w:pPr>
                </w:p>
              </w:tc>
              <w:tc>
                <w:tcPr>
                  <w:tcW w:w="1070" w:type="pct"/>
                  <w:vAlign w:val="center"/>
                </w:tcPr>
                <w:p>
                  <w:pPr>
                    <w:adjustRightInd w:val="0"/>
                    <w:snapToGrid w:val="0"/>
                    <w:jc w:val="center"/>
                    <w:rPr>
                      <w:color w:val="auto"/>
                      <w:szCs w:val="21"/>
                    </w:rPr>
                  </w:pPr>
                  <w:r>
                    <w:rPr>
                      <w:color w:val="auto"/>
                    </w:rPr>
                    <w:t>抹布、劳保用品</w:t>
                  </w:r>
                </w:p>
              </w:tc>
              <w:tc>
                <w:tcPr>
                  <w:tcW w:w="1135" w:type="pct"/>
                  <w:tcBorders>
                    <w:right w:val="single" w:color="auto" w:sz="4" w:space="0"/>
                  </w:tcBorders>
                  <w:vAlign w:val="center"/>
                </w:tcPr>
                <w:p>
                  <w:pPr>
                    <w:pStyle w:val="62"/>
                    <w:adjustRightInd w:val="0"/>
                    <w:snapToGrid w:val="0"/>
                    <w:spacing w:line="240" w:lineRule="auto"/>
                    <w:ind w:firstLine="0"/>
                    <w:rPr>
                      <w:rFonts w:ascii="Times New Roman" w:hAnsi="Times New Roman"/>
                      <w:color w:val="auto"/>
                      <w:sz w:val="21"/>
                      <w:szCs w:val="21"/>
                    </w:rPr>
                  </w:pPr>
                  <w:r>
                    <w:rPr>
                      <w:rFonts w:hint="eastAsia" w:ascii="Times New Roman" w:hAnsi="Times New Roman"/>
                      <w:color w:val="auto"/>
                      <w:sz w:val="21"/>
                      <w:szCs w:val="21"/>
                    </w:rPr>
                    <w:t>0.2t/a</w:t>
                  </w:r>
                </w:p>
              </w:tc>
              <w:tc>
                <w:tcPr>
                  <w:tcW w:w="1165" w:type="pct"/>
                  <w:tcBorders>
                    <w:left w:val="single" w:color="auto" w:sz="4" w:space="0"/>
                  </w:tcBorders>
                  <w:vAlign w:val="center"/>
                </w:tcPr>
                <w:p>
                  <w:pPr>
                    <w:adjustRightInd w:val="0"/>
                    <w:snapToGrid w:val="0"/>
                    <w:jc w:val="center"/>
                    <w:rPr>
                      <w:color w:val="auto"/>
                      <w:szCs w:val="21"/>
                    </w:rPr>
                  </w:pPr>
                  <w:r>
                    <w:rPr>
                      <w:rFonts w:hint="eastAsia"/>
                      <w:color w:val="auto"/>
                      <w:szCs w:val="21"/>
                    </w:rPr>
                    <w:t>0.03t/a</w:t>
                  </w:r>
                </w:p>
              </w:tc>
              <w:tc>
                <w:tcPr>
                  <w:tcW w:w="1365" w:type="pct"/>
                  <w:tcBorders>
                    <w:left w:val="single" w:color="auto" w:sz="4" w:space="0"/>
                  </w:tcBorders>
                  <w:vAlign w:val="center"/>
                </w:tcPr>
                <w:p>
                  <w:pPr>
                    <w:adjustRightInd w:val="0"/>
                    <w:snapToGrid w:val="0"/>
                    <w:jc w:val="center"/>
                    <w:rPr>
                      <w:color w:val="auto"/>
                      <w:kern w:val="0"/>
                      <w:szCs w:val="21"/>
                    </w:rPr>
                  </w:pPr>
                  <w:r>
                    <w:rPr>
                      <w:rFonts w:hint="eastAsia"/>
                      <w:color w:val="auto"/>
                      <w:kern w:val="0"/>
                      <w:szCs w:val="21"/>
                    </w:rPr>
                    <w:t>0.23t/a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1332" w:type="pct"/>
                  <w:gridSpan w:val="2"/>
                  <w:vAlign w:val="center"/>
                </w:tcPr>
                <w:p>
                  <w:pPr>
                    <w:adjustRightInd w:val="0"/>
                    <w:snapToGrid w:val="0"/>
                    <w:jc w:val="center"/>
                    <w:rPr>
                      <w:color w:val="auto"/>
                      <w:szCs w:val="21"/>
                    </w:rPr>
                  </w:pPr>
                  <w:r>
                    <w:rPr>
                      <w:color w:val="auto"/>
                      <w:szCs w:val="21"/>
                    </w:rPr>
                    <w:t>生产工艺</w:t>
                  </w:r>
                </w:p>
              </w:tc>
              <w:tc>
                <w:tcPr>
                  <w:tcW w:w="3667" w:type="pct"/>
                  <w:gridSpan w:val="3"/>
                  <w:vAlign w:val="center"/>
                </w:tcPr>
                <w:p>
                  <w:pPr>
                    <w:adjustRightInd w:val="0"/>
                    <w:snapToGrid w:val="0"/>
                    <w:rPr>
                      <w:color w:val="auto"/>
                      <w:szCs w:val="21"/>
                    </w:rPr>
                  </w:pPr>
                  <w:r>
                    <w:rPr>
                      <w:rFonts w:hint="eastAsia"/>
                      <w:color w:val="auto"/>
                      <w:szCs w:val="21"/>
                    </w:rPr>
                    <w:t>现有工程生产工艺不发生变化</w:t>
                  </w:r>
                  <w:r>
                    <w:rPr>
                      <w:color w:val="auto"/>
                      <w:szCs w:val="21"/>
                    </w:rPr>
                    <w:t>，新增</w:t>
                  </w:r>
                  <w:r>
                    <w:rPr>
                      <w:color w:val="auto"/>
                      <w:kern w:val="0"/>
                      <w:szCs w:val="21"/>
                    </w:rPr>
                    <w:t>拉幅定型无纺布生产线</w:t>
                  </w:r>
                  <w:r>
                    <w:rPr>
                      <w:rFonts w:hint="eastAsia"/>
                      <w:color w:val="auto"/>
                      <w:kern w:val="0"/>
                      <w:szCs w:val="21"/>
                    </w:rPr>
                    <w:t>、</w:t>
                  </w:r>
                  <w:r>
                    <w:rPr>
                      <w:color w:val="auto"/>
                      <w:szCs w:val="21"/>
                    </w:rPr>
                    <w:t>淋膜无纺布</w:t>
                  </w:r>
                  <w:r>
                    <w:rPr>
                      <w:rFonts w:hint="eastAsia"/>
                      <w:color w:val="auto"/>
                      <w:szCs w:val="21"/>
                    </w:rPr>
                    <w:t>生产线</w:t>
                  </w:r>
                  <w:r>
                    <w:rPr>
                      <w:color w:val="auto"/>
                      <w:szCs w:val="21"/>
                    </w:rPr>
                    <w:t>，其工艺流程简介详见工艺流程简介</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4" w:type="pct"/>
                  <w:vMerge w:val="restart"/>
                  <w:tcBorders>
                    <w:right w:val="single" w:color="auto" w:sz="4" w:space="0"/>
                  </w:tcBorders>
                  <w:vAlign w:val="center"/>
                </w:tcPr>
                <w:p>
                  <w:pPr>
                    <w:adjustRightInd w:val="0"/>
                    <w:snapToGrid w:val="0"/>
                    <w:jc w:val="center"/>
                    <w:rPr>
                      <w:color w:val="auto"/>
                      <w:szCs w:val="21"/>
                    </w:rPr>
                  </w:pPr>
                  <w:r>
                    <w:rPr>
                      <w:rFonts w:hint="eastAsia"/>
                      <w:color w:val="auto"/>
                      <w:szCs w:val="21"/>
                    </w:rPr>
                    <w:t>污染治理措施</w:t>
                  </w:r>
                </w:p>
              </w:tc>
              <w:tc>
                <w:tcPr>
                  <w:tcW w:w="1067" w:type="pct"/>
                  <w:tcBorders>
                    <w:left w:val="single" w:color="auto" w:sz="4" w:space="0"/>
                  </w:tcBorders>
                  <w:vAlign w:val="center"/>
                </w:tcPr>
                <w:p>
                  <w:pPr>
                    <w:adjustRightInd w:val="0"/>
                    <w:snapToGrid w:val="0"/>
                    <w:jc w:val="center"/>
                    <w:rPr>
                      <w:color w:val="auto"/>
                      <w:szCs w:val="21"/>
                    </w:rPr>
                  </w:pPr>
                  <w:r>
                    <w:rPr>
                      <w:rFonts w:hint="eastAsia"/>
                      <w:color w:val="auto"/>
                      <w:szCs w:val="21"/>
                    </w:rPr>
                    <w:t>废水</w:t>
                  </w:r>
                </w:p>
                <w:p>
                  <w:pPr>
                    <w:adjustRightInd w:val="0"/>
                    <w:snapToGrid w:val="0"/>
                    <w:jc w:val="center"/>
                    <w:rPr>
                      <w:color w:val="auto"/>
                      <w:szCs w:val="21"/>
                    </w:rPr>
                  </w:pPr>
                  <w:r>
                    <w:rPr>
                      <w:rFonts w:hint="eastAsia"/>
                      <w:color w:val="auto"/>
                      <w:szCs w:val="21"/>
                    </w:rPr>
                    <w:t>处理</w:t>
                  </w:r>
                </w:p>
              </w:tc>
              <w:tc>
                <w:tcPr>
                  <w:tcW w:w="1135" w:type="pct"/>
                  <w:tcBorders>
                    <w:right w:val="single" w:color="auto" w:sz="4" w:space="0"/>
                  </w:tcBorders>
                  <w:vAlign w:val="center"/>
                </w:tcPr>
                <w:p>
                  <w:pPr>
                    <w:adjustRightInd w:val="0"/>
                    <w:snapToGrid w:val="0"/>
                    <w:rPr>
                      <w:rFonts w:ascii="宋体" w:hAnsi="宋体"/>
                      <w:color w:val="auto"/>
                      <w:szCs w:val="21"/>
                    </w:rPr>
                  </w:pPr>
                  <w:r>
                    <w:rPr>
                      <w:rFonts w:hint="eastAsia"/>
                      <w:color w:val="auto"/>
                    </w:rPr>
                    <w:t>员工食堂建有处理能力为2m</w:t>
                  </w:r>
                  <w:r>
                    <w:rPr>
                      <w:rFonts w:hint="eastAsia"/>
                      <w:color w:val="auto"/>
                      <w:vertAlign w:val="superscript"/>
                    </w:rPr>
                    <w:t>3</w:t>
                  </w:r>
                  <w:r>
                    <w:rPr>
                      <w:rFonts w:hint="eastAsia"/>
                      <w:color w:val="auto"/>
                    </w:rPr>
                    <w:t>/d的隔油池、厂区东南角建有处理能力为20m</w:t>
                  </w:r>
                  <w:r>
                    <w:rPr>
                      <w:rFonts w:hint="eastAsia"/>
                      <w:color w:val="auto"/>
                      <w:vertAlign w:val="superscript"/>
                    </w:rPr>
                    <w:t>3</w:t>
                  </w:r>
                  <w:r>
                    <w:rPr>
                      <w:rFonts w:hint="eastAsia"/>
                      <w:color w:val="auto"/>
                    </w:rPr>
                    <w:t>/d的生化池，食堂废水经隔油处理后与生活污水进入生化池处理达三级标准后排入市政污水管网，经东城污水处理厂深度处理达一级B标后排入淮远河。</w:t>
                  </w:r>
                </w:p>
              </w:tc>
              <w:tc>
                <w:tcPr>
                  <w:tcW w:w="1165" w:type="pct"/>
                  <w:tcBorders>
                    <w:left w:val="single" w:color="auto" w:sz="4" w:space="0"/>
                  </w:tcBorders>
                  <w:vAlign w:val="center"/>
                </w:tcPr>
                <w:p>
                  <w:pPr>
                    <w:adjustRightInd w:val="0"/>
                    <w:snapToGrid w:val="0"/>
                    <w:rPr>
                      <w:rFonts w:ascii="宋体" w:hAnsi="宋体"/>
                      <w:color w:val="auto"/>
                      <w:szCs w:val="21"/>
                    </w:rPr>
                  </w:pPr>
                  <w:r>
                    <w:rPr>
                      <w:rFonts w:hint="eastAsia" w:ascii="宋体" w:hAnsi="宋体"/>
                      <w:color w:val="auto"/>
                      <w:szCs w:val="21"/>
                    </w:rPr>
                    <w:t>依托厂区现有污水处理设施处理</w:t>
                  </w:r>
                </w:p>
              </w:tc>
              <w:tc>
                <w:tcPr>
                  <w:tcW w:w="1365" w:type="pct"/>
                  <w:tcBorders>
                    <w:left w:val="single" w:color="auto" w:sz="4" w:space="0"/>
                  </w:tcBorders>
                  <w:vAlign w:val="center"/>
                </w:tcPr>
                <w:p>
                  <w:pPr>
                    <w:adjustRightInd w:val="0"/>
                    <w:snapToGrid w:val="0"/>
                    <w:jc w:val="center"/>
                    <w:rPr>
                      <w:color w:val="auto"/>
                      <w:szCs w:val="21"/>
                    </w:rPr>
                  </w:pPr>
                  <w:r>
                    <w:rPr>
                      <w:rFonts w:hint="eastAsia"/>
                      <w:color w:val="auto"/>
                      <w:szCs w:val="21"/>
                    </w:rPr>
                    <w:t>厂区现有污水处理设施不发生变化</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4" w:type="pct"/>
                  <w:vMerge w:val="continue"/>
                  <w:tcBorders>
                    <w:right w:val="single" w:color="auto" w:sz="4" w:space="0"/>
                  </w:tcBorders>
                  <w:vAlign w:val="center"/>
                </w:tcPr>
                <w:p>
                  <w:pPr>
                    <w:adjustRightInd w:val="0"/>
                    <w:snapToGrid w:val="0"/>
                    <w:jc w:val="center"/>
                    <w:rPr>
                      <w:color w:val="auto"/>
                      <w:szCs w:val="21"/>
                    </w:rPr>
                  </w:pPr>
                </w:p>
              </w:tc>
              <w:tc>
                <w:tcPr>
                  <w:tcW w:w="1067" w:type="pct"/>
                  <w:tcBorders>
                    <w:left w:val="single" w:color="auto" w:sz="4" w:space="0"/>
                  </w:tcBorders>
                  <w:vAlign w:val="center"/>
                </w:tcPr>
                <w:p>
                  <w:pPr>
                    <w:adjustRightInd w:val="0"/>
                    <w:snapToGrid w:val="0"/>
                    <w:jc w:val="center"/>
                    <w:rPr>
                      <w:color w:val="auto"/>
                      <w:szCs w:val="21"/>
                    </w:rPr>
                  </w:pPr>
                  <w:r>
                    <w:rPr>
                      <w:rFonts w:hint="eastAsia"/>
                      <w:color w:val="auto"/>
                      <w:szCs w:val="21"/>
                    </w:rPr>
                    <w:t>废气</w:t>
                  </w:r>
                </w:p>
                <w:p>
                  <w:pPr>
                    <w:adjustRightInd w:val="0"/>
                    <w:snapToGrid w:val="0"/>
                    <w:jc w:val="center"/>
                    <w:rPr>
                      <w:color w:val="auto"/>
                      <w:szCs w:val="21"/>
                    </w:rPr>
                  </w:pPr>
                  <w:r>
                    <w:rPr>
                      <w:rFonts w:hint="eastAsia"/>
                      <w:color w:val="auto"/>
                      <w:szCs w:val="21"/>
                    </w:rPr>
                    <w:t>处理</w:t>
                  </w:r>
                </w:p>
              </w:tc>
              <w:tc>
                <w:tcPr>
                  <w:tcW w:w="1135" w:type="pct"/>
                  <w:tcBorders>
                    <w:right w:val="single" w:color="auto" w:sz="4" w:space="0"/>
                  </w:tcBorders>
                  <w:vAlign w:val="center"/>
                </w:tcPr>
                <w:p>
                  <w:pPr>
                    <w:adjustRightInd w:val="0"/>
                    <w:snapToGrid w:val="0"/>
                    <w:rPr>
                      <w:rFonts w:ascii="宋体" w:hAnsi="宋体"/>
                      <w:color w:val="auto"/>
                      <w:szCs w:val="21"/>
                    </w:rPr>
                  </w:pPr>
                  <w:r>
                    <w:rPr>
                      <w:rFonts w:hint="eastAsia"/>
                      <w:color w:val="auto"/>
                    </w:rPr>
                    <w:t>2#厂房复合区产生非甲烷总烃、颗粒物采用“滤筒除尘器+活性炭吸附”处理后引至15m高的1#排气筒排放；3#厂房开花区、打包区产生的颗粒物采用“布袋除尘器”处理后引至15m高的2#排气筒排放；3#厂房碎布区产生的颗粒物采用“布袋除尘器”处理后在厂房内无组织排放；员工食堂产生的油烟经油烟净化器处理后引至综合楼屋顶排放。</w:t>
                  </w:r>
                </w:p>
              </w:tc>
              <w:tc>
                <w:tcPr>
                  <w:tcW w:w="1165" w:type="pct"/>
                  <w:tcBorders>
                    <w:left w:val="single" w:color="auto" w:sz="4" w:space="0"/>
                  </w:tcBorders>
                  <w:vAlign w:val="center"/>
                </w:tcPr>
                <w:p>
                  <w:pPr>
                    <w:adjustRightInd w:val="0"/>
                    <w:snapToGrid w:val="0"/>
                    <w:rPr>
                      <w:rFonts w:ascii="宋体" w:hAnsi="宋体"/>
                      <w:color w:val="auto"/>
                      <w:szCs w:val="21"/>
                    </w:rPr>
                  </w:pPr>
                  <w:r>
                    <w:rPr>
                      <w:rFonts w:hint="eastAsia"/>
                      <w:color w:val="auto"/>
                    </w:rPr>
                    <w:t>涂胶、烘干工序产生的挥发性有机物经集气罩收集后采用“二级活性炭吸附”处理后，最后引至15m高的3#排气筒排放；淋膜、冷却工序产生的挥发性有机物经集气罩收集后采用“活性炭吸附”处理后，最后引至15m高的4#排气筒排放</w:t>
                  </w:r>
                </w:p>
              </w:tc>
              <w:tc>
                <w:tcPr>
                  <w:tcW w:w="1365" w:type="pct"/>
                  <w:tcBorders>
                    <w:left w:val="single" w:color="auto" w:sz="4" w:space="0"/>
                  </w:tcBorders>
                  <w:vAlign w:val="center"/>
                </w:tcPr>
                <w:p>
                  <w:pPr>
                    <w:adjustRightInd w:val="0"/>
                    <w:snapToGrid w:val="0"/>
                    <w:rPr>
                      <w:rFonts w:hint="eastAsia"/>
                      <w:color w:val="auto"/>
                      <w:highlight w:val="none"/>
                      <w:lang w:val="en-US" w:eastAsia="zh-CN"/>
                    </w:rPr>
                  </w:pPr>
                  <w:r>
                    <w:rPr>
                      <w:rFonts w:hint="eastAsia"/>
                      <w:color w:val="auto"/>
                      <w:highlight w:val="none"/>
                      <w:lang w:val="en-US" w:eastAsia="zh-CN"/>
                    </w:rPr>
                    <w:t>1#、2#排气筒、员工食堂采取的废气治理设施不发生变化。</w:t>
                  </w:r>
                </w:p>
                <w:p>
                  <w:pPr>
                    <w:adjustRightInd w:val="0"/>
                    <w:snapToGrid w:val="0"/>
                    <w:rPr>
                      <w:color w:val="auto"/>
                      <w:szCs w:val="21"/>
                      <w:highlight w:val="none"/>
                    </w:rPr>
                  </w:pPr>
                  <w:r>
                    <w:rPr>
                      <w:rFonts w:hint="eastAsia"/>
                      <w:color w:val="auto"/>
                      <w:highlight w:val="none"/>
                      <w:lang w:val="en-US" w:eastAsia="zh-CN"/>
                    </w:rPr>
                    <w:t>新增：</w:t>
                  </w:r>
                  <w:r>
                    <w:rPr>
                      <w:rFonts w:hint="eastAsia"/>
                      <w:color w:val="auto"/>
                      <w:highlight w:val="none"/>
                    </w:rPr>
                    <w:t>涂胶、烘干工序产生的挥发性有机物经集气罩收集后采用“二级活性炭吸附”处理后，最后引至15m高的3#排气筒排放；淋膜、冷却工序产生的挥发性有机物经集气罩收集后采用“活性炭吸附”处理后，最后引至15m高的4#排气筒排放；</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4" w:type="pct"/>
                  <w:vMerge w:val="continue"/>
                  <w:tcBorders>
                    <w:right w:val="single" w:color="auto" w:sz="4" w:space="0"/>
                  </w:tcBorders>
                  <w:vAlign w:val="center"/>
                </w:tcPr>
                <w:p>
                  <w:pPr>
                    <w:adjustRightInd w:val="0"/>
                    <w:snapToGrid w:val="0"/>
                    <w:jc w:val="center"/>
                    <w:rPr>
                      <w:color w:val="auto"/>
                      <w:szCs w:val="21"/>
                    </w:rPr>
                  </w:pPr>
                </w:p>
              </w:tc>
              <w:tc>
                <w:tcPr>
                  <w:tcW w:w="1067" w:type="pct"/>
                  <w:tcBorders>
                    <w:left w:val="single" w:color="auto" w:sz="4" w:space="0"/>
                  </w:tcBorders>
                  <w:vAlign w:val="center"/>
                </w:tcPr>
                <w:p>
                  <w:pPr>
                    <w:adjustRightInd w:val="0"/>
                    <w:snapToGrid w:val="0"/>
                    <w:jc w:val="center"/>
                    <w:rPr>
                      <w:color w:val="auto"/>
                      <w:szCs w:val="21"/>
                    </w:rPr>
                  </w:pPr>
                  <w:r>
                    <w:rPr>
                      <w:rFonts w:hint="eastAsia"/>
                      <w:color w:val="auto"/>
                      <w:szCs w:val="21"/>
                    </w:rPr>
                    <w:t>固废处理</w:t>
                  </w:r>
                </w:p>
              </w:tc>
              <w:tc>
                <w:tcPr>
                  <w:tcW w:w="1135" w:type="pct"/>
                  <w:tcBorders>
                    <w:right w:val="single" w:color="auto" w:sz="4" w:space="0"/>
                  </w:tcBorders>
                  <w:vAlign w:val="center"/>
                </w:tcPr>
                <w:p>
                  <w:pPr>
                    <w:adjustRightInd w:val="0"/>
                    <w:snapToGrid w:val="0"/>
                    <w:rPr>
                      <w:rFonts w:ascii="宋体" w:hAnsi="宋体"/>
                      <w:color w:val="auto"/>
                      <w:szCs w:val="21"/>
                    </w:rPr>
                  </w:pPr>
                  <w:r>
                    <w:rPr>
                      <w:rFonts w:hint="eastAsia"/>
                      <w:color w:val="auto"/>
                    </w:rPr>
                    <w:t>2#</w:t>
                  </w:r>
                  <w:r>
                    <w:rPr>
                      <w:color w:val="auto"/>
                    </w:rPr>
                    <w:t>厂房</w:t>
                  </w:r>
                  <w:r>
                    <w:rPr>
                      <w:rFonts w:hint="eastAsia"/>
                      <w:color w:val="auto"/>
                    </w:rPr>
                    <w:t>东北侧</w:t>
                  </w:r>
                  <w:r>
                    <w:rPr>
                      <w:color w:val="auto"/>
                    </w:rPr>
                    <w:t>设置1个面积为</w:t>
                  </w:r>
                  <w:r>
                    <w:rPr>
                      <w:rFonts w:hint="eastAsia"/>
                      <w:color w:val="auto"/>
                    </w:rPr>
                    <w:t>10</w:t>
                  </w:r>
                  <w:r>
                    <w:rPr>
                      <w:color w:val="auto"/>
                    </w:rPr>
                    <w:t>m</w:t>
                  </w:r>
                  <w:r>
                    <w:rPr>
                      <w:color w:val="auto"/>
                      <w:vertAlign w:val="superscript"/>
                    </w:rPr>
                    <w:t>2</w:t>
                  </w:r>
                  <w:r>
                    <w:rPr>
                      <w:color w:val="auto"/>
                    </w:rPr>
                    <w:t>危险废物暂存间，其地面及裙角进行防腐、防渗处理，并设置</w:t>
                  </w:r>
                  <w:r>
                    <w:rPr>
                      <w:rFonts w:hint="eastAsia"/>
                      <w:color w:val="auto"/>
                      <w:lang w:eastAsia="zh-CN"/>
                    </w:rPr>
                    <w:t>围挡</w:t>
                  </w:r>
                  <w:r>
                    <w:rPr>
                      <w:color w:val="auto"/>
                    </w:rPr>
                    <w:t>，</w:t>
                  </w:r>
                  <w:r>
                    <w:rPr>
                      <w:rFonts w:hint="eastAsia"/>
                      <w:color w:val="auto"/>
                    </w:rPr>
                    <w:t>危险废物</w:t>
                  </w:r>
                  <w:r>
                    <w:rPr>
                      <w:color w:val="auto"/>
                    </w:rPr>
                    <w:t>经分类暂存后定期交有危险废物处理制造单位处置</w:t>
                  </w:r>
                  <w:r>
                    <w:rPr>
                      <w:rFonts w:hint="eastAsia"/>
                      <w:color w:val="auto"/>
                    </w:rPr>
                    <w:t>；2#</w:t>
                  </w:r>
                  <w:r>
                    <w:rPr>
                      <w:color w:val="auto"/>
                    </w:rPr>
                    <w:t>厂房</w:t>
                  </w:r>
                  <w:r>
                    <w:rPr>
                      <w:rFonts w:hint="eastAsia"/>
                      <w:color w:val="auto"/>
                    </w:rPr>
                    <w:t>东南部</w:t>
                  </w:r>
                  <w:r>
                    <w:rPr>
                      <w:color w:val="auto"/>
                    </w:rPr>
                    <w:t>设置1个面积为</w:t>
                  </w:r>
                  <w:r>
                    <w:rPr>
                      <w:rFonts w:hint="eastAsia"/>
                      <w:color w:val="auto"/>
                    </w:rPr>
                    <w:t>10</w:t>
                  </w:r>
                  <w:r>
                    <w:rPr>
                      <w:color w:val="auto"/>
                    </w:rPr>
                    <w:t>m</w:t>
                  </w:r>
                  <w:r>
                    <w:rPr>
                      <w:color w:val="auto"/>
                      <w:vertAlign w:val="superscript"/>
                    </w:rPr>
                    <w:t>2</w:t>
                  </w:r>
                  <w:r>
                    <w:rPr>
                      <w:rFonts w:hint="eastAsia"/>
                      <w:color w:val="auto"/>
                    </w:rPr>
                    <w:t>一般工业固废暂存间</w:t>
                  </w:r>
                  <w:r>
                    <w:rPr>
                      <w:color w:val="auto"/>
                    </w:rPr>
                    <w:t>，</w:t>
                  </w:r>
                  <w:r>
                    <w:rPr>
                      <w:rFonts w:hint="eastAsia"/>
                      <w:color w:val="auto"/>
                    </w:rPr>
                    <w:t>一般工业固废分类收集后交废品回收公司处置。</w:t>
                  </w:r>
                </w:p>
              </w:tc>
              <w:tc>
                <w:tcPr>
                  <w:tcW w:w="1165" w:type="pct"/>
                  <w:tcBorders>
                    <w:left w:val="single" w:color="auto" w:sz="4" w:space="0"/>
                  </w:tcBorders>
                  <w:vAlign w:val="center"/>
                </w:tcPr>
                <w:p>
                  <w:pPr>
                    <w:widowControl/>
                    <w:adjustRightInd w:val="0"/>
                    <w:snapToGrid w:val="0"/>
                    <w:rPr>
                      <w:rFonts w:ascii="宋体" w:hAnsi="宋体"/>
                      <w:color w:val="auto"/>
                      <w:szCs w:val="21"/>
                    </w:rPr>
                  </w:pPr>
                  <w:r>
                    <w:rPr>
                      <w:rFonts w:hint="eastAsia" w:ascii="宋体" w:hAnsi="宋体"/>
                      <w:color w:val="auto"/>
                      <w:szCs w:val="21"/>
                    </w:rPr>
                    <w:t>危险废物依托厂区现有危险废物暂存间暂存后交有危险废物处置资质单位处置；餐厨垃圾交餐厨垃圾处理资质单位处置。</w:t>
                  </w:r>
                </w:p>
              </w:tc>
              <w:tc>
                <w:tcPr>
                  <w:tcW w:w="1365" w:type="pct"/>
                  <w:tcBorders>
                    <w:left w:val="single" w:color="auto" w:sz="4" w:space="0"/>
                  </w:tcBorders>
                  <w:vAlign w:val="center"/>
                </w:tcPr>
                <w:p>
                  <w:pPr>
                    <w:widowControl/>
                    <w:adjustRightInd w:val="0"/>
                    <w:snapToGrid w:val="0"/>
                    <w:rPr>
                      <w:color w:val="auto"/>
                      <w:kern w:val="0"/>
                      <w:szCs w:val="21"/>
                      <w:lang w:bidi="ar"/>
                    </w:rPr>
                  </w:pPr>
                  <w:r>
                    <w:rPr>
                      <w:rFonts w:hint="eastAsia"/>
                      <w:color w:val="auto"/>
                      <w:szCs w:val="21"/>
                    </w:rPr>
                    <w:t>厂区现有固体废物暂存设施不发生变化；危险废物经暂存后交有危险废物处理资质单位处置；一般工业固废交废品回收公司处置；餐厨垃圾交餐厨垃圾处理单位处置。</w:t>
                  </w:r>
                </w:p>
              </w:tc>
            </w:tr>
          </w:tbl>
          <w:p>
            <w:pPr>
              <w:adjustRightInd w:val="0"/>
              <w:snapToGrid w:val="0"/>
              <w:spacing w:line="360" w:lineRule="auto"/>
              <w:ind w:firstLine="420" w:firstLineChars="20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402" w:type="dxa"/>
            <w:vAlign w:val="center"/>
          </w:tcPr>
          <w:p>
            <w:pPr>
              <w:pStyle w:val="19"/>
              <w:adjustRightInd w:val="0"/>
              <w:snapToGrid w:val="0"/>
              <w:spacing w:before="0" w:beforeAutospacing="0" w:after="0" w:afterAutospacing="0"/>
              <w:jc w:val="center"/>
              <w:rPr>
                <w:rFonts w:ascii="Times New Roman" w:hAnsi="Times New Roman" w:cs="Times New Roman"/>
                <w:color w:val="auto"/>
                <w:sz w:val="21"/>
                <w:szCs w:val="21"/>
              </w:rPr>
            </w:pPr>
            <w:r>
              <w:rPr>
                <w:rFonts w:ascii="Times New Roman" w:hAnsi="Times New Roman" w:cs="Times New Roman"/>
                <w:color w:val="auto"/>
                <w:sz w:val="21"/>
                <w:szCs w:val="21"/>
              </w:rPr>
              <w:t>工艺流程和产排污环节</w:t>
            </w:r>
          </w:p>
        </w:tc>
        <w:tc>
          <w:tcPr>
            <w:tcW w:w="8582" w:type="dxa"/>
          </w:tcPr>
          <w:p>
            <w:pPr>
              <w:snapToGrid w:val="0"/>
              <w:spacing w:line="360" w:lineRule="auto"/>
              <w:rPr>
                <w:b/>
                <w:bCs/>
                <w:color w:val="auto"/>
                <w:sz w:val="24"/>
              </w:rPr>
            </w:pPr>
            <w:r>
              <w:rPr>
                <w:b/>
                <w:bCs/>
                <w:color w:val="auto"/>
                <w:sz w:val="24"/>
              </w:rPr>
              <w:t>工艺流程及产污环节简介：</w:t>
            </w:r>
          </w:p>
          <w:p>
            <w:pPr>
              <w:adjustRightInd w:val="0"/>
              <w:spacing w:line="360" w:lineRule="auto"/>
              <w:ind w:firstLine="480" w:firstLineChars="200"/>
              <w:rPr>
                <w:color w:val="auto"/>
                <w:sz w:val="24"/>
              </w:rPr>
            </w:pPr>
            <w:r>
              <w:rPr>
                <w:rFonts w:hint="eastAsia" w:ascii="Times New Roman" w:hAnsi="Times New Roman" w:cs="Times New Roman"/>
                <w:color w:val="auto"/>
                <w:sz w:val="24"/>
                <w:szCs w:val="24"/>
                <w:lang w:eastAsia="zh-CN"/>
              </w:rPr>
              <w:t>扩建项目</w:t>
            </w:r>
            <w:r>
              <w:rPr>
                <w:rFonts w:hint="eastAsia"/>
                <w:color w:val="auto"/>
                <w:sz w:val="24"/>
              </w:rPr>
              <w:t>利用</w:t>
            </w:r>
            <w:r>
              <w:rPr>
                <w:color w:val="auto"/>
                <w:kern w:val="0"/>
                <w:sz w:val="24"/>
                <w:lang w:bidi="ar"/>
              </w:rPr>
              <w:t>现有生产厂房</w:t>
            </w:r>
            <w:r>
              <w:rPr>
                <w:color w:val="auto"/>
                <w:sz w:val="24"/>
              </w:rPr>
              <w:t>，不新建厂房，没有土建工程，</w:t>
            </w:r>
            <w:r>
              <w:rPr>
                <w:rFonts w:hint="eastAsia"/>
                <w:color w:val="auto"/>
                <w:sz w:val="24"/>
              </w:rPr>
              <w:t>施工期仅需</w:t>
            </w:r>
            <w:r>
              <w:rPr>
                <w:color w:val="auto"/>
                <w:sz w:val="24"/>
              </w:rPr>
              <w:t>对设备的布置、安装和调试。本项目施工流程及产污环节分析见图</w:t>
            </w:r>
            <w:r>
              <w:rPr>
                <w:rFonts w:hint="eastAsia"/>
                <w:color w:val="auto"/>
                <w:sz w:val="24"/>
              </w:rPr>
              <w:t>2.2</w:t>
            </w:r>
            <w:r>
              <w:rPr>
                <w:rFonts w:hint="eastAsia"/>
                <w:color w:val="auto"/>
                <w:sz w:val="24"/>
                <w:lang w:eastAsia="zh-CN"/>
              </w:rPr>
              <w:t>，运营期工艺流程图见图</w:t>
            </w:r>
            <w:r>
              <w:rPr>
                <w:rFonts w:hint="eastAsia"/>
                <w:color w:val="auto"/>
                <w:sz w:val="24"/>
                <w:lang w:val="en-US" w:eastAsia="zh-CN"/>
              </w:rPr>
              <w:t>2.3、图2.4</w:t>
            </w:r>
            <w:r>
              <w:rPr>
                <w:color w:val="auto"/>
                <w:sz w:val="24"/>
              </w:rPr>
              <w:t>。</w:t>
            </w:r>
          </w:p>
          <w:p>
            <w:pPr>
              <w:adjustRightInd w:val="0"/>
              <w:snapToGrid w:val="0"/>
              <w:spacing w:line="360" w:lineRule="auto"/>
              <w:jc w:val="center"/>
              <w:rPr>
                <w:color w:val="auto"/>
                <w:sz w:val="24"/>
              </w:rPr>
            </w:pPr>
            <w:r>
              <w:rPr>
                <w:color w:val="auto"/>
                <w:sz w:val="24"/>
              </w:rPr>
              <w:object>
                <v:shape id="_x0000_i1026" o:spt="75" type="#_x0000_t75" style="height:76.5pt;width:216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pStyle w:val="2"/>
              <w:jc w:val="center"/>
              <w:rPr>
                <w:rFonts w:ascii="Times New Roman" w:cs="Times New Roman"/>
                <w:color w:val="auto"/>
              </w:rPr>
            </w:pPr>
            <w:r>
              <w:rPr>
                <w:rFonts w:ascii="Times New Roman" w:cs="Times New Roman"/>
                <w:color w:val="auto"/>
              </w:rPr>
              <w:t>图2.</w:t>
            </w:r>
            <w:r>
              <w:rPr>
                <w:rFonts w:hint="eastAsia" w:ascii="Times New Roman" w:cs="Times New Roman"/>
                <w:color w:val="auto"/>
              </w:rPr>
              <w:t>2</w:t>
            </w:r>
            <w:r>
              <w:rPr>
                <w:rFonts w:ascii="Times New Roman" w:cs="Times New Roman"/>
                <w:color w:val="auto"/>
              </w:rPr>
              <w:t xml:space="preserve"> 施工期生产工艺流程图</w:t>
            </w:r>
          </w:p>
          <w:p>
            <w:pPr>
              <w:pStyle w:val="2"/>
              <w:snapToGrid w:val="0"/>
              <w:ind w:firstLine="480" w:firstLineChars="200"/>
              <w:rPr>
                <w:rFonts w:ascii="Times New Roman" w:hAnsi="Times New Roman" w:cs="Times New Roman"/>
                <w:color w:val="auto"/>
              </w:rPr>
            </w:pPr>
            <w:r>
              <w:rPr>
                <w:rFonts w:hint="eastAsia" w:ascii="Times New Roman" w:hAnsi="Times New Roman" w:cs="Times New Roman"/>
                <w:color w:val="auto"/>
                <w:sz w:val="24"/>
                <w:szCs w:val="24"/>
                <w:lang w:eastAsia="zh-CN"/>
              </w:rPr>
              <w:t>扩建项目</w:t>
            </w:r>
            <w:r>
              <w:rPr>
                <w:rFonts w:ascii="Times New Roman" w:hAnsi="Times New Roman" w:cs="Times New Roman"/>
                <w:color w:val="auto"/>
              </w:rPr>
              <w:t>主要生产拉幅定型无纺布、淋膜无纺布，其生产工艺流程见图2.2、图2.3。</w:t>
            </w:r>
          </w:p>
          <w:p>
            <w:pPr>
              <w:adjustRightInd w:val="0"/>
              <w:snapToGrid w:val="0"/>
              <w:spacing w:line="360" w:lineRule="auto"/>
              <w:jc w:val="center"/>
              <w:rPr>
                <w:color w:val="auto"/>
              </w:rPr>
            </w:pPr>
            <w:r>
              <w:rPr>
                <w:color w:val="auto"/>
              </w:rPr>
              <w:object>
                <v:shape id="_x0000_i1027" o:spt="75" type="#_x0000_t75" style="height:50pt;width:413pt;" o:ole="t" filled="f" o:preferrelative="t" stroked="f" coordsize="21600,21600">
                  <v:path/>
                  <v:fill on="f" focussize="0,0"/>
                  <v:stroke on="f"/>
                  <v:imagedata r:id="rId13" o:title=""/>
                  <o:lock v:ext="edit" aspectratio="f"/>
                  <w10:wrap type="none"/>
                  <w10:anchorlock/>
                </v:shape>
                <o:OLEObject Type="Embed" ProgID="Visio.Drawing.11" ShapeID="_x0000_i1027" DrawAspect="Content" ObjectID="_1468075727" r:id="rId12">
                  <o:LockedField>false</o:LockedField>
                </o:OLEObject>
              </w:object>
            </w:r>
          </w:p>
          <w:p>
            <w:pPr>
              <w:pStyle w:val="2"/>
              <w:snapToGrid w:val="0"/>
              <w:jc w:val="center"/>
              <w:rPr>
                <w:rFonts w:ascii="Times New Roman" w:hAnsi="Times New Roman" w:cs="Times New Roman"/>
                <w:color w:val="auto"/>
              </w:rPr>
            </w:pPr>
            <w:r>
              <w:rPr>
                <w:rFonts w:ascii="Times New Roman" w:hAnsi="Times New Roman" w:cs="Times New Roman"/>
                <w:color w:val="auto"/>
              </w:rPr>
              <w:t>图2.</w:t>
            </w:r>
            <w:r>
              <w:rPr>
                <w:rFonts w:hint="eastAsia" w:ascii="Times New Roman" w:hAnsi="Times New Roman" w:cs="Times New Roman"/>
                <w:color w:val="auto"/>
              </w:rPr>
              <w:t>3</w:t>
            </w:r>
            <w:r>
              <w:rPr>
                <w:rFonts w:ascii="Times New Roman" w:hAnsi="Times New Roman" w:cs="Times New Roman"/>
                <w:color w:val="auto"/>
              </w:rPr>
              <w:t xml:space="preserve"> 拉幅定型无纺布生产工艺流程图</w:t>
            </w:r>
          </w:p>
          <w:p>
            <w:pPr>
              <w:pStyle w:val="3"/>
              <w:rPr>
                <w:rFonts w:ascii="Times New Roman" w:hAnsi="Times New Roman" w:cs="Times New Roman"/>
                <w:color w:val="auto"/>
              </w:rPr>
            </w:pPr>
            <w:r>
              <w:rPr>
                <w:rFonts w:ascii="Times New Roman" w:hAnsi="Times New Roman" w:cs="Times New Roman"/>
                <w:color w:val="auto"/>
              </w:rPr>
              <w:t>工艺流程简介</w:t>
            </w:r>
          </w:p>
          <w:p>
            <w:pPr>
              <w:pStyle w:val="3"/>
              <w:ind w:firstLine="480" w:firstLineChars="200"/>
              <w:rPr>
                <w:rFonts w:ascii="Times New Roman" w:hAnsi="Times New Roman" w:cs="Times New Roman"/>
                <w:color w:val="auto"/>
              </w:rPr>
            </w:pPr>
            <w:r>
              <w:rPr>
                <w:rFonts w:ascii="Times New Roman" w:hAnsi="Times New Roman" w:cs="Times New Roman"/>
                <w:color w:val="auto"/>
              </w:rPr>
              <w:t>开卷：</w:t>
            </w:r>
            <w:r>
              <w:rPr>
                <w:rFonts w:hint="eastAsia" w:ascii="Times New Roman" w:hAnsi="Times New Roman" w:cs="Times New Roman"/>
                <w:color w:val="auto"/>
              </w:rPr>
              <w:t>首先</w:t>
            </w:r>
            <w:r>
              <w:rPr>
                <w:rFonts w:ascii="Times New Roman" w:hAnsi="Times New Roman" w:cs="Times New Roman"/>
                <w:color w:val="auto"/>
              </w:rPr>
              <w:t>将</w:t>
            </w:r>
            <w:r>
              <w:rPr>
                <w:rFonts w:hint="eastAsia" w:ascii="Times New Roman" w:hAnsi="Times New Roman" w:cs="Times New Roman"/>
                <w:color w:val="auto"/>
              </w:rPr>
              <w:t>无纺布一端</w:t>
            </w:r>
            <w:r>
              <w:rPr>
                <w:rFonts w:ascii="Times New Roman" w:hAnsi="Times New Roman" w:cs="Times New Roman"/>
                <w:color w:val="auto"/>
              </w:rPr>
              <w:t>固定在</w:t>
            </w:r>
            <w:r>
              <w:rPr>
                <w:rFonts w:hint="eastAsia" w:ascii="Times New Roman" w:hAnsi="Times New Roman" w:cs="Times New Roman"/>
                <w:color w:val="auto"/>
                <w:lang w:eastAsia="zh-CN"/>
              </w:rPr>
              <w:t>针刺机</w:t>
            </w:r>
            <w:r>
              <w:rPr>
                <w:rFonts w:ascii="Times New Roman" w:hAnsi="Times New Roman" w:cs="Times New Roman"/>
                <w:color w:val="auto"/>
              </w:rPr>
              <w:t>接料台上，</w:t>
            </w:r>
            <w:r>
              <w:rPr>
                <w:rFonts w:hint="eastAsia" w:ascii="Times New Roman" w:hAnsi="Times New Roman" w:cs="Times New Roman"/>
                <w:color w:val="auto"/>
                <w:lang w:eastAsia="zh-CN"/>
              </w:rPr>
              <w:t>针刺机</w:t>
            </w:r>
            <w:r>
              <w:rPr>
                <w:rFonts w:ascii="Times New Roman" w:hAnsi="Times New Roman" w:cs="Times New Roman"/>
                <w:color w:val="auto"/>
              </w:rPr>
              <w:t>牵引</w:t>
            </w:r>
            <w:r>
              <w:rPr>
                <w:rFonts w:hint="eastAsia" w:ascii="Times New Roman" w:hAnsi="Times New Roman" w:cs="Times New Roman"/>
                <w:color w:val="auto"/>
              </w:rPr>
              <w:t>无纺布</w:t>
            </w:r>
            <w:r>
              <w:rPr>
                <w:rFonts w:ascii="Times New Roman" w:hAnsi="Times New Roman" w:cs="Times New Roman"/>
                <w:color w:val="auto"/>
              </w:rPr>
              <w:t>向前移动，</w:t>
            </w:r>
            <w:r>
              <w:rPr>
                <w:rFonts w:hint="eastAsia" w:ascii="Times New Roman" w:hAnsi="Times New Roman" w:cs="Times New Roman"/>
                <w:color w:val="auto"/>
              </w:rPr>
              <w:t>使其缓慢展开，其移动速度为4m/min，</w:t>
            </w:r>
            <w:r>
              <w:rPr>
                <w:rFonts w:ascii="Times New Roman" w:hAnsi="Times New Roman" w:cs="Times New Roman"/>
                <w:color w:val="auto"/>
              </w:rPr>
              <w:t>此环节将产生机械噪声。</w:t>
            </w:r>
          </w:p>
          <w:p>
            <w:pPr>
              <w:snapToGrid w:val="0"/>
              <w:spacing w:line="360" w:lineRule="auto"/>
              <w:ind w:firstLine="480" w:firstLineChars="200"/>
              <w:rPr>
                <w:rFonts w:hint="eastAsia" w:eastAsia="宋体"/>
                <w:color w:val="auto"/>
                <w:sz w:val="24"/>
                <w:highlight w:val="none"/>
                <w:lang w:eastAsia="zh-CN"/>
              </w:rPr>
            </w:pPr>
            <w:r>
              <w:rPr>
                <w:rFonts w:hint="eastAsia"/>
                <w:color w:val="auto"/>
                <w:sz w:val="24"/>
                <w:highlight w:val="none"/>
                <w:lang w:eastAsia="zh-CN"/>
              </w:rPr>
              <w:t>针刺：无纺布卷被展开后，针刺机上的铁针轻轻的扎刺无纺布表面，使其表面略微蓬松，针刺完成后，将无纺布卷进行收卷，该工序不对工件进行加热、也不添加任何原材料，此环节将产生机械噪声。</w:t>
            </w:r>
          </w:p>
          <w:p>
            <w:pPr>
              <w:snapToGrid w:val="0"/>
              <w:spacing w:line="360" w:lineRule="auto"/>
              <w:ind w:firstLine="480" w:firstLineChars="200"/>
              <w:rPr>
                <w:color w:val="auto"/>
                <w:sz w:val="24"/>
                <w:highlight w:val="yellow"/>
              </w:rPr>
            </w:pPr>
            <w:r>
              <w:rPr>
                <w:rFonts w:hint="eastAsia"/>
                <w:color w:val="auto"/>
                <w:sz w:val="24"/>
                <w:szCs w:val="24"/>
              </w:rPr>
              <w:t>涂胶：</w:t>
            </w:r>
            <w:r>
              <w:rPr>
                <w:rFonts w:hint="eastAsia"/>
                <w:color w:val="auto"/>
                <w:sz w:val="24"/>
                <w:szCs w:val="24"/>
                <w:lang w:eastAsia="zh-CN"/>
              </w:rPr>
              <w:t>无纺布针刺完成后，再将其</w:t>
            </w:r>
            <w:r>
              <w:rPr>
                <w:rFonts w:hint="eastAsia" w:ascii="Times New Roman" w:hAnsi="Times New Roman" w:cs="Times New Roman"/>
                <w:color w:val="auto"/>
                <w:sz w:val="24"/>
                <w:szCs w:val="24"/>
              </w:rPr>
              <w:t>一端</w:t>
            </w:r>
            <w:r>
              <w:rPr>
                <w:rFonts w:ascii="Times New Roman" w:hAnsi="Times New Roman" w:cs="Times New Roman"/>
                <w:color w:val="auto"/>
                <w:sz w:val="24"/>
                <w:szCs w:val="24"/>
              </w:rPr>
              <w:t>固定在</w:t>
            </w:r>
            <w:r>
              <w:rPr>
                <w:rFonts w:hint="eastAsia" w:cs="Times New Roman"/>
                <w:color w:val="auto"/>
                <w:sz w:val="24"/>
                <w:szCs w:val="24"/>
                <w:lang w:eastAsia="zh-CN"/>
              </w:rPr>
              <w:t>拉幅定型设备</w:t>
            </w:r>
            <w:r>
              <w:rPr>
                <w:rFonts w:ascii="Times New Roman" w:hAnsi="Times New Roman" w:cs="Times New Roman"/>
                <w:color w:val="auto"/>
                <w:sz w:val="24"/>
                <w:szCs w:val="24"/>
              </w:rPr>
              <w:t>接料台上，</w:t>
            </w:r>
            <w:r>
              <w:rPr>
                <w:rFonts w:hint="eastAsia" w:cs="Times New Roman"/>
                <w:color w:val="auto"/>
                <w:sz w:val="24"/>
                <w:szCs w:val="24"/>
                <w:lang w:eastAsia="zh-CN"/>
              </w:rPr>
              <w:t>拉幅定型设备在</w:t>
            </w:r>
            <w:r>
              <w:rPr>
                <w:rFonts w:ascii="Times New Roman" w:hAnsi="Times New Roman" w:cs="Times New Roman"/>
                <w:color w:val="auto"/>
                <w:sz w:val="24"/>
                <w:szCs w:val="24"/>
              </w:rPr>
              <w:t>输送带牵引</w:t>
            </w:r>
            <w:r>
              <w:rPr>
                <w:rFonts w:hint="eastAsia" w:ascii="Times New Roman" w:hAnsi="Times New Roman" w:cs="Times New Roman"/>
                <w:color w:val="auto"/>
                <w:sz w:val="24"/>
                <w:szCs w:val="24"/>
              </w:rPr>
              <w:t>无纺布</w:t>
            </w:r>
            <w:r>
              <w:rPr>
                <w:rFonts w:ascii="Times New Roman" w:hAnsi="Times New Roman" w:cs="Times New Roman"/>
                <w:color w:val="auto"/>
                <w:sz w:val="24"/>
                <w:szCs w:val="24"/>
              </w:rPr>
              <w:t>向前移动，</w:t>
            </w:r>
            <w:r>
              <w:rPr>
                <w:rFonts w:hint="eastAsia" w:ascii="Times New Roman" w:hAnsi="Times New Roman" w:cs="Times New Roman"/>
                <w:color w:val="auto"/>
                <w:sz w:val="24"/>
                <w:szCs w:val="24"/>
              </w:rPr>
              <w:t>使其缓慢展开</w:t>
            </w:r>
            <w:r>
              <w:rPr>
                <w:rFonts w:hint="eastAsia" w:cs="Times New Roman"/>
                <w:color w:val="auto"/>
                <w:sz w:val="24"/>
                <w:szCs w:val="24"/>
                <w:lang w:eastAsia="zh-CN"/>
              </w:rPr>
              <w:t>。</w:t>
            </w:r>
            <w:r>
              <w:rPr>
                <w:rFonts w:hint="eastAsia"/>
                <w:color w:val="auto"/>
                <w:sz w:val="24"/>
              </w:rPr>
              <w:t>胶粘剂盛装在密闭的铁桶中，胶粘剂通过软管抽至拉幅定型设备的胶槽内，无纺布被牵引着向前移动来到涂胶工位，胶槽位于无纺布上方，在重力的作用下胶粘剂通过胶槽的出料口均匀的涂布在无纺布上，此环节将产生挥发性有机物G1以及机械噪声。</w:t>
            </w:r>
          </w:p>
          <w:p>
            <w:pPr>
              <w:pStyle w:val="2"/>
              <w:ind w:firstLine="480" w:firstLineChars="200"/>
              <w:rPr>
                <w:rFonts w:ascii="Times New Roman" w:hAnsi="Times New Roman" w:cs="Times New Roman"/>
                <w:color w:val="auto"/>
              </w:rPr>
            </w:pPr>
            <w:r>
              <w:rPr>
                <w:rFonts w:hint="eastAsia" w:ascii="Times New Roman" w:hAnsi="Times New Roman" w:cs="Times New Roman"/>
                <w:color w:val="auto"/>
              </w:rPr>
              <w:t>烘干：无纺布涂胶完成后，在输送带的牵引下继续向前移动进入烘道烘干，烘干温度约200℃，烘干使用的能源为天然气，此环节将产挥发性有机物、天然气燃烧废气G2以及机械噪声。</w:t>
            </w:r>
          </w:p>
          <w:p>
            <w:pPr>
              <w:pStyle w:val="3"/>
              <w:ind w:firstLine="480" w:firstLineChars="200"/>
              <w:rPr>
                <w:color w:val="auto"/>
              </w:rPr>
            </w:pPr>
            <w:r>
              <w:rPr>
                <w:rFonts w:hint="eastAsia"/>
                <w:color w:val="auto"/>
              </w:rPr>
              <w:t>收卷：工件烘干完成后在输送带的牵引下继续移动到拉幅定型设备尾端，无纺布跟随设备尾端的转</w:t>
            </w:r>
            <w:r>
              <w:rPr>
                <w:rFonts w:ascii="Times New Roman" w:hAnsi="Times New Roman" w:cs="Times New Roman"/>
                <w:color w:val="auto"/>
              </w:rPr>
              <w:t>辊</w:t>
            </w:r>
            <w:r>
              <w:rPr>
                <w:rFonts w:hint="eastAsia" w:ascii="Times New Roman" w:hAnsi="Times New Roman" w:cs="Times New Roman"/>
                <w:color w:val="auto"/>
              </w:rPr>
              <w:t>转动使其卷曲成卷，此环节将产生机械噪声。</w:t>
            </w:r>
          </w:p>
          <w:p>
            <w:pPr>
              <w:pStyle w:val="3"/>
              <w:jc w:val="center"/>
              <w:rPr>
                <w:color w:val="auto"/>
              </w:rPr>
            </w:pPr>
            <w:r>
              <w:rPr>
                <w:color w:val="auto"/>
              </w:rPr>
              <w:object>
                <v:shape id="_x0000_i1028" o:spt="75" type="#_x0000_t75" style="height:108.75pt;width:394.9pt;" o:ole="t" filled="f" o:preferrelative="t" stroked="f" coordsize="21600,21600">
                  <v:path/>
                  <v:fill on="f" focussize="0,0"/>
                  <v:stroke on="f"/>
                  <v:imagedata r:id="rId15" o:title=""/>
                  <o:lock v:ext="edit" aspectratio="f"/>
                  <w10:wrap type="none"/>
                  <w10:anchorlock/>
                </v:shape>
                <o:OLEObject Type="Embed" ProgID="Visio.Drawing.11" ShapeID="_x0000_i1028" DrawAspect="Content" ObjectID="_1468075728" r:id="rId14">
                  <o:LockedField>false</o:LockedField>
                </o:OLEObject>
              </w:object>
            </w:r>
          </w:p>
          <w:p>
            <w:pPr>
              <w:pStyle w:val="3"/>
              <w:jc w:val="center"/>
              <w:rPr>
                <w:rFonts w:ascii="Times New Roman" w:hAnsi="Times New Roman" w:cs="Times New Roman"/>
                <w:color w:val="auto"/>
              </w:rPr>
            </w:pPr>
            <w:r>
              <w:rPr>
                <w:rFonts w:ascii="Times New Roman" w:hAnsi="Times New Roman" w:cs="Times New Roman"/>
                <w:color w:val="auto"/>
              </w:rPr>
              <w:t>图2.4 淋膜无纺布生产工艺流程</w:t>
            </w:r>
            <w:r>
              <w:rPr>
                <w:rFonts w:hint="eastAsia" w:ascii="Times New Roman" w:hAnsi="Times New Roman" w:cs="Times New Roman"/>
                <w:color w:val="auto"/>
              </w:rPr>
              <w:t>图</w:t>
            </w:r>
          </w:p>
          <w:p>
            <w:pPr>
              <w:pStyle w:val="3"/>
              <w:rPr>
                <w:rFonts w:ascii="Times New Roman" w:hAnsi="Times New Roman" w:cs="Times New Roman"/>
                <w:color w:val="auto"/>
              </w:rPr>
            </w:pPr>
            <w:r>
              <w:rPr>
                <w:rFonts w:hint="eastAsia" w:ascii="Times New Roman" w:hAnsi="Times New Roman" w:cs="Times New Roman"/>
                <w:color w:val="auto"/>
              </w:rPr>
              <w:t>工艺</w:t>
            </w:r>
            <w:r>
              <w:rPr>
                <w:rFonts w:ascii="Times New Roman" w:hAnsi="Times New Roman" w:cs="Times New Roman"/>
                <w:color w:val="auto"/>
              </w:rPr>
              <w:t>流程简介：</w:t>
            </w:r>
          </w:p>
          <w:p>
            <w:pPr>
              <w:pStyle w:val="3"/>
              <w:ind w:firstLine="480" w:firstLineChars="200"/>
              <w:rPr>
                <w:rFonts w:ascii="Times New Roman" w:hAnsi="Times New Roman" w:cs="Times New Roman"/>
                <w:color w:val="auto"/>
              </w:rPr>
            </w:pPr>
            <w:r>
              <w:rPr>
                <w:rFonts w:ascii="Times New Roman" w:hAnsi="Times New Roman" w:cs="Times New Roman"/>
                <w:color w:val="auto"/>
              </w:rPr>
              <w:t>开卷：首先将无纺布一端固定在淋膜机接料台上，</w:t>
            </w:r>
            <w:r>
              <w:rPr>
                <w:rFonts w:hint="eastAsia" w:ascii="Times New Roman" w:hAnsi="Times New Roman" w:cs="Times New Roman"/>
                <w:color w:val="auto"/>
              </w:rPr>
              <w:t>淋膜机的传动轴</w:t>
            </w:r>
            <w:r>
              <w:rPr>
                <w:rFonts w:ascii="Times New Roman" w:hAnsi="Times New Roman" w:cs="Times New Roman"/>
                <w:color w:val="auto"/>
              </w:rPr>
              <w:t>牵引无纺布向前移动，使其缓慢展开，其移动速度为</w:t>
            </w:r>
            <w:r>
              <w:rPr>
                <w:rFonts w:hint="eastAsia" w:ascii="Times New Roman" w:hAnsi="Times New Roman" w:cs="Times New Roman"/>
                <w:color w:val="auto"/>
              </w:rPr>
              <w:t>2</w:t>
            </w:r>
            <w:r>
              <w:rPr>
                <w:rFonts w:ascii="Times New Roman" w:hAnsi="Times New Roman" w:cs="Times New Roman"/>
                <w:color w:val="auto"/>
              </w:rPr>
              <w:t>m/min，此环节将产生机械噪声。</w:t>
            </w:r>
          </w:p>
          <w:p>
            <w:pPr>
              <w:snapToGrid w:val="0"/>
              <w:spacing w:line="360" w:lineRule="auto"/>
              <w:ind w:firstLine="480" w:firstLineChars="200"/>
              <w:rPr>
                <w:color w:val="auto"/>
                <w:sz w:val="24"/>
                <w:highlight w:val="yellow"/>
              </w:rPr>
            </w:pPr>
            <w:r>
              <w:rPr>
                <w:color w:val="auto"/>
                <w:sz w:val="24"/>
              </w:rPr>
              <w:t>热融：</w:t>
            </w:r>
            <w:r>
              <w:rPr>
                <w:rFonts w:hint="eastAsia"/>
                <w:color w:val="auto"/>
                <w:sz w:val="24"/>
              </w:rPr>
              <w:t>将P</w:t>
            </w:r>
            <w:r>
              <w:rPr>
                <w:rFonts w:hint="eastAsia"/>
                <w:color w:val="auto"/>
                <w:sz w:val="24"/>
                <w:lang w:val="en-US" w:eastAsia="zh-CN"/>
              </w:rPr>
              <w:t>E</w:t>
            </w:r>
            <w:r>
              <w:rPr>
                <w:rFonts w:hint="eastAsia"/>
                <w:color w:val="auto"/>
                <w:sz w:val="24"/>
              </w:rPr>
              <w:t>料加入到料仓内，然后加热至240℃使其热融，使用的能源为电能，整个热融工序在密闭的料仓内进行，此环节将产生机械噪声。</w:t>
            </w:r>
          </w:p>
          <w:p>
            <w:pPr>
              <w:pStyle w:val="3"/>
              <w:ind w:firstLine="480" w:firstLineChars="200"/>
              <w:rPr>
                <w:rFonts w:hint="eastAsia" w:ascii="Times New Roman" w:hAnsi="Times New Roman" w:eastAsia="宋体" w:cs="Times New Roman"/>
                <w:color w:val="auto"/>
                <w:lang w:eastAsia="zh-CN"/>
              </w:rPr>
            </w:pPr>
            <w:r>
              <w:rPr>
                <w:rFonts w:hint="eastAsia" w:ascii="Times New Roman" w:hAnsi="Times New Roman" w:cs="Times New Roman"/>
                <w:color w:val="auto"/>
              </w:rPr>
              <w:t>淋膜：无纺布在传动轴的牵引下移动到淋膜工位，装有热融状态的P</w:t>
            </w:r>
            <w:r>
              <w:rPr>
                <w:rFonts w:hint="eastAsia" w:ascii="Times New Roman" w:hAnsi="Times New Roman" w:cs="Times New Roman"/>
                <w:color w:val="auto"/>
                <w:lang w:val="en-US" w:eastAsia="zh-CN"/>
              </w:rPr>
              <w:t>E</w:t>
            </w:r>
            <w:r>
              <w:rPr>
                <w:rFonts w:hint="eastAsia" w:ascii="Times New Roman" w:hAnsi="Times New Roman" w:cs="Times New Roman"/>
                <w:color w:val="auto"/>
              </w:rPr>
              <w:t>料料仓打开，在重力的作用下，P</w:t>
            </w:r>
            <w:r>
              <w:rPr>
                <w:rFonts w:hint="eastAsia" w:ascii="Times New Roman" w:hAnsi="Times New Roman" w:cs="Times New Roman"/>
                <w:color w:val="auto"/>
                <w:lang w:val="en-US" w:eastAsia="zh-CN"/>
              </w:rPr>
              <w:t>E</w:t>
            </w:r>
            <w:r>
              <w:rPr>
                <w:rFonts w:hint="eastAsia" w:ascii="Times New Roman" w:hAnsi="Times New Roman" w:cs="Times New Roman"/>
                <w:color w:val="auto"/>
              </w:rPr>
              <w:t>料均匀的淋在无纺布的表面，然后冷却凝固成膜，此环节将产生挥发性有机物G3以及机械噪声。</w:t>
            </w:r>
          </w:p>
          <w:p>
            <w:pPr>
              <w:pStyle w:val="3"/>
              <w:ind w:firstLine="480" w:firstLineChars="200"/>
              <w:rPr>
                <w:rFonts w:ascii="Times New Roman" w:hAnsi="Times New Roman" w:cs="Times New Roman"/>
                <w:color w:val="auto"/>
                <w:highlight w:val="yellow"/>
              </w:rPr>
            </w:pPr>
            <w:r>
              <w:rPr>
                <w:rFonts w:hint="eastAsia" w:ascii="Times New Roman" w:hAnsi="Times New Roman" w:cs="Times New Roman"/>
                <w:color w:val="auto"/>
              </w:rPr>
              <w:t>冷却：工件淋膜完成后需进一步对其进行冷却，淋膜机冷却工位</w:t>
            </w:r>
            <w:r>
              <w:rPr>
                <w:rFonts w:ascii="Times New Roman" w:hAnsi="Times New Roman" w:cs="Times New Roman"/>
                <w:color w:val="auto"/>
              </w:rPr>
              <w:t>前辊、后辊相向转动，前辊、后辊内含冷却循环水，工件从前辊、后辊</w:t>
            </w:r>
            <w:r>
              <w:rPr>
                <w:rFonts w:hint="eastAsia" w:ascii="Times New Roman" w:hAnsi="Times New Roman" w:cs="Times New Roman"/>
                <w:color w:val="auto"/>
              </w:rPr>
              <w:t>之间移动</w:t>
            </w:r>
            <w:r>
              <w:rPr>
                <w:rFonts w:ascii="Times New Roman" w:hAnsi="Times New Roman" w:cs="Times New Roman"/>
                <w:color w:val="auto"/>
              </w:rPr>
              <w:t>进入对其进行间接冷却，此环节将产生挥发性有机物G4及机械噪声</w:t>
            </w:r>
            <w:r>
              <w:rPr>
                <w:rFonts w:hint="eastAsia" w:ascii="Times New Roman" w:hAnsi="Times New Roman" w:cs="Times New Roman"/>
                <w:color w:val="auto"/>
              </w:rPr>
              <w:t>。</w:t>
            </w:r>
          </w:p>
          <w:p>
            <w:pPr>
              <w:pStyle w:val="3"/>
              <w:ind w:firstLine="480" w:firstLineChars="200"/>
              <w:rPr>
                <w:color w:val="auto"/>
              </w:rPr>
            </w:pPr>
            <w:r>
              <w:rPr>
                <w:rFonts w:ascii="Times New Roman" w:hAnsi="Times New Roman" w:cs="Times New Roman"/>
                <w:color w:val="auto"/>
              </w:rPr>
              <w:t>收卷：工件烘干完成后在</w:t>
            </w:r>
            <w:r>
              <w:rPr>
                <w:rFonts w:hint="eastAsia" w:ascii="Times New Roman" w:hAnsi="Times New Roman" w:cs="Times New Roman"/>
                <w:color w:val="auto"/>
              </w:rPr>
              <w:t>传动轴</w:t>
            </w:r>
            <w:r>
              <w:rPr>
                <w:rFonts w:ascii="Times New Roman" w:hAnsi="Times New Roman" w:cs="Times New Roman"/>
                <w:color w:val="auto"/>
              </w:rPr>
              <w:t>的牵引下继续移动到</w:t>
            </w:r>
            <w:r>
              <w:rPr>
                <w:rFonts w:hint="eastAsia" w:ascii="Times New Roman" w:hAnsi="Times New Roman" w:cs="Times New Roman"/>
                <w:color w:val="auto"/>
              </w:rPr>
              <w:t>淋膜机</w:t>
            </w:r>
            <w:r>
              <w:rPr>
                <w:rFonts w:ascii="Times New Roman" w:hAnsi="Times New Roman" w:cs="Times New Roman"/>
                <w:color w:val="auto"/>
              </w:rPr>
              <w:t>设备尾端，无纺布跟随设备尾端的转辊转动使其卷曲成卷，此环节将产生机械噪声</w:t>
            </w:r>
            <w:r>
              <w:rPr>
                <w:rFonts w:hint="eastAsia" w:ascii="Times New Roman" w:hAnsi="Times New Roman" w:cs="Times New Roman"/>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0" w:hRule="atLeast"/>
          <w:jc w:val="center"/>
        </w:trPr>
        <w:tc>
          <w:tcPr>
            <w:tcW w:w="402" w:type="dxa"/>
            <w:vAlign w:val="center"/>
          </w:tcPr>
          <w:p>
            <w:pPr>
              <w:pStyle w:val="19"/>
              <w:adjustRightInd w:val="0"/>
              <w:snapToGrid w:val="0"/>
              <w:spacing w:before="0" w:beforeAutospacing="0" w:after="0" w:afterAutospacing="0"/>
              <w:jc w:val="center"/>
              <w:rPr>
                <w:rFonts w:ascii="Times New Roman" w:hAnsi="Times New Roman" w:cs="Times New Roman"/>
                <w:bCs/>
                <w:color w:val="auto"/>
                <w:sz w:val="21"/>
                <w:szCs w:val="21"/>
              </w:rPr>
            </w:pPr>
            <w:r>
              <w:rPr>
                <w:rFonts w:ascii="Times New Roman" w:hAnsi="Times New Roman" w:cs="Times New Roman"/>
                <w:bCs/>
                <w:color w:val="auto"/>
                <w:sz w:val="21"/>
                <w:szCs w:val="21"/>
              </w:rPr>
              <w:t>项目有关的原有环境污染问题</w:t>
            </w:r>
          </w:p>
        </w:tc>
        <w:tc>
          <w:tcPr>
            <w:tcW w:w="8582" w:type="dxa"/>
          </w:tcPr>
          <w:p>
            <w:pPr>
              <w:adjustRightInd w:val="0"/>
              <w:snapToGrid w:val="0"/>
              <w:spacing w:line="360" w:lineRule="auto"/>
              <w:rPr>
                <w:b/>
                <w:bCs/>
                <w:color w:val="auto"/>
                <w:sz w:val="24"/>
              </w:rPr>
            </w:pPr>
            <w:r>
              <w:rPr>
                <w:b/>
                <w:bCs/>
                <w:color w:val="auto"/>
                <w:sz w:val="24"/>
              </w:rPr>
              <w:t>与本项目有关的原有污染情况及主要环境问题</w:t>
            </w:r>
          </w:p>
          <w:p>
            <w:pPr>
              <w:adjustRightInd w:val="0"/>
              <w:snapToGrid w:val="0"/>
              <w:spacing w:line="360" w:lineRule="auto"/>
              <w:rPr>
                <w:b/>
                <w:bCs/>
                <w:color w:val="auto"/>
                <w:sz w:val="24"/>
              </w:rPr>
            </w:pPr>
            <w:r>
              <w:rPr>
                <w:b/>
                <w:bCs/>
                <w:color w:val="auto"/>
                <w:sz w:val="24"/>
              </w:rPr>
              <w:t>1.</w:t>
            </w:r>
            <w:r>
              <w:rPr>
                <w:rFonts w:hint="eastAsia"/>
                <w:b/>
                <w:bCs/>
                <w:color w:val="auto"/>
                <w:sz w:val="24"/>
              </w:rPr>
              <w:t>现有</w:t>
            </w:r>
            <w:r>
              <w:rPr>
                <w:b/>
                <w:bCs/>
                <w:color w:val="auto"/>
                <w:sz w:val="24"/>
              </w:rPr>
              <w:t>工程环保审批情况</w:t>
            </w:r>
          </w:p>
          <w:p>
            <w:pPr>
              <w:adjustRightInd w:val="0"/>
              <w:snapToGrid w:val="0"/>
              <w:spacing w:line="360" w:lineRule="auto"/>
              <w:ind w:firstLine="480" w:firstLineChars="200"/>
              <w:rPr>
                <w:bCs/>
                <w:color w:val="auto"/>
                <w:sz w:val="24"/>
              </w:rPr>
            </w:pPr>
            <w:r>
              <w:rPr>
                <w:rFonts w:hint="eastAsia"/>
                <w:color w:val="auto"/>
                <w:sz w:val="24"/>
              </w:rPr>
              <w:t>2018</w:t>
            </w:r>
            <w:r>
              <w:rPr>
                <w:color w:val="auto"/>
                <w:sz w:val="24"/>
              </w:rPr>
              <w:t>年</w:t>
            </w:r>
            <w:r>
              <w:rPr>
                <w:rFonts w:hint="eastAsia"/>
                <w:color w:val="auto"/>
                <w:sz w:val="24"/>
              </w:rPr>
              <w:t>7</w:t>
            </w:r>
            <w:r>
              <w:rPr>
                <w:color w:val="auto"/>
                <w:sz w:val="24"/>
              </w:rPr>
              <w:t>月</w:t>
            </w:r>
            <w:r>
              <w:rPr>
                <w:rFonts w:hint="eastAsia"/>
                <w:color w:val="auto"/>
                <w:sz w:val="24"/>
              </w:rPr>
              <w:t>企业</w:t>
            </w:r>
            <w:r>
              <w:rPr>
                <w:color w:val="auto"/>
                <w:sz w:val="24"/>
              </w:rPr>
              <w:t>委托</w:t>
            </w:r>
            <w:r>
              <w:rPr>
                <w:rFonts w:hint="eastAsia"/>
                <w:color w:val="auto"/>
                <w:sz w:val="24"/>
              </w:rPr>
              <w:t>重庆两江源环境影响评价有限公司</w:t>
            </w:r>
            <w:r>
              <w:rPr>
                <w:color w:val="auto"/>
                <w:sz w:val="24"/>
              </w:rPr>
              <w:t>编制《</w:t>
            </w:r>
            <w:r>
              <w:rPr>
                <w:rFonts w:hint="eastAsia"/>
                <w:color w:val="auto"/>
                <w:sz w:val="24"/>
              </w:rPr>
              <w:t>汽车内饰材料及零部件生产加工项目</w:t>
            </w:r>
            <w:r>
              <w:rPr>
                <w:color w:val="auto"/>
                <w:sz w:val="24"/>
              </w:rPr>
              <w:t>环境</w:t>
            </w:r>
            <w:r>
              <w:rPr>
                <w:rFonts w:hint="eastAsia"/>
                <w:color w:val="auto"/>
                <w:sz w:val="24"/>
              </w:rPr>
              <w:t>影响</w:t>
            </w:r>
            <w:r>
              <w:rPr>
                <w:color w:val="auto"/>
                <w:sz w:val="24"/>
              </w:rPr>
              <w:t>报告</w:t>
            </w:r>
            <w:r>
              <w:rPr>
                <w:rFonts w:hint="eastAsia"/>
                <w:color w:val="auto"/>
                <w:sz w:val="24"/>
              </w:rPr>
              <w:t>表</w:t>
            </w:r>
            <w:r>
              <w:rPr>
                <w:color w:val="auto"/>
                <w:sz w:val="24"/>
              </w:rPr>
              <w:t>》，并取得《重庆市建设项目环境影响评价文件批准书》渝（铜）环准[2018]74号</w:t>
            </w:r>
            <w:r>
              <w:rPr>
                <w:bCs/>
                <w:color w:val="auto"/>
                <w:sz w:val="24"/>
              </w:rPr>
              <w:t>；2020年11月28日该项目编制完成《</w:t>
            </w:r>
            <w:r>
              <w:rPr>
                <w:color w:val="auto"/>
                <w:sz w:val="24"/>
              </w:rPr>
              <w:t>汽车内饰材料及零部件生产加工项目</w:t>
            </w:r>
            <w:r>
              <w:rPr>
                <w:bCs/>
                <w:color w:val="auto"/>
                <w:sz w:val="24"/>
              </w:rPr>
              <w:t>竣工环境保护验收监测报告表》，并通过了竣工环境保护验收。</w:t>
            </w:r>
          </w:p>
          <w:p>
            <w:pPr>
              <w:adjustRightInd w:val="0"/>
              <w:snapToGrid w:val="0"/>
              <w:spacing w:line="360" w:lineRule="auto"/>
              <w:ind w:firstLine="480" w:firstLineChars="200"/>
              <w:rPr>
                <w:color w:val="auto"/>
                <w:sz w:val="24"/>
              </w:rPr>
            </w:pPr>
            <w:r>
              <w:rPr>
                <w:color w:val="auto"/>
                <w:sz w:val="24"/>
              </w:rPr>
              <w:t>2021年11月企业委托重庆两江源环境影响评价有限公司编制《</w:t>
            </w:r>
            <w:r>
              <w:rPr>
                <w:color w:val="auto"/>
                <w:spacing w:val="8"/>
                <w:sz w:val="24"/>
                <w:shd w:val="clear" w:color="auto" w:fill="FFFFFF"/>
              </w:rPr>
              <w:t>年产汽车零部件800万件及汽车纤维材料8000吨扩建项目</w:t>
            </w:r>
            <w:r>
              <w:rPr>
                <w:color w:val="auto"/>
                <w:sz w:val="24"/>
              </w:rPr>
              <w:t>环境影响报告表》，并取得《重庆市建设项目环境影响评价文件批准书》渝（铜）环准[20</w:t>
            </w:r>
            <w:r>
              <w:rPr>
                <w:rFonts w:hint="eastAsia"/>
                <w:color w:val="auto"/>
                <w:sz w:val="24"/>
              </w:rPr>
              <w:t>21</w:t>
            </w:r>
            <w:r>
              <w:rPr>
                <w:color w:val="auto"/>
                <w:sz w:val="24"/>
              </w:rPr>
              <w:t>]</w:t>
            </w:r>
            <w:r>
              <w:rPr>
                <w:rFonts w:hint="eastAsia"/>
                <w:color w:val="auto"/>
                <w:sz w:val="24"/>
              </w:rPr>
              <w:t>105</w:t>
            </w:r>
            <w:r>
              <w:rPr>
                <w:color w:val="auto"/>
                <w:sz w:val="24"/>
              </w:rPr>
              <w:t>号</w:t>
            </w:r>
            <w:r>
              <w:rPr>
                <w:bCs/>
                <w:color w:val="auto"/>
                <w:sz w:val="24"/>
              </w:rPr>
              <w:t>；202</w:t>
            </w:r>
            <w:r>
              <w:rPr>
                <w:rFonts w:hint="eastAsia"/>
                <w:bCs/>
                <w:color w:val="auto"/>
                <w:sz w:val="24"/>
              </w:rPr>
              <w:t>2</w:t>
            </w:r>
            <w:r>
              <w:rPr>
                <w:bCs/>
                <w:color w:val="auto"/>
                <w:sz w:val="24"/>
              </w:rPr>
              <w:t>年1月</w:t>
            </w:r>
            <w:r>
              <w:rPr>
                <w:rFonts w:hint="eastAsia"/>
                <w:bCs/>
                <w:color w:val="auto"/>
                <w:sz w:val="24"/>
              </w:rPr>
              <w:t>22</w:t>
            </w:r>
            <w:r>
              <w:rPr>
                <w:bCs/>
                <w:color w:val="auto"/>
                <w:sz w:val="24"/>
              </w:rPr>
              <w:t>日该项目编制完成《</w:t>
            </w:r>
            <w:r>
              <w:rPr>
                <w:color w:val="auto"/>
                <w:spacing w:val="8"/>
                <w:sz w:val="24"/>
                <w:shd w:val="clear" w:color="auto" w:fill="FFFFFF"/>
              </w:rPr>
              <w:t>年产汽车零部件800万件及汽车纤维材料8000吨扩建项目</w:t>
            </w:r>
            <w:r>
              <w:rPr>
                <w:rFonts w:hint="eastAsia"/>
                <w:color w:val="auto"/>
                <w:spacing w:val="8"/>
                <w:sz w:val="24"/>
                <w:shd w:val="clear" w:color="auto" w:fill="FFFFFF"/>
              </w:rPr>
              <w:t>（一阶段）</w:t>
            </w:r>
            <w:r>
              <w:rPr>
                <w:bCs/>
                <w:color w:val="auto"/>
                <w:sz w:val="24"/>
              </w:rPr>
              <w:t>竣工环境保护验收监测报告表》，并通过了竣工环境保护验收。</w:t>
            </w:r>
          </w:p>
          <w:p>
            <w:pPr>
              <w:adjustRightInd w:val="0"/>
              <w:snapToGrid w:val="0"/>
              <w:spacing w:line="360" w:lineRule="auto"/>
              <w:rPr>
                <w:rFonts w:ascii="宋体" w:hAnsi="宋体" w:cs="宋体"/>
                <w:b/>
                <w:bCs/>
                <w:color w:val="auto"/>
                <w:sz w:val="24"/>
              </w:rPr>
            </w:pPr>
            <w:r>
              <w:rPr>
                <w:rFonts w:hint="eastAsia" w:ascii="宋体" w:hAnsi="宋体" w:cs="宋体"/>
                <w:b/>
                <w:bCs/>
                <w:color w:val="auto"/>
                <w:sz w:val="24"/>
              </w:rPr>
              <w:t>2.现有工程概况</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（1）现有工程基本情况</w:t>
            </w:r>
          </w:p>
          <w:p>
            <w:pPr>
              <w:adjustRightInd w:val="0"/>
              <w:snapToGrid w:val="0"/>
              <w:spacing w:line="360" w:lineRule="auto"/>
              <w:ind w:firstLine="481"/>
              <w:rPr>
                <w:rFonts w:ascii="宋体" w:hAnsi="宋体" w:cs="宋体"/>
                <w:color w:val="auto"/>
                <w:sz w:val="24"/>
              </w:rPr>
            </w:pPr>
            <w:r>
              <w:rPr>
                <w:rFonts w:hint="eastAsia" w:ascii="宋体" w:hAnsi="宋体" w:cs="宋体"/>
                <w:color w:val="auto"/>
                <w:sz w:val="24"/>
              </w:rPr>
              <w:t>项目名称</w:t>
            </w:r>
            <w:r>
              <w:rPr>
                <w:rFonts w:hint="eastAsia" w:ascii="宋体" w:hAnsi="宋体" w:cs="宋体"/>
                <w:b/>
                <w:bCs/>
                <w:color w:val="auto"/>
                <w:sz w:val="24"/>
              </w:rPr>
              <w:t>：</w:t>
            </w:r>
            <w:r>
              <w:rPr>
                <w:rFonts w:hint="eastAsia"/>
                <w:color w:val="auto"/>
                <w:sz w:val="24"/>
              </w:rPr>
              <w:t>汽车内饰材料及零部件生产加工项目；</w:t>
            </w:r>
            <w:r>
              <w:rPr>
                <w:color w:val="auto"/>
                <w:spacing w:val="8"/>
                <w:sz w:val="24"/>
                <w:shd w:val="clear" w:color="auto" w:fill="FFFFFF"/>
              </w:rPr>
              <w:t>年产汽车零部件800万件及汽车纤维材料8000吨扩建项目</w:t>
            </w:r>
            <w:r>
              <w:rPr>
                <w:rFonts w:hint="eastAsia"/>
                <w:color w:val="auto"/>
                <w:spacing w:val="8"/>
                <w:sz w:val="24"/>
                <w:shd w:val="clear" w:color="auto" w:fill="FFFFFF"/>
              </w:rPr>
              <w:t>（一阶段）</w:t>
            </w:r>
          </w:p>
          <w:p>
            <w:pPr>
              <w:adjustRightInd w:val="0"/>
              <w:snapToGrid w:val="0"/>
              <w:spacing w:line="360" w:lineRule="auto"/>
              <w:ind w:firstLine="481"/>
              <w:rPr>
                <w:bCs/>
                <w:color w:val="auto"/>
                <w:sz w:val="24"/>
              </w:rPr>
            </w:pPr>
            <w:r>
              <w:rPr>
                <w:rFonts w:hint="eastAsia" w:ascii="宋体" w:hAnsi="宋体" w:cs="宋体"/>
                <w:color w:val="auto"/>
                <w:sz w:val="24"/>
              </w:rPr>
              <w:t>建设单位：</w:t>
            </w:r>
            <w:r>
              <w:rPr>
                <w:rFonts w:hint="eastAsia"/>
                <w:color w:val="auto"/>
                <w:spacing w:val="8"/>
                <w:sz w:val="24"/>
                <w:shd w:val="clear" w:color="auto" w:fill="FFFFFF"/>
              </w:rPr>
              <w:t>重庆英洛维科技有限公司</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建设地点：</w:t>
            </w:r>
            <w:r>
              <w:rPr>
                <w:rFonts w:hint="eastAsia"/>
                <w:color w:val="auto"/>
                <w:spacing w:val="8"/>
                <w:sz w:val="24"/>
                <w:shd w:val="clear" w:color="auto" w:fill="FFFFFF"/>
              </w:rPr>
              <w:t>重庆市铜梁区东城街道祝英南路7号</w:t>
            </w:r>
          </w:p>
          <w:p>
            <w:pPr>
              <w:adjustRightInd w:val="0"/>
              <w:snapToGrid w:val="0"/>
              <w:spacing w:line="360" w:lineRule="auto"/>
              <w:ind w:firstLine="480" w:firstLineChars="200"/>
              <w:rPr>
                <w:color w:val="auto"/>
                <w:kern w:val="0"/>
                <w:sz w:val="24"/>
              </w:rPr>
            </w:pPr>
            <w:r>
              <w:rPr>
                <w:color w:val="auto"/>
                <w:sz w:val="24"/>
              </w:rPr>
              <w:t>劳动定员及工作制度：</w:t>
            </w:r>
            <w:r>
              <w:rPr>
                <w:rFonts w:hint="eastAsia"/>
                <w:color w:val="auto"/>
                <w:sz w:val="24"/>
              </w:rPr>
              <w:t>通过调查</w:t>
            </w:r>
            <w:r>
              <w:rPr>
                <w:color w:val="auto"/>
                <w:kern w:val="0"/>
                <w:sz w:val="24"/>
              </w:rPr>
              <w:t>，</w:t>
            </w:r>
            <w:r>
              <w:rPr>
                <w:rFonts w:hint="eastAsia"/>
                <w:color w:val="auto"/>
                <w:kern w:val="0"/>
                <w:sz w:val="24"/>
              </w:rPr>
              <w:t>现有工程</w:t>
            </w:r>
            <w:r>
              <w:rPr>
                <w:color w:val="auto"/>
                <w:kern w:val="0"/>
                <w:sz w:val="24"/>
              </w:rPr>
              <w:t>实行</w:t>
            </w:r>
            <w:r>
              <w:rPr>
                <w:rFonts w:hint="eastAsia"/>
                <w:color w:val="auto"/>
                <w:kern w:val="0"/>
                <w:sz w:val="24"/>
              </w:rPr>
              <w:t>2</w:t>
            </w:r>
            <w:r>
              <w:rPr>
                <w:color w:val="auto"/>
                <w:kern w:val="0"/>
                <w:sz w:val="24"/>
              </w:rPr>
              <w:t>班制，每班工作时间为8小时，全年工作天数为300天</w:t>
            </w:r>
            <w:r>
              <w:rPr>
                <w:rFonts w:hint="eastAsia"/>
                <w:color w:val="auto"/>
                <w:kern w:val="0"/>
                <w:sz w:val="24"/>
              </w:rPr>
              <w:t>，配备员工75人</w:t>
            </w:r>
            <w:r>
              <w:rPr>
                <w:color w:val="auto"/>
                <w:kern w:val="0"/>
                <w:sz w:val="24"/>
              </w:rPr>
              <w:t>。</w:t>
            </w:r>
          </w:p>
          <w:p>
            <w:pPr>
              <w:adjustRightInd w:val="0"/>
              <w:snapToGrid w:val="0"/>
              <w:spacing w:line="360" w:lineRule="auto"/>
              <w:ind w:firstLine="480" w:firstLineChars="200"/>
              <w:rPr>
                <w:color w:val="auto"/>
                <w:sz w:val="24"/>
              </w:rPr>
            </w:pPr>
            <w:r>
              <w:rPr>
                <w:color w:val="auto"/>
                <w:sz w:val="24"/>
              </w:rPr>
              <w:t>生产规模：</w:t>
            </w:r>
            <w:r>
              <w:rPr>
                <w:rFonts w:hint="eastAsia"/>
                <w:color w:val="auto"/>
                <w:sz w:val="24"/>
              </w:rPr>
              <w:t>汽车纤维材料4000t/a、汽车内饰件337万件/a、</w:t>
            </w:r>
          </w:p>
          <w:p>
            <w:pPr>
              <w:adjustRightInd w:val="0"/>
              <w:snapToGrid w:val="0"/>
              <w:spacing w:line="360" w:lineRule="auto"/>
              <w:ind w:firstLine="481"/>
              <w:rPr>
                <w:color w:val="auto"/>
              </w:rPr>
            </w:pPr>
            <w:r>
              <w:rPr>
                <w:color w:val="auto"/>
                <w:sz w:val="24"/>
              </w:rPr>
              <w:t>建设内容：占地面积</w:t>
            </w:r>
            <w:r>
              <w:rPr>
                <w:rFonts w:hint="eastAsia"/>
                <w:color w:val="auto"/>
                <w:sz w:val="24"/>
              </w:rPr>
              <w:t>约</w:t>
            </w:r>
            <w:r>
              <w:rPr>
                <w:color w:val="auto"/>
                <w:sz w:val="24"/>
              </w:rPr>
              <w:t>1</w:t>
            </w:r>
            <w:r>
              <w:rPr>
                <w:rFonts w:hint="eastAsia"/>
                <w:color w:val="auto"/>
                <w:sz w:val="24"/>
              </w:rPr>
              <w:t>4</w:t>
            </w:r>
            <w:r>
              <w:rPr>
                <w:color w:val="auto"/>
                <w:sz w:val="24"/>
              </w:rPr>
              <w:t>000m</w:t>
            </w:r>
            <w:r>
              <w:rPr>
                <w:color w:val="auto"/>
                <w:sz w:val="24"/>
                <w:vertAlign w:val="superscript"/>
              </w:rPr>
              <w:t>2</w:t>
            </w:r>
            <w:r>
              <w:rPr>
                <w:color w:val="auto"/>
                <w:sz w:val="24"/>
              </w:rPr>
              <w:t>，</w:t>
            </w:r>
            <w:r>
              <w:rPr>
                <w:rFonts w:hint="eastAsia"/>
                <w:color w:val="auto"/>
                <w:sz w:val="24"/>
              </w:rPr>
              <w:t>主要建有1#综合楼、2#厂房、3#厂房，其中2#厂房主要生产汽车内饰件；3#厂房主要生产汽车纤维材料；1#综合楼设置为员工食堂、展览厅、行政办公室、员工宿舍，现有工程组成见表2.</w:t>
            </w:r>
            <w:r>
              <w:rPr>
                <w:rFonts w:hint="eastAsia"/>
                <w:color w:val="auto"/>
                <w:sz w:val="24"/>
                <w:lang w:val="en-US" w:eastAsia="zh-CN"/>
              </w:rPr>
              <w:t>13</w:t>
            </w:r>
            <w:r>
              <w:rPr>
                <w:rFonts w:hint="eastAsia"/>
                <w:color w:val="auto"/>
                <w:sz w:val="24"/>
              </w:rPr>
              <w:t>。</w:t>
            </w:r>
          </w:p>
          <w:p>
            <w:pPr>
              <w:adjustRightInd w:val="0"/>
              <w:snapToGrid w:val="0"/>
              <w:spacing w:line="360" w:lineRule="auto"/>
              <w:jc w:val="center"/>
              <w:rPr>
                <w:color w:val="auto"/>
                <w:sz w:val="21"/>
                <w:szCs w:val="21"/>
              </w:rPr>
            </w:pPr>
            <w:r>
              <w:rPr>
                <w:color w:val="auto"/>
                <w:sz w:val="21"/>
                <w:szCs w:val="21"/>
              </w:rPr>
              <w:t>表2.</w:t>
            </w:r>
            <w:r>
              <w:rPr>
                <w:rFonts w:hint="eastAsia"/>
                <w:color w:val="auto"/>
                <w:sz w:val="21"/>
                <w:szCs w:val="21"/>
                <w:lang w:val="en-US" w:eastAsia="zh-CN"/>
              </w:rPr>
              <w:t>13</w:t>
            </w:r>
            <w:r>
              <w:rPr>
                <w:color w:val="auto"/>
                <w:sz w:val="21"/>
                <w:szCs w:val="21"/>
              </w:rPr>
              <w:t xml:space="preserve"> </w:t>
            </w:r>
            <w:r>
              <w:rPr>
                <w:rFonts w:hint="eastAsia"/>
                <w:color w:val="auto"/>
                <w:sz w:val="21"/>
                <w:szCs w:val="21"/>
              </w:rPr>
              <w:t>现有工程</w:t>
            </w:r>
            <w:r>
              <w:rPr>
                <w:color w:val="auto"/>
                <w:sz w:val="21"/>
                <w:szCs w:val="21"/>
              </w:rPr>
              <w:t>组成一览表</w:t>
            </w:r>
          </w:p>
          <w:tbl>
            <w:tblPr>
              <w:tblStyle w:val="22"/>
              <w:tblW w:w="4999"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752"/>
              <w:gridCol w:w="1064"/>
              <w:gridCol w:w="5256"/>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2" w:type="pct"/>
                  <w:tcBorders>
                    <w:tl2br w:val="nil"/>
                    <w:tr2bl w:val="nil"/>
                  </w:tcBorders>
                  <w:vAlign w:val="center"/>
                </w:tcPr>
                <w:p>
                  <w:pPr>
                    <w:adjustRightInd w:val="0"/>
                    <w:snapToGrid w:val="0"/>
                    <w:jc w:val="center"/>
                    <w:rPr>
                      <w:color w:val="auto"/>
                    </w:rPr>
                  </w:pPr>
                  <w:r>
                    <w:rPr>
                      <w:color w:val="auto"/>
                    </w:rPr>
                    <w:t>工程类别</w:t>
                  </w:r>
                </w:p>
              </w:tc>
              <w:tc>
                <w:tcPr>
                  <w:tcW w:w="1085" w:type="pct"/>
                  <w:gridSpan w:val="2"/>
                  <w:tcBorders>
                    <w:tl2br w:val="nil"/>
                    <w:tr2bl w:val="nil"/>
                  </w:tcBorders>
                  <w:vAlign w:val="center"/>
                </w:tcPr>
                <w:p>
                  <w:pPr>
                    <w:adjustRightInd w:val="0"/>
                    <w:snapToGrid w:val="0"/>
                    <w:jc w:val="center"/>
                    <w:rPr>
                      <w:color w:val="auto"/>
                    </w:rPr>
                  </w:pPr>
                  <w:r>
                    <w:rPr>
                      <w:color w:val="auto"/>
                    </w:rPr>
                    <w:t>项目</w:t>
                  </w:r>
                </w:p>
              </w:tc>
              <w:tc>
                <w:tcPr>
                  <w:tcW w:w="3141" w:type="pct"/>
                  <w:tcBorders>
                    <w:tl2br w:val="nil"/>
                    <w:tr2bl w:val="nil"/>
                  </w:tcBorders>
                  <w:vAlign w:val="center"/>
                </w:tcPr>
                <w:p>
                  <w:pPr>
                    <w:adjustRightInd w:val="0"/>
                    <w:snapToGrid w:val="0"/>
                    <w:jc w:val="center"/>
                    <w:rPr>
                      <w:color w:val="auto"/>
                    </w:rPr>
                  </w:pPr>
                  <w:r>
                    <w:rPr>
                      <w:color w:val="auto"/>
                    </w:rPr>
                    <w:t>内容及规模</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772" w:type="pct"/>
                  <w:vMerge w:val="restart"/>
                  <w:tcBorders>
                    <w:tl2br w:val="nil"/>
                    <w:tr2bl w:val="nil"/>
                  </w:tcBorders>
                  <w:vAlign w:val="center"/>
                </w:tcPr>
                <w:p>
                  <w:pPr>
                    <w:adjustRightInd w:val="0"/>
                    <w:snapToGrid w:val="0"/>
                    <w:jc w:val="center"/>
                    <w:rPr>
                      <w:color w:val="auto"/>
                    </w:rPr>
                  </w:pPr>
                  <w:r>
                    <w:rPr>
                      <w:rFonts w:hint="eastAsia"/>
                      <w:color w:val="auto"/>
                    </w:rPr>
                    <w:t>主体工程</w:t>
                  </w:r>
                </w:p>
              </w:tc>
              <w:tc>
                <w:tcPr>
                  <w:tcW w:w="1085" w:type="pct"/>
                  <w:gridSpan w:val="2"/>
                  <w:tcBorders>
                    <w:tl2br w:val="nil"/>
                    <w:tr2bl w:val="nil"/>
                  </w:tcBorders>
                  <w:vAlign w:val="center"/>
                </w:tcPr>
                <w:p>
                  <w:pPr>
                    <w:adjustRightInd w:val="0"/>
                    <w:snapToGrid w:val="0"/>
                    <w:jc w:val="center"/>
                    <w:rPr>
                      <w:color w:val="auto"/>
                      <w:szCs w:val="21"/>
                    </w:rPr>
                  </w:pPr>
                  <w:r>
                    <w:rPr>
                      <w:rFonts w:hint="eastAsia"/>
                      <w:color w:val="auto"/>
                      <w:kern w:val="0"/>
                      <w:szCs w:val="21"/>
                    </w:rPr>
                    <w:t>2#厂房</w:t>
                  </w:r>
                </w:p>
              </w:tc>
              <w:tc>
                <w:tcPr>
                  <w:tcW w:w="3141" w:type="pct"/>
                  <w:tcBorders>
                    <w:tl2br w:val="nil"/>
                    <w:tr2bl w:val="nil"/>
                  </w:tcBorders>
                  <w:vAlign w:val="center"/>
                </w:tcPr>
                <w:p>
                  <w:pPr>
                    <w:adjustRightInd w:val="0"/>
                    <w:snapToGrid w:val="0"/>
                    <w:rPr>
                      <w:color w:val="auto"/>
                      <w:szCs w:val="21"/>
                      <w:highlight w:val="yellow"/>
                    </w:rPr>
                  </w:pPr>
                  <w:r>
                    <w:rPr>
                      <w:rFonts w:hint="eastAsia"/>
                      <w:color w:val="auto"/>
                      <w:szCs w:val="21"/>
                    </w:rPr>
                    <w:t>建筑面积约5600m</w:t>
                  </w:r>
                  <w:r>
                    <w:rPr>
                      <w:rFonts w:hint="eastAsia"/>
                      <w:color w:val="auto"/>
                      <w:szCs w:val="21"/>
                      <w:vertAlign w:val="superscript"/>
                    </w:rPr>
                    <w:t>2</w:t>
                  </w:r>
                  <w:r>
                    <w:rPr>
                      <w:rFonts w:hint="eastAsia"/>
                      <w:color w:val="auto"/>
                      <w:szCs w:val="21"/>
                    </w:rPr>
                    <w:t>，高1层，主要生产汽车内饰件，生产能力337万件/a，主要布置2条无纺布生产线、复合区、横切区、裁剪区、缝纫区、冲切区。</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2" w:type="pct"/>
                  <w:vMerge w:val="continue"/>
                  <w:tcBorders>
                    <w:tl2br w:val="nil"/>
                    <w:tr2bl w:val="nil"/>
                  </w:tcBorders>
                  <w:vAlign w:val="center"/>
                </w:tcPr>
                <w:p>
                  <w:pPr>
                    <w:adjustRightInd w:val="0"/>
                    <w:snapToGrid w:val="0"/>
                    <w:jc w:val="center"/>
                    <w:rPr>
                      <w:color w:val="auto"/>
                    </w:rPr>
                  </w:pPr>
                </w:p>
              </w:tc>
              <w:tc>
                <w:tcPr>
                  <w:tcW w:w="1085" w:type="pct"/>
                  <w:gridSpan w:val="2"/>
                  <w:tcBorders>
                    <w:tl2br w:val="nil"/>
                    <w:tr2bl w:val="nil"/>
                  </w:tcBorders>
                  <w:vAlign w:val="center"/>
                </w:tcPr>
                <w:p>
                  <w:pPr>
                    <w:adjustRightInd w:val="0"/>
                    <w:snapToGrid w:val="0"/>
                    <w:jc w:val="center"/>
                    <w:rPr>
                      <w:color w:val="auto"/>
                      <w:szCs w:val="21"/>
                    </w:rPr>
                  </w:pPr>
                  <w:r>
                    <w:rPr>
                      <w:rFonts w:hint="eastAsia"/>
                      <w:color w:val="auto"/>
                      <w:kern w:val="0"/>
                      <w:szCs w:val="21"/>
                    </w:rPr>
                    <w:t>3#厂房</w:t>
                  </w:r>
                </w:p>
              </w:tc>
              <w:tc>
                <w:tcPr>
                  <w:tcW w:w="3141" w:type="pct"/>
                  <w:tcBorders>
                    <w:tl2br w:val="nil"/>
                    <w:tr2bl w:val="nil"/>
                  </w:tcBorders>
                  <w:vAlign w:val="center"/>
                </w:tcPr>
                <w:p>
                  <w:pPr>
                    <w:adjustRightInd w:val="0"/>
                    <w:snapToGrid w:val="0"/>
                    <w:rPr>
                      <w:color w:val="auto"/>
                      <w:szCs w:val="21"/>
                      <w:highlight w:val="yellow"/>
                    </w:rPr>
                  </w:pPr>
                  <w:r>
                    <w:rPr>
                      <w:rFonts w:hint="eastAsia"/>
                      <w:color w:val="auto"/>
                      <w:szCs w:val="21"/>
                    </w:rPr>
                    <w:t>建筑面积约3300m</w:t>
                  </w:r>
                  <w:r>
                    <w:rPr>
                      <w:rFonts w:hint="eastAsia"/>
                      <w:color w:val="auto"/>
                      <w:szCs w:val="21"/>
                      <w:vertAlign w:val="superscript"/>
                    </w:rPr>
                    <w:t>2</w:t>
                  </w:r>
                  <w:r>
                    <w:rPr>
                      <w:rFonts w:hint="eastAsia"/>
                      <w:color w:val="auto"/>
                      <w:szCs w:val="21"/>
                    </w:rPr>
                    <w:t>，高1层，主要生产汽车纤维材料，生产能力为4000t/a，主要设置开花区、打包区、碎布区。</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72" w:type="pct"/>
                  <w:vMerge w:val="restart"/>
                  <w:tcBorders>
                    <w:tl2br w:val="nil"/>
                    <w:tr2bl w:val="nil"/>
                  </w:tcBorders>
                  <w:vAlign w:val="center"/>
                </w:tcPr>
                <w:p>
                  <w:pPr>
                    <w:adjustRightInd w:val="0"/>
                    <w:snapToGrid w:val="0"/>
                    <w:jc w:val="center"/>
                    <w:rPr>
                      <w:color w:val="auto"/>
                    </w:rPr>
                  </w:pPr>
                  <w:r>
                    <w:rPr>
                      <w:color w:val="auto"/>
                    </w:rPr>
                    <w:t>储运工程</w:t>
                  </w:r>
                </w:p>
              </w:tc>
              <w:tc>
                <w:tcPr>
                  <w:tcW w:w="1085" w:type="pct"/>
                  <w:gridSpan w:val="2"/>
                  <w:tcBorders>
                    <w:tl2br w:val="nil"/>
                    <w:tr2bl w:val="nil"/>
                  </w:tcBorders>
                  <w:vAlign w:val="center"/>
                </w:tcPr>
                <w:p>
                  <w:pPr>
                    <w:adjustRightInd w:val="0"/>
                    <w:snapToGrid w:val="0"/>
                    <w:jc w:val="center"/>
                    <w:rPr>
                      <w:color w:val="auto"/>
                    </w:rPr>
                  </w:pPr>
                  <w:r>
                    <w:rPr>
                      <w:color w:val="auto"/>
                    </w:rPr>
                    <w:t>成品</w:t>
                  </w:r>
                  <w:r>
                    <w:rPr>
                      <w:rFonts w:hint="eastAsia"/>
                      <w:color w:val="auto"/>
                    </w:rPr>
                    <w:t>堆放</w:t>
                  </w:r>
                  <w:r>
                    <w:rPr>
                      <w:color w:val="auto"/>
                    </w:rPr>
                    <w:t>区</w:t>
                  </w:r>
                </w:p>
              </w:tc>
              <w:tc>
                <w:tcPr>
                  <w:tcW w:w="3141" w:type="pct"/>
                  <w:tcBorders>
                    <w:tl2br w:val="nil"/>
                    <w:tr2bl w:val="nil"/>
                  </w:tcBorders>
                  <w:vAlign w:val="center"/>
                </w:tcPr>
                <w:p>
                  <w:pPr>
                    <w:widowControl/>
                    <w:adjustRightInd w:val="0"/>
                    <w:snapToGrid w:val="0"/>
                    <w:rPr>
                      <w:color w:val="auto"/>
                      <w:highlight w:val="yellow"/>
                    </w:rPr>
                  </w:pPr>
                  <w:r>
                    <w:rPr>
                      <w:rFonts w:hint="eastAsia"/>
                      <w:color w:val="auto"/>
                    </w:rPr>
                    <w:t>2#厂房成品堆放区设置厂房在西北部，建筑面积约450m</w:t>
                  </w:r>
                  <w:r>
                    <w:rPr>
                      <w:rFonts w:hint="eastAsia"/>
                      <w:color w:val="auto"/>
                      <w:vertAlign w:val="superscript"/>
                    </w:rPr>
                    <w:t>2</w:t>
                  </w:r>
                  <w:r>
                    <w:rPr>
                      <w:rFonts w:hint="eastAsia"/>
                      <w:color w:val="auto"/>
                    </w:rPr>
                    <w:t>，贮存无纺布、成品汽车内饰件；3#厂房成品堆放区设置厂房在东南部，建筑面积约550m</w:t>
                  </w:r>
                  <w:r>
                    <w:rPr>
                      <w:rFonts w:hint="eastAsia"/>
                      <w:color w:val="auto"/>
                      <w:vertAlign w:val="superscript"/>
                    </w:rPr>
                    <w:t>2</w:t>
                  </w:r>
                  <w:r>
                    <w:rPr>
                      <w:rFonts w:hint="eastAsia"/>
                      <w:color w:val="auto"/>
                    </w:rPr>
                    <w:t>，贮存成品汽车纤维材料。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772" w:type="pct"/>
                  <w:vMerge w:val="continue"/>
                  <w:tcBorders>
                    <w:tl2br w:val="nil"/>
                    <w:tr2bl w:val="nil"/>
                  </w:tcBorders>
                  <w:vAlign w:val="center"/>
                </w:tcPr>
                <w:p>
                  <w:pPr>
                    <w:widowControl/>
                    <w:jc w:val="left"/>
                    <w:rPr>
                      <w:color w:val="auto"/>
                    </w:rPr>
                  </w:pPr>
                </w:p>
              </w:tc>
              <w:tc>
                <w:tcPr>
                  <w:tcW w:w="1085" w:type="pct"/>
                  <w:gridSpan w:val="2"/>
                  <w:tcBorders>
                    <w:tl2br w:val="nil"/>
                    <w:tr2bl w:val="nil"/>
                  </w:tcBorders>
                  <w:vAlign w:val="center"/>
                </w:tcPr>
                <w:p>
                  <w:pPr>
                    <w:adjustRightInd w:val="0"/>
                    <w:snapToGrid w:val="0"/>
                    <w:jc w:val="center"/>
                    <w:rPr>
                      <w:color w:val="auto"/>
                    </w:rPr>
                  </w:pPr>
                  <w:r>
                    <w:rPr>
                      <w:color w:val="auto"/>
                    </w:rPr>
                    <w:t>原材料</w:t>
                  </w:r>
                  <w:r>
                    <w:rPr>
                      <w:rFonts w:hint="eastAsia"/>
                      <w:color w:val="auto"/>
                    </w:rPr>
                    <w:t>堆放</w:t>
                  </w:r>
                  <w:r>
                    <w:rPr>
                      <w:color w:val="auto"/>
                    </w:rPr>
                    <w:t>区</w:t>
                  </w:r>
                </w:p>
              </w:tc>
              <w:tc>
                <w:tcPr>
                  <w:tcW w:w="3141" w:type="pct"/>
                  <w:tcBorders>
                    <w:tl2br w:val="nil"/>
                    <w:tr2bl w:val="nil"/>
                  </w:tcBorders>
                  <w:vAlign w:val="center"/>
                </w:tcPr>
                <w:p>
                  <w:pPr>
                    <w:widowControl/>
                    <w:adjustRightInd w:val="0"/>
                    <w:snapToGrid w:val="0"/>
                    <w:rPr>
                      <w:color w:val="auto"/>
                      <w:highlight w:val="yellow"/>
                    </w:rPr>
                  </w:pPr>
                  <w:r>
                    <w:rPr>
                      <w:rFonts w:hint="eastAsia"/>
                      <w:color w:val="auto"/>
                    </w:rPr>
                    <w:t>2#厂房原材料堆放区设置在厂房西北部，建筑面积约450m</w:t>
                  </w:r>
                  <w:r>
                    <w:rPr>
                      <w:rFonts w:hint="eastAsia"/>
                      <w:color w:val="auto"/>
                      <w:vertAlign w:val="superscript"/>
                    </w:rPr>
                    <w:t>2</w:t>
                  </w:r>
                  <w:r>
                    <w:rPr>
                      <w:rFonts w:hint="eastAsia"/>
                      <w:color w:val="auto"/>
                    </w:rPr>
                    <w:t>，设置在2#厂房的西北部，贮存生产汽车内饰件的PET纤维、胶粘剂等；3#厂房原材料堆放区设置厂房在中部，建筑面积约860m</w:t>
                  </w:r>
                  <w:r>
                    <w:rPr>
                      <w:rFonts w:hint="eastAsia"/>
                      <w:color w:val="auto"/>
                      <w:vertAlign w:val="superscript"/>
                    </w:rPr>
                    <w:t>2</w:t>
                  </w:r>
                  <w:r>
                    <w:rPr>
                      <w:rFonts w:hint="eastAsia"/>
                      <w:color w:val="auto"/>
                    </w:rPr>
                    <w:t>，贮存生产汽车纤维的碎布条。</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2" w:type="pct"/>
                  <w:tcBorders>
                    <w:tl2br w:val="nil"/>
                    <w:tr2bl w:val="nil"/>
                  </w:tcBorders>
                  <w:vAlign w:val="center"/>
                </w:tcPr>
                <w:p>
                  <w:pPr>
                    <w:adjustRightInd w:val="0"/>
                    <w:snapToGrid w:val="0"/>
                    <w:jc w:val="center"/>
                    <w:rPr>
                      <w:color w:val="auto"/>
                    </w:rPr>
                  </w:pPr>
                  <w:r>
                    <w:rPr>
                      <w:color w:val="auto"/>
                    </w:rPr>
                    <w:t>辅助工程</w:t>
                  </w:r>
                </w:p>
              </w:tc>
              <w:tc>
                <w:tcPr>
                  <w:tcW w:w="1085" w:type="pct"/>
                  <w:gridSpan w:val="2"/>
                  <w:tcBorders>
                    <w:tl2br w:val="nil"/>
                    <w:tr2bl w:val="nil"/>
                  </w:tcBorders>
                  <w:vAlign w:val="center"/>
                </w:tcPr>
                <w:p>
                  <w:pPr>
                    <w:adjustRightInd w:val="0"/>
                    <w:snapToGrid w:val="0"/>
                    <w:jc w:val="center"/>
                    <w:rPr>
                      <w:color w:val="auto"/>
                    </w:rPr>
                  </w:pPr>
                  <w:r>
                    <w:rPr>
                      <w:color w:val="auto"/>
                    </w:rPr>
                    <w:t>综合楼</w:t>
                  </w:r>
                </w:p>
              </w:tc>
              <w:tc>
                <w:tcPr>
                  <w:tcW w:w="3141" w:type="pct"/>
                  <w:tcBorders>
                    <w:tl2br w:val="nil"/>
                    <w:tr2bl w:val="nil"/>
                  </w:tcBorders>
                  <w:vAlign w:val="center"/>
                </w:tcPr>
                <w:p>
                  <w:pPr>
                    <w:adjustRightInd w:val="0"/>
                    <w:snapToGrid w:val="0"/>
                    <w:rPr>
                      <w:color w:val="auto"/>
                    </w:rPr>
                  </w:pPr>
                  <w:r>
                    <w:rPr>
                      <w:rFonts w:hint="eastAsia"/>
                      <w:color w:val="auto"/>
                      <w:szCs w:val="21"/>
                    </w:rPr>
                    <w:t>高3层，其中1F设置为员工食堂、展览大厅、检验区；2F设置为行政办公室；3F设置为员工宿舍</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restart"/>
                  <w:tcBorders>
                    <w:tl2br w:val="nil"/>
                    <w:tr2bl w:val="nil"/>
                  </w:tcBorders>
                  <w:vAlign w:val="center"/>
                </w:tcPr>
                <w:p>
                  <w:pPr>
                    <w:widowControl/>
                    <w:jc w:val="center"/>
                    <w:rPr>
                      <w:color w:val="auto"/>
                    </w:rPr>
                  </w:pPr>
                  <w:r>
                    <w:rPr>
                      <w:color w:val="auto"/>
                    </w:rPr>
                    <w:t>公用工程</w:t>
                  </w:r>
                </w:p>
              </w:tc>
              <w:tc>
                <w:tcPr>
                  <w:tcW w:w="1085" w:type="pct"/>
                  <w:gridSpan w:val="2"/>
                  <w:tcBorders>
                    <w:tl2br w:val="nil"/>
                    <w:tr2bl w:val="nil"/>
                  </w:tcBorders>
                  <w:vAlign w:val="center"/>
                </w:tcPr>
                <w:p>
                  <w:pPr>
                    <w:adjustRightInd w:val="0"/>
                    <w:snapToGrid w:val="0"/>
                    <w:jc w:val="center"/>
                    <w:rPr>
                      <w:color w:val="auto"/>
                    </w:rPr>
                  </w:pPr>
                  <w:r>
                    <w:rPr>
                      <w:color w:val="auto"/>
                    </w:rPr>
                    <w:t>给水</w:t>
                  </w:r>
                </w:p>
              </w:tc>
              <w:tc>
                <w:tcPr>
                  <w:tcW w:w="3141" w:type="pct"/>
                  <w:tcBorders>
                    <w:tl2br w:val="nil"/>
                    <w:tr2bl w:val="nil"/>
                  </w:tcBorders>
                  <w:vAlign w:val="center"/>
                </w:tcPr>
                <w:p>
                  <w:pPr>
                    <w:adjustRightInd w:val="0"/>
                    <w:snapToGrid w:val="0"/>
                    <w:rPr>
                      <w:color w:val="auto"/>
                    </w:rPr>
                  </w:pPr>
                  <w:r>
                    <w:rPr>
                      <w:rFonts w:hint="eastAsia"/>
                      <w:color w:val="auto"/>
                    </w:rPr>
                    <w:t>依托周边市政给水管网，由厂区东南面市政供水管网接入</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1085" w:type="pct"/>
                  <w:gridSpan w:val="2"/>
                  <w:tcBorders>
                    <w:tl2br w:val="nil"/>
                    <w:tr2bl w:val="nil"/>
                  </w:tcBorders>
                  <w:vAlign w:val="center"/>
                </w:tcPr>
                <w:p>
                  <w:pPr>
                    <w:adjustRightInd w:val="0"/>
                    <w:snapToGrid w:val="0"/>
                    <w:jc w:val="center"/>
                    <w:rPr>
                      <w:color w:val="auto"/>
                    </w:rPr>
                  </w:pPr>
                  <w:r>
                    <w:rPr>
                      <w:color w:val="auto"/>
                    </w:rPr>
                    <w:t>排水</w:t>
                  </w:r>
                </w:p>
              </w:tc>
              <w:tc>
                <w:tcPr>
                  <w:tcW w:w="3141" w:type="pct"/>
                  <w:tcBorders>
                    <w:tl2br w:val="nil"/>
                    <w:tr2bl w:val="nil"/>
                  </w:tcBorders>
                  <w:vAlign w:val="center"/>
                </w:tcPr>
                <w:p>
                  <w:pPr>
                    <w:adjustRightInd w:val="0"/>
                    <w:snapToGrid w:val="0"/>
                    <w:rPr>
                      <w:color w:val="auto"/>
                    </w:rPr>
                  </w:pPr>
                  <w:r>
                    <w:rPr>
                      <w:color w:val="auto"/>
                    </w:rPr>
                    <w:t>采用雨、污分流，雨水</w:t>
                  </w:r>
                  <w:r>
                    <w:rPr>
                      <w:rFonts w:hint="eastAsia"/>
                      <w:color w:val="auto"/>
                    </w:rPr>
                    <w:t>接入厂区东南角</w:t>
                  </w:r>
                  <w:r>
                    <w:rPr>
                      <w:color w:val="auto"/>
                    </w:rPr>
                    <w:t>市政雨水管网，废水</w:t>
                  </w:r>
                  <w:r>
                    <w:rPr>
                      <w:rFonts w:hint="eastAsia"/>
                      <w:color w:val="auto"/>
                    </w:rPr>
                    <w:t>经处理后</w:t>
                  </w:r>
                  <w:r>
                    <w:rPr>
                      <w:color w:val="auto"/>
                    </w:rPr>
                    <w:t>接入</w:t>
                  </w:r>
                  <w:r>
                    <w:rPr>
                      <w:rFonts w:hint="eastAsia"/>
                      <w:color w:val="auto"/>
                    </w:rPr>
                    <w:t>厂区东南角的</w:t>
                  </w:r>
                  <w:r>
                    <w:rPr>
                      <w:color w:val="auto"/>
                    </w:rPr>
                    <w:t>市政污水管网，经</w:t>
                  </w:r>
                  <w:r>
                    <w:rPr>
                      <w:rFonts w:hint="eastAsia"/>
                      <w:color w:val="auto"/>
                    </w:rPr>
                    <w:t>东城</w:t>
                  </w:r>
                  <w:r>
                    <w:rPr>
                      <w:color w:val="auto"/>
                    </w:rPr>
                    <w:t>污水处理厂深度处理达标后排入</w:t>
                  </w:r>
                  <w:r>
                    <w:rPr>
                      <w:rFonts w:hint="eastAsia"/>
                      <w:color w:val="auto"/>
                    </w:rPr>
                    <w:t>淮远河</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1085" w:type="pct"/>
                  <w:gridSpan w:val="2"/>
                  <w:tcBorders>
                    <w:tl2br w:val="nil"/>
                    <w:tr2bl w:val="nil"/>
                  </w:tcBorders>
                  <w:vAlign w:val="center"/>
                </w:tcPr>
                <w:p>
                  <w:pPr>
                    <w:adjustRightInd w:val="0"/>
                    <w:snapToGrid w:val="0"/>
                    <w:jc w:val="center"/>
                    <w:rPr>
                      <w:color w:val="auto"/>
                    </w:rPr>
                  </w:pPr>
                  <w:r>
                    <w:rPr>
                      <w:color w:val="auto"/>
                    </w:rPr>
                    <w:t>供气</w:t>
                  </w:r>
                </w:p>
              </w:tc>
              <w:tc>
                <w:tcPr>
                  <w:tcW w:w="3141" w:type="pct"/>
                  <w:tcBorders>
                    <w:tl2br w:val="nil"/>
                    <w:tr2bl w:val="nil"/>
                  </w:tcBorders>
                  <w:vAlign w:val="center"/>
                </w:tcPr>
                <w:p>
                  <w:pPr>
                    <w:adjustRightInd w:val="0"/>
                    <w:snapToGrid w:val="0"/>
                    <w:rPr>
                      <w:color w:val="auto"/>
                    </w:rPr>
                  </w:pPr>
                  <w:r>
                    <w:rPr>
                      <w:rFonts w:hint="eastAsia"/>
                      <w:color w:val="auto"/>
                    </w:rPr>
                    <w:t>依托周边市政供气管网</w:t>
                  </w:r>
                  <w:r>
                    <w:rPr>
                      <w:color w:val="auto"/>
                    </w:rPr>
                    <w:t>，由</w:t>
                  </w:r>
                  <w:r>
                    <w:rPr>
                      <w:rFonts w:hint="eastAsia"/>
                      <w:color w:val="auto"/>
                    </w:rPr>
                    <w:t>厂区东南面天然气</w:t>
                  </w:r>
                  <w:r>
                    <w:rPr>
                      <w:color w:val="auto"/>
                    </w:rPr>
                    <w:t>供气管网接入</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1085" w:type="pct"/>
                  <w:gridSpan w:val="2"/>
                  <w:tcBorders>
                    <w:tl2br w:val="nil"/>
                    <w:tr2bl w:val="nil"/>
                  </w:tcBorders>
                  <w:vAlign w:val="center"/>
                </w:tcPr>
                <w:p>
                  <w:pPr>
                    <w:adjustRightInd w:val="0"/>
                    <w:snapToGrid w:val="0"/>
                    <w:jc w:val="center"/>
                    <w:rPr>
                      <w:color w:val="auto"/>
                    </w:rPr>
                  </w:pPr>
                  <w:r>
                    <w:rPr>
                      <w:color w:val="auto"/>
                    </w:rPr>
                    <w:t>供配电</w:t>
                  </w:r>
                </w:p>
              </w:tc>
              <w:tc>
                <w:tcPr>
                  <w:tcW w:w="3141" w:type="pct"/>
                  <w:tcBorders>
                    <w:tl2br w:val="nil"/>
                    <w:tr2bl w:val="nil"/>
                  </w:tcBorders>
                  <w:vAlign w:val="center"/>
                </w:tcPr>
                <w:p>
                  <w:pPr>
                    <w:tabs>
                      <w:tab w:val="center" w:pos="2250"/>
                    </w:tabs>
                    <w:adjustRightInd w:val="0"/>
                    <w:snapToGrid w:val="0"/>
                    <w:rPr>
                      <w:color w:val="auto"/>
                    </w:rPr>
                  </w:pPr>
                  <w:r>
                    <w:rPr>
                      <w:color w:val="auto"/>
                    </w:rPr>
                    <w:t>依托</w:t>
                  </w:r>
                  <w:r>
                    <w:rPr>
                      <w:rFonts w:hint="eastAsia"/>
                      <w:color w:val="auto"/>
                    </w:rPr>
                    <w:t>周边市政</w:t>
                  </w:r>
                  <w:r>
                    <w:rPr>
                      <w:color w:val="auto"/>
                    </w:rPr>
                    <w:t>供电网络</w:t>
                  </w:r>
                  <w:r>
                    <w:rPr>
                      <w:rFonts w:hint="eastAsia"/>
                      <w:color w:val="auto"/>
                    </w:rPr>
                    <w:tab/>
                  </w:r>
                  <w:r>
                    <w:rPr>
                      <w:color w:val="auto"/>
                    </w:rPr>
                    <w:t>，由</w:t>
                  </w:r>
                  <w:r>
                    <w:rPr>
                      <w:rFonts w:hint="eastAsia"/>
                      <w:color w:val="auto"/>
                    </w:rPr>
                    <w:t>厂区东南面市政供电网络</w:t>
                  </w:r>
                  <w:r>
                    <w:rPr>
                      <w:color w:val="auto"/>
                    </w:rPr>
                    <w:t>接入</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72" w:type="pct"/>
                  <w:vMerge w:val="restart"/>
                  <w:tcBorders>
                    <w:tl2br w:val="nil"/>
                    <w:tr2bl w:val="nil"/>
                  </w:tcBorders>
                  <w:vAlign w:val="center"/>
                </w:tcPr>
                <w:p>
                  <w:pPr>
                    <w:widowControl/>
                    <w:jc w:val="center"/>
                    <w:rPr>
                      <w:color w:val="auto"/>
                    </w:rPr>
                  </w:pPr>
                  <w:r>
                    <w:rPr>
                      <w:color w:val="auto"/>
                    </w:rPr>
                    <w:t>环保工程</w:t>
                  </w:r>
                </w:p>
              </w:tc>
              <w:tc>
                <w:tcPr>
                  <w:tcW w:w="1085" w:type="pct"/>
                  <w:gridSpan w:val="2"/>
                  <w:tcBorders>
                    <w:tl2br w:val="nil"/>
                    <w:tr2bl w:val="nil"/>
                  </w:tcBorders>
                  <w:vAlign w:val="center"/>
                </w:tcPr>
                <w:p>
                  <w:pPr>
                    <w:adjustRightInd w:val="0"/>
                    <w:snapToGrid w:val="0"/>
                    <w:jc w:val="center"/>
                    <w:rPr>
                      <w:color w:val="auto"/>
                    </w:rPr>
                  </w:pPr>
                  <w:r>
                    <w:rPr>
                      <w:color w:val="auto"/>
                    </w:rPr>
                    <w:t>废气处理</w:t>
                  </w:r>
                </w:p>
              </w:tc>
              <w:tc>
                <w:tcPr>
                  <w:tcW w:w="3141" w:type="pct"/>
                  <w:tcBorders>
                    <w:tl2br w:val="nil"/>
                    <w:tr2bl w:val="nil"/>
                  </w:tcBorders>
                  <w:vAlign w:val="center"/>
                </w:tcPr>
                <w:p>
                  <w:pPr>
                    <w:adjustRightInd w:val="0"/>
                    <w:snapToGrid w:val="0"/>
                    <w:rPr>
                      <w:color w:val="auto"/>
                    </w:rPr>
                  </w:pPr>
                  <w:r>
                    <w:rPr>
                      <w:rFonts w:hint="eastAsia"/>
                      <w:color w:val="auto"/>
                    </w:rPr>
                    <w:t>2#厂房复合区产生非甲烷总烃、颗粒物采用“滤筒除尘器+活性炭吸附”处理后引至15m高的1#排气筒排放；3#厂房开花区、打包区产生的颗粒物采用“布袋除尘器”处理后引至15m高的2#排气筒排放；3#厂房碎布区产生的颗粒物采用“布袋除尘器”处理后在厂房内无组织排放；员工食堂产生的油烟经油烟净化器处理后引至综合楼屋顶排放。</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1085" w:type="pct"/>
                  <w:gridSpan w:val="2"/>
                  <w:tcBorders>
                    <w:tl2br w:val="nil"/>
                    <w:tr2bl w:val="nil"/>
                  </w:tcBorders>
                  <w:vAlign w:val="center"/>
                </w:tcPr>
                <w:p>
                  <w:pPr>
                    <w:adjustRightInd w:val="0"/>
                    <w:snapToGrid w:val="0"/>
                    <w:jc w:val="center"/>
                    <w:rPr>
                      <w:color w:val="auto"/>
                    </w:rPr>
                  </w:pPr>
                  <w:r>
                    <w:rPr>
                      <w:color w:val="auto"/>
                    </w:rPr>
                    <w:t>废水处理</w:t>
                  </w:r>
                </w:p>
              </w:tc>
              <w:tc>
                <w:tcPr>
                  <w:tcW w:w="3141" w:type="pct"/>
                  <w:tcBorders>
                    <w:tl2br w:val="nil"/>
                    <w:tr2bl w:val="nil"/>
                  </w:tcBorders>
                  <w:vAlign w:val="center"/>
                </w:tcPr>
                <w:p>
                  <w:pPr>
                    <w:adjustRightInd w:val="0"/>
                    <w:snapToGrid w:val="0"/>
                    <w:rPr>
                      <w:color w:val="auto"/>
                    </w:rPr>
                  </w:pPr>
                  <w:r>
                    <w:rPr>
                      <w:rFonts w:hint="eastAsia"/>
                      <w:color w:val="auto"/>
                    </w:rPr>
                    <w:t>员工食堂建有处理能力为2m</w:t>
                  </w:r>
                  <w:r>
                    <w:rPr>
                      <w:rFonts w:hint="eastAsia"/>
                      <w:color w:val="auto"/>
                      <w:vertAlign w:val="superscript"/>
                    </w:rPr>
                    <w:t>3</w:t>
                  </w:r>
                  <w:r>
                    <w:rPr>
                      <w:rFonts w:hint="eastAsia"/>
                      <w:color w:val="auto"/>
                    </w:rPr>
                    <w:t>/d的隔油池、厂区东南角建有处理能力为20m</w:t>
                  </w:r>
                  <w:r>
                    <w:rPr>
                      <w:rFonts w:hint="eastAsia"/>
                      <w:color w:val="auto"/>
                      <w:vertAlign w:val="superscript"/>
                    </w:rPr>
                    <w:t>3</w:t>
                  </w:r>
                  <w:r>
                    <w:rPr>
                      <w:rFonts w:hint="eastAsia"/>
                      <w:color w:val="auto"/>
                    </w:rPr>
                    <w:t>/d的生化池，食堂废水经隔油处理后与生活污水进入生化池处理达三级标准后排入市政污水管网，经东城污水处理厂深度处理达一级B标后排入淮远河。</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449" w:type="pct"/>
                  <w:vMerge w:val="restart"/>
                  <w:tcBorders>
                    <w:tl2br w:val="nil"/>
                    <w:tr2bl w:val="nil"/>
                  </w:tcBorders>
                  <w:vAlign w:val="center"/>
                </w:tcPr>
                <w:p>
                  <w:pPr>
                    <w:adjustRightInd w:val="0"/>
                    <w:snapToGrid w:val="0"/>
                    <w:jc w:val="center"/>
                    <w:rPr>
                      <w:color w:val="auto"/>
                    </w:rPr>
                  </w:pPr>
                  <w:r>
                    <w:rPr>
                      <w:color w:val="auto"/>
                    </w:rPr>
                    <w:t>固废</w:t>
                  </w:r>
                </w:p>
                <w:p>
                  <w:pPr>
                    <w:adjustRightInd w:val="0"/>
                    <w:snapToGrid w:val="0"/>
                    <w:jc w:val="center"/>
                    <w:rPr>
                      <w:color w:val="auto"/>
                    </w:rPr>
                  </w:pPr>
                  <w:r>
                    <w:rPr>
                      <w:color w:val="auto"/>
                    </w:rPr>
                    <w:t>处理</w:t>
                  </w:r>
                </w:p>
              </w:tc>
              <w:tc>
                <w:tcPr>
                  <w:tcW w:w="635" w:type="pct"/>
                  <w:tcBorders>
                    <w:tl2br w:val="nil"/>
                    <w:tr2bl w:val="nil"/>
                  </w:tcBorders>
                  <w:vAlign w:val="center"/>
                </w:tcPr>
                <w:p>
                  <w:pPr>
                    <w:adjustRightInd w:val="0"/>
                    <w:snapToGrid w:val="0"/>
                    <w:jc w:val="center"/>
                    <w:rPr>
                      <w:color w:val="auto"/>
                    </w:rPr>
                  </w:pPr>
                  <w:r>
                    <w:rPr>
                      <w:color w:val="auto"/>
                    </w:rPr>
                    <w:t>危险</w:t>
                  </w:r>
                </w:p>
                <w:p>
                  <w:pPr>
                    <w:adjustRightInd w:val="0"/>
                    <w:snapToGrid w:val="0"/>
                    <w:jc w:val="center"/>
                    <w:rPr>
                      <w:color w:val="auto"/>
                    </w:rPr>
                  </w:pPr>
                  <w:r>
                    <w:rPr>
                      <w:color w:val="auto"/>
                    </w:rPr>
                    <w:t>废物</w:t>
                  </w:r>
                </w:p>
              </w:tc>
              <w:tc>
                <w:tcPr>
                  <w:tcW w:w="3141" w:type="pct"/>
                  <w:tcBorders>
                    <w:tl2br w:val="nil"/>
                    <w:tr2bl w:val="nil"/>
                  </w:tcBorders>
                  <w:vAlign w:val="center"/>
                </w:tcPr>
                <w:p>
                  <w:pPr>
                    <w:adjustRightInd w:val="0"/>
                    <w:snapToGrid w:val="0"/>
                    <w:rPr>
                      <w:color w:val="auto"/>
                    </w:rPr>
                  </w:pPr>
                  <w:r>
                    <w:rPr>
                      <w:rFonts w:hint="eastAsia"/>
                      <w:color w:val="auto"/>
                    </w:rPr>
                    <w:t>2#</w:t>
                  </w:r>
                  <w:r>
                    <w:rPr>
                      <w:color w:val="auto"/>
                    </w:rPr>
                    <w:t>厂房</w:t>
                  </w:r>
                  <w:r>
                    <w:rPr>
                      <w:rFonts w:hint="eastAsia"/>
                      <w:color w:val="auto"/>
                    </w:rPr>
                    <w:t>东北侧</w:t>
                  </w:r>
                  <w:r>
                    <w:rPr>
                      <w:color w:val="auto"/>
                    </w:rPr>
                    <w:t>设置1个面积为</w:t>
                  </w:r>
                  <w:r>
                    <w:rPr>
                      <w:rFonts w:hint="eastAsia"/>
                      <w:color w:val="auto"/>
                    </w:rPr>
                    <w:t>10</w:t>
                  </w:r>
                  <w:r>
                    <w:rPr>
                      <w:color w:val="auto"/>
                    </w:rPr>
                    <w:t>m</w:t>
                  </w:r>
                  <w:r>
                    <w:rPr>
                      <w:color w:val="auto"/>
                      <w:vertAlign w:val="superscript"/>
                    </w:rPr>
                    <w:t>2</w:t>
                  </w:r>
                  <w:r>
                    <w:rPr>
                      <w:color w:val="auto"/>
                    </w:rPr>
                    <w:t>危险废物暂存间，其地面及裙角进行防腐、防渗处理，</w:t>
                  </w:r>
                  <w:r>
                    <w:rPr>
                      <w:rFonts w:hint="eastAsia"/>
                      <w:color w:val="auto"/>
                    </w:rPr>
                    <w:t>危险废物</w:t>
                  </w:r>
                  <w:r>
                    <w:rPr>
                      <w:color w:val="auto"/>
                    </w:rPr>
                    <w:t>经分类暂存后定期交有危险废物处理制造单位处置。</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772" w:type="pct"/>
                  <w:vMerge w:val="continue"/>
                  <w:tcBorders>
                    <w:tl2br w:val="nil"/>
                    <w:tr2bl w:val="nil"/>
                  </w:tcBorders>
                  <w:vAlign w:val="center"/>
                </w:tcPr>
                <w:p>
                  <w:pPr>
                    <w:widowControl/>
                    <w:jc w:val="left"/>
                    <w:rPr>
                      <w:color w:val="auto"/>
                    </w:rPr>
                  </w:pPr>
                </w:p>
              </w:tc>
              <w:tc>
                <w:tcPr>
                  <w:tcW w:w="449" w:type="pct"/>
                  <w:vMerge w:val="continue"/>
                  <w:tcBorders>
                    <w:tl2br w:val="nil"/>
                    <w:tr2bl w:val="nil"/>
                  </w:tcBorders>
                  <w:vAlign w:val="center"/>
                </w:tcPr>
                <w:p>
                  <w:pPr>
                    <w:adjustRightInd w:val="0"/>
                    <w:snapToGrid w:val="0"/>
                    <w:jc w:val="center"/>
                    <w:rPr>
                      <w:color w:val="auto"/>
                    </w:rPr>
                  </w:pPr>
                </w:p>
              </w:tc>
              <w:tc>
                <w:tcPr>
                  <w:tcW w:w="635" w:type="pct"/>
                  <w:tcBorders>
                    <w:tl2br w:val="nil"/>
                    <w:tr2bl w:val="nil"/>
                  </w:tcBorders>
                  <w:vAlign w:val="center"/>
                </w:tcPr>
                <w:p>
                  <w:pPr>
                    <w:adjustRightInd w:val="0"/>
                    <w:snapToGrid w:val="0"/>
                    <w:jc w:val="center"/>
                    <w:rPr>
                      <w:color w:val="auto"/>
                    </w:rPr>
                  </w:pPr>
                  <w:r>
                    <w:rPr>
                      <w:color w:val="auto"/>
                    </w:rPr>
                    <w:t>一般工业固废</w:t>
                  </w:r>
                </w:p>
              </w:tc>
              <w:tc>
                <w:tcPr>
                  <w:tcW w:w="3141" w:type="pct"/>
                  <w:tcBorders>
                    <w:tl2br w:val="nil"/>
                    <w:tr2bl w:val="nil"/>
                  </w:tcBorders>
                  <w:vAlign w:val="center"/>
                </w:tcPr>
                <w:p>
                  <w:pPr>
                    <w:adjustRightInd w:val="0"/>
                    <w:snapToGrid w:val="0"/>
                    <w:rPr>
                      <w:color w:val="auto"/>
                    </w:rPr>
                  </w:pPr>
                  <w:r>
                    <w:rPr>
                      <w:rFonts w:hint="eastAsia"/>
                      <w:color w:val="auto"/>
                    </w:rPr>
                    <w:t>2#</w:t>
                  </w:r>
                  <w:r>
                    <w:rPr>
                      <w:color w:val="auto"/>
                    </w:rPr>
                    <w:t>厂房</w:t>
                  </w:r>
                  <w:r>
                    <w:rPr>
                      <w:rFonts w:hint="eastAsia"/>
                      <w:color w:val="auto"/>
                    </w:rPr>
                    <w:t>东南部</w:t>
                  </w:r>
                  <w:r>
                    <w:rPr>
                      <w:color w:val="auto"/>
                    </w:rPr>
                    <w:t>设置1个面积为</w:t>
                  </w:r>
                  <w:r>
                    <w:rPr>
                      <w:rFonts w:hint="eastAsia"/>
                      <w:color w:val="auto"/>
                    </w:rPr>
                    <w:t>10</w:t>
                  </w:r>
                  <w:r>
                    <w:rPr>
                      <w:color w:val="auto"/>
                    </w:rPr>
                    <w:t>m</w:t>
                  </w:r>
                  <w:r>
                    <w:rPr>
                      <w:color w:val="auto"/>
                      <w:vertAlign w:val="superscript"/>
                    </w:rPr>
                    <w:t>2</w:t>
                  </w:r>
                  <w:r>
                    <w:rPr>
                      <w:rFonts w:hint="eastAsia"/>
                      <w:color w:val="auto"/>
                    </w:rPr>
                    <w:t>一般工业固废暂存间</w:t>
                  </w:r>
                  <w:r>
                    <w:rPr>
                      <w:color w:val="auto"/>
                    </w:rPr>
                    <w:t>，</w:t>
                  </w:r>
                  <w:r>
                    <w:rPr>
                      <w:rFonts w:hint="eastAsia"/>
                      <w:color w:val="auto"/>
                    </w:rPr>
                    <w:t>一般工业固废分类收集后交废品回收公司处置。</w:t>
                  </w:r>
                </w:p>
              </w:tc>
            </w:tr>
          </w:tbl>
          <w:p>
            <w:pPr>
              <w:snapToGrid w:val="0"/>
              <w:spacing w:line="360" w:lineRule="auto"/>
              <w:rPr>
                <w:rFonts w:ascii="宋体" w:hAnsi="宋体" w:cs="宋体"/>
                <w:b/>
                <w:bCs/>
                <w:color w:val="auto"/>
                <w:sz w:val="24"/>
              </w:rPr>
            </w:pPr>
            <w:r>
              <w:rPr>
                <w:rFonts w:hint="eastAsia"/>
                <w:b/>
                <w:bCs/>
                <w:color w:val="auto"/>
                <w:sz w:val="24"/>
              </w:rPr>
              <w:t>3.现有工程</w:t>
            </w:r>
            <w:r>
              <w:rPr>
                <w:b/>
                <w:bCs/>
                <w:color w:val="auto"/>
                <w:sz w:val="24"/>
              </w:rPr>
              <w:t>环保设施及污染物产排</w:t>
            </w:r>
            <w:r>
              <w:rPr>
                <w:rFonts w:hint="eastAsia" w:ascii="宋体" w:hAnsi="宋体" w:cs="宋体"/>
                <w:b/>
                <w:bCs/>
                <w:color w:val="auto"/>
                <w:sz w:val="24"/>
              </w:rPr>
              <w:t>情况</w:t>
            </w:r>
          </w:p>
          <w:p>
            <w:pPr>
              <w:snapToGrid w:val="0"/>
              <w:spacing w:line="360" w:lineRule="auto"/>
              <w:ind w:firstLine="480" w:firstLineChars="200"/>
              <w:rPr>
                <w:color w:val="auto"/>
                <w:sz w:val="24"/>
              </w:rPr>
            </w:pPr>
            <w:r>
              <w:rPr>
                <w:color w:val="auto"/>
                <w:sz w:val="24"/>
              </w:rPr>
              <w:t>（1）废气</w:t>
            </w:r>
          </w:p>
          <w:p>
            <w:pPr>
              <w:spacing w:line="360" w:lineRule="auto"/>
              <w:ind w:firstLine="480" w:firstLineChars="200"/>
              <w:rPr>
                <w:color w:val="auto"/>
                <w:sz w:val="24"/>
              </w:rPr>
            </w:pPr>
            <w:r>
              <w:rPr>
                <w:color w:val="auto"/>
                <w:sz w:val="24"/>
              </w:rPr>
              <w:t>现有工程产生的废气主要为2#车间复合区产生的</w:t>
            </w:r>
            <w:r>
              <w:rPr>
                <w:rFonts w:hint="eastAsia"/>
                <w:color w:val="auto"/>
                <w:sz w:val="24"/>
              </w:rPr>
              <w:t>非甲烷总烃</w:t>
            </w:r>
            <w:r>
              <w:rPr>
                <w:color w:val="auto"/>
                <w:sz w:val="24"/>
              </w:rPr>
              <w:t>、颗粒物、3#厂房开花区、打包区、碎布区产生的颗粒物、员工食堂产生的油烟、非甲烷总烃。</w:t>
            </w:r>
          </w:p>
          <w:p>
            <w:pPr>
              <w:pStyle w:val="2"/>
              <w:ind w:firstLine="480" w:firstLineChars="200"/>
              <w:rPr>
                <w:rFonts w:ascii="Times New Roman" w:hAnsi="Times New Roman" w:cs="Times New Roman"/>
                <w:color w:val="auto"/>
              </w:rPr>
            </w:pPr>
            <w:r>
              <w:rPr>
                <w:rFonts w:ascii="Times New Roman" w:hAnsi="Times New Roman" w:cs="Times New Roman"/>
                <w:color w:val="auto"/>
                <w:lang w:bidi="ar"/>
              </w:rPr>
              <w:t>①2#车间复合区废气</w:t>
            </w:r>
          </w:p>
          <w:p>
            <w:pPr>
              <w:pStyle w:val="3"/>
              <w:ind w:firstLine="480" w:firstLineChars="200"/>
              <w:rPr>
                <w:rFonts w:hint="default" w:ascii="Times New Roman" w:hAnsi="Times New Roman" w:cs="Times New Roman"/>
                <w:bCs/>
                <w:color w:val="auto"/>
              </w:rPr>
            </w:pPr>
            <w:r>
              <w:rPr>
                <w:rFonts w:hint="default" w:ascii="Times New Roman" w:hAnsi="Times New Roman" w:cs="Times New Roman"/>
                <w:bCs/>
                <w:color w:val="auto"/>
              </w:rPr>
              <w:t>通过调查，</w:t>
            </w:r>
            <w:r>
              <w:rPr>
                <w:rFonts w:hint="default" w:ascii="Times New Roman" w:hAnsi="Times New Roman" w:cs="Times New Roman"/>
                <w:color w:val="auto"/>
              </w:rPr>
              <w:t>2#厂房复合区产生挥发性有机物、颗粒物采用“滤筒除尘器+活性炭吸附”处理后引至15m高的1#排气筒排放。根据</w:t>
            </w:r>
            <w:r>
              <w:rPr>
                <w:rFonts w:hint="default" w:ascii="Times New Roman" w:hAnsi="Times New Roman" w:cs="Times New Roman"/>
                <w:bCs/>
                <w:color w:val="auto"/>
              </w:rPr>
              <w:t>《</w:t>
            </w:r>
            <w:r>
              <w:rPr>
                <w:rFonts w:hint="default" w:ascii="Times New Roman" w:hAnsi="Times New Roman" w:cs="Times New Roman"/>
                <w:color w:val="auto"/>
                <w:spacing w:val="8"/>
                <w:shd w:val="clear" w:color="auto" w:fill="FFFFFF"/>
              </w:rPr>
              <w:t>年产汽车零部件800万件及汽车纤维材料8000吨扩建项目（一阶段）</w:t>
            </w:r>
            <w:r>
              <w:rPr>
                <w:rFonts w:hint="default" w:ascii="Times New Roman" w:hAnsi="Times New Roman" w:cs="Times New Roman"/>
                <w:bCs/>
                <w:color w:val="auto"/>
              </w:rPr>
              <w:t>竣工环境保护验收监测报告表》</w:t>
            </w:r>
            <w:r>
              <w:rPr>
                <w:rFonts w:hint="eastAsia" w:ascii="Times New Roman" w:hAnsi="Times New Roman" w:cs="Times New Roman"/>
                <w:bCs/>
                <w:color w:val="auto"/>
                <w:lang w:eastAsia="zh-CN"/>
              </w:rPr>
              <w:t>和</w:t>
            </w:r>
            <w:r>
              <w:rPr>
                <w:rFonts w:hint="default" w:ascii="Times New Roman" w:hAnsi="Times New Roman" w:cs="Times New Roman"/>
                <w:color w:val="auto"/>
                <w:lang w:eastAsia="zh-CN"/>
              </w:rPr>
              <w:t>《</w:t>
            </w:r>
            <w:r>
              <w:rPr>
                <w:rFonts w:hint="default" w:ascii="Times New Roman" w:hAnsi="Times New Roman" w:cs="Times New Roman"/>
                <w:color w:val="auto"/>
                <w:spacing w:val="8"/>
                <w:szCs w:val="21"/>
                <w:shd w:val="clear" w:color="auto" w:fill="FFFFFF"/>
                <w:lang w:eastAsia="zh-CN"/>
              </w:rPr>
              <w:t>年产汽车零部件800万件及汽车纤维材料8000吨扩建项目环境影响报告表</w:t>
            </w:r>
            <w:r>
              <w:rPr>
                <w:rFonts w:hint="default" w:ascii="Times New Roman" w:hAnsi="Times New Roman" w:cs="Times New Roman"/>
                <w:color w:val="auto"/>
                <w:lang w:eastAsia="zh-CN"/>
              </w:rPr>
              <w:t>》</w:t>
            </w:r>
            <w:r>
              <w:rPr>
                <w:rFonts w:hint="default" w:ascii="Times New Roman" w:hAnsi="Times New Roman" w:cs="Times New Roman"/>
                <w:bCs/>
                <w:color w:val="auto"/>
              </w:rPr>
              <w:t>，1#排气筒颗粒物排放浓度为17.433mg/m</w:t>
            </w:r>
            <w:r>
              <w:rPr>
                <w:rFonts w:hint="default" w:ascii="Times New Roman" w:hAnsi="Times New Roman" w:cs="Times New Roman"/>
                <w:bCs/>
                <w:color w:val="auto"/>
                <w:vertAlign w:val="superscript"/>
              </w:rPr>
              <w:t>3</w:t>
            </w:r>
            <w:r>
              <w:rPr>
                <w:rFonts w:hint="default" w:ascii="Times New Roman" w:hAnsi="Times New Roman" w:cs="Times New Roman"/>
                <w:bCs/>
                <w:color w:val="auto"/>
              </w:rPr>
              <w:t>，排放速率为0.101kg/h</w:t>
            </w:r>
            <w:r>
              <w:rPr>
                <w:rFonts w:hint="default" w:ascii="Times New Roman" w:hAnsi="Times New Roman" w:cs="Times New Roman"/>
                <w:bCs/>
                <w:color w:val="auto"/>
                <w:lang w:eastAsia="zh-CN"/>
              </w:rPr>
              <w:t>；非</w:t>
            </w:r>
            <w:r>
              <w:rPr>
                <w:rFonts w:hint="default" w:ascii="Times New Roman" w:hAnsi="Times New Roman" w:cs="Times New Roman"/>
                <w:bCs/>
                <w:color w:val="auto"/>
              </w:rPr>
              <w:t>甲烷总烃排放浓度为2.207mg/m</w:t>
            </w:r>
            <w:r>
              <w:rPr>
                <w:rFonts w:hint="default" w:ascii="Times New Roman" w:hAnsi="Times New Roman" w:cs="Times New Roman"/>
                <w:bCs/>
                <w:color w:val="auto"/>
                <w:vertAlign w:val="superscript"/>
              </w:rPr>
              <w:t>3</w:t>
            </w:r>
            <w:r>
              <w:rPr>
                <w:rFonts w:hint="default" w:ascii="Times New Roman" w:hAnsi="Times New Roman" w:cs="Times New Roman"/>
                <w:bCs/>
                <w:color w:val="auto"/>
              </w:rPr>
              <w:t>，排放速率为0.013kg/h，满足重庆市</w:t>
            </w:r>
            <w:r>
              <w:rPr>
                <w:rFonts w:hint="default" w:ascii="Times New Roman" w:hAnsi="Times New Roman" w:cs="Times New Roman"/>
                <w:bCs/>
                <w:snapToGrid w:val="0"/>
                <w:color w:val="auto"/>
              </w:rPr>
              <w:t>《</w:t>
            </w:r>
            <w:r>
              <w:rPr>
                <w:rFonts w:hint="default" w:ascii="Times New Roman" w:hAnsi="Times New Roman" w:cs="Times New Roman"/>
                <w:color w:val="auto"/>
              </w:rPr>
              <w:t>大气污染物综合排放标准》(DB50/418－2016)的标准要求</w:t>
            </w:r>
            <w:r>
              <w:rPr>
                <w:rFonts w:hint="eastAsia" w:ascii="Times New Roman" w:hAnsi="Times New Roman" w:cs="Times New Roman"/>
                <w:color w:val="auto"/>
                <w:lang w:eastAsia="zh-CN"/>
              </w:rPr>
              <w:t>，</w:t>
            </w:r>
            <w:r>
              <w:rPr>
                <w:rFonts w:hint="default" w:ascii="Times New Roman" w:hAnsi="Times New Roman" w:cs="Times New Roman"/>
                <w:color w:val="auto"/>
                <w:lang w:val="en-US" w:eastAsia="zh-CN"/>
              </w:rPr>
              <w:t>1#排气筒颗粒物排放量为</w:t>
            </w:r>
            <w:r>
              <w:rPr>
                <w:rFonts w:hint="default" w:ascii="Times New Roman" w:hAnsi="Times New Roman" w:cs="Times New Roman"/>
                <w:bCs/>
                <w:color w:val="auto"/>
              </w:rPr>
              <w:t>排放量为0.</w:t>
            </w:r>
            <w:r>
              <w:rPr>
                <w:rFonts w:hint="eastAsia" w:ascii="Times New Roman" w:hAnsi="Times New Roman" w:cs="Times New Roman"/>
                <w:bCs/>
                <w:color w:val="auto"/>
                <w:lang w:val="en-US" w:eastAsia="zh-CN"/>
              </w:rPr>
              <w:t>043</w:t>
            </w:r>
            <w:r>
              <w:rPr>
                <w:rFonts w:hint="default" w:ascii="Times New Roman" w:hAnsi="Times New Roman" w:cs="Times New Roman"/>
                <w:bCs/>
                <w:color w:val="auto"/>
              </w:rPr>
              <w:t>t/a；</w:t>
            </w:r>
            <w:r>
              <w:rPr>
                <w:rFonts w:hint="default" w:ascii="Times New Roman" w:hAnsi="Times New Roman" w:cs="Times New Roman"/>
                <w:bCs/>
                <w:color w:val="auto"/>
                <w:lang w:eastAsia="zh-CN"/>
              </w:rPr>
              <w:t>非甲烷总烃</w:t>
            </w:r>
            <w:r>
              <w:rPr>
                <w:rFonts w:hint="default" w:ascii="Times New Roman" w:hAnsi="Times New Roman" w:cs="Times New Roman"/>
                <w:bCs/>
                <w:color w:val="auto"/>
              </w:rPr>
              <w:t>排放量为0.0</w:t>
            </w:r>
            <w:r>
              <w:rPr>
                <w:rFonts w:hint="eastAsia" w:ascii="Times New Roman" w:hAnsi="Times New Roman" w:cs="Times New Roman"/>
                <w:bCs/>
                <w:color w:val="auto"/>
                <w:lang w:val="en-US" w:eastAsia="zh-CN"/>
              </w:rPr>
              <w:t>90</w:t>
            </w:r>
            <w:r>
              <w:rPr>
                <w:rFonts w:hint="default" w:ascii="Times New Roman" w:hAnsi="Times New Roman" w:cs="Times New Roman"/>
                <w:bCs/>
                <w:color w:val="auto"/>
              </w:rPr>
              <w:t>t/a；</w:t>
            </w:r>
          </w:p>
          <w:p>
            <w:pPr>
              <w:pStyle w:val="3"/>
              <w:ind w:firstLine="480" w:firstLineChars="200"/>
              <w:rPr>
                <w:rFonts w:ascii="Times New Roman" w:hAnsi="Times New Roman" w:cs="Times New Roman"/>
                <w:color w:val="auto"/>
              </w:rPr>
            </w:pPr>
            <w:r>
              <w:rPr>
                <w:rFonts w:ascii="Times New Roman" w:hAnsi="Times New Roman" w:cs="Times New Roman"/>
                <w:bCs/>
                <w:color w:val="auto"/>
              </w:rPr>
              <w:t>②</w:t>
            </w:r>
            <w:r>
              <w:rPr>
                <w:rFonts w:hint="eastAsia" w:ascii="Times New Roman" w:hAnsi="Times New Roman" w:cs="Times New Roman"/>
                <w:bCs/>
                <w:color w:val="auto"/>
              </w:rPr>
              <w:t>3#车间开花区、打包区废气</w:t>
            </w:r>
          </w:p>
          <w:p>
            <w:pPr>
              <w:spacing w:line="360" w:lineRule="auto"/>
              <w:ind w:firstLine="480" w:firstLineChars="200"/>
              <w:rPr>
                <w:rFonts w:hint="eastAsia" w:eastAsia="宋体"/>
                <w:bCs/>
                <w:color w:val="auto"/>
                <w:sz w:val="24"/>
                <w:szCs w:val="24"/>
                <w:lang w:eastAsia="zh-CN"/>
              </w:rPr>
            </w:pPr>
            <w:r>
              <w:rPr>
                <w:bCs/>
                <w:color w:val="auto"/>
                <w:sz w:val="24"/>
                <w:szCs w:val="24"/>
              </w:rPr>
              <w:t>通过调查，</w:t>
            </w:r>
            <w:r>
              <w:rPr>
                <w:color w:val="auto"/>
                <w:sz w:val="24"/>
                <w:szCs w:val="24"/>
              </w:rPr>
              <w:t>3#厂房开花区、打包区、碎布区产生的颗粒物</w:t>
            </w:r>
            <w:r>
              <w:rPr>
                <w:rFonts w:hint="eastAsia"/>
                <w:color w:val="auto"/>
                <w:sz w:val="24"/>
                <w:szCs w:val="24"/>
              </w:rPr>
              <w:t>采用“布袋除尘器”处理后引至15m高的2#排气筒排放。根据</w:t>
            </w:r>
            <w:r>
              <w:rPr>
                <w:bCs/>
                <w:color w:val="auto"/>
                <w:sz w:val="24"/>
                <w:szCs w:val="24"/>
              </w:rPr>
              <w:t>《</w:t>
            </w:r>
            <w:r>
              <w:rPr>
                <w:color w:val="auto"/>
                <w:spacing w:val="8"/>
                <w:sz w:val="24"/>
                <w:szCs w:val="24"/>
                <w:shd w:val="clear" w:color="auto" w:fill="FFFFFF"/>
              </w:rPr>
              <w:t>年产汽车零部件800万件及汽车纤维材料8000吨扩建项目</w:t>
            </w:r>
            <w:r>
              <w:rPr>
                <w:rFonts w:hint="eastAsia"/>
                <w:color w:val="auto"/>
                <w:spacing w:val="8"/>
                <w:sz w:val="24"/>
                <w:szCs w:val="24"/>
                <w:shd w:val="clear" w:color="auto" w:fill="FFFFFF"/>
              </w:rPr>
              <w:t>（一阶段）</w:t>
            </w:r>
            <w:r>
              <w:rPr>
                <w:bCs/>
                <w:color w:val="auto"/>
                <w:sz w:val="24"/>
                <w:szCs w:val="24"/>
              </w:rPr>
              <w:t>竣工环境保护验收监测报告表》</w:t>
            </w:r>
            <w:r>
              <w:rPr>
                <w:rFonts w:hint="eastAsia" w:ascii="Times New Roman" w:hAnsi="Times New Roman" w:cs="Times New Roman"/>
                <w:bCs/>
                <w:color w:val="auto"/>
                <w:sz w:val="24"/>
                <w:szCs w:val="24"/>
                <w:lang w:eastAsia="zh-CN"/>
              </w:rPr>
              <w:t>和</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pacing w:val="8"/>
                <w:sz w:val="24"/>
                <w:szCs w:val="24"/>
                <w:shd w:val="clear" w:color="auto" w:fill="FFFFFF"/>
                <w:lang w:eastAsia="zh-CN"/>
              </w:rPr>
              <w:t>年产汽车零部件800万件及汽车纤维材料8000吨扩建项目环境影响报告表</w:t>
            </w:r>
            <w:r>
              <w:rPr>
                <w:rFonts w:hint="default" w:ascii="Times New Roman" w:hAnsi="Times New Roman" w:cs="Times New Roman"/>
                <w:color w:val="auto"/>
                <w:sz w:val="24"/>
                <w:szCs w:val="24"/>
                <w:lang w:eastAsia="zh-CN"/>
              </w:rPr>
              <w:t>》</w:t>
            </w:r>
            <w:r>
              <w:rPr>
                <w:rFonts w:hint="eastAsia"/>
                <w:bCs/>
                <w:color w:val="auto"/>
                <w:sz w:val="24"/>
                <w:szCs w:val="24"/>
              </w:rPr>
              <w:t>，2#排气筒颗粒物排放浓度为17.683mg/m</w:t>
            </w:r>
            <w:r>
              <w:rPr>
                <w:rFonts w:hint="eastAsia"/>
                <w:bCs/>
                <w:color w:val="auto"/>
                <w:sz w:val="24"/>
                <w:szCs w:val="24"/>
                <w:vertAlign w:val="superscript"/>
              </w:rPr>
              <w:t>3</w:t>
            </w:r>
            <w:r>
              <w:rPr>
                <w:rFonts w:hint="eastAsia"/>
                <w:bCs/>
                <w:color w:val="auto"/>
                <w:sz w:val="24"/>
                <w:szCs w:val="24"/>
              </w:rPr>
              <w:t>，排放速率为0.617kg/h，满足重庆市</w:t>
            </w:r>
            <w:r>
              <w:rPr>
                <w:bCs/>
                <w:snapToGrid w:val="0"/>
                <w:color w:val="auto"/>
                <w:sz w:val="24"/>
                <w:szCs w:val="24"/>
              </w:rPr>
              <w:t>《</w:t>
            </w:r>
            <w:r>
              <w:rPr>
                <w:color w:val="auto"/>
                <w:sz w:val="24"/>
                <w:szCs w:val="24"/>
              </w:rPr>
              <w:t>大气污染物综合排放标准》(DB50/418－2016)</w:t>
            </w:r>
            <w:r>
              <w:rPr>
                <w:rFonts w:hint="eastAsia"/>
                <w:color w:val="auto"/>
                <w:sz w:val="24"/>
                <w:szCs w:val="24"/>
              </w:rPr>
              <w:t>的标准要求</w:t>
            </w:r>
            <w:r>
              <w:rPr>
                <w:rFonts w:hint="eastAsia"/>
                <w:color w:val="auto"/>
                <w:sz w:val="24"/>
                <w:szCs w:val="24"/>
                <w:lang w:eastAsia="zh-CN"/>
              </w:rPr>
              <w:t>，</w:t>
            </w:r>
            <w:r>
              <w:rPr>
                <w:rFonts w:hint="eastAsia"/>
                <w:bCs/>
                <w:color w:val="auto"/>
                <w:sz w:val="24"/>
                <w:szCs w:val="24"/>
                <w:lang w:val="en-US" w:eastAsia="zh-CN"/>
              </w:rPr>
              <w:t>2#排气筒颗粒物</w:t>
            </w:r>
            <w:r>
              <w:rPr>
                <w:rFonts w:hint="eastAsia"/>
                <w:bCs/>
                <w:color w:val="auto"/>
                <w:sz w:val="24"/>
                <w:szCs w:val="24"/>
              </w:rPr>
              <w:t>排放量为</w:t>
            </w:r>
            <w:r>
              <w:rPr>
                <w:rFonts w:hint="eastAsia"/>
                <w:bCs/>
                <w:color w:val="auto"/>
                <w:sz w:val="24"/>
                <w:szCs w:val="24"/>
                <w:lang w:val="en-US" w:eastAsia="zh-CN"/>
              </w:rPr>
              <w:t>0.72</w:t>
            </w:r>
            <w:r>
              <w:rPr>
                <w:rFonts w:hint="eastAsia"/>
                <w:bCs/>
                <w:color w:val="auto"/>
                <w:sz w:val="24"/>
                <w:szCs w:val="24"/>
              </w:rPr>
              <w:t>t/a</w:t>
            </w:r>
            <w:r>
              <w:rPr>
                <w:rFonts w:hint="eastAsia"/>
                <w:bCs/>
                <w:color w:val="auto"/>
                <w:sz w:val="24"/>
                <w:szCs w:val="24"/>
                <w:lang w:eastAsia="zh-CN"/>
              </w:rPr>
              <w:t>。</w:t>
            </w:r>
          </w:p>
          <w:p>
            <w:pPr>
              <w:spacing w:line="360" w:lineRule="auto"/>
              <w:ind w:firstLine="480" w:firstLineChars="200"/>
              <w:rPr>
                <w:color w:val="auto"/>
              </w:rPr>
            </w:pPr>
            <w:r>
              <w:rPr>
                <w:color w:val="auto"/>
                <w:sz w:val="24"/>
              </w:rPr>
              <w:t>③</w:t>
            </w:r>
            <w:r>
              <w:rPr>
                <w:rFonts w:hint="eastAsia"/>
                <w:color w:val="auto"/>
                <w:sz w:val="24"/>
              </w:rPr>
              <w:t>食堂废气</w:t>
            </w:r>
          </w:p>
          <w:p>
            <w:pPr>
              <w:pStyle w:val="2"/>
              <w:ind w:firstLine="480" w:firstLineChars="200"/>
              <w:rPr>
                <w:rFonts w:ascii="Times New Roman" w:hAnsi="Times New Roman" w:cs="Times New Roman"/>
                <w:color w:val="auto"/>
              </w:rPr>
            </w:pPr>
            <w:r>
              <w:rPr>
                <w:rFonts w:hint="eastAsia"/>
                <w:color w:val="auto"/>
              </w:rPr>
              <w:t>通过调查，员工食堂产生的油烟、非甲烷总烃经油烟净化器处理后引至综合楼屋顶排</w:t>
            </w:r>
            <w:r>
              <w:rPr>
                <w:rFonts w:ascii="Times New Roman" w:hAnsi="Times New Roman" w:cs="Times New Roman"/>
                <w:color w:val="auto"/>
              </w:rPr>
              <w:t>放，平均每天烹饪时间按3h计，风机风量为4000m</w:t>
            </w:r>
            <w:r>
              <w:rPr>
                <w:rFonts w:ascii="Times New Roman" w:hAnsi="Times New Roman" w:cs="Times New Roman"/>
                <w:color w:val="auto"/>
                <w:vertAlign w:val="superscript"/>
              </w:rPr>
              <w:t>3</w:t>
            </w:r>
            <w:r>
              <w:rPr>
                <w:rFonts w:ascii="Times New Roman" w:hAnsi="Times New Roman" w:cs="Times New Roman"/>
                <w:color w:val="auto"/>
              </w:rPr>
              <w:t>/h。根据</w:t>
            </w:r>
            <w:r>
              <w:rPr>
                <w:rFonts w:ascii="Times New Roman" w:hAnsi="Times New Roman" w:cs="Times New Roman"/>
                <w:bCs/>
                <w:color w:val="auto"/>
              </w:rPr>
              <w:t>《</w:t>
            </w:r>
            <w:r>
              <w:rPr>
                <w:rFonts w:ascii="Times New Roman" w:hAnsi="Times New Roman" w:cs="Times New Roman"/>
                <w:color w:val="auto"/>
                <w:spacing w:val="8"/>
                <w:shd w:val="clear" w:color="auto" w:fill="FFFFFF"/>
              </w:rPr>
              <w:t>年产汽车零部件800万件及汽车纤维材料8000吨扩建项目（一阶段）</w:t>
            </w:r>
            <w:r>
              <w:rPr>
                <w:rFonts w:ascii="Times New Roman" w:hAnsi="Times New Roman" w:cs="Times New Roman"/>
                <w:color w:val="auto"/>
              </w:rPr>
              <w:t>竣工环境保护验收监测报告表》，油烟排放浓度为0.65mg/m</w:t>
            </w:r>
            <w:r>
              <w:rPr>
                <w:rFonts w:ascii="Times New Roman" w:hAnsi="Times New Roman" w:cs="Times New Roman"/>
                <w:color w:val="auto"/>
                <w:vertAlign w:val="superscript"/>
              </w:rPr>
              <w:t>3</w:t>
            </w:r>
            <w:r>
              <w:rPr>
                <w:rFonts w:ascii="Times New Roman" w:hAnsi="Times New Roman" w:cs="Times New Roman"/>
                <w:color w:val="auto"/>
              </w:rPr>
              <w:t>,排放量为0.002t/a；非甲烷总烃排放浓度为0.036mg/m</w:t>
            </w:r>
            <w:r>
              <w:rPr>
                <w:rFonts w:ascii="Times New Roman" w:hAnsi="Times New Roman" w:cs="Times New Roman"/>
                <w:color w:val="auto"/>
                <w:vertAlign w:val="superscript"/>
              </w:rPr>
              <w:t>3</w:t>
            </w:r>
            <w:r>
              <w:rPr>
                <w:rFonts w:ascii="Times New Roman" w:hAnsi="Times New Roman" w:cs="Times New Roman"/>
                <w:color w:val="auto"/>
              </w:rPr>
              <w:t>,排放量为0.036t/a，满足《餐饮业大气污染物排放标准》（DB50/859-2018）的相关标准要求。</w:t>
            </w:r>
          </w:p>
          <w:p>
            <w:pPr>
              <w:pStyle w:val="2"/>
              <w:ind w:firstLine="480" w:firstLineChars="200"/>
              <w:rPr>
                <w:color w:val="auto"/>
              </w:rPr>
            </w:pPr>
            <w:r>
              <w:rPr>
                <w:rFonts w:hint="eastAsia"/>
                <w:color w:val="auto"/>
              </w:rPr>
              <w:t>④厂区无组织排放废气</w:t>
            </w:r>
          </w:p>
          <w:p>
            <w:pPr>
              <w:spacing w:line="360" w:lineRule="auto"/>
              <w:ind w:firstLine="480" w:firstLineChars="200"/>
              <w:rPr>
                <w:color w:val="auto"/>
                <w:sz w:val="24"/>
              </w:rPr>
            </w:pPr>
            <w:r>
              <w:rPr>
                <w:color w:val="auto"/>
                <w:sz w:val="24"/>
              </w:rPr>
              <w:t>根据</w:t>
            </w:r>
            <w:r>
              <w:rPr>
                <w:bCs/>
                <w:color w:val="auto"/>
                <w:sz w:val="24"/>
              </w:rPr>
              <w:t>《</w:t>
            </w:r>
            <w:r>
              <w:rPr>
                <w:color w:val="auto"/>
                <w:spacing w:val="8"/>
                <w:sz w:val="24"/>
                <w:shd w:val="clear" w:color="auto" w:fill="FFFFFF"/>
              </w:rPr>
              <w:t>年产汽车零部件800万件及汽车纤维材料8000吨扩建项目（一阶段）</w:t>
            </w:r>
            <w:r>
              <w:rPr>
                <w:color w:val="auto"/>
                <w:sz w:val="24"/>
              </w:rPr>
              <w:t>竣工环境保护验收监测报告表》</w:t>
            </w:r>
            <w:r>
              <w:rPr>
                <w:rFonts w:hint="eastAsia"/>
                <w:color w:val="auto"/>
                <w:sz w:val="24"/>
              </w:rPr>
              <w:t>，颗粒物无组织排放浓度为0.570mg/m</w:t>
            </w:r>
            <w:r>
              <w:rPr>
                <w:rFonts w:hint="eastAsia"/>
                <w:color w:val="auto"/>
                <w:sz w:val="24"/>
                <w:vertAlign w:val="superscript"/>
              </w:rPr>
              <w:t>3</w:t>
            </w:r>
            <w:r>
              <w:rPr>
                <w:color w:val="auto"/>
                <w:sz w:val="24"/>
              </w:rPr>
              <w:t>；非甲烷总烃无组织排放浓度为2.032mg/m</w:t>
            </w:r>
            <w:r>
              <w:rPr>
                <w:color w:val="auto"/>
                <w:sz w:val="24"/>
                <w:vertAlign w:val="superscript"/>
              </w:rPr>
              <w:t>3</w:t>
            </w:r>
            <w:r>
              <w:rPr>
                <w:bCs/>
                <w:color w:val="auto"/>
                <w:sz w:val="24"/>
              </w:rPr>
              <w:t>，满足重庆市</w:t>
            </w:r>
            <w:r>
              <w:rPr>
                <w:bCs/>
                <w:snapToGrid w:val="0"/>
                <w:color w:val="auto"/>
                <w:sz w:val="24"/>
              </w:rPr>
              <w:t>《</w:t>
            </w:r>
            <w:r>
              <w:rPr>
                <w:color w:val="auto"/>
                <w:sz w:val="24"/>
              </w:rPr>
              <w:t>大气污染物综合排放标准》(DB50/418－2016)的标准要求。</w:t>
            </w:r>
          </w:p>
          <w:p>
            <w:pPr>
              <w:adjustRightInd w:val="0"/>
              <w:snapToGrid w:val="0"/>
              <w:spacing w:line="360" w:lineRule="auto"/>
              <w:ind w:firstLine="480" w:firstLineChars="200"/>
              <w:rPr>
                <w:bCs/>
                <w:color w:val="auto"/>
                <w:sz w:val="24"/>
              </w:rPr>
            </w:pPr>
            <w:r>
              <w:rPr>
                <w:bCs/>
                <w:color w:val="auto"/>
                <w:sz w:val="24"/>
              </w:rPr>
              <w:t>（2）废水</w:t>
            </w:r>
          </w:p>
          <w:p>
            <w:pPr>
              <w:pStyle w:val="3"/>
              <w:ind w:firstLine="480" w:firstLineChars="200"/>
              <w:rPr>
                <w:rFonts w:ascii="Times New Roman" w:hAnsi="Times New Roman" w:cs="Times New Roman"/>
                <w:color w:val="auto"/>
              </w:rPr>
            </w:pPr>
            <w:r>
              <w:rPr>
                <w:rFonts w:ascii="Times New Roman" w:hAnsi="Times New Roman" w:cs="Times New Roman"/>
                <w:color w:val="auto"/>
              </w:rPr>
              <w:t>现有工程产生的废水主要为食堂废水、生活污水</w:t>
            </w:r>
            <w:r>
              <w:rPr>
                <w:rFonts w:hint="eastAsia" w:ascii="Times New Roman" w:hAnsi="Times New Roman" w:cs="Times New Roman"/>
                <w:color w:val="auto"/>
              </w:rPr>
              <w:t>，其主要污染物为COD、BOD</w:t>
            </w:r>
            <w:r>
              <w:rPr>
                <w:rFonts w:hint="eastAsia" w:ascii="Times New Roman" w:hAnsi="Times New Roman" w:cs="Times New Roman"/>
                <w:color w:val="auto"/>
                <w:vertAlign w:val="subscript"/>
              </w:rPr>
              <w:t>5</w:t>
            </w:r>
            <w:r>
              <w:rPr>
                <w:rFonts w:hint="eastAsia" w:ascii="Times New Roman" w:hAnsi="Times New Roman" w:cs="Times New Roman"/>
                <w:color w:val="auto"/>
              </w:rPr>
              <w:t>、SS、氨氮、动植物油</w:t>
            </w:r>
            <w:r>
              <w:rPr>
                <w:rFonts w:ascii="Times New Roman" w:hAnsi="Times New Roman" w:cs="Times New Roman"/>
                <w:color w:val="auto"/>
              </w:rPr>
              <w:t>。通过调查，员工食堂建有处理能力为2m</w:t>
            </w:r>
            <w:r>
              <w:rPr>
                <w:rFonts w:ascii="Times New Roman" w:hAnsi="Times New Roman" w:cs="Times New Roman"/>
                <w:color w:val="auto"/>
                <w:vertAlign w:val="superscript"/>
              </w:rPr>
              <w:t>3</w:t>
            </w:r>
            <w:r>
              <w:rPr>
                <w:rFonts w:ascii="Times New Roman" w:hAnsi="Times New Roman" w:cs="Times New Roman"/>
                <w:color w:val="auto"/>
              </w:rPr>
              <w:t>/d的隔油池、厂区东南角建有处理能力为</w:t>
            </w:r>
            <w:r>
              <w:rPr>
                <w:rFonts w:hint="eastAsia" w:ascii="Times New Roman" w:hAnsi="Times New Roman" w:cs="Times New Roman"/>
                <w:color w:val="auto"/>
              </w:rPr>
              <w:t>20</w:t>
            </w:r>
            <w:r>
              <w:rPr>
                <w:rFonts w:ascii="Times New Roman" w:hAnsi="Times New Roman" w:cs="Times New Roman"/>
                <w:color w:val="auto"/>
              </w:rPr>
              <w:t>m</w:t>
            </w:r>
            <w:r>
              <w:rPr>
                <w:rFonts w:ascii="Times New Roman" w:hAnsi="Times New Roman" w:cs="Times New Roman"/>
                <w:color w:val="auto"/>
                <w:vertAlign w:val="superscript"/>
              </w:rPr>
              <w:t>3</w:t>
            </w:r>
            <w:r>
              <w:rPr>
                <w:rFonts w:ascii="Times New Roman" w:hAnsi="Times New Roman" w:cs="Times New Roman"/>
                <w:color w:val="auto"/>
              </w:rPr>
              <w:t>/d的生化池，食堂废水经隔油处理后与生活污水进入生化池处理达三级标准后排入市政污水管网，经</w:t>
            </w:r>
            <w:r>
              <w:rPr>
                <w:rFonts w:hint="eastAsia" w:ascii="Times New Roman" w:hAnsi="Times New Roman" w:cs="Times New Roman"/>
                <w:color w:val="auto"/>
              </w:rPr>
              <w:t>东城</w:t>
            </w:r>
            <w:r>
              <w:rPr>
                <w:rFonts w:ascii="Times New Roman" w:hAnsi="Times New Roman" w:cs="Times New Roman"/>
                <w:color w:val="auto"/>
              </w:rPr>
              <w:t>污水处理厂深度处理达一级</w:t>
            </w:r>
            <w:r>
              <w:rPr>
                <w:rFonts w:hint="eastAsia" w:ascii="Times New Roman" w:hAnsi="Times New Roman" w:cs="Times New Roman"/>
                <w:color w:val="auto"/>
              </w:rPr>
              <w:t>B</w:t>
            </w:r>
            <w:r>
              <w:rPr>
                <w:rFonts w:ascii="Times New Roman" w:hAnsi="Times New Roman" w:cs="Times New Roman"/>
                <w:color w:val="auto"/>
              </w:rPr>
              <w:t>标后排入</w:t>
            </w:r>
            <w:r>
              <w:rPr>
                <w:rFonts w:hint="eastAsia" w:ascii="Times New Roman" w:hAnsi="Times New Roman" w:cs="Times New Roman"/>
                <w:color w:val="auto"/>
              </w:rPr>
              <w:t>淮远河</w:t>
            </w:r>
            <w:r>
              <w:rPr>
                <w:rFonts w:ascii="Times New Roman" w:hAnsi="Times New Roman" w:cs="Times New Roman"/>
                <w:color w:val="auto"/>
              </w:rPr>
              <w:t>。</w:t>
            </w:r>
            <w:r>
              <w:rPr>
                <w:rFonts w:hint="eastAsia" w:ascii="Times New Roman" w:hAnsi="Times New Roman" w:cs="Times New Roman"/>
                <w:color w:val="auto"/>
              </w:rPr>
              <w:t>根据</w:t>
            </w:r>
            <w:r>
              <w:rPr>
                <w:rFonts w:ascii="Times New Roman" w:hAnsi="Times New Roman" w:cs="Times New Roman"/>
                <w:bCs/>
                <w:color w:val="auto"/>
              </w:rPr>
              <w:t>《</w:t>
            </w:r>
            <w:r>
              <w:rPr>
                <w:rFonts w:ascii="Times New Roman" w:hAnsi="Times New Roman" w:cs="Times New Roman"/>
                <w:color w:val="auto"/>
                <w:spacing w:val="8"/>
                <w:shd w:val="clear" w:color="auto" w:fill="FFFFFF"/>
              </w:rPr>
              <w:t>年产汽车零部件800万件及汽车纤维材料8000吨扩建项目</w:t>
            </w:r>
            <w:r>
              <w:rPr>
                <w:rFonts w:hint="eastAsia" w:ascii="Times New Roman" w:hAnsi="Times New Roman" w:cs="Times New Roman"/>
                <w:color w:val="auto"/>
                <w:spacing w:val="8"/>
                <w:shd w:val="clear" w:color="auto" w:fill="FFFFFF"/>
              </w:rPr>
              <w:t>（一阶段）</w:t>
            </w:r>
            <w:r>
              <w:rPr>
                <w:rFonts w:ascii="Times New Roman" w:hAnsi="Times New Roman" w:cs="Times New Roman"/>
                <w:bCs/>
                <w:color w:val="auto"/>
              </w:rPr>
              <w:t>竣工环境保护验收监测报告表》</w:t>
            </w:r>
            <w:r>
              <w:rPr>
                <w:rFonts w:hint="eastAsia" w:ascii="Times New Roman" w:hAnsi="Times New Roman" w:cs="Times New Roman"/>
                <w:bCs/>
                <w:color w:val="auto"/>
              </w:rPr>
              <w:t>，厂区生化池排放口各污染物排放浓度满足</w:t>
            </w:r>
            <w:r>
              <w:rPr>
                <w:rFonts w:ascii="Times New Roman" w:hAnsi="Times New Roman" w:cs="Times New Roman"/>
                <w:color w:val="auto"/>
              </w:rPr>
              <w:t>《污水综合排放标准》（GB8978-1996）三级标准</w:t>
            </w:r>
            <w:r>
              <w:rPr>
                <w:rFonts w:hint="eastAsia" w:ascii="Times New Roman" w:hAnsi="Times New Roman" w:cs="Times New Roman"/>
                <w:color w:val="auto"/>
              </w:rPr>
              <w:t>的要求，现有工程水污染物核算见表2.1</w:t>
            </w:r>
            <w:r>
              <w:rPr>
                <w:rFonts w:hint="eastAsia" w:ascii="Times New Roman" w:hAnsi="Times New Roman" w:cs="Times New Roman"/>
                <w:color w:val="auto"/>
                <w:lang w:val="en-US" w:eastAsia="zh-CN"/>
              </w:rPr>
              <w:t>4</w:t>
            </w:r>
            <w:r>
              <w:rPr>
                <w:rFonts w:hint="eastAsia" w:ascii="Times New Roman" w:hAnsi="Times New Roman" w:cs="Times New Roman"/>
                <w:color w:val="auto"/>
              </w:rPr>
              <w:t>。</w:t>
            </w:r>
          </w:p>
          <w:p>
            <w:pPr>
              <w:spacing w:line="360" w:lineRule="auto"/>
              <w:jc w:val="center"/>
              <w:rPr>
                <w:bCs/>
                <w:snapToGrid w:val="0"/>
                <w:color w:val="auto"/>
                <w:kern w:val="0"/>
                <w:sz w:val="21"/>
                <w:szCs w:val="21"/>
              </w:rPr>
            </w:pPr>
            <w:r>
              <w:rPr>
                <w:bCs/>
                <w:snapToGrid w:val="0"/>
                <w:color w:val="auto"/>
                <w:kern w:val="0"/>
                <w:sz w:val="21"/>
                <w:szCs w:val="21"/>
              </w:rPr>
              <w:t>表2.</w:t>
            </w:r>
            <w:r>
              <w:rPr>
                <w:rFonts w:hint="eastAsia"/>
                <w:bCs/>
                <w:snapToGrid w:val="0"/>
                <w:color w:val="auto"/>
                <w:kern w:val="0"/>
                <w:sz w:val="21"/>
                <w:szCs w:val="21"/>
              </w:rPr>
              <w:t>1</w:t>
            </w:r>
            <w:r>
              <w:rPr>
                <w:rFonts w:hint="eastAsia"/>
                <w:bCs/>
                <w:snapToGrid w:val="0"/>
                <w:color w:val="auto"/>
                <w:kern w:val="0"/>
                <w:sz w:val="21"/>
                <w:szCs w:val="21"/>
                <w:lang w:val="en-US" w:eastAsia="zh-CN"/>
              </w:rPr>
              <w:t>4</w:t>
            </w:r>
            <w:r>
              <w:rPr>
                <w:bCs/>
                <w:snapToGrid w:val="0"/>
                <w:color w:val="auto"/>
                <w:kern w:val="0"/>
                <w:sz w:val="21"/>
                <w:szCs w:val="21"/>
              </w:rPr>
              <w:t xml:space="preserve"> </w:t>
            </w:r>
            <w:r>
              <w:rPr>
                <w:rFonts w:hint="eastAsia"/>
                <w:bCs/>
                <w:snapToGrid w:val="0"/>
                <w:color w:val="auto"/>
                <w:kern w:val="0"/>
                <w:sz w:val="21"/>
                <w:szCs w:val="21"/>
              </w:rPr>
              <w:t>现有工程</w:t>
            </w:r>
            <w:r>
              <w:rPr>
                <w:color w:val="auto"/>
                <w:sz w:val="21"/>
                <w:szCs w:val="21"/>
              </w:rPr>
              <w:t>水污染物核算表</w:t>
            </w:r>
          </w:p>
          <w:tbl>
            <w:tblPr>
              <w:tblStyle w:val="22"/>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255"/>
              <w:gridCol w:w="1423"/>
              <w:gridCol w:w="1269"/>
              <w:gridCol w:w="1336"/>
              <w:gridCol w:w="20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17" w:type="pct"/>
                  <w:vAlign w:val="center"/>
                </w:tcPr>
                <w:p>
                  <w:pPr>
                    <w:adjustRightInd w:val="0"/>
                    <w:snapToGrid w:val="0"/>
                    <w:jc w:val="center"/>
                    <w:rPr>
                      <w:snapToGrid w:val="0"/>
                      <w:color w:val="auto"/>
                      <w:kern w:val="0"/>
                      <w:szCs w:val="21"/>
                    </w:rPr>
                  </w:pPr>
                  <w:r>
                    <w:rPr>
                      <w:snapToGrid w:val="0"/>
                      <w:color w:val="auto"/>
                      <w:kern w:val="0"/>
                      <w:szCs w:val="21"/>
                    </w:rPr>
                    <w:t>项目</w:t>
                  </w:r>
                </w:p>
              </w:tc>
              <w:tc>
                <w:tcPr>
                  <w:tcW w:w="750" w:type="pct"/>
                  <w:vAlign w:val="center"/>
                </w:tcPr>
                <w:p>
                  <w:pPr>
                    <w:adjustRightInd w:val="0"/>
                    <w:snapToGrid w:val="0"/>
                    <w:jc w:val="center"/>
                    <w:rPr>
                      <w:snapToGrid w:val="0"/>
                      <w:color w:val="auto"/>
                      <w:kern w:val="0"/>
                      <w:szCs w:val="21"/>
                    </w:rPr>
                  </w:pPr>
                  <w:r>
                    <w:rPr>
                      <w:snapToGrid w:val="0"/>
                      <w:color w:val="auto"/>
                      <w:kern w:val="0"/>
                      <w:szCs w:val="21"/>
                    </w:rPr>
                    <w:t>产生量</w:t>
                  </w:r>
                </w:p>
              </w:tc>
              <w:tc>
                <w:tcPr>
                  <w:tcW w:w="851" w:type="pct"/>
                  <w:vAlign w:val="center"/>
                </w:tcPr>
                <w:p>
                  <w:pPr>
                    <w:adjustRightInd w:val="0"/>
                    <w:snapToGrid w:val="0"/>
                    <w:jc w:val="center"/>
                    <w:rPr>
                      <w:snapToGrid w:val="0"/>
                      <w:color w:val="auto"/>
                      <w:kern w:val="0"/>
                      <w:szCs w:val="21"/>
                    </w:rPr>
                  </w:pPr>
                  <w:r>
                    <w:rPr>
                      <w:snapToGrid w:val="0"/>
                      <w:color w:val="auto"/>
                      <w:kern w:val="0"/>
                      <w:szCs w:val="21"/>
                    </w:rPr>
                    <w:t>污染物</w:t>
                  </w:r>
                </w:p>
              </w:tc>
              <w:tc>
                <w:tcPr>
                  <w:tcW w:w="759" w:type="pct"/>
                  <w:vAlign w:val="center"/>
                </w:tcPr>
                <w:p>
                  <w:pPr>
                    <w:adjustRightInd w:val="0"/>
                    <w:snapToGrid w:val="0"/>
                    <w:jc w:val="center"/>
                    <w:rPr>
                      <w:snapToGrid w:val="0"/>
                      <w:color w:val="auto"/>
                      <w:kern w:val="0"/>
                      <w:szCs w:val="21"/>
                    </w:rPr>
                  </w:pPr>
                  <w:r>
                    <w:rPr>
                      <w:snapToGrid w:val="0"/>
                      <w:color w:val="auto"/>
                      <w:kern w:val="0"/>
                      <w:szCs w:val="21"/>
                    </w:rPr>
                    <w:t>排放浓度</w:t>
                  </w:r>
                </w:p>
                <w:p>
                  <w:pPr>
                    <w:adjustRightInd w:val="0"/>
                    <w:snapToGrid w:val="0"/>
                    <w:jc w:val="center"/>
                    <w:rPr>
                      <w:snapToGrid w:val="0"/>
                      <w:color w:val="auto"/>
                      <w:kern w:val="0"/>
                      <w:szCs w:val="21"/>
                    </w:rPr>
                  </w:pPr>
                  <w:r>
                    <w:rPr>
                      <w:snapToGrid w:val="0"/>
                      <w:color w:val="auto"/>
                      <w:kern w:val="0"/>
                      <w:szCs w:val="21"/>
                    </w:rPr>
                    <w:t>mg/L</w:t>
                  </w:r>
                </w:p>
              </w:tc>
              <w:tc>
                <w:tcPr>
                  <w:tcW w:w="799" w:type="pct"/>
                  <w:vAlign w:val="center"/>
                </w:tcPr>
                <w:p>
                  <w:pPr>
                    <w:pStyle w:val="18"/>
                    <w:pBdr>
                      <w:bottom w:val="none" w:color="auto" w:sz="0" w:space="0"/>
                    </w:pBdr>
                    <w:tabs>
                      <w:tab w:val="clear" w:pos="4153"/>
                      <w:tab w:val="clear" w:pos="8306"/>
                    </w:tabs>
                    <w:adjustRightInd w:val="0"/>
                    <w:jc w:val="center"/>
                    <w:rPr>
                      <w:snapToGrid w:val="0"/>
                      <w:color w:val="auto"/>
                      <w:kern w:val="0"/>
                      <w:sz w:val="21"/>
                      <w:szCs w:val="21"/>
                    </w:rPr>
                  </w:pPr>
                  <w:r>
                    <w:rPr>
                      <w:snapToGrid w:val="0"/>
                      <w:color w:val="auto"/>
                      <w:kern w:val="0"/>
                      <w:sz w:val="21"/>
                      <w:szCs w:val="21"/>
                    </w:rPr>
                    <w:t>排放量</w:t>
                  </w:r>
                </w:p>
                <w:p>
                  <w:pPr>
                    <w:pStyle w:val="18"/>
                    <w:pBdr>
                      <w:bottom w:val="none" w:color="auto" w:sz="0" w:space="0"/>
                    </w:pBdr>
                    <w:tabs>
                      <w:tab w:val="clear" w:pos="4153"/>
                      <w:tab w:val="clear" w:pos="8306"/>
                    </w:tabs>
                    <w:adjustRightInd w:val="0"/>
                    <w:jc w:val="center"/>
                    <w:rPr>
                      <w:color w:val="auto"/>
                      <w:sz w:val="21"/>
                      <w:szCs w:val="21"/>
                    </w:rPr>
                  </w:pPr>
                  <w:r>
                    <w:rPr>
                      <w:snapToGrid w:val="0"/>
                      <w:color w:val="auto"/>
                      <w:kern w:val="0"/>
                      <w:sz w:val="21"/>
                      <w:szCs w:val="21"/>
                    </w:rPr>
                    <w:t>t/a</w:t>
                  </w:r>
                </w:p>
              </w:tc>
              <w:tc>
                <w:tcPr>
                  <w:tcW w:w="1222" w:type="pct"/>
                  <w:vAlign w:val="center"/>
                </w:tcPr>
                <w:p>
                  <w:pPr>
                    <w:adjustRightInd w:val="0"/>
                    <w:snapToGrid w:val="0"/>
                    <w:jc w:val="center"/>
                    <w:rPr>
                      <w:snapToGrid w:val="0"/>
                      <w:color w:val="auto"/>
                      <w:kern w:val="0"/>
                      <w:szCs w:val="21"/>
                    </w:rPr>
                  </w:pPr>
                  <w:r>
                    <w:rPr>
                      <w:snapToGrid w:val="0"/>
                      <w:color w:val="auto"/>
                      <w:kern w:val="0"/>
                      <w:szCs w:val="21"/>
                    </w:rPr>
                    <w:t>处理方式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617" w:type="pct"/>
                  <w:vMerge w:val="restart"/>
                  <w:vAlign w:val="center"/>
                </w:tcPr>
                <w:p>
                  <w:pPr>
                    <w:adjustRightInd w:val="0"/>
                    <w:snapToGrid w:val="0"/>
                    <w:jc w:val="center"/>
                    <w:rPr>
                      <w:bCs/>
                      <w:color w:val="auto"/>
                      <w:szCs w:val="21"/>
                    </w:rPr>
                  </w:pPr>
                  <w:r>
                    <w:rPr>
                      <w:bCs/>
                      <w:color w:val="auto"/>
                      <w:szCs w:val="21"/>
                    </w:rPr>
                    <w:t>综合废水</w:t>
                  </w:r>
                </w:p>
              </w:tc>
              <w:tc>
                <w:tcPr>
                  <w:tcW w:w="750" w:type="pct"/>
                  <w:vMerge w:val="restart"/>
                  <w:vAlign w:val="center"/>
                </w:tcPr>
                <w:p>
                  <w:pPr>
                    <w:adjustRightInd w:val="0"/>
                    <w:snapToGrid w:val="0"/>
                    <w:jc w:val="center"/>
                    <w:rPr>
                      <w:color w:val="auto"/>
                      <w:szCs w:val="21"/>
                    </w:rPr>
                  </w:pPr>
                  <w:r>
                    <w:rPr>
                      <w:rFonts w:hint="eastAsia"/>
                      <w:color w:val="auto"/>
                      <w:szCs w:val="21"/>
                    </w:rPr>
                    <w:t>2742</w:t>
                  </w:r>
                  <w:r>
                    <w:rPr>
                      <w:color w:val="auto"/>
                      <w:szCs w:val="21"/>
                    </w:rPr>
                    <w:t>m</w:t>
                  </w:r>
                  <w:r>
                    <w:rPr>
                      <w:color w:val="auto"/>
                      <w:szCs w:val="21"/>
                      <w:vertAlign w:val="superscript"/>
                    </w:rPr>
                    <w:t>3</w:t>
                  </w:r>
                  <w:r>
                    <w:rPr>
                      <w:color w:val="auto"/>
                      <w:szCs w:val="21"/>
                    </w:rPr>
                    <w:t>/a</w:t>
                  </w:r>
                </w:p>
              </w:tc>
              <w:tc>
                <w:tcPr>
                  <w:tcW w:w="851" w:type="pct"/>
                  <w:vAlign w:val="center"/>
                </w:tcPr>
                <w:p>
                  <w:pPr>
                    <w:adjustRightInd w:val="0"/>
                    <w:snapToGrid w:val="0"/>
                    <w:jc w:val="center"/>
                    <w:rPr>
                      <w:color w:val="auto"/>
                      <w:szCs w:val="21"/>
                    </w:rPr>
                  </w:pPr>
                  <w:r>
                    <w:rPr>
                      <w:color w:val="auto"/>
                      <w:szCs w:val="21"/>
                    </w:rPr>
                    <w:t>COD</w:t>
                  </w:r>
                </w:p>
              </w:tc>
              <w:tc>
                <w:tcPr>
                  <w:tcW w:w="759" w:type="pct"/>
                  <w:vAlign w:val="center"/>
                </w:tcPr>
                <w:p>
                  <w:pPr>
                    <w:adjustRightInd w:val="0"/>
                    <w:snapToGrid w:val="0"/>
                    <w:jc w:val="center"/>
                    <w:rPr>
                      <w:color w:val="auto"/>
                      <w:szCs w:val="21"/>
                    </w:rPr>
                  </w:pPr>
                  <w:r>
                    <w:rPr>
                      <w:rFonts w:hint="eastAsia"/>
                      <w:color w:val="auto"/>
                      <w:szCs w:val="21"/>
                    </w:rPr>
                    <w:t>60</w:t>
                  </w:r>
                </w:p>
              </w:tc>
              <w:tc>
                <w:tcPr>
                  <w:tcW w:w="1345" w:type="dxa"/>
                  <w:vAlign w:val="center"/>
                </w:tcPr>
                <w:p>
                  <w:pPr>
                    <w:widowControl/>
                    <w:jc w:val="center"/>
                    <w:textAlignment w:val="center"/>
                    <w:rPr>
                      <w:color w:val="auto"/>
                      <w:szCs w:val="21"/>
                    </w:rPr>
                  </w:pPr>
                  <w:r>
                    <w:rPr>
                      <w:rFonts w:hint="eastAsia"/>
                      <w:color w:val="auto"/>
                      <w:kern w:val="0"/>
                      <w:szCs w:val="21"/>
                      <w:lang w:bidi="ar"/>
                    </w:rPr>
                    <w:t>0.165</w:t>
                  </w:r>
                </w:p>
              </w:tc>
              <w:tc>
                <w:tcPr>
                  <w:tcW w:w="1222" w:type="pct"/>
                  <w:vMerge w:val="restart"/>
                  <w:vAlign w:val="center"/>
                </w:tcPr>
                <w:p>
                  <w:pPr>
                    <w:rPr>
                      <w:color w:val="auto"/>
                      <w:szCs w:val="21"/>
                    </w:rPr>
                  </w:pPr>
                  <w:r>
                    <w:rPr>
                      <w:color w:val="auto"/>
                      <w:szCs w:val="21"/>
                    </w:rPr>
                    <w:t>废水经处理后排入</w:t>
                  </w:r>
                  <w:r>
                    <w:rPr>
                      <w:rFonts w:hint="eastAsia"/>
                      <w:color w:val="auto"/>
                      <w:szCs w:val="21"/>
                    </w:rPr>
                    <w:t>东城</w:t>
                  </w:r>
                  <w:r>
                    <w:rPr>
                      <w:color w:val="auto"/>
                      <w:szCs w:val="21"/>
                    </w:rPr>
                    <w:t>污水处理厂处理达一级</w:t>
                  </w:r>
                  <w:r>
                    <w:rPr>
                      <w:rFonts w:hint="eastAsia"/>
                      <w:color w:val="auto"/>
                      <w:szCs w:val="21"/>
                    </w:rPr>
                    <w:t>B</w:t>
                  </w:r>
                  <w:r>
                    <w:rPr>
                      <w:color w:val="auto"/>
                      <w:szCs w:val="21"/>
                    </w:rPr>
                    <w:t>标后排入</w:t>
                  </w:r>
                  <w:r>
                    <w:rPr>
                      <w:rFonts w:hint="eastAsia"/>
                      <w:color w:val="auto"/>
                      <w:szCs w:val="21"/>
                    </w:rPr>
                    <w:t>淮远河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617" w:type="pct"/>
                  <w:vMerge w:val="continue"/>
                  <w:vAlign w:val="center"/>
                </w:tcPr>
                <w:p>
                  <w:pPr>
                    <w:adjustRightInd w:val="0"/>
                    <w:snapToGrid w:val="0"/>
                    <w:jc w:val="center"/>
                    <w:rPr>
                      <w:bCs/>
                      <w:color w:val="auto"/>
                      <w:szCs w:val="21"/>
                    </w:rPr>
                  </w:pPr>
                </w:p>
              </w:tc>
              <w:tc>
                <w:tcPr>
                  <w:tcW w:w="750" w:type="pct"/>
                  <w:vMerge w:val="continue"/>
                  <w:vAlign w:val="center"/>
                </w:tcPr>
                <w:p>
                  <w:pPr>
                    <w:adjustRightInd w:val="0"/>
                    <w:snapToGrid w:val="0"/>
                    <w:jc w:val="center"/>
                    <w:rPr>
                      <w:color w:val="auto"/>
                      <w:szCs w:val="21"/>
                    </w:rPr>
                  </w:pPr>
                </w:p>
              </w:tc>
              <w:tc>
                <w:tcPr>
                  <w:tcW w:w="851" w:type="pct"/>
                  <w:vAlign w:val="center"/>
                </w:tcPr>
                <w:p>
                  <w:pPr>
                    <w:adjustRightInd w:val="0"/>
                    <w:snapToGrid w:val="0"/>
                    <w:jc w:val="center"/>
                    <w:rPr>
                      <w:color w:val="auto"/>
                      <w:szCs w:val="21"/>
                    </w:rPr>
                  </w:pPr>
                  <w:r>
                    <w:rPr>
                      <w:rFonts w:hint="eastAsia"/>
                      <w:color w:val="auto"/>
                      <w:szCs w:val="21"/>
                    </w:rPr>
                    <w:t>BOD</w:t>
                  </w:r>
                  <w:r>
                    <w:rPr>
                      <w:rFonts w:hint="eastAsia"/>
                      <w:color w:val="auto"/>
                      <w:szCs w:val="21"/>
                      <w:vertAlign w:val="subscript"/>
                    </w:rPr>
                    <w:t>5</w:t>
                  </w:r>
                </w:p>
              </w:tc>
              <w:tc>
                <w:tcPr>
                  <w:tcW w:w="759" w:type="pct"/>
                  <w:vAlign w:val="center"/>
                </w:tcPr>
                <w:p>
                  <w:pPr>
                    <w:adjustRightInd w:val="0"/>
                    <w:snapToGrid w:val="0"/>
                    <w:jc w:val="center"/>
                    <w:rPr>
                      <w:color w:val="auto"/>
                      <w:szCs w:val="21"/>
                    </w:rPr>
                  </w:pPr>
                  <w:r>
                    <w:rPr>
                      <w:rFonts w:hint="eastAsia"/>
                      <w:color w:val="auto"/>
                      <w:szCs w:val="21"/>
                    </w:rPr>
                    <w:t>20</w:t>
                  </w:r>
                </w:p>
              </w:tc>
              <w:tc>
                <w:tcPr>
                  <w:tcW w:w="1345" w:type="dxa"/>
                  <w:vAlign w:val="center"/>
                </w:tcPr>
                <w:p>
                  <w:pPr>
                    <w:widowControl/>
                    <w:jc w:val="center"/>
                    <w:textAlignment w:val="center"/>
                    <w:rPr>
                      <w:color w:val="auto"/>
                      <w:szCs w:val="21"/>
                    </w:rPr>
                  </w:pPr>
                  <w:r>
                    <w:rPr>
                      <w:color w:val="auto"/>
                      <w:kern w:val="0"/>
                      <w:szCs w:val="21"/>
                      <w:lang w:bidi="ar"/>
                    </w:rPr>
                    <w:t>0.</w:t>
                  </w:r>
                  <w:r>
                    <w:rPr>
                      <w:rFonts w:hint="eastAsia"/>
                      <w:color w:val="auto"/>
                      <w:kern w:val="0"/>
                      <w:szCs w:val="21"/>
                      <w:lang w:bidi="ar"/>
                    </w:rPr>
                    <w:t>055</w:t>
                  </w:r>
                </w:p>
              </w:tc>
              <w:tc>
                <w:tcPr>
                  <w:tcW w:w="1222" w:type="pct"/>
                  <w:vMerge w:val="continue"/>
                  <w:vAlign w:val="center"/>
                </w:tcPr>
                <w:p>
                  <w:pPr>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617" w:type="pct"/>
                  <w:vMerge w:val="continue"/>
                  <w:vAlign w:val="center"/>
                </w:tcPr>
                <w:p>
                  <w:pPr>
                    <w:adjustRightInd w:val="0"/>
                    <w:snapToGrid w:val="0"/>
                    <w:jc w:val="center"/>
                    <w:rPr>
                      <w:rFonts w:ascii="宋体" w:cs="宋体"/>
                      <w:bCs/>
                      <w:color w:val="auto"/>
                      <w:szCs w:val="21"/>
                    </w:rPr>
                  </w:pPr>
                </w:p>
              </w:tc>
              <w:tc>
                <w:tcPr>
                  <w:tcW w:w="750" w:type="pct"/>
                  <w:vMerge w:val="continue"/>
                  <w:vAlign w:val="center"/>
                </w:tcPr>
                <w:p>
                  <w:pPr>
                    <w:adjustRightInd w:val="0"/>
                    <w:snapToGrid w:val="0"/>
                    <w:jc w:val="center"/>
                    <w:rPr>
                      <w:rFonts w:ascii="宋体" w:cs="宋体"/>
                      <w:color w:val="auto"/>
                      <w:szCs w:val="21"/>
                    </w:rPr>
                  </w:pPr>
                </w:p>
              </w:tc>
              <w:tc>
                <w:tcPr>
                  <w:tcW w:w="851" w:type="pct"/>
                  <w:vAlign w:val="center"/>
                </w:tcPr>
                <w:p>
                  <w:pPr>
                    <w:adjustRightInd w:val="0"/>
                    <w:snapToGrid w:val="0"/>
                    <w:jc w:val="center"/>
                    <w:rPr>
                      <w:rFonts w:ascii="宋体" w:hAnsi="宋体" w:cs="宋体"/>
                      <w:color w:val="auto"/>
                      <w:szCs w:val="21"/>
                    </w:rPr>
                  </w:pPr>
                  <w:r>
                    <w:rPr>
                      <w:rFonts w:hint="eastAsia" w:ascii="宋体" w:hAnsi="宋体" w:cs="宋体"/>
                      <w:color w:val="auto"/>
                      <w:szCs w:val="21"/>
                    </w:rPr>
                    <w:t>SS</w:t>
                  </w:r>
                </w:p>
              </w:tc>
              <w:tc>
                <w:tcPr>
                  <w:tcW w:w="759" w:type="pct"/>
                  <w:vAlign w:val="center"/>
                </w:tcPr>
                <w:p>
                  <w:pPr>
                    <w:adjustRightInd w:val="0"/>
                    <w:snapToGrid w:val="0"/>
                    <w:jc w:val="center"/>
                    <w:rPr>
                      <w:rFonts w:ascii="宋体" w:cs="宋体"/>
                      <w:color w:val="auto"/>
                      <w:szCs w:val="21"/>
                    </w:rPr>
                  </w:pPr>
                  <w:r>
                    <w:rPr>
                      <w:rFonts w:hint="eastAsia"/>
                      <w:color w:val="auto"/>
                      <w:szCs w:val="21"/>
                    </w:rPr>
                    <w:t>20</w:t>
                  </w:r>
                </w:p>
              </w:tc>
              <w:tc>
                <w:tcPr>
                  <w:tcW w:w="1345" w:type="dxa"/>
                  <w:vAlign w:val="center"/>
                </w:tcPr>
                <w:p>
                  <w:pPr>
                    <w:widowControl/>
                    <w:jc w:val="center"/>
                    <w:textAlignment w:val="center"/>
                    <w:rPr>
                      <w:color w:val="auto"/>
                      <w:szCs w:val="21"/>
                    </w:rPr>
                  </w:pPr>
                  <w:r>
                    <w:rPr>
                      <w:color w:val="auto"/>
                      <w:kern w:val="0"/>
                      <w:szCs w:val="21"/>
                      <w:lang w:bidi="ar"/>
                    </w:rPr>
                    <w:t>0.</w:t>
                  </w:r>
                  <w:r>
                    <w:rPr>
                      <w:rFonts w:hint="eastAsia"/>
                      <w:color w:val="auto"/>
                      <w:kern w:val="0"/>
                      <w:szCs w:val="21"/>
                      <w:lang w:bidi="ar"/>
                    </w:rPr>
                    <w:t>055</w:t>
                  </w:r>
                </w:p>
              </w:tc>
              <w:tc>
                <w:tcPr>
                  <w:tcW w:w="1222" w:type="pct"/>
                  <w:vMerge w:val="continue"/>
                  <w:vAlign w:val="center"/>
                </w:tcPr>
                <w:p>
                  <w:pPr>
                    <w:jc w:val="center"/>
                    <w:rPr>
                      <w:rFonts w:ascii="宋体" w:cs="宋体"/>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617" w:type="pct"/>
                  <w:vMerge w:val="continue"/>
                  <w:vAlign w:val="center"/>
                </w:tcPr>
                <w:p>
                  <w:pPr>
                    <w:adjustRightInd w:val="0"/>
                    <w:snapToGrid w:val="0"/>
                    <w:jc w:val="center"/>
                    <w:rPr>
                      <w:rFonts w:ascii="宋体" w:cs="宋体"/>
                      <w:bCs/>
                      <w:color w:val="auto"/>
                      <w:szCs w:val="21"/>
                    </w:rPr>
                  </w:pPr>
                </w:p>
              </w:tc>
              <w:tc>
                <w:tcPr>
                  <w:tcW w:w="750" w:type="pct"/>
                  <w:vMerge w:val="continue"/>
                  <w:vAlign w:val="center"/>
                </w:tcPr>
                <w:p>
                  <w:pPr>
                    <w:adjustRightInd w:val="0"/>
                    <w:snapToGrid w:val="0"/>
                    <w:jc w:val="center"/>
                    <w:rPr>
                      <w:rFonts w:ascii="宋体" w:cs="宋体"/>
                      <w:color w:val="auto"/>
                      <w:szCs w:val="21"/>
                    </w:rPr>
                  </w:pPr>
                </w:p>
              </w:tc>
              <w:tc>
                <w:tcPr>
                  <w:tcW w:w="851" w:type="pct"/>
                  <w:vAlign w:val="center"/>
                </w:tcPr>
                <w:p>
                  <w:pPr>
                    <w:adjustRightInd w:val="0"/>
                    <w:snapToGrid w:val="0"/>
                    <w:jc w:val="center"/>
                    <w:rPr>
                      <w:rFonts w:ascii="宋体" w:hAnsi="宋体" w:cs="宋体"/>
                      <w:color w:val="auto"/>
                      <w:szCs w:val="21"/>
                    </w:rPr>
                  </w:pPr>
                  <w:r>
                    <w:rPr>
                      <w:rFonts w:hint="eastAsia" w:ascii="宋体" w:hAnsi="宋体" w:cs="宋体"/>
                      <w:color w:val="auto"/>
                      <w:szCs w:val="21"/>
                    </w:rPr>
                    <w:t>氨氮</w:t>
                  </w:r>
                </w:p>
              </w:tc>
              <w:tc>
                <w:tcPr>
                  <w:tcW w:w="759" w:type="pct"/>
                  <w:vAlign w:val="center"/>
                </w:tcPr>
                <w:p>
                  <w:pPr>
                    <w:adjustRightInd w:val="0"/>
                    <w:snapToGrid w:val="0"/>
                    <w:jc w:val="center"/>
                    <w:rPr>
                      <w:rFonts w:ascii="宋体" w:cs="宋体"/>
                      <w:color w:val="auto"/>
                      <w:szCs w:val="21"/>
                    </w:rPr>
                  </w:pPr>
                  <w:r>
                    <w:rPr>
                      <w:rFonts w:hint="eastAsia"/>
                      <w:color w:val="auto"/>
                      <w:szCs w:val="21"/>
                    </w:rPr>
                    <w:t>8</w:t>
                  </w:r>
                </w:p>
              </w:tc>
              <w:tc>
                <w:tcPr>
                  <w:tcW w:w="1345" w:type="dxa"/>
                  <w:vAlign w:val="center"/>
                </w:tcPr>
                <w:p>
                  <w:pPr>
                    <w:widowControl/>
                    <w:jc w:val="center"/>
                    <w:textAlignment w:val="center"/>
                    <w:rPr>
                      <w:color w:val="auto"/>
                      <w:szCs w:val="21"/>
                    </w:rPr>
                  </w:pPr>
                  <w:r>
                    <w:rPr>
                      <w:color w:val="auto"/>
                      <w:kern w:val="0"/>
                      <w:szCs w:val="21"/>
                      <w:lang w:bidi="ar"/>
                    </w:rPr>
                    <w:t>0.0</w:t>
                  </w:r>
                  <w:r>
                    <w:rPr>
                      <w:rFonts w:hint="eastAsia"/>
                      <w:color w:val="auto"/>
                      <w:kern w:val="0"/>
                      <w:szCs w:val="21"/>
                      <w:lang w:bidi="ar"/>
                    </w:rPr>
                    <w:t>22</w:t>
                  </w:r>
                </w:p>
              </w:tc>
              <w:tc>
                <w:tcPr>
                  <w:tcW w:w="1222" w:type="pct"/>
                  <w:vMerge w:val="continue"/>
                  <w:vAlign w:val="center"/>
                </w:tcPr>
                <w:p>
                  <w:pPr>
                    <w:jc w:val="center"/>
                    <w:rPr>
                      <w:rFonts w:ascii="宋体" w:cs="宋体"/>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617" w:type="pct"/>
                  <w:vMerge w:val="continue"/>
                  <w:vAlign w:val="center"/>
                </w:tcPr>
                <w:p>
                  <w:pPr>
                    <w:adjustRightInd w:val="0"/>
                    <w:snapToGrid w:val="0"/>
                    <w:jc w:val="center"/>
                    <w:rPr>
                      <w:rFonts w:ascii="宋体" w:cs="宋体"/>
                      <w:bCs/>
                      <w:color w:val="auto"/>
                      <w:szCs w:val="21"/>
                    </w:rPr>
                  </w:pPr>
                </w:p>
              </w:tc>
              <w:tc>
                <w:tcPr>
                  <w:tcW w:w="750" w:type="pct"/>
                  <w:vMerge w:val="continue"/>
                  <w:vAlign w:val="center"/>
                </w:tcPr>
                <w:p>
                  <w:pPr>
                    <w:adjustRightInd w:val="0"/>
                    <w:snapToGrid w:val="0"/>
                    <w:jc w:val="center"/>
                    <w:rPr>
                      <w:rFonts w:ascii="宋体" w:cs="宋体"/>
                      <w:color w:val="auto"/>
                      <w:szCs w:val="21"/>
                    </w:rPr>
                  </w:pPr>
                </w:p>
              </w:tc>
              <w:tc>
                <w:tcPr>
                  <w:tcW w:w="851" w:type="pct"/>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动植物油</w:t>
                  </w:r>
                </w:p>
              </w:tc>
              <w:tc>
                <w:tcPr>
                  <w:tcW w:w="759" w:type="pct"/>
                  <w:vAlign w:val="center"/>
                </w:tcPr>
                <w:p>
                  <w:pPr>
                    <w:adjustRightInd w:val="0"/>
                    <w:snapToGrid w:val="0"/>
                    <w:jc w:val="center"/>
                    <w:rPr>
                      <w:rFonts w:ascii="宋体" w:cs="宋体"/>
                      <w:color w:val="auto"/>
                      <w:szCs w:val="21"/>
                    </w:rPr>
                  </w:pPr>
                  <w:r>
                    <w:rPr>
                      <w:rFonts w:hint="eastAsia"/>
                      <w:color w:val="auto"/>
                      <w:szCs w:val="21"/>
                    </w:rPr>
                    <w:t>3</w:t>
                  </w:r>
                </w:p>
              </w:tc>
              <w:tc>
                <w:tcPr>
                  <w:tcW w:w="1345" w:type="dxa"/>
                  <w:vAlign w:val="center"/>
                </w:tcPr>
                <w:p>
                  <w:pPr>
                    <w:widowControl/>
                    <w:jc w:val="center"/>
                    <w:textAlignment w:val="center"/>
                    <w:rPr>
                      <w:color w:val="auto"/>
                      <w:szCs w:val="21"/>
                    </w:rPr>
                  </w:pPr>
                  <w:r>
                    <w:rPr>
                      <w:color w:val="auto"/>
                      <w:kern w:val="0"/>
                      <w:szCs w:val="21"/>
                      <w:lang w:bidi="ar"/>
                    </w:rPr>
                    <w:t>0.00</w:t>
                  </w:r>
                  <w:r>
                    <w:rPr>
                      <w:rFonts w:hint="eastAsia"/>
                      <w:color w:val="auto"/>
                      <w:kern w:val="0"/>
                      <w:szCs w:val="21"/>
                      <w:lang w:bidi="ar"/>
                    </w:rPr>
                    <w:t>8</w:t>
                  </w:r>
                </w:p>
              </w:tc>
              <w:tc>
                <w:tcPr>
                  <w:tcW w:w="1222" w:type="pct"/>
                  <w:vMerge w:val="continue"/>
                  <w:vAlign w:val="center"/>
                </w:tcPr>
                <w:p>
                  <w:pPr>
                    <w:jc w:val="center"/>
                    <w:rPr>
                      <w:rFonts w:ascii="宋体" w:cs="宋体"/>
                      <w:color w:val="auto"/>
                      <w:szCs w:val="21"/>
                    </w:rPr>
                  </w:pPr>
                </w:p>
              </w:tc>
            </w:tr>
          </w:tbl>
          <w:p>
            <w:pPr>
              <w:spacing w:line="460" w:lineRule="exact"/>
              <w:ind w:firstLine="480"/>
              <w:rPr>
                <w:color w:val="auto"/>
                <w:sz w:val="24"/>
              </w:rPr>
            </w:pPr>
            <w:r>
              <w:rPr>
                <w:color w:val="auto"/>
                <w:sz w:val="24"/>
              </w:rPr>
              <w:t>（3）噪声</w:t>
            </w:r>
          </w:p>
          <w:p>
            <w:pPr>
              <w:spacing w:line="440" w:lineRule="exact"/>
              <w:ind w:firstLine="480" w:firstLineChars="200"/>
              <w:jc w:val="left"/>
              <w:rPr>
                <w:color w:val="auto"/>
                <w:sz w:val="24"/>
              </w:rPr>
            </w:pPr>
            <w:r>
              <w:rPr>
                <w:color w:val="auto"/>
                <w:sz w:val="24"/>
              </w:rPr>
              <w:t>根据</w:t>
            </w:r>
            <w:r>
              <w:rPr>
                <w:bCs/>
                <w:color w:val="auto"/>
                <w:sz w:val="24"/>
              </w:rPr>
              <w:t>《</w:t>
            </w:r>
            <w:r>
              <w:rPr>
                <w:color w:val="auto"/>
                <w:spacing w:val="8"/>
                <w:sz w:val="24"/>
                <w:shd w:val="clear" w:color="auto" w:fill="FFFFFF"/>
              </w:rPr>
              <w:t>年产汽车零部件800万件及汽车纤维材料8000吨扩建项目</w:t>
            </w:r>
            <w:r>
              <w:rPr>
                <w:rFonts w:hint="eastAsia"/>
                <w:color w:val="auto"/>
                <w:spacing w:val="8"/>
                <w:sz w:val="24"/>
                <w:shd w:val="clear" w:color="auto" w:fill="FFFFFF"/>
              </w:rPr>
              <w:t>（一阶段）</w:t>
            </w:r>
            <w:r>
              <w:rPr>
                <w:bCs/>
                <w:color w:val="auto"/>
                <w:sz w:val="24"/>
              </w:rPr>
              <w:t>竣工环境保护验收监测报告表》</w:t>
            </w:r>
            <w:r>
              <w:rPr>
                <w:color w:val="auto"/>
                <w:sz w:val="24"/>
              </w:rPr>
              <w:t>，</w:t>
            </w:r>
            <w:r>
              <w:rPr>
                <w:rFonts w:hint="eastAsia"/>
                <w:color w:val="auto"/>
                <w:sz w:val="24"/>
              </w:rPr>
              <w:t>现</w:t>
            </w:r>
            <w:r>
              <w:rPr>
                <w:bCs/>
                <w:color w:val="auto"/>
                <w:sz w:val="24"/>
              </w:rPr>
              <w:t>有工程厂界噪声监测结果见表</w:t>
            </w:r>
            <w:r>
              <w:rPr>
                <w:rFonts w:hint="eastAsia"/>
                <w:bCs/>
                <w:color w:val="auto"/>
                <w:sz w:val="24"/>
              </w:rPr>
              <w:t>2.1</w:t>
            </w:r>
            <w:r>
              <w:rPr>
                <w:rFonts w:hint="eastAsia"/>
                <w:bCs/>
                <w:color w:val="auto"/>
                <w:sz w:val="24"/>
                <w:lang w:val="en-US" w:eastAsia="zh-CN"/>
              </w:rPr>
              <w:t>5</w:t>
            </w:r>
            <w:r>
              <w:rPr>
                <w:bCs/>
                <w:color w:val="auto"/>
                <w:sz w:val="24"/>
              </w:rPr>
              <w:t>。</w:t>
            </w:r>
          </w:p>
          <w:p>
            <w:pPr>
              <w:spacing w:line="440" w:lineRule="exact"/>
              <w:jc w:val="center"/>
              <w:rPr>
                <w:color w:val="auto"/>
                <w:sz w:val="21"/>
                <w:szCs w:val="21"/>
              </w:rPr>
            </w:pPr>
            <w:r>
              <w:rPr>
                <w:color w:val="auto"/>
                <w:sz w:val="21"/>
                <w:szCs w:val="21"/>
              </w:rPr>
              <w:t>表2.</w:t>
            </w:r>
            <w:r>
              <w:rPr>
                <w:rFonts w:hint="eastAsia"/>
                <w:color w:val="auto"/>
                <w:sz w:val="21"/>
                <w:szCs w:val="21"/>
              </w:rPr>
              <w:t>1</w:t>
            </w:r>
            <w:r>
              <w:rPr>
                <w:rFonts w:hint="eastAsia"/>
                <w:color w:val="auto"/>
                <w:sz w:val="21"/>
                <w:szCs w:val="21"/>
                <w:lang w:val="en-US" w:eastAsia="zh-CN"/>
              </w:rPr>
              <w:t>5</w:t>
            </w:r>
            <w:r>
              <w:rPr>
                <w:color w:val="auto"/>
                <w:sz w:val="21"/>
                <w:szCs w:val="21"/>
              </w:rPr>
              <w:t xml:space="preserve"> 现有工程厂界噪声监测结果</w:t>
            </w:r>
          </w:p>
          <w:tbl>
            <w:tblPr>
              <w:tblStyle w:val="2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354"/>
              <w:gridCol w:w="1346"/>
              <w:gridCol w:w="1349"/>
              <w:gridCol w:w="756"/>
              <w:gridCol w:w="758"/>
              <w:gridCol w:w="6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5" w:type="pct"/>
                  <w:vMerge w:val="restart"/>
                  <w:vAlign w:val="center"/>
                </w:tcPr>
                <w:p>
                  <w:pPr>
                    <w:adjustRightInd w:val="0"/>
                    <w:snapToGrid w:val="0"/>
                    <w:jc w:val="center"/>
                    <w:rPr>
                      <w:color w:val="auto"/>
                    </w:rPr>
                  </w:pPr>
                  <w:r>
                    <w:rPr>
                      <w:color w:val="auto"/>
                    </w:rPr>
                    <w:t>监测点位</w:t>
                  </w:r>
                </w:p>
              </w:tc>
              <w:tc>
                <w:tcPr>
                  <w:tcW w:w="1405" w:type="pct"/>
                  <w:vMerge w:val="restart"/>
                  <w:vAlign w:val="center"/>
                </w:tcPr>
                <w:p>
                  <w:pPr>
                    <w:adjustRightInd w:val="0"/>
                    <w:snapToGrid w:val="0"/>
                    <w:jc w:val="center"/>
                    <w:rPr>
                      <w:color w:val="auto"/>
                    </w:rPr>
                  </w:pPr>
                  <w:r>
                    <w:rPr>
                      <w:color w:val="auto"/>
                      <w:lang w:val="en-GB"/>
                    </w:rPr>
                    <w:t>监测日期</w:t>
                  </w:r>
                </w:p>
              </w:tc>
              <w:tc>
                <w:tcPr>
                  <w:tcW w:w="1610" w:type="pct"/>
                  <w:gridSpan w:val="2"/>
                  <w:vMerge w:val="restart"/>
                  <w:vAlign w:val="center"/>
                </w:tcPr>
                <w:p>
                  <w:pPr>
                    <w:adjustRightInd w:val="0"/>
                    <w:snapToGrid w:val="0"/>
                    <w:jc w:val="center"/>
                    <w:rPr>
                      <w:color w:val="auto"/>
                    </w:rPr>
                  </w:pPr>
                  <w:r>
                    <w:rPr>
                      <w:color w:val="auto"/>
                    </w:rPr>
                    <w:t>监测结果dB(A)</w:t>
                  </w:r>
                </w:p>
              </w:tc>
              <w:tc>
                <w:tcPr>
                  <w:tcW w:w="905" w:type="pct"/>
                  <w:gridSpan w:val="2"/>
                  <w:vAlign w:val="center"/>
                </w:tcPr>
                <w:p>
                  <w:pPr>
                    <w:adjustRightInd w:val="0"/>
                    <w:snapToGrid w:val="0"/>
                    <w:jc w:val="center"/>
                    <w:rPr>
                      <w:color w:val="auto"/>
                    </w:rPr>
                  </w:pPr>
                  <w:r>
                    <w:rPr>
                      <w:color w:val="auto"/>
                    </w:rPr>
                    <w:t>标准值dB(A)</w:t>
                  </w:r>
                </w:p>
              </w:tc>
              <w:tc>
                <w:tcPr>
                  <w:tcW w:w="412" w:type="pct"/>
                  <w:vMerge w:val="restart"/>
                  <w:vAlign w:val="center"/>
                </w:tcPr>
                <w:p>
                  <w:pPr>
                    <w:adjustRightInd w:val="0"/>
                    <w:snapToGrid w:val="0"/>
                    <w:jc w:val="center"/>
                    <w:rPr>
                      <w:color w:val="auto"/>
                    </w:rPr>
                  </w:pPr>
                  <w:r>
                    <w:rPr>
                      <w:color w:val="auto"/>
                    </w:rPr>
                    <w:t>达标</w:t>
                  </w:r>
                </w:p>
                <w:p>
                  <w:pPr>
                    <w:adjustRightInd w:val="0"/>
                    <w:snapToGrid w:val="0"/>
                    <w:jc w:val="center"/>
                    <w:rPr>
                      <w:color w:val="auto"/>
                    </w:rPr>
                  </w:pPr>
                  <w:r>
                    <w:rPr>
                      <w:color w:val="auto"/>
                    </w:rPr>
                    <w:t>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5" w:type="pct"/>
                  <w:vMerge w:val="continue"/>
                  <w:vAlign w:val="center"/>
                </w:tcPr>
                <w:p>
                  <w:pPr>
                    <w:adjustRightInd w:val="0"/>
                    <w:snapToGrid w:val="0"/>
                    <w:jc w:val="center"/>
                    <w:rPr>
                      <w:color w:val="auto"/>
                    </w:rPr>
                  </w:pPr>
                </w:p>
              </w:tc>
              <w:tc>
                <w:tcPr>
                  <w:tcW w:w="1405" w:type="pct"/>
                  <w:vMerge w:val="continue"/>
                  <w:vAlign w:val="center"/>
                </w:tcPr>
                <w:p>
                  <w:pPr>
                    <w:adjustRightInd w:val="0"/>
                    <w:snapToGrid w:val="0"/>
                    <w:jc w:val="center"/>
                    <w:rPr>
                      <w:color w:val="auto"/>
                    </w:rPr>
                  </w:pPr>
                </w:p>
              </w:tc>
              <w:tc>
                <w:tcPr>
                  <w:tcW w:w="1610" w:type="pct"/>
                  <w:gridSpan w:val="2"/>
                  <w:vMerge w:val="continue"/>
                  <w:vAlign w:val="center"/>
                </w:tcPr>
                <w:p>
                  <w:pPr>
                    <w:adjustRightInd w:val="0"/>
                    <w:snapToGrid w:val="0"/>
                    <w:jc w:val="center"/>
                    <w:rPr>
                      <w:color w:val="auto"/>
                    </w:rPr>
                  </w:pPr>
                </w:p>
              </w:tc>
              <w:tc>
                <w:tcPr>
                  <w:tcW w:w="452" w:type="pct"/>
                  <w:vMerge w:val="restart"/>
                  <w:vAlign w:val="center"/>
                </w:tcPr>
                <w:p>
                  <w:pPr>
                    <w:adjustRightInd w:val="0"/>
                    <w:snapToGrid w:val="0"/>
                    <w:jc w:val="center"/>
                    <w:rPr>
                      <w:color w:val="auto"/>
                    </w:rPr>
                  </w:pPr>
                  <w:r>
                    <w:rPr>
                      <w:color w:val="auto"/>
                    </w:rPr>
                    <w:t>昼间</w:t>
                  </w:r>
                </w:p>
              </w:tc>
              <w:tc>
                <w:tcPr>
                  <w:tcW w:w="453" w:type="pct"/>
                  <w:vMerge w:val="restart"/>
                  <w:vAlign w:val="center"/>
                </w:tcPr>
                <w:p>
                  <w:pPr>
                    <w:adjustRightInd w:val="0"/>
                    <w:snapToGrid w:val="0"/>
                    <w:jc w:val="center"/>
                    <w:rPr>
                      <w:color w:val="auto"/>
                    </w:rPr>
                  </w:pPr>
                  <w:r>
                    <w:rPr>
                      <w:color w:val="auto"/>
                    </w:rPr>
                    <w:t>夜间</w:t>
                  </w:r>
                </w:p>
              </w:tc>
              <w:tc>
                <w:tcPr>
                  <w:tcW w:w="412" w:type="pct"/>
                  <w:vMerge w:val="continue"/>
                  <w:vAlign w:val="center"/>
                </w:tcPr>
                <w:p>
                  <w:pPr>
                    <w:adjustRightInd w:val="0"/>
                    <w:snapToGrid w:val="0"/>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5" w:type="pct"/>
                  <w:vMerge w:val="continue"/>
                  <w:vAlign w:val="center"/>
                </w:tcPr>
                <w:p>
                  <w:pPr>
                    <w:adjustRightInd w:val="0"/>
                    <w:snapToGrid w:val="0"/>
                    <w:jc w:val="center"/>
                    <w:rPr>
                      <w:color w:val="auto"/>
                    </w:rPr>
                  </w:pPr>
                </w:p>
              </w:tc>
              <w:tc>
                <w:tcPr>
                  <w:tcW w:w="1405" w:type="pct"/>
                  <w:vMerge w:val="continue"/>
                  <w:vAlign w:val="center"/>
                </w:tcPr>
                <w:p>
                  <w:pPr>
                    <w:adjustRightInd w:val="0"/>
                    <w:snapToGrid w:val="0"/>
                    <w:jc w:val="center"/>
                    <w:rPr>
                      <w:color w:val="auto"/>
                    </w:rPr>
                  </w:pPr>
                </w:p>
              </w:tc>
              <w:tc>
                <w:tcPr>
                  <w:tcW w:w="804" w:type="pct"/>
                  <w:vAlign w:val="center"/>
                </w:tcPr>
                <w:p>
                  <w:pPr>
                    <w:adjustRightInd w:val="0"/>
                    <w:snapToGrid w:val="0"/>
                    <w:jc w:val="center"/>
                    <w:rPr>
                      <w:color w:val="auto"/>
                    </w:rPr>
                  </w:pPr>
                  <w:r>
                    <w:rPr>
                      <w:color w:val="auto"/>
                    </w:rPr>
                    <w:t>昼间</w:t>
                  </w:r>
                </w:p>
              </w:tc>
              <w:tc>
                <w:tcPr>
                  <w:tcW w:w="806" w:type="pct"/>
                  <w:vAlign w:val="center"/>
                </w:tcPr>
                <w:p>
                  <w:pPr>
                    <w:adjustRightInd w:val="0"/>
                    <w:snapToGrid w:val="0"/>
                    <w:jc w:val="center"/>
                    <w:rPr>
                      <w:color w:val="auto"/>
                    </w:rPr>
                  </w:pPr>
                  <w:r>
                    <w:rPr>
                      <w:color w:val="auto"/>
                    </w:rPr>
                    <w:t>夜间</w:t>
                  </w:r>
                </w:p>
              </w:tc>
              <w:tc>
                <w:tcPr>
                  <w:tcW w:w="452" w:type="pct"/>
                  <w:vMerge w:val="continue"/>
                  <w:vAlign w:val="center"/>
                </w:tcPr>
                <w:p>
                  <w:pPr>
                    <w:adjustRightInd w:val="0"/>
                    <w:snapToGrid w:val="0"/>
                    <w:jc w:val="center"/>
                    <w:rPr>
                      <w:color w:val="auto"/>
                    </w:rPr>
                  </w:pPr>
                </w:p>
              </w:tc>
              <w:tc>
                <w:tcPr>
                  <w:tcW w:w="453" w:type="pct"/>
                  <w:vMerge w:val="continue"/>
                </w:tcPr>
                <w:p>
                  <w:pPr>
                    <w:adjustRightInd w:val="0"/>
                    <w:snapToGrid w:val="0"/>
                    <w:jc w:val="center"/>
                    <w:rPr>
                      <w:color w:val="auto"/>
                    </w:rPr>
                  </w:pPr>
                </w:p>
              </w:tc>
              <w:tc>
                <w:tcPr>
                  <w:tcW w:w="412" w:type="pct"/>
                  <w:vMerge w:val="continue"/>
                  <w:vAlign w:val="center"/>
                </w:tcPr>
                <w:p>
                  <w:pPr>
                    <w:adjustRightInd w:val="0"/>
                    <w:snapToGrid w:val="0"/>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restart"/>
                  <w:vAlign w:val="center"/>
                </w:tcPr>
                <w:p>
                  <w:pPr>
                    <w:adjustRightInd w:val="0"/>
                    <w:snapToGrid w:val="0"/>
                    <w:jc w:val="center"/>
                    <w:rPr>
                      <w:color w:val="auto"/>
                    </w:rPr>
                  </w:pPr>
                  <w:r>
                    <w:rPr>
                      <w:color w:val="auto"/>
                    </w:rPr>
                    <w:t>厂界Z1</w:t>
                  </w: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27</w:t>
                  </w:r>
                  <w:r>
                    <w:rPr>
                      <w:color w:val="auto"/>
                    </w:rPr>
                    <w:t>日</w:t>
                  </w:r>
                </w:p>
              </w:tc>
              <w:tc>
                <w:tcPr>
                  <w:tcW w:w="804" w:type="pct"/>
                  <w:vAlign w:val="center"/>
                </w:tcPr>
                <w:p>
                  <w:pPr>
                    <w:adjustRightInd w:val="0"/>
                    <w:snapToGrid w:val="0"/>
                    <w:jc w:val="center"/>
                    <w:rPr>
                      <w:color w:val="auto"/>
                    </w:rPr>
                  </w:pPr>
                  <w:r>
                    <w:rPr>
                      <w:rFonts w:hint="eastAsia"/>
                      <w:color w:val="auto"/>
                    </w:rPr>
                    <w:t>59</w:t>
                  </w:r>
                </w:p>
              </w:tc>
              <w:tc>
                <w:tcPr>
                  <w:tcW w:w="806" w:type="pct"/>
                  <w:vAlign w:val="center"/>
                </w:tcPr>
                <w:p>
                  <w:pPr>
                    <w:adjustRightInd w:val="0"/>
                    <w:snapToGrid w:val="0"/>
                    <w:jc w:val="center"/>
                    <w:rPr>
                      <w:color w:val="auto"/>
                    </w:rPr>
                  </w:pPr>
                  <w:r>
                    <w:rPr>
                      <w:rFonts w:hint="eastAsia"/>
                      <w:color w:val="auto"/>
                    </w:rPr>
                    <w:t>49</w:t>
                  </w:r>
                </w:p>
              </w:tc>
              <w:tc>
                <w:tcPr>
                  <w:tcW w:w="452" w:type="pct"/>
                  <w:vMerge w:val="restart"/>
                  <w:vAlign w:val="center"/>
                </w:tcPr>
                <w:p>
                  <w:pPr>
                    <w:adjustRightInd w:val="0"/>
                    <w:snapToGrid w:val="0"/>
                    <w:jc w:val="center"/>
                    <w:rPr>
                      <w:color w:val="auto"/>
                    </w:rPr>
                  </w:pPr>
                  <w:r>
                    <w:rPr>
                      <w:color w:val="auto"/>
                    </w:rPr>
                    <w:t>6</w:t>
                  </w:r>
                  <w:r>
                    <w:rPr>
                      <w:rFonts w:hint="eastAsia"/>
                      <w:color w:val="auto"/>
                    </w:rPr>
                    <w:t>5</w:t>
                  </w:r>
                </w:p>
              </w:tc>
              <w:tc>
                <w:tcPr>
                  <w:tcW w:w="453" w:type="pct"/>
                  <w:vMerge w:val="restart"/>
                  <w:vAlign w:val="center"/>
                </w:tcPr>
                <w:p>
                  <w:pPr>
                    <w:adjustRightInd w:val="0"/>
                    <w:snapToGrid w:val="0"/>
                    <w:jc w:val="center"/>
                    <w:rPr>
                      <w:color w:val="auto"/>
                    </w:rPr>
                  </w:pPr>
                  <w:r>
                    <w:rPr>
                      <w:color w:val="auto"/>
                    </w:rPr>
                    <w:t>55</w:t>
                  </w: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continue"/>
                  <w:vAlign w:val="center"/>
                </w:tcPr>
                <w:p>
                  <w:pPr>
                    <w:adjustRightInd w:val="0"/>
                    <w:snapToGrid w:val="0"/>
                    <w:jc w:val="center"/>
                    <w:rPr>
                      <w:color w:val="auto"/>
                    </w:rPr>
                  </w:pP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28</w:t>
                  </w:r>
                  <w:r>
                    <w:rPr>
                      <w:color w:val="auto"/>
                    </w:rPr>
                    <w:t>日</w:t>
                  </w:r>
                </w:p>
              </w:tc>
              <w:tc>
                <w:tcPr>
                  <w:tcW w:w="804" w:type="pct"/>
                  <w:vAlign w:val="center"/>
                </w:tcPr>
                <w:p>
                  <w:pPr>
                    <w:adjustRightInd w:val="0"/>
                    <w:snapToGrid w:val="0"/>
                    <w:jc w:val="center"/>
                    <w:rPr>
                      <w:color w:val="auto"/>
                    </w:rPr>
                  </w:pPr>
                  <w:r>
                    <w:rPr>
                      <w:rFonts w:hint="eastAsia"/>
                      <w:color w:val="auto"/>
                    </w:rPr>
                    <w:t>59</w:t>
                  </w:r>
                </w:p>
              </w:tc>
              <w:tc>
                <w:tcPr>
                  <w:tcW w:w="806" w:type="pct"/>
                  <w:vAlign w:val="center"/>
                </w:tcPr>
                <w:p>
                  <w:pPr>
                    <w:adjustRightInd w:val="0"/>
                    <w:snapToGrid w:val="0"/>
                    <w:jc w:val="center"/>
                    <w:rPr>
                      <w:color w:val="auto"/>
                    </w:rPr>
                  </w:pPr>
                  <w:r>
                    <w:rPr>
                      <w:rFonts w:hint="eastAsia"/>
                      <w:color w:val="auto"/>
                    </w:rPr>
                    <w:t>49</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restart"/>
                  <w:vAlign w:val="center"/>
                </w:tcPr>
                <w:p>
                  <w:pPr>
                    <w:adjustRightInd w:val="0"/>
                    <w:snapToGrid w:val="0"/>
                    <w:jc w:val="center"/>
                    <w:rPr>
                      <w:color w:val="auto"/>
                    </w:rPr>
                  </w:pPr>
                  <w:r>
                    <w:rPr>
                      <w:color w:val="auto"/>
                    </w:rPr>
                    <w:t>厂界Z2</w:t>
                  </w: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27</w:t>
                  </w:r>
                  <w:r>
                    <w:rPr>
                      <w:color w:val="auto"/>
                    </w:rPr>
                    <w:t>日</w:t>
                  </w:r>
                </w:p>
              </w:tc>
              <w:tc>
                <w:tcPr>
                  <w:tcW w:w="804" w:type="pct"/>
                  <w:vAlign w:val="center"/>
                </w:tcPr>
                <w:p>
                  <w:pPr>
                    <w:adjustRightInd w:val="0"/>
                    <w:snapToGrid w:val="0"/>
                    <w:jc w:val="center"/>
                    <w:rPr>
                      <w:color w:val="auto"/>
                    </w:rPr>
                  </w:pPr>
                  <w:r>
                    <w:rPr>
                      <w:rFonts w:hint="eastAsia"/>
                      <w:color w:val="auto"/>
                    </w:rPr>
                    <w:t>59</w:t>
                  </w:r>
                </w:p>
              </w:tc>
              <w:tc>
                <w:tcPr>
                  <w:tcW w:w="806" w:type="pct"/>
                  <w:vAlign w:val="center"/>
                </w:tcPr>
                <w:p>
                  <w:pPr>
                    <w:adjustRightInd w:val="0"/>
                    <w:snapToGrid w:val="0"/>
                    <w:jc w:val="center"/>
                    <w:rPr>
                      <w:color w:val="auto"/>
                    </w:rPr>
                  </w:pPr>
                  <w:r>
                    <w:rPr>
                      <w:rFonts w:hint="eastAsia"/>
                      <w:color w:val="auto"/>
                    </w:rPr>
                    <w:t>49</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continue"/>
                  <w:vAlign w:val="center"/>
                </w:tcPr>
                <w:p>
                  <w:pPr>
                    <w:adjustRightInd w:val="0"/>
                    <w:snapToGrid w:val="0"/>
                    <w:jc w:val="center"/>
                    <w:rPr>
                      <w:color w:val="auto"/>
                    </w:rPr>
                  </w:pP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28</w:t>
                  </w:r>
                  <w:r>
                    <w:rPr>
                      <w:color w:val="auto"/>
                    </w:rPr>
                    <w:t>日</w:t>
                  </w:r>
                </w:p>
              </w:tc>
              <w:tc>
                <w:tcPr>
                  <w:tcW w:w="804" w:type="pct"/>
                  <w:vAlign w:val="center"/>
                </w:tcPr>
                <w:p>
                  <w:pPr>
                    <w:adjustRightInd w:val="0"/>
                    <w:snapToGrid w:val="0"/>
                    <w:jc w:val="center"/>
                    <w:rPr>
                      <w:color w:val="auto"/>
                    </w:rPr>
                  </w:pPr>
                  <w:r>
                    <w:rPr>
                      <w:rFonts w:hint="eastAsia"/>
                      <w:color w:val="auto"/>
                    </w:rPr>
                    <w:t>59</w:t>
                  </w:r>
                </w:p>
              </w:tc>
              <w:tc>
                <w:tcPr>
                  <w:tcW w:w="806" w:type="pct"/>
                  <w:vAlign w:val="center"/>
                </w:tcPr>
                <w:p>
                  <w:pPr>
                    <w:adjustRightInd w:val="0"/>
                    <w:snapToGrid w:val="0"/>
                    <w:jc w:val="center"/>
                    <w:rPr>
                      <w:color w:val="auto"/>
                    </w:rPr>
                  </w:pPr>
                  <w:r>
                    <w:rPr>
                      <w:rFonts w:hint="eastAsia"/>
                      <w:color w:val="auto"/>
                    </w:rPr>
                    <w:t>50</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restart"/>
                  <w:vAlign w:val="center"/>
                </w:tcPr>
                <w:p>
                  <w:pPr>
                    <w:adjustRightInd w:val="0"/>
                    <w:snapToGrid w:val="0"/>
                    <w:jc w:val="center"/>
                    <w:rPr>
                      <w:color w:val="auto"/>
                    </w:rPr>
                  </w:pPr>
                  <w:r>
                    <w:rPr>
                      <w:color w:val="auto"/>
                    </w:rPr>
                    <w:t>厂界Z3</w:t>
                  </w: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27</w:t>
                  </w:r>
                  <w:r>
                    <w:rPr>
                      <w:color w:val="auto"/>
                    </w:rPr>
                    <w:t>日</w:t>
                  </w:r>
                </w:p>
              </w:tc>
              <w:tc>
                <w:tcPr>
                  <w:tcW w:w="804" w:type="pct"/>
                  <w:vAlign w:val="center"/>
                </w:tcPr>
                <w:p>
                  <w:pPr>
                    <w:adjustRightInd w:val="0"/>
                    <w:snapToGrid w:val="0"/>
                    <w:jc w:val="center"/>
                    <w:rPr>
                      <w:color w:val="auto"/>
                    </w:rPr>
                  </w:pPr>
                  <w:r>
                    <w:rPr>
                      <w:rFonts w:hint="eastAsia"/>
                      <w:color w:val="auto"/>
                    </w:rPr>
                    <w:t>60</w:t>
                  </w:r>
                </w:p>
              </w:tc>
              <w:tc>
                <w:tcPr>
                  <w:tcW w:w="806" w:type="pct"/>
                  <w:vAlign w:val="center"/>
                </w:tcPr>
                <w:p>
                  <w:pPr>
                    <w:adjustRightInd w:val="0"/>
                    <w:snapToGrid w:val="0"/>
                    <w:jc w:val="center"/>
                    <w:rPr>
                      <w:color w:val="auto"/>
                    </w:rPr>
                  </w:pPr>
                  <w:r>
                    <w:rPr>
                      <w:rFonts w:hint="eastAsia"/>
                      <w:color w:val="auto"/>
                    </w:rPr>
                    <w:t>50</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continue"/>
                  <w:vAlign w:val="center"/>
                </w:tcPr>
                <w:p>
                  <w:pPr>
                    <w:adjustRightInd w:val="0"/>
                    <w:snapToGrid w:val="0"/>
                    <w:jc w:val="center"/>
                    <w:rPr>
                      <w:color w:val="auto"/>
                    </w:rPr>
                  </w:pP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28</w:t>
                  </w:r>
                  <w:r>
                    <w:rPr>
                      <w:color w:val="auto"/>
                    </w:rPr>
                    <w:t>日</w:t>
                  </w:r>
                </w:p>
              </w:tc>
              <w:tc>
                <w:tcPr>
                  <w:tcW w:w="804" w:type="pct"/>
                  <w:vAlign w:val="center"/>
                </w:tcPr>
                <w:p>
                  <w:pPr>
                    <w:adjustRightInd w:val="0"/>
                    <w:snapToGrid w:val="0"/>
                    <w:jc w:val="center"/>
                    <w:rPr>
                      <w:color w:val="auto"/>
                    </w:rPr>
                  </w:pPr>
                  <w:r>
                    <w:rPr>
                      <w:rFonts w:hint="eastAsia"/>
                      <w:color w:val="auto"/>
                    </w:rPr>
                    <w:t>60</w:t>
                  </w:r>
                </w:p>
              </w:tc>
              <w:tc>
                <w:tcPr>
                  <w:tcW w:w="806" w:type="pct"/>
                  <w:vAlign w:val="center"/>
                </w:tcPr>
                <w:p>
                  <w:pPr>
                    <w:adjustRightInd w:val="0"/>
                    <w:snapToGrid w:val="0"/>
                    <w:jc w:val="center"/>
                    <w:rPr>
                      <w:color w:val="auto"/>
                    </w:rPr>
                  </w:pPr>
                  <w:r>
                    <w:rPr>
                      <w:rFonts w:hint="eastAsia"/>
                      <w:color w:val="auto"/>
                    </w:rPr>
                    <w:t>50</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restart"/>
                  <w:vAlign w:val="center"/>
                </w:tcPr>
                <w:p>
                  <w:pPr>
                    <w:adjustRightInd w:val="0"/>
                    <w:snapToGrid w:val="0"/>
                    <w:jc w:val="center"/>
                    <w:rPr>
                      <w:color w:val="auto"/>
                    </w:rPr>
                  </w:pPr>
                  <w:r>
                    <w:rPr>
                      <w:color w:val="auto"/>
                    </w:rPr>
                    <w:t>厂界Z4</w:t>
                  </w: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27</w:t>
                  </w:r>
                  <w:r>
                    <w:rPr>
                      <w:color w:val="auto"/>
                    </w:rPr>
                    <w:t>日</w:t>
                  </w:r>
                </w:p>
              </w:tc>
              <w:tc>
                <w:tcPr>
                  <w:tcW w:w="804" w:type="pct"/>
                  <w:vAlign w:val="center"/>
                </w:tcPr>
                <w:p>
                  <w:pPr>
                    <w:adjustRightInd w:val="0"/>
                    <w:snapToGrid w:val="0"/>
                    <w:jc w:val="center"/>
                    <w:rPr>
                      <w:color w:val="auto"/>
                    </w:rPr>
                  </w:pPr>
                  <w:r>
                    <w:rPr>
                      <w:rFonts w:hint="eastAsia"/>
                      <w:color w:val="auto"/>
                    </w:rPr>
                    <w:t>60</w:t>
                  </w:r>
                </w:p>
              </w:tc>
              <w:tc>
                <w:tcPr>
                  <w:tcW w:w="806" w:type="pct"/>
                  <w:vAlign w:val="center"/>
                </w:tcPr>
                <w:p>
                  <w:pPr>
                    <w:adjustRightInd w:val="0"/>
                    <w:snapToGrid w:val="0"/>
                    <w:jc w:val="center"/>
                    <w:rPr>
                      <w:color w:val="auto"/>
                    </w:rPr>
                  </w:pPr>
                  <w:r>
                    <w:rPr>
                      <w:rFonts w:hint="eastAsia"/>
                      <w:color w:val="auto"/>
                    </w:rPr>
                    <w:t>49</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5" w:type="pct"/>
                  <w:vMerge w:val="continue"/>
                  <w:vAlign w:val="center"/>
                </w:tcPr>
                <w:p>
                  <w:pPr>
                    <w:adjustRightInd w:val="0"/>
                    <w:snapToGrid w:val="0"/>
                    <w:jc w:val="center"/>
                    <w:rPr>
                      <w:color w:val="auto"/>
                    </w:rPr>
                  </w:pPr>
                </w:p>
              </w:tc>
              <w:tc>
                <w:tcPr>
                  <w:tcW w:w="1405" w:type="pct"/>
                  <w:vAlign w:val="center"/>
                </w:tcPr>
                <w:p>
                  <w:pPr>
                    <w:adjustRightInd w:val="0"/>
                    <w:snapToGrid w:val="0"/>
                    <w:jc w:val="center"/>
                    <w:rPr>
                      <w:color w:val="auto"/>
                    </w:rPr>
                  </w:pPr>
                  <w:r>
                    <w:rPr>
                      <w:color w:val="auto"/>
                    </w:rPr>
                    <w:t>20</w:t>
                  </w:r>
                  <w:r>
                    <w:rPr>
                      <w:rFonts w:hint="eastAsia"/>
                      <w:color w:val="auto"/>
                    </w:rPr>
                    <w:t>21</w:t>
                  </w:r>
                  <w:r>
                    <w:rPr>
                      <w:color w:val="auto"/>
                    </w:rPr>
                    <w:t>年</w:t>
                  </w:r>
                  <w:r>
                    <w:rPr>
                      <w:rFonts w:hint="eastAsia"/>
                      <w:color w:val="auto"/>
                    </w:rPr>
                    <w:t>12</w:t>
                  </w:r>
                  <w:r>
                    <w:rPr>
                      <w:color w:val="auto"/>
                    </w:rPr>
                    <w:t>月</w:t>
                  </w:r>
                  <w:r>
                    <w:rPr>
                      <w:rFonts w:hint="eastAsia"/>
                      <w:color w:val="auto"/>
                    </w:rPr>
                    <w:t>28</w:t>
                  </w:r>
                  <w:r>
                    <w:rPr>
                      <w:color w:val="auto"/>
                    </w:rPr>
                    <w:t>日</w:t>
                  </w:r>
                </w:p>
              </w:tc>
              <w:tc>
                <w:tcPr>
                  <w:tcW w:w="804" w:type="pct"/>
                  <w:vAlign w:val="center"/>
                </w:tcPr>
                <w:p>
                  <w:pPr>
                    <w:adjustRightInd w:val="0"/>
                    <w:snapToGrid w:val="0"/>
                    <w:jc w:val="center"/>
                    <w:rPr>
                      <w:color w:val="auto"/>
                    </w:rPr>
                  </w:pPr>
                  <w:r>
                    <w:rPr>
                      <w:rFonts w:hint="eastAsia"/>
                      <w:color w:val="auto"/>
                    </w:rPr>
                    <w:t>60</w:t>
                  </w:r>
                </w:p>
              </w:tc>
              <w:tc>
                <w:tcPr>
                  <w:tcW w:w="806" w:type="pct"/>
                  <w:vAlign w:val="center"/>
                </w:tcPr>
                <w:p>
                  <w:pPr>
                    <w:adjustRightInd w:val="0"/>
                    <w:snapToGrid w:val="0"/>
                    <w:jc w:val="center"/>
                    <w:rPr>
                      <w:color w:val="auto"/>
                    </w:rPr>
                  </w:pPr>
                  <w:r>
                    <w:rPr>
                      <w:rFonts w:hint="eastAsia"/>
                      <w:color w:val="auto"/>
                    </w:rPr>
                    <w:t>50</w:t>
                  </w:r>
                </w:p>
              </w:tc>
              <w:tc>
                <w:tcPr>
                  <w:tcW w:w="452" w:type="pct"/>
                  <w:vMerge w:val="continue"/>
                  <w:vAlign w:val="center"/>
                </w:tcPr>
                <w:p>
                  <w:pPr>
                    <w:adjustRightInd w:val="0"/>
                    <w:snapToGrid w:val="0"/>
                    <w:jc w:val="center"/>
                    <w:rPr>
                      <w:color w:val="auto"/>
                    </w:rPr>
                  </w:pPr>
                </w:p>
              </w:tc>
              <w:tc>
                <w:tcPr>
                  <w:tcW w:w="453" w:type="pct"/>
                  <w:vMerge w:val="continue"/>
                  <w:vAlign w:val="center"/>
                </w:tcPr>
                <w:p>
                  <w:pPr>
                    <w:adjustRightInd w:val="0"/>
                    <w:snapToGrid w:val="0"/>
                    <w:jc w:val="center"/>
                    <w:rPr>
                      <w:color w:val="auto"/>
                    </w:rPr>
                  </w:pPr>
                </w:p>
              </w:tc>
              <w:tc>
                <w:tcPr>
                  <w:tcW w:w="412" w:type="pct"/>
                  <w:vAlign w:val="center"/>
                </w:tcPr>
                <w:p>
                  <w:pPr>
                    <w:adjustRightInd w:val="0"/>
                    <w:snapToGrid w:val="0"/>
                    <w:jc w:val="center"/>
                    <w:rPr>
                      <w:color w:val="auto"/>
                    </w:rPr>
                  </w:pPr>
                  <w:r>
                    <w:rPr>
                      <w:color w:val="auto"/>
                    </w:rPr>
                    <w:t>达标</w:t>
                  </w:r>
                </w:p>
              </w:tc>
            </w:tr>
          </w:tbl>
          <w:p>
            <w:pPr>
              <w:pStyle w:val="3"/>
              <w:ind w:firstLine="480" w:firstLineChars="200"/>
              <w:rPr>
                <w:rFonts w:ascii="Times New Roman" w:hAnsi="Times New Roman" w:cs="Times New Roman"/>
                <w:color w:val="auto"/>
              </w:rPr>
            </w:pPr>
            <w:r>
              <w:rPr>
                <w:rFonts w:ascii="Times New Roman" w:hAnsi="Times New Roman" w:cs="Times New Roman"/>
                <w:color w:val="auto"/>
              </w:rPr>
              <w:t>由表2.11可知，现有工程昼间、夜间厂界噪声满足《工业企业厂界环境噪声排放标准》（GB12348—2008）3类标准要求，</w:t>
            </w:r>
          </w:p>
          <w:p>
            <w:pPr>
              <w:spacing w:line="360" w:lineRule="auto"/>
              <w:ind w:firstLine="480" w:firstLineChars="200"/>
              <w:rPr>
                <w:color w:val="auto"/>
                <w:sz w:val="24"/>
              </w:rPr>
            </w:pPr>
            <w:r>
              <w:rPr>
                <w:rFonts w:hint="eastAsia"/>
                <w:color w:val="auto"/>
                <w:sz w:val="24"/>
              </w:rPr>
              <w:t>（4）固体废物</w:t>
            </w:r>
          </w:p>
          <w:p>
            <w:pPr>
              <w:keepLines/>
              <w:adjustRightInd w:val="0"/>
              <w:snapToGrid w:val="0"/>
              <w:spacing w:line="360" w:lineRule="auto"/>
              <w:ind w:firstLine="480" w:firstLineChars="200"/>
              <w:rPr>
                <w:color w:val="auto"/>
                <w:sz w:val="24"/>
              </w:rPr>
            </w:pPr>
            <w:r>
              <w:rPr>
                <w:color w:val="auto"/>
                <w:sz w:val="24"/>
              </w:rPr>
              <w:t>现有工程产生的危险废物包括：</w:t>
            </w:r>
            <w:r>
              <w:rPr>
                <w:rFonts w:hint="eastAsia"/>
                <w:color w:val="auto"/>
                <w:sz w:val="24"/>
              </w:rPr>
              <w:t>纤维碎屑、无纺布边角料、除尘器收集粉尘、废活性炭、废机油、废弃的</w:t>
            </w:r>
            <w:r>
              <w:rPr>
                <w:color w:val="auto"/>
                <w:sz w:val="24"/>
              </w:rPr>
              <w:t>含油抹布、劳保用品</w:t>
            </w:r>
            <w:r>
              <w:rPr>
                <w:rFonts w:hint="eastAsia"/>
                <w:color w:val="auto"/>
                <w:sz w:val="24"/>
              </w:rPr>
              <w:t>、生活垃圾以及餐厨垃圾，其中废活性炭、废机油、废油桶、废弃的</w:t>
            </w:r>
            <w:r>
              <w:rPr>
                <w:color w:val="auto"/>
                <w:sz w:val="24"/>
              </w:rPr>
              <w:t>含油抹布、劳保用品</w:t>
            </w:r>
            <w:r>
              <w:rPr>
                <w:rFonts w:hint="eastAsia"/>
                <w:color w:val="auto"/>
                <w:sz w:val="24"/>
              </w:rPr>
              <w:t>属于危险废物。</w:t>
            </w:r>
          </w:p>
          <w:p>
            <w:pPr>
              <w:spacing w:line="360" w:lineRule="auto"/>
              <w:ind w:firstLine="480" w:firstLineChars="200"/>
              <w:rPr>
                <w:color w:val="auto"/>
                <w:sz w:val="24"/>
              </w:rPr>
            </w:pPr>
            <w:r>
              <w:rPr>
                <w:rFonts w:hint="eastAsia"/>
                <w:color w:val="auto"/>
                <w:sz w:val="24"/>
              </w:rPr>
              <w:t>通过调查，现有工程2#厂房东北侧设有1个建筑面积为10m</w:t>
            </w:r>
            <w:r>
              <w:rPr>
                <w:rFonts w:hint="eastAsia"/>
                <w:color w:val="auto"/>
                <w:sz w:val="24"/>
                <w:vertAlign w:val="superscript"/>
              </w:rPr>
              <w:t>2</w:t>
            </w:r>
            <w:r>
              <w:rPr>
                <w:rFonts w:hint="eastAsia"/>
                <w:color w:val="auto"/>
                <w:sz w:val="24"/>
              </w:rPr>
              <w:t>的危险废物暂存间</w:t>
            </w:r>
            <w:r>
              <w:rPr>
                <w:color w:val="auto"/>
                <w:sz w:val="24"/>
              </w:rPr>
              <w:t>，地面采取了三防措施，设置了标识标牌，</w:t>
            </w:r>
            <w:r>
              <w:rPr>
                <w:rFonts w:hint="eastAsia"/>
                <w:color w:val="auto"/>
                <w:sz w:val="24"/>
              </w:rPr>
              <w:t>危险废物经分类收集、暂存后交有重庆巨光实业有限公司处置；现有工程2#厂房东南部设有1个建筑面积为10m</w:t>
            </w:r>
            <w:r>
              <w:rPr>
                <w:rFonts w:hint="eastAsia"/>
                <w:color w:val="auto"/>
                <w:sz w:val="24"/>
                <w:vertAlign w:val="superscript"/>
              </w:rPr>
              <w:t>2</w:t>
            </w:r>
            <w:r>
              <w:rPr>
                <w:rFonts w:hint="eastAsia"/>
                <w:color w:val="auto"/>
                <w:sz w:val="24"/>
              </w:rPr>
              <w:t>的一般工业固废暂存间，</w:t>
            </w:r>
            <w:r>
              <w:rPr>
                <w:color w:val="auto"/>
                <w:sz w:val="24"/>
              </w:rPr>
              <w:t>一般固废暂存间设置了标识标牌</w:t>
            </w:r>
            <w:r>
              <w:rPr>
                <w:rFonts w:hint="eastAsia"/>
                <w:color w:val="auto"/>
                <w:sz w:val="24"/>
              </w:rPr>
              <w:t>，</w:t>
            </w:r>
            <w:r>
              <w:rPr>
                <w:color w:val="auto"/>
                <w:sz w:val="24"/>
              </w:rPr>
              <w:t>地面进行了硬化</w:t>
            </w:r>
            <w:r>
              <w:rPr>
                <w:rFonts w:hint="eastAsia"/>
                <w:color w:val="auto"/>
                <w:sz w:val="24"/>
              </w:rPr>
              <w:t>，一般工业固废经暂存后交废品回收公司处置；生活垃圾经分类收集后交当地环卫部门处置；员工食堂产生的餐厨垃圾定期交餐厨垃圾处置单位处置。现有工程</w:t>
            </w:r>
            <w:r>
              <w:rPr>
                <w:color w:val="auto"/>
                <w:sz w:val="24"/>
              </w:rPr>
              <w:t>目</w:t>
            </w:r>
            <w:r>
              <w:rPr>
                <w:rFonts w:hint="eastAsia"/>
                <w:color w:val="auto"/>
                <w:sz w:val="24"/>
              </w:rPr>
              <w:t>固体</w:t>
            </w:r>
            <w:r>
              <w:rPr>
                <w:color w:val="auto"/>
                <w:sz w:val="24"/>
              </w:rPr>
              <w:t>废物产生情况见表</w:t>
            </w:r>
            <w:r>
              <w:rPr>
                <w:rFonts w:hint="eastAsia"/>
                <w:color w:val="auto"/>
                <w:sz w:val="24"/>
              </w:rPr>
              <w:t>2.</w:t>
            </w:r>
            <w:r>
              <w:rPr>
                <w:rFonts w:hint="eastAsia"/>
                <w:color w:val="auto"/>
                <w:sz w:val="24"/>
                <w:lang w:val="en-US" w:eastAsia="zh-CN"/>
              </w:rPr>
              <w:t>16</w:t>
            </w:r>
            <w:r>
              <w:rPr>
                <w:color w:val="auto"/>
                <w:sz w:val="24"/>
              </w:rPr>
              <w:t>。</w:t>
            </w:r>
          </w:p>
          <w:p>
            <w:pPr>
              <w:adjustRightInd w:val="0"/>
              <w:snapToGrid w:val="0"/>
              <w:spacing w:line="360" w:lineRule="auto"/>
              <w:jc w:val="center"/>
              <w:rPr>
                <w:color w:val="auto"/>
                <w:kern w:val="0"/>
                <w:sz w:val="24"/>
              </w:rPr>
            </w:pPr>
            <w:r>
              <w:rPr>
                <w:color w:val="auto"/>
                <w:sz w:val="24"/>
              </w:rPr>
              <w:t>表</w:t>
            </w:r>
            <w:r>
              <w:rPr>
                <w:rFonts w:hint="eastAsia"/>
                <w:color w:val="auto"/>
                <w:sz w:val="24"/>
              </w:rPr>
              <w:t>2.1</w:t>
            </w:r>
            <w:r>
              <w:rPr>
                <w:rFonts w:hint="eastAsia"/>
                <w:color w:val="auto"/>
                <w:sz w:val="24"/>
                <w:lang w:val="en-US" w:eastAsia="zh-CN"/>
              </w:rPr>
              <w:t>6</w:t>
            </w:r>
            <w:r>
              <w:rPr>
                <w:color w:val="auto"/>
                <w:sz w:val="24"/>
              </w:rPr>
              <w:t xml:space="preserve"> </w:t>
            </w:r>
            <w:r>
              <w:rPr>
                <w:rFonts w:hint="eastAsia"/>
                <w:color w:val="auto"/>
                <w:sz w:val="24"/>
              </w:rPr>
              <w:t>现有工程</w:t>
            </w:r>
            <w:r>
              <w:rPr>
                <w:color w:val="auto"/>
                <w:sz w:val="24"/>
              </w:rPr>
              <w:t>固废产生量及处置情况一览表</w:t>
            </w:r>
          </w:p>
          <w:tbl>
            <w:tblPr>
              <w:tblStyle w:val="22"/>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363"/>
              <w:gridCol w:w="1511"/>
              <w:gridCol w:w="1226"/>
              <w:gridCol w:w="3263"/>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2" w:type="pct"/>
                  <w:vAlign w:val="center"/>
                </w:tcPr>
                <w:p>
                  <w:pPr>
                    <w:adjustRightInd w:val="0"/>
                    <w:snapToGrid w:val="0"/>
                    <w:jc w:val="center"/>
                    <w:rPr>
                      <w:color w:val="auto"/>
                      <w:szCs w:val="21"/>
                    </w:rPr>
                  </w:pPr>
                  <w:r>
                    <w:rPr>
                      <w:color w:val="auto"/>
                      <w:szCs w:val="21"/>
                    </w:rPr>
                    <w:t>废物名称</w:t>
                  </w:r>
                </w:p>
              </w:tc>
              <w:tc>
                <w:tcPr>
                  <w:tcW w:w="903" w:type="pct"/>
                  <w:vAlign w:val="center"/>
                </w:tcPr>
                <w:p>
                  <w:pPr>
                    <w:adjustRightInd w:val="0"/>
                    <w:snapToGrid w:val="0"/>
                    <w:jc w:val="center"/>
                    <w:rPr>
                      <w:color w:val="auto"/>
                      <w:szCs w:val="21"/>
                    </w:rPr>
                  </w:pPr>
                  <w:r>
                    <w:rPr>
                      <w:color w:val="auto"/>
                      <w:szCs w:val="21"/>
                    </w:rPr>
                    <w:t>废物类别</w:t>
                  </w:r>
                </w:p>
              </w:tc>
              <w:tc>
                <w:tcPr>
                  <w:tcW w:w="733" w:type="pct"/>
                  <w:vAlign w:val="center"/>
                </w:tcPr>
                <w:p>
                  <w:pPr>
                    <w:adjustRightInd w:val="0"/>
                    <w:snapToGrid w:val="0"/>
                    <w:jc w:val="center"/>
                    <w:rPr>
                      <w:color w:val="auto"/>
                      <w:szCs w:val="21"/>
                    </w:rPr>
                  </w:pPr>
                  <w:r>
                    <w:rPr>
                      <w:color w:val="auto"/>
                      <w:szCs w:val="21"/>
                    </w:rPr>
                    <w:t>产生量(t/a)</w:t>
                  </w:r>
                </w:p>
              </w:tc>
              <w:tc>
                <w:tcPr>
                  <w:tcW w:w="1951" w:type="pct"/>
                  <w:vAlign w:val="center"/>
                </w:tcPr>
                <w:p>
                  <w:pPr>
                    <w:adjustRightInd w:val="0"/>
                    <w:snapToGrid w:val="0"/>
                    <w:jc w:val="center"/>
                    <w:rPr>
                      <w:color w:val="auto"/>
                      <w:szCs w:val="21"/>
                    </w:rPr>
                  </w:pPr>
                  <w:r>
                    <w:rPr>
                      <w:color w:val="auto"/>
                      <w:szCs w:val="21"/>
                    </w:rPr>
                    <w:t>处置情况</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纤维碎屑</w:t>
                  </w:r>
                </w:p>
              </w:tc>
              <w:tc>
                <w:tcPr>
                  <w:tcW w:w="903" w:type="pct"/>
                  <w:vMerge w:val="restart"/>
                  <w:vAlign w:val="center"/>
                </w:tcPr>
                <w:p>
                  <w:pPr>
                    <w:adjustRightInd w:val="0"/>
                    <w:snapToGrid w:val="0"/>
                    <w:jc w:val="center"/>
                    <w:rPr>
                      <w:color w:val="auto"/>
                      <w:szCs w:val="21"/>
                    </w:rPr>
                  </w:pPr>
                  <w:r>
                    <w:rPr>
                      <w:color w:val="auto"/>
                      <w:szCs w:val="21"/>
                    </w:rPr>
                    <w:t>一般工业</w:t>
                  </w:r>
                  <w:r>
                    <w:rPr>
                      <w:rFonts w:hint="eastAsia"/>
                      <w:color w:val="auto"/>
                      <w:szCs w:val="21"/>
                    </w:rPr>
                    <w:t>固废</w:t>
                  </w:r>
                </w:p>
              </w:tc>
              <w:tc>
                <w:tcPr>
                  <w:tcW w:w="733" w:type="pct"/>
                  <w:vAlign w:val="center"/>
                </w:tcPr>
                <w:p>
                  <w:pPr>
                    <w:pStyle w:val="2"/>
                    <w:snapToGrid w:val="0"/>
                    <w:spacing w:line="240" w:lineRule="auto"/>
                    <w:jc w:val="center"/>
                    <w:rPr>
                      <w:rFonts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rPr>
                    <w:t>0.84</w:t>
                  </w:r>
                </w:p>
              </w:tc>
              <w:tc>
                <w:tcPr>
                  <w:tcW w:w="1951" w:type="pct"/>
                  <w:vMerge w:val="restart"/>
                  <w:vAlign w:val="center"/>
                </w:tcPr>
                <w:p>
                  <w:pPr>
                    <w:adjustRightInd w:val="0"/>
                    <w:snapToGrid w:val="0"/>
                    <w:jc w:val="center"/>
                    <w:rPr>
                      <w:color w:val="auto"/>
                      <w:szCs w:val="21"/>
                    </w:rPr>
                  </w:pPr>
                  <w:r>
                    <w:rPr>
                      <w:color w:val="auto"/>
                      <w:szCs w:val="21"/>
                    </w:rPr>
                    <w:t>分类收集后，交废品回收公司处置</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49"/>
                    <w:snapToGrid w:val="0"/>
                    <w:spacing w:line="240" w:lineRule="auto"/>
                    <w:ind w:firstLine="0" w:firstLineChars="0"/>
                    <w:jc w:val="center"/>
                    <w:rPr>
                      <w:color w:val="auto"/>
                      <w:sz w:val="21"/>
                      <w:szCs w:val="21"/>
                    </w:rPr>
                  </w:pPr>
                  <w:r>
                    <w:rPr>
                      <w:rFonts w:hint="eastAsia"/>
                      <w:color w:val="auto"/>
                      <w:sz w:val="21"/>
                      <w:szCs w:val="21"/>
                    </w:rPr>
                    <w:t>无纺布边角料</w:t>
                  </w:r>
                </w:p>
              </w:tc>
              <w:tc>
                <w:tcPr>
                  <w:tcW w:w="903" w:type="pct"/>
                  <w:vMerge w:val="continue"/>
                  <w:vAlign w:val="center"/>
                </w:tcPr>
                <w:p>
                  <w:pPr>
                    <w:adjustRightInd w:val="0"/>
                    <w:snapToGrid w:val="0"/>
                    <w:jc w:val="center"/>
                    <w:rPr>
                      <w:color w:val="auto"/>
                      <w:szCs w:val="21"/>
                    </w:rPr>
                  </w:pPr>
                </w:p>
              </w:tc>
              <w:tc>
                <w:tcPr>
                  <w:tcW w:w="733"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16</w:t>
                  </w:r>
                </w:p>
              </w:tc>
              <w:tc>
                <w:tcPr>
                  <w:tcW w:w="1951" w:type="pct"/>
                  <w:vMerge w:val="continue"/>
                  <w:vAlign w:val="center"/>
                </w:tcPr>
                <w:p>
                  <w:pPr>
                    <w:adjustRightInd w:val="0"/>
                    <w:snapToGrid w:val="0"/>
                    <w:jc w:val="center"/>
                    <w:rPr>
                      <w:color w:val="auto"/>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49"/>
                    <w:snapToGrid w:val="0"/>
                    <w:spacing w:line="240" w:lineRule="auto"/>
                    <w:ind w:firstLine="0" w:firstLineChars="0"/>
                    <w:jc w:val="center"/>
                    <w:rPr>
                      <w:color w:val="auto"/>
                      <w:sz w:val="21"/>
                      <w:szCs w:val="21"/>
                    </w:rPr>
                  </w:pPr>
                  <w:r>
                    <w:rPr>
                      <w:rFonts w:hint="eastAsia"/>
                      <w:color w:val="auto"/>
                      <w:sz w:val="21"/>
                      <w:szCs w:val="21"/>
                    </w:rPr>
                    <w:t>除尘器收集粉尘</w:t>
                  </w:r>
                </w:p>
              </w:tc>
              <w:tc>
                <w:tcPr>
                  <w:tcW w:w="903" w:type="pct"/>
                  <w:vMerge w:val="continue"/>
                  <w:vAlign w:val="center"/>
                </w:tcPr>
                <w:p>
                  <w:pPr>
                    <w:adjustRightInd w:val="0"/>
                    <w:snapToGrid w:val="0"/>
                    <w:jc w:val="center"/>
                    <w:rPr>
                      <w:color w:val="auto"/>
                      <w:szCs w:val="21"/>
                    </w:rPr>
                  </w:pPr>
                </w:p>
              </w:tc>
              <w:tc>
                <w:tcPr>
                  <w:tcW w:w="733"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31.02</w:t>
                  </w:r>
                </w:p>
              </w:tc>
              <w:tc>
                <w:tcPr>
                  <w:tcW w:w="1951" w:type="pct"/>
                  <w:vMerge w:val="continue"/>
                  <w:vAlign w:val="center"/>
                </w:tcPr>
                <w:p>
                  <w:pPr>
                    <w:adjustRightInd w:val="0"/>
                    <w:snapToGrid w:val="0"/>
                    <w:jc w:val="center"/>
                    <w:rPr>
                      <w:color w:val="auto"/>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废活性炭</w:t>
                  </w:r>
                </w:p>
              </w:tc>
              <w:tc>
                <w:tcPr>
                  <w:tcW w:w="903" w:type="pct"/>
                  <w:vMerge w:val="restart"/>
                  <w:vAlign w:val="center"/>
                </w:tcPr>
                <w:p>
                  <w:pPr>
                    <w:adjustRightInd w:val="0"/>
                    <w:snapToGrid w:val="0"/>
                    <w:jc w:val="center"/>
                    <w:rPr>
                      <w:color w:val="auto"/>
                      <w:szCs w:val="21"/>
                    </w:rPr>
                  </w:pPr>
                  <w:r>
                    <w:rPr>
                      <w:color w:val="auto"/>
                      <w:szCs w:val="21"/>
                    </w:rPr>
                    <w:t>危险废物</w:t>
                  </w:r>
                </w:p>
              </w:tc>
              <w:tc>
                <w:tcPr>
                  <w:tcW w:w="733"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0.49</w:t>
                  </w:r>
                </w:p>
              </w:tc>
              <w:tc>
                <w:tcPr>
                  <w:tcW w:w="1951" w:type="pct"/>
                  <w:vMerge w:val="restart"/>
                  <w:vAlign w:val="center"/>
                </w:tcPr>
                <w:p>
                  <w:pPr>
                    <w:adjustRightInd w:val="0"/>
                    <w:snapToGrid w:val="0"/>
                    <w:jc w:val="center"/>
                    <w:rPr>
                      <w:color w:val="auto"/>
                      <w:szCs w:val="21"/>
                    </w:rPr>
                  </w:pPr>
                  <w:r>
                    <w:rPr>
                      <w:color w:val="auto"/>
                      <w:szCs w:val="21"/>
                    </w:rPr>
                    <w:t>暂存于危险废物储存间，定期交</w:t>
                  </w:r>
                  <w:r>
                    <w:rPr>
                      <w:rFonts w:hint="eastAsia"/>
                      <w:color w:val="auto"/>
                      <w:szCs w:val="21"/>
                    </w:rPr>
                    <w:t>重庆巨光实业有限公司</w:t>
                  </w:r>
                  <w:r>
                    <w:rPr>
                      <w:color w:val="auto"/>
                      <w:szCs w:val="21"/>
                    </w:rPr>
                    <w:t>处置</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废胶水空桶</w:t>
                  </w:r>
                </w:p>
              </w:tc>
              <w:tc>
                <w:tcPr>
                  <w:tcW w:w="903" w:type="pct"/>
                  <w:vMerge w:val="continue"/>
                  <w:vAlign w:val="center"/>
                </w:tcPr>
                <w:p>
                  <w:pPr>
                    <w:adjustRightInd w:val="0"/>
                    <w:snapToGrid w:val="0"/>
                    <w:jc w:val="center"/>
                    <w:rPr>
                      <w:color w:val="auto"/>
                      <w:szCs w:val="21"/>
                    </w:rPr>
                  </w:pPr>
                </w:p>
              </w:tc>
              <w:tc>
                <w:tcPr>
                  <w:tcW w:w="733"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0.07</w:t>
                  </w:r>
                </w:p>
              </w:tc>
              <w:tc>
                <w:tcPr>
                  <w:tcW w:w="1951" w:type="pct"/>
                  <w:vMerge w:val="continue"/>
                  <w:vAlign w:val="center"/>
                </w:tcPr>
                <w:p>
                  <w:pPr>
                    <w:adjustRightInd w:val="0"/>
                    <w:snapToGrid w:val="0"/>
                    <w:jc w:val="center"/>
                    <w:rPr>
                      <w:color w:val="auto"/>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废机油</w:t>
                  </w:r>
                </w:p>
              </w:tc>
              <w:tc>
                <w:tcPr>
                  <w:tcW w:w="903" w:type="pct"/>
                  <w:vMerge w:val="continue"/>
                  <w:vAlign w:val="center"/>
                </w:tcPr>
                <w:p>
                  <w:pPr>
                    <w:adjustRightInd w:val="0"/>
                    <w:snapToGrid w:val="0"/>
                    <w:jc w:val="center"/>
                    <w:rPr>
                      <w:color w:val="auto"/>
                      <w:szCs w:val="21"/>
                    </w:rPr>
                  </w:pPr>
                </w:p>
              </w:tc>
              <w:tc>
                <w:tcPr>
                  <w:tcW w:w="733" w:type="pct"/>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0.05</w:t>
                  </w:r>
                </w:p>
              </w:tc>
              <w:tc>
                <w:tcPr>
                  <w:tcW w:w="1951" w:type="pct"/>
                  <w:vMerge w:val="continue"/>
                  <w:vAlign w:val="center"/>
                </w:tcPr>
                <w:p>
                  <w:pPr>
                    <w:adjustRightInd w:val="0"/>
                    <w:snapToGrid w:val="0"/>
                    <w:jc w:val="center"/>
                    <w:rPr>
                      <w:color w:val="auto"/>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2" w:type="pct"/>
                  <w:tcBorders>
                    <w:bottom w:val="single" w:color="auto" w:sz="4" w:space="0"/>
                  </w:tcBorders>
                  <w:vAlign w:val="center"/>
                </w:tcPr>
                <w:p>
                  <w:pPr>
                    <w:adjustRightInd w:val="0"/>
                    <w:snapToGrid w:val="0"/>
                    <w:jc w:val="center"/>
                    <w:rPr>
                      <w:color w:val="auto"/>
                      <w:kern w:val="0"/>
                      <w:szCs w:val="21"/>
                    </w:rPr>
                  </w:pPr>
                  <w:r>
                    <w:rPr>
                      <w:rFonts w:hint="eastAsia"/>
                      <w:color w:val="auto"/>
                    </w:rPr>
                    <w:t>含油抹布、劳保用品</w:t>
                  </w:r>
                </w:p>
              </w:tc>
              <w:tc>
                <w:tcPr>
                  <w:tcW w:w="903" w:type="pct"/>
                  <w:vMerge w:val="continue"/>
                  <w:tcBorders>
                    <w:bottom w:val="single" w:color="auto" w:sz="4" w:space="0"/>
                  </w:tcBorders>
                  <w:vAlign w:val="center"/>
                </w:tcPr>
                <w:p>
                  <w:pPr>
                    <w:widowControl/>
                    <w:adjustRightInd w:val="0"/>
                    <w:snapToGrid w:val="0"/>
                    <w:jc w:val="left"/>
                    <w:rPr>
                      <w:color w:val="auto"/>
                      <w:szCs w:val="21"/>
                    </w:rPr>
                  </w:pPr>
                </w:p>
              </w:tc>
              <w:tc>
                <w:tcPr>
                  <w:tcW w:w="733" w:type="pct"/>
                  <w:tcBorders>
                    <w:bottom w:val="single" w:color="auto" w:sz="4" w:space="0"/>
                  </w:tcBorders>
                  <w:vAlign w:val="center"/>
                </w:tcPr>
                <w:p>
                  <w:pPr>
                    <w:pStyle w:val="2"/>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0.3</w:t>
                  </w:r>
                </w:p>
              </w:tc>
              <w:tc>
                <w:tcPr>
                  <w:tcW w:w="1951" w:type="pct"/>
                  <w:vMerge w:val="continue"/>
                  <w:tcBorders>
                    <w:bottom w:val="single" w:color="auto" w:sz="4" w:space="0"/>
                  </w:tcBorders>
                  <w:vAlign w:val="center"/>
                </w:tcPr>
                <w:p>
                  <w:pPr>
                    <w:widowControl/>
                    <w:adjustRightInd w:val="0"/>
                    <w:snapToGrid w:val="0"/>
                    <w:jc w:val="left"/>
                    <w:rPr>
                      <w:color w:val="auto"/>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adjustRightInd w:val="0"/>
                    <w:snapToGrid w:val="0"/>
                    <w:jc w:val="center"/>
                    <w:rPr>
                      <w:color w:val="auto"/>
                      <w:kern w:val="0"/>
                      <w:szCs w:val="21"/>
                      <w:lang w:bidi="ar"/>
                    </w:rPr>
                  </w:pPr>
                  <w:r>
                    <w:rPr>
                      <w:color w:val="auto"/>
                      <w:szCs w:val="21"/>
                    </w:rPr>
                    <w:t>生活垃圾</w:t>
                  </w:r>
                </w:p>
              </w:tc>
              <w:tc>
                <w:tcPr>
                  <w:tcW w:w="903" w:type="pct"/>
                  <w:vAlign w:val="center"/>
                </w:tcPr>
                <w:p>
                  <w:pPr>
                    <w:adjustRightInd w:val="0"/>
                    <w:snapToGrid w:val="0"/>
                    <w:jc w:val="center"/>
                    <w:rPr>
                      <w:color w:val="auto"/>
                      <w:szCs w:val="21"/>
                    </w:rPr>
                  </w:pPr>
                  <w:r>
                    <w:rPr>
                      <w:color w:val="auto"/>
                      <w:szCs w:val="21"/>
                    </w:rPr>
                    <w:t>生活垃圾</w:t>
                  </w:r>
                </w:p>
              </w:tc>
              <w:tc>
                <w:tcPr>
                  <w:tcW w:w="733" w:type="pct"/>
                  <w:vAlign w:val="center"/>
                </w:tcPr>
                <w:p>
                  <w:pPr>
                    <w:adjustRightInd w:val="0"/>
                    <w:snapToGrid w:val="0"/>
                    <w:jc w:val="center"/>
                    <w:rPr>
                      <w:color w:val="auto"/>
                      <w:szCs w:val="21"/>
                      <w:lang w:bidi="ar"/>
                    </w:rPr>
                  </w:pPr>
                  <w:r>
                    <w:rPr>
                      <w:rFonts w:hint="eastAsia"/>
                      <w:color w:val="auto"/>
                      <w:szCs w:val="21"/>
                      <w:lang w:bidi="ar"/>
                    </w:rPr>
                    <w:t>11.25</w:t>
                  </w:r>
                </w:p>
              </w:tc>
              <w:tc>
                <w:tcPr>
                  <w:tcW w:w="1951" w:type="pct"/>
                  <w:tcBorders>
                    <w:top w:val="single" w:color="auto" w:sz="4" w:space="0"/>
                    <w:bottom w:val="single" w:color="auto" w:sz="4" w:space="0"/>
                  </w:tcBorders>
                  <w:vAlign w:val="center"/>
                </w:tcPr>
                <w:p>
                  <w:pPr>
                    <w:adjustRightInd w:val="0"/>
                    <w:snapToGrid w:val="0"/>
                    <w:rPr>
                      <w:color w:val="auto"/>
                      <w:szCs w:val="21"/>
                    </w:rPr>
                  </w:pPr>
                  <w:r>
                    <w:rPr>
                      <w:color w:val="auto"/>
                      <w:szCs w:val="21"/>
                    </w:rPr>
                    <w:t>分类收集，交当地环卫部门处置</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2" w:type="pct"/>
                  <w:vAlign w:val="center"/>
                </w:tcPr>
                <w:p>
                  <w:pPr>
                    <w:adjustRightInd w:val="0"/>
                    <w:snapToGrid w:val="0"/>
                    <w:jc w:val="center"/>
                    <w:rPr>
                      <w:color w:val="auto"/>
                      <w:szCs w:val="21"/>
                    </w:rPr>
                  </w:pPr>
                  <w:r>
                    <w:rPr>
                      <w:rFonts w:hint="eastAsia"/>
                      <w:color w:val="auto"/>
                      <w:szCs w:val="21"/>
                    </w:rPr>
                    <w:t>餐厨垃圾</w:t>
                  </w:r>
                </w:p>
              </w:tc>
              <w:tc>
                <w:tcPr>
                  <w:tcW w:w="903" w:type="pct"/>
                  <w:vAlign w:val="center"/>
                </w:tcPr>
                <w:p>
                  <w:pPr>
                    <w:adjustRightInd w:val="0"/>
                    <w:snapToGrid w:val="0"/>
                    <w:jc w:val="center"/>
                    <w:rPr>
                      <w:color w:val="auto"/>
                      <w:szCs w:val="21"/>
                    </w:rPr>
                  </w:pPr>
                  <w:r>
                    <w:rPr>
                      <w:color w:val="auto"/>
                      <w:szCs w:val="21"/>
                    </w:rPr>
                    <w:t>生活垃圾</w:t>
                  </w:r>
                </w:p>
              </w:tc>
              <w:tc>
                <w:tcPr>
                  <w:tcW w:w="733" w:type="pct"/>
                  <w:vAlign w:val="center"/>
                </w:tcPr>
                <w:p>
                  <w:pPr>
                    <w:adjustRightInd w:val="0"/>
                    <w:snapToGrid w:val="0"/>
                    <w:jc w:val="center"/>
                    <w:rPr>
                      <w:color w:val="auto"/>
                      <w:szCs w:val="21"/>
                      <w:lang w:bidi="ar"/>
                    </w:rPr>
                  </w:pPr>
                  <w:r>
                    <w:rPr>
                      <w:rFonts w:hint="eastAsia"/>
                      <w:color w:val="auto"/>
                      <w:szCs w:val="21"/>
                      <w:lang w:bidi="ar"/>
                    </w:rPr>
                    <w:t>6.75</w:t>
                  </w:r>
                </w:p>
              </w:tc>
              <w:tc>
                <w:tcPr>
                  <w:tcW w:w="1951" w:type="pct"/>
                  <w:tcBorders>
                    <w:top w:val="single" w:color="auto" w:sz="4" w:space="0"/>
                    <w:bottom w:val="single" w:color="auto" w:sz="4" w:space="0"/>
                  </w:tcBorders>
                  <w:vAlign w:val="center"/>
                </w:tcPr>
                <w:p>
                  <w:pPr>
                    <w:adjustRightInd w:val="0"/>
                    <w:snapToGrid w:val="0"/>
                    <w:jc w:val="center"/>
                    <w:rPr>
                      <w:color w:val="auto"/>
                      <w:szCs w:val="21"/>
                    </w:rPr>
                  </w:pPr>
                  <w:r>
                    <w:rPr>
                      <w:rFonts w:hint="eastAsia"/>
                      <w:color w:val="auto"/>
                      <w:szCs w:val="21"/>
                    </w:rPr>
                    <w:t>交餐厨垃圾处置单位处置</w:t>
                  </w:r>
                </w:p>
              </w:tc>
            </w:tr>
          </w:tbl>
          <w:p>
            <w:pPr>
              <w:adjustRightInd w:val="0"/>
              <w:snapToGrid w:val="0"/>
              <w:spacing w:line="360" w:lineRule="auto"/>
              <w:rPr>
                <w:rFonts w:ascii="宋体" w:hAnsi="宋体" w:cs="宋体"/>
                <w:b/>
                <w:bCs/>
                <w:color w:val="auto"/>
                <w:sz w:val="24"/>
              </w:rPr>
            </w:pPr>
            <w:r>
              <w:rPr>
                <w:rFonts w:hint="eastAsia"/>
                <w:b/>
                <w:bCs/>
                <w:color w:val="auto"/>
                <w:sz w:val="24"/>
              </w:rPr>
              <w:t>4.现有工程存在的主要环境问题</w:t>
            </w:r>
          </w:p>
          <w:p>
            <w:pPr>
              <w:adjustRightInd w:val="0"/>
              <w:snapToGrid w:val="0"/>
              <w:spacing w:line="360" w:lineRule="auto"/>
              <w:ind w:firstLine="480" w:firstLineChars="200"/>
              <w:rPr>
                <w:rFonts w:hint="eastAsia" w:ascii="宋体" w:hAnsi="宋体" w:eastAsia="宋体"/>
                <w:color w:val="auto"/>
                <w:sz w:val="24"/>
                <w:lang w:eastAsia="zh-CN"/>
              </w:rPr>
            </w:pPr>
            <w:r>
              <w:rPr>
                <w:color w:val="auto"/>
                <w:sz w:val="24"/>
              </w:rPr>
              <w:t>现有工程环保手续齐全，该企业分别于2020年11月</w:t>
            </w:r>
            <w:r>
              <w:rPr>
                <w:rFonts w:hint="eastAsia"/>
                <w:color w:val="auto"/>
                <w:sz w:val="24"/>
              </w:rPr>
              <w:t>通过了汽车内饰材料及零部件生产加工项目的</w:t>
            </w:r>
            <w:r>
              <w:rPr>
                <w:color w:val="auto"/>
                <w:sz w:val="24"/>
              </w:rPr>
              <w:t>竣工环境保护验</w:t>
            </w:r>
            <w:r>
              <w:rPr>
                <w:rFonts w:hint="eastAsia"/>
                <w:color w:val="auto"/>
                <w:sz w:val="24"/>
              </w:rPr>
              <w:t>；</w:t>
            </w:r>
            <w:r>
              <w:rPr>
                <w:color w:val="auto"/>
                <w:sz w:val="24"/>
              </w:rPr>
              <w:t>2022年1月通过了</w:t>
            </w:r>
            <w:r>
              <w:rPr>
                <w:color w:val="auto"/>
                <w:spacing w:val="8"/>
                <w:sz w:val="24"/>
                <w:shd w:val="clear" w:color="auto" w:fill="FFFFFF"/>
              </w:rPr>
              <w:t>年产汽车零部件800万件及汽车纤维材料8000吨扩建项目</w:t>
            </w:r>
            <w:r>
              <w:rPr>
                <w:rFonts w:hint="eastAsia"/>
                <w:color w:val="auto"/>
                <w:spacing w:val="8"/>
                <w:sz w:val="24"/>
                <w:shd w:val="clear" w:color="auto" w:fill="FFFFFF"/>
              </w:rPr>
              <w:t>（一阶段）</w:t>
            </w:r>
            <w:r>
              <w:rPr>
                <w:color w:val="auto"/>
                <w:sz w:val="24"/>
              </w:rPr>
              <w:t>竣工环境保护验收</w:t>
            </w:r>
            <w:r>
              <w:rPr>
                <w:rFonts w:hint="eastAsia" w:ascii="宋体" w:hAnsi="宋体"/>
                <w:color w:val="auto"/>
                <w:sz w:val="24"/>
              </w:rPr>
              <w:t>，不存在遗留相关环境问题</w:t>
            </w:r>
            <w:r>
              <w:rPr>
                <w:rFonts w:hint="eastAsia" w:ascii="宋体" w:hAnsi="宋体"/>
                <w:color w:val="auto"/>
                <w:sz w:val="24"/>
                <w:lang w:eastAsia="zh-CN"/>
              </w:rPr>
              <w:t>。</w:t>
            </w:r>
          </w:p>
          <w:p>
            <w:pPr>
              <w:adjustRightInd w:val="0"/>
              <w:snapToGrid w:val="0"/>
              <w:spacing w:line="360" w:lineRule="auto"/>
              <w:ind w:firstLine="480" w:firstLineChars="200"/>
              <w:rPr>
                <w:rFonts w:hint="eastAsia" w:ascii="宋体" w:hAnsi="宋体"/>
                <w:color w:val="auto"/>
                <w:sz w:val="24"/>
              </w:rPr>
            </w:pPr>
          </w:p>
          <w:p>
            <w:pPr>
              <w:adjustRightInd w:val="0"/>
              <w:snapToGrid w:val="0"/>
              <w:spacing w:line="360" w:lineRule="auto"/>
              <w:ind w:firstLine="480" w:firstLineChars="200"/>
              <w:rPr>
                <w:rFonts w:hint="eastAsia" w:ascii="宋体" w:hAnsi="宋体"/>
                <w:color w:val="auto"/>
                <w:sz w:val="24"/>
              </w:rPr>
            </w:pPr>
          </w:p>
          <w:p>
            <w:pPr>
              <w:adjustRightInd w:val="0"/>
              <w:snapToGrid w:val="0"/>
              <w:spacing w:line="360" w:lineRule="auto"/>
              <w:rPr>
                <w:color w:val="auto"/>
              </w:rPr>
            </w:pPr>
          </w:p>
        </w:tc>
      </w:tr>
    </w:tbl>
    <w:p>
      <w:pPr>
        <w:pStyle w:val="19"/>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9"/>
        <w:adjustRightInd w:val="0"/>
        <w:snapToGrid w:val="0"/>
        <w:spacing w:before="0" w:beforeAutospacing="0" w:after="0" w:afterAutospacing="0" w:line="14" w:lineRule="auto"/>
        <w:jc w:val="center"/>
        <w:outlineLvl w:val="0"/>
        <w:rPr>
          <w:rFonts w:ascii="黑体" w:hAnsi="黑体" w:eastAsia="黑体"/>
          <w:snapToGrid w:val="0"/>
          <w:color w:val="auto"/>
          <w:sz w:val="30"/>
          <w:szCs w:val="30"/>
        </w:r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tcPr>
          <w:p>
            <w:pPr>
              <w:adjustRightInd w:val="0"/>
              <w:snapToGrid w:val="0"/>
              <w:spacing w:line="360" w:lineRule="auto"/>
              <w:rPr>
                <w:b/>
                <w:bCs/>
                <w:color w:val="auto"/>
                <w:sz w:val="24"/>
              </w:rPr>
            </w:pPr>
            <w:r>
              <w:rPr>
                <w:rFonts w:hint="eastAsia"/>
                <w:b/>
                <w:bCs/>
                <w:color w:val="auto"/>
                <w:sz w:val="24"/>
              </w:rPr>
              <w:t>1.</w:t>
            </w:r>
            <w:r>
              <w:rPr>
                <w:b/>
                <w:bCs/>
                <w:color w:val="auto"/>
                <w:sz w:val="24"/>
              </w:rPr>
              <w:t>环境空气质量现状</w:t>
            </w:r>
          </w:p>
          <w:p>
            <w:pPr>
              <w:adjustRightInd w:val="0"/>
              <w:snapToGrid w:val="0"/>
              <w:spacing w:line="360" w:lineRule="auto"/>
              <w:ind w:firstLine="480"/>
              <w:rPr>
                <w:color w:val="auto"/>
                <w:sz w:val="24"/>
              </w:rPr>
            </w:pPr>
            <w:r>
              <w:rPr>
                <w:color w:val="auto"/>
                <w:sz w:val="24"/>
              </w:rPr>
              <w:t>根据《重庆市环境空气质量功能区划分规定》（渝府发[2016]19）的相关规定，本项目所在地环境空气功能区划为二类区。</w:t>
            </w:r>
          </w:p>
          <w:p>
            <w:pPr>
              <w:adjustRightInd w:val="0"/>
              <w:snapToGrid w:val="0"/>
              <w:spacing w:line="360" w:lineRule="auto"/>
              <w:ind w:firstLine="480"/>
              <w:rPr>
                <w:color w:val="auto"/>
                <w:sz w:val="24"/>
              </w:rPr>
            </w:pPr>
            <w:r>
              <w:rPr>
                <w:color w:val="auto"/>
                <w:sz w:val="24"/>
              </w:rPr>
              <w:t>（1）区域达标</w:t>
            </w:r>
          </w:p>
          <w:p>
            <w:pPr>
              <w:adjustRightInd w:val="0"/>
              <w:snapToGrid w:val="0"/>
              <w:spacing w:line="360" w:lineRule="auto"/>
              <w:ind w:firstLine="480" w:firstLineChars="200"/>
              <w:rPr>
                <w:color w:val="auto"/>
                <w:sz w:val="24"/>
              </w:rPr>
            </w:pPr>
            <w:r>
              <w:rPr>
                <w:color w:val="auto"/>
                <w:sz w:val="24"/>
              </w:rPr>
              <w:t>本评价引用《20</w:t>
            </w:r>
            <w:r>
              <w:rPr>
                <w:rFonts w:hint="eastAsia"/>
                <w:color w:val="auto"/>
                <w:sz w:val="24"/>
              </w:rPr>
              <w:t>2</w:t>
            </w:r>
            <w:r>
              <w:rPr>
                <w:rFonts w:hint="eastAsia"/>
                <w:color w:val="auto"/>
                <w:sz w:val="24"/>
                <w:lang w:val="en-US" w:eastAsia="zh-CN"/>
              </w:rPr>
              <w:t>2</w:t>
            </w:r>
            <w:r>
              <w:rPr>
                <w:color w:val="auto"/>
                <w:sz w:val="24"/>
              </w:rPr>
              <w:t>年重庆市生态环境状况公报》中</w:t>
            </w:r>
            <w:r>
              <w:rPr>
                <w:rFonts w:hint="eastAsia"/>
                <w:color w:val="auto"/>
                <w:sz w:val="24"/>
              </w:rPr>
              <w:t>铜梁区</w:t>
            </w:r>
            <w:r>
              <w:rPr>
                <w:color w:val="auto"/>
                <w:sz w:val="24"/>
              </w:rPr>
              <w:t>环境空气质量现状数据，区域环境质量现状见表3.1。</w:t>
            </w:r>
          </w:p>
          <w:p>
            <w:pPr>
              <w:adjustRightInd w:val="0"/>
              <w:snapToGrid w:val="0"/>
              <w:spacing w:line="360" w:lineRule="auto"/>
              <w:jc w:val="center"/>
              <w:rPr>
                <w:color w:val="auto"/>
                <w:sz w:val="24"/>
              </w:rPr>
            </w:pPr>
            <w:r>
              <w:rPr>
                <w:color w:val="auto"/>
                <w:sz w:val="24"/>
              </w:rPr>
              <w:t>表3.1 区划环境质量现状</w:t>
            </w:r>
          </w:p>
          <w:tbl>
            <w:tblPr>
              <w:tblStyle w:val="23"/>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244"/>
              <w:gridCol w:w="1136"/>
              <w:gridCol w:w="1136"/>
              <w:gridCol w:w="883"/>
              <w:gridCol w:w="8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adjustRightInd w:val="0"/>
                    <w:snapToGrid w:val="0"/>
                    <w:jc w:val="center"/>
                    <w:rPr>
                      <w:color w:val="auto"/>
                      <w:szCs w:val="21"/>
                    </w:rPr>
                  </w:pPr>
                  <w:r>
                    <w:rPr>
                      <w:color w:val="auto"/>
                      <w:szCs w:val="21"/>
                    </w:rPr>
                    <w:t>污染物</w:t>
                  </w:r>
                </w:p>
              </w:tc>
              <w:tc>
                <w:tcPr>
                  <w:tcW w:w="2077" w:type="pct"/>
                  <w:tcBorders>
                    <w:tl2br w:val="nil"/>
                    <w:tr2bl w:val="nil"/>
                  </w:tcBorders>
                  <w:vAlign w:val="center"/>
                </w:tcPr>
                <w:p>
                  <w:pPr>
                    <w:adjustRightInd w:val="0"/>
                    <w:snapToGrid w:val="0"/>
                    <w:jc w:val="center"/>
                    <w:rPr>
                      <w:color w:val="auto"/>
                      <w:szCs w:val="21"/>
                    </w:rPr>
                  </w:pPr>
                  <w:r>
                    <w:rPr>
                      <w:color w:val="auto"/>
                      <w:szCs w:val="21"/>
                    </w:rPr>
                    <w:t>年评价指标</w:t>
                  </w:r>
                </w:p>
              </w:tc>
              <w:tc>
                <w:tcPr>
                  <w:tcW w:w="627" w:type="pct"/>
                  <w:tcBorders>
                    <w:tl2br w:val="nil"/>
                    <w:tr2bl w:val="nil"/>
                  </w:tcBorders>
                  <w:vAlign w:val="center"/>
                </w:tcPr>
                <w:p>
                  <w:pPr>
                    <w:adjustRightInd w:val="0"/>
                    <w:snapToGrid w:val="0"/>
                    <w:jc w:val="center"/>
                    <w:rPr>
                      <w:color w:val="auto"/>
                      <w:szCs w:val="21"/>
                    </w:rPr>
                  </w:pPr>
                  <w:r>
                    <w:rPr>
                      <w:color w:val="auto"/>
                      <w:szCs w:val="21"/>
                    </w:rPr>
                    <w:t>现状浓度</w:t>
                  </w:r>
                </w:p>
                <w:p>
                  <w:pPr>
                    <w:adjustRightInd w:val="0"/>
                    <w:snapToGrid w:val="0"/>
                    <w:jc w:val="center"/>
                    <w:rPr>
                      <w:color w:val="auto"/>
                      <w:szCs w:val="21"/>
                    </w:rPr>
                  </w:pPr>
                  <w:r>
                    <w:rPr>
                      <w:color w:val="auto"/>
                      <w:szCs w:val="21"/>
                    </w:rPr>
                    <w:t>（ug/m</w:t>
                  </w:r>
                  <w:r>
                    <w:rPr>
                      <w:color w:val="auto"/>
                      <w:szCs w:val="21"/>
                      <w:vertAlign w:val="superscript"/>
                    </w:rPr>
                    <w:t>3</w:t>
                  </w:r>
                  <w:r>
                    <w:rPr>
                      <w:color w:val="auto"/>
                      <w:szCs w:val="21"/>
                    </w:rPr>
                    <w:t>）</w:t>
                  </w:r>
                </w:p>
              </w:tc>
              <w:tc>
                <w:tcPr>
                  <w:tcW w:w="627" w:type="pct"/>
                  <w:tcBorders>
                    <w:tl2br w:val="nil"/>
                    <w:tr2bl w:val="nil"/>
                  </w:tcBorders>
                  <w:vAlign w:val="center"/>
                </w:tcPr>
                <w:p>
                  <w:pPr>
                    <w:adjustRightInd w:val="0"/>
                    <w:snapToGrid w:val="0"/>
                    <w:jc w:val="center"/>
                    <w:rPr>
                      <w:color w:val="auto"/>
                      <w:szCs w:val="21"/>
                    </w:rPr>
                  </w:pPr>
                  <w:r>
                    <w:rPr>
                      <w:color w:val="auto"/>
                      <w:szCs w:val="21"/>
                    </w:rPr>
                    <w:t>标准值</w:t>
                  </w:r>
                </w:p>
                <w:p>
                  <w:pPr>
                    <w:adjustRightInd w:val="0"/>
                    <w:snapToGrid w:val="0"/>
                    <w:jc w:val="center"/>
                    <w:rPr>
                      <w:color w:val="auto"/>
                      <w:szCs w:val="21"/>
                    </w:rPr>
                  </w:pPr>
                  <w:r>
                    <w:rPr>
                      <w:color w:val="auto"/>
                      <w:szCs w:val="21"/>
                    </w:rPr>
                    <w:t>（ug/m</w:t>
                  </w:r>
                  <w:r>
                    <w:rPr>
                      <w:color w:val="auto"/>
                      <w:szCs w:val="21"/>
                      <w:vertAlign w:val="superscript"/>
                    </w:rPr>
                    <w:t>3</w:t>
                  </w:r>
                  <w:r>
                    <w:rPr>
                      <w:color w:val="auto"/>
                      <w:szCs w:val="21"/>
                    </w:rPr>
                    <w:t>）</w:t>
                  </w:r>
                </w:p>
              </w:tc>
              <w:tc>
                <w:tcPr>
                  <w:tcW w:w="596" w:type="pct"/>
                  <w:tcBorders>
                    <w:tl2br w:val="nil"/>
                    <w:tr2bl w:val="nil"/>
                  </w:tcBorders>
                  <w:vAlign w:val="center"/>
                </w:tcPr>
                <w:p>
                  <w:pPr>
                    <w:adjustRightInd w:val="0"/>
                    <w:snapToGrid w:val="0"/>
                    <w:jc w:val="center"/>
                    <w:rPr>
                      <w:color w:val="auto"/>
                      <w:szCs w:val="21"/>
                    </w:rPr>
                  </w:pPr>
                  <w:r>
                    <w:rPr>
                      <w:color w:val="auto"/>
                      <w:szCs w:val="21"/>
                    </w:rPr>
                    <w:t>占标率</w:t>
                  </w:r>
                </w:p>
                <w:p>
                  <w:pPr>
                    <w:adjustRightInd w:val="0"/>
                    <w:snapToGrid w:val="0"/>
                    <w:jc w:val="center"/>
                    <w:rPr>
                      <w:color w:val="auto"/>
                      <w:szCs w:val="21"/>
                    </w:rPr>
                  </w:pPr>
                  <w:r>
                    <w:rPr>
                      <w:color w:val="auto"/>
                      <w:szCs w:val="21"/>
                    </w:rPr>
                    <w:t>（%）</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p>
                  <w:pPr>
                    <w:adjustRightInd w:val="0"/>
                    <w:snapToGrid w:val="0"/>
                    <w:jc w:val="center"/>
                    <w:rPr>
                      <w:color w:val="auto"/>
                      <w:szCs w:val="21"/>
                    </w:rPr>
                  </w:pPr>
                  <w:r>
                    <w:rPr>
                      <w:color w:val="auto"/>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7" w:type="pct"/>
                  <w:tcBorders>
                    <w:tl2br w:val="nil"/>
                    <w:tr2bl w:val="nil"/>
                  </w:tcBorders>
                  <w:vAlign w:val="center"/>
                </w:tcPr>
                <w:p>
                  <w:pPr>
                    <w:adjustRightInd w:val="0"/>
                    <w:snapToGrid w:val="0"/>
                    <w:jc w:val="center"/>
                    <w:rPr>
                      <w:color w:val="auto"/>
                      <w:szCs w:val="21"/>
                    </w:rPr>
                  </w:pPr>
                  <w:r>
                    <w:rPr>
                      <w:color w:val="auto"/>
                      <w:szCs w:val="21"/>
                    </w:rPr>
                    <w:t>SO</w:t>
                  </w:r>
                  <w:r>
                    <w:rPr>
                      <w:color w:val="auto"/>
                      <w:szCs w:val="21"/>
                      <w:vertAlign w:val="subscript"/>
                    </w:rPr>
                    <w:t>2</w:t>
                  </w:r>
                </w:p>
              </w:tc>
              <w:tc>
                <w:tcPr>
                  <w:tcW w:w="2077" w:type="pct"/>
                  <w:vMerge w:val="restart"/>
                  <w:tcBorders>
                    <w:tl2br w:val="nil"/>
                    <w:tr2bl w:val="nil"/>
                  </w:tcBorders>
                  <w:vAlign w:val="center"/>
                </w:tcPr>
                <w:p>
                  <w:pPr>
                    <w:adjustRightInd w:val="0"/>
                    <w:snapToGrid w:val="0"/>
                    <w:jc w:val="center"/>
                    <w:rPr>
                      <w:color w:val="auto"/>
                      <w:szCs w:val="21"/>
                    </w:rPr>
                  </w:pPr>
                  <w:r>
                    <w:rPr>
                      <w:color w:val="auto"/>
                      <w:szCs w:val="21"/>
                    </w:rPr>
                    <w:t>年评价质量浓度</w:t>
                  </w:r>
                </w:p>
              </w:tc>
              <w:tc>
                <w:tcPr>
                  <w:tcW w:w="1136" w:type="dxa"/>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11</w:t>
                  </w:r>
                </w:p>
              </w:tc>
              <w:tc>
                <w:tcPr>
                  <w:tcW w:w="627" w:type="pct"/>
                  <w:tcBorders>
                    <w:tl2br w:val="nil"/>
                    <w:tr2bl w:val="nil"/>
                  </w:tcBorders>
                  <w:vAlign w:val="center"/>
                </w:tcPr>
                <w:p>
                  <w:pPr>
                    <w:adjustRightInd w:val="0"/>
                    <w:snapToGrid w:val="0"/>
                    <w:jc w:val="center"/>
                    <w:rPr>
                      <w:color w:val="auto"/>
                      <w:szCs w:val="21"/>
                    </w:rPr>
                  </w:pPr>
                  <w:r>
                    <w:rPr>
                      <w:color w:val="auto"/>
                      <w:szCs w:val="21"/>
                    </w:rPr>
                    <w:t>60</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18.3</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7" w:type="pct"/>
                  <w:tcBorders>
                    <w:tl2br w:val="nil"/>
                    <w:tr2bl w:val="nil"/>
                  </w:tcBorders>
                  <w:vAlign w:val="center"/>
                </w:tcPr>
                <w:p>
                  <w:pPr>
                    <w:adjustRightInd w:val="0"/>
                    <w:snapToGrid w:val="0"/>
                    <w:jc w:val="center"/>
                    <w:rPr>
                      <w:color w:val="auto"/>
                      <w:szCs w:val="21"/>
                    </w:rPr>
                  </w:pPr>
                  <w:r>
                    <w:rPr>
                      <w:color w:val="auto"/>
                      <w:szCs w:val="21"/>
                    </w:rPr>
                    <w:t>NO</w:t>
                  </w:r>
                  <w:r>
                    <w:rPr>
                      <w:color w:val="auto"/>
                      <w:szCs w:val="21"/>
                      <w:vertAlign w:val="subscript"/>
                    </w:rPr>
                    <w:t>2</w:t>
                  </w:r>
                </w:p>
              </w:tc>
              <w:tc>
                <w:tcPr>
                  <w:tcW w:w="3312" w:type="dxa"/>
                  <w:vMerge w:val="continue"/>
                  <w:tcBorders>
                    <w:tl2br w:val="nil"/>
                    <w:tr2bl w:val="nil"/>
                  </w:tcBorders>
                  <w:vAlign w:val="center"/>
                </w:tcPr>
                <w:p>
                  <w:pPr>
                    <w:widowControl/>
                    <w:jc w:val="left"/>
                    <w:rPr>
                      <w:color w:val="auto"/>
                      <w:szCs w:val="21"/>
                    </w:rPr>
                  </w:pPr>
                </w:p>
              </w:tc>
              <w:tc>
                <w:tcPr>
                  <w:tcW w:w="1136" w:type="dxa"/>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27</w:t>
                  </w:r>
                </w:p>
              </w:tc>
              <w:tc>
                <w:tcPr>
                  <w:tcW w:w="627" w:type="pct"/>
                  <w:tcBorders>
                    <w:tl2br w:val="nil"/>
                    <w:tr2bl w:val="nil"/>
                  </w:tcBorders>
                  <w:vAlign w:val="center"/>
                </w:tcPr>
                <w:p>
                  <w:pPr>
                    <w:adjustRightInd w:val="0"/>
                    <w:snapToGrid w:val="0"/>
                    <w:jc w:val="center"/>
                    <w:rPr>
                      <w:color w:val="auto"/>
                      <w:szCs w:val="21"/>
                    </w:rPr>
                  </w:pPr>
                  <w:r>
                    <w:rPr>
                      <w:color w:val="auto"/>
                      <w:szCs w:val="21"/>
                    </w:rPr>
                    <w:t>40</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67.5</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adjustRightInd w:val="0"/>
                    <w:snapToGrid w:val="0"/>
                    <w:jc w:val="center"/>
                    <w:rPr>
                      <w:color w:val="auto"/>
                      <w:szCs w:val="21"/>
                    </w:rPr>
                  </w:pPr>
                  <w:r>
                    <w:rPr>
                      <w:color w:val="auto"/>
                      <w:szCs w:val="21"/>
                    </w:rPr>
                    <w:t>PM</w:t>
                  </w:r>
                  <w:r>
                    <w:rPr>
                      <w:color w:val="auto"/>
                      <w:szCs w:val="21"/>
                      <w:vertAlign w:val="subscript"/>
                    </w:rPr>
                    <w:t>10</w:t>
                  </w:r>
                </w:p>
              </w:tc>
              <w:tc>
                <w:tcPr>
                  <w:tcW w:w="3312" w:type="dxa"/>
                  <w:vMerge w:val="continue"/>
                  <w:tcBorders>
                    <w:tl2br w:val="nil"/>
                    <w:tr2bl w:val="nil"/>
                  </w:tcBorders>
                  <w:vAlign w:val="center"/>
                </w:tcPr>
                <w:p>
                  <w:pPr>
                    <w:widowControl/>
                    <w:jc w:val="left"/>
                    <w:rPr>
                      <w:color w:val="auto"/>
                      <w:szCs w:val="21"/>
                    </w:rPr>
                  </w:pPr>
                </w:p>
              </w:tc>
              <w:tc>
                <w:tcPr>
                  <w:tcW w:w="1136" w:type="dxa"/>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53</w:t>
                  </w:r>
                </w:p>
              </w:tc>
              <w:tc>
                <w:tcPr>
                  <w:tcW w:w="627" w:type="pct"/>
                  <w:tcBorders>
                    <w:tl2br w:val="nil"/>
                    <w:tr2bl w:val="nil"/>
                  </w:tcBorders>
                  <w:vAlign w:val="center"/>
                </w:tcPr>
                <w:p>
                  <w:pPr>
                    <w:adjustRightInd w:val="0"/>
                    <w:snapToGrid w:val="0"/>
                    <w:jc w:val="center"/>
                    <w:rPr>
                      <w:color w:val="auto"/>
                      <w:szCs w:val="21"/>
                    </w:rPr>
                  </w:pPr>
                  <w:r>
                    <w:rPr>
                      <w:color w:val="auto"/>
                      <w:szCs w:val="21"/>
                    </w:rPr>
                    <w:t>70</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75.7</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adjustRightInd w:val="0"/>
                    <w:snapToGrid w:val="0"/>
                    <w:jc w:val="center"/>
                    <w:rPr>
                      <w:color w:val="auto"/>
                      <w:szCs w:val="21"/>
                    </w:rPr>
                  </w:pPr>
                  <w:r>
                    <w:rPr>
                      <w:color w:val="auto"/>
                      <w:szCs w:val="21"/>
                    </w:rPr>
                    <w:t>PM</w:t>
                  </w:r>
                  <w:r>
                    <w:rPr>
                      <w:color w:val="auto"/>
                      <w:szCs w:val="21"/>
                      <w:vertAlign w:val="subscript"/>
                    </w:rPr>
                    <w:t>2.5</w:t>
                  </w:r>
                </w:p>
              </w:tc>
              <w:tc>
                <w:tcPr>
                  <w:tcW w:w="3312" w:type="dxa"/>
                  <w:vMerge w:val="continue"/>
                  <w:tcBorders>
                    <w:tl2br w:val="nil"/>
                    <w:tr2bl w:val="nil"/>
                  </w:tcBorders>
                  <w:vAlign w:val="center"/>
                </w:tcPr>
                <w:p>
                  <w:pPr>
                    <w:widowControl/>
                    <w:jc w:val="left"/>
                    <w:rPr>
                      <w:color w:val="auto"/>
                      <w:szCs w:val="21"/>
                    </w:rPr>
                  </w:pPr>
                </w:p>
              </w:tc>
              <w:tc>
                <w:tcPr>
                  <w:tcW w:w="1136" w:type="dxa"/>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34</w:t>
                  </w:r>
                </w:p>
              </w:tc>
              <w:tc>
                <w:tcPr>
                  <w:tcW w:w="627" w:type="pct"/>
                  <w:tcBorders>
                    <w:tl2br w:val="nil"/>
                    <w:tr2bl w:val="nil"/>
                  </w:tcBorders>
                  <w:vAlign w:val="center"/>
                </w:tcPr>
                <w:p>
                  <w:pPr>
                    <w:adjustRightInd w:val="0"/>
                    <w:snapToGrid w:val="0"/>
                    <w:jc w:val="center"/>
                    <w:rPr>
                      <w:color w:val="auto"/>
                      <w:szCs w:val="21"/>
                    </w:rPr>
                  </w:pPr>
                  <w:r>
                    <w:rPr>
                      <w:color w:val="auto"/>
                      <w:szCs w:val="21"/>
                    </w:rPr>
                    <w:t>35</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97.1</w:t>
                  </w:r>
                </w:p>
              </w:tc>
              <w:tc>
                <w:tcPr>
                  <w:tcW w:w="596" w:type="pct"/>
                  <w:tcBorders>
                    <w:tl2br w:val="nil"/>
                    <w:tr2bl w:val="nil"/>
                  </w:tcBorders>
                  <w:vAlign w:val="center"/>
                </w:tcPr>
                <w:p>
                  <w:pPr>
                    <w:adjustRightInd w:val="0"/>
                    <w:snapToGrid w:val="0"/>
                    <w:jc w:val="center"/>
                    <w:rPr>
                      <w:rFonts w:hint="eastAsia" w:eastAsia="宋体"/>
                      <w:color w:val="auto"/>
                      <w:szCs w:val="21"/>
                      <w:lang w:eastAsia="zh-CN"/>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adjustRightInd w:val="0"/>
                    <w:snapToGrid w:val="0"/>
                    <w:jc w:val="center"/>
                    <w:rPr>
                      <w:color w:val="auto"/>
                      <w:szCs w:val="21"/>
                    </w:rPr>
                  </w:pPr>
                  <w:r>
                    <w:rPr>
                      <w:color w:val="auto"/>
                      <w:szCs w:val="21"/>
                    </w:rPr>
                    <w:t>CO</w:t>
                  </w:r>
                </w:p>
              </w:tc>
              <w:tc>
                <w:tcPr>
                  <w:tcW w:w="2077" w:type="pct"/>
                  <w:tcBorders>
                    <w:tl2br w:val="nil"/>
                    <w:tr2bl w:val="nil"/>
                  </w:tcBorders>
                  <w:vAlign w:val="center"/>
                </w:tcPr>
                <w:p>
                  <w:pPr>
                    <w:adjustRightInd w:val="0"/>
                    <w:snapToGrid w:val="0"/>
                    <w:jc w:val="center"/>
                    <w:rPr>
                      <w:color w:val="auto"/>
                      <w:szCs w:val="21"/>
                    </w:rPr>
                  </w:pPr>
                  <w:r>
                    <w:rPr>
                      <w:color w:val="auto"/>
                      <w:szCs w:val="21"/>
                    </w:rPr>
                    <w:t>第95百分位24小时平均质量浓度</w:t>
                  </w:r>
                </w:p>
              </w:tc>
              <w:tc>
                <w:tcPr>
                  <w:tcW w:w="627" w:type="pct"/>
                  <w:tcBorders>
                    <w:tl2br w:val="nil"/>
                    <w:tr2bl w:val="nil"/>
                  </w:tcBorders>
                  <w:vAlign w:val="center"/>
                </w:tcPr>
                <w:p>
                  <w:pPr>
                    <w:adjustRightInd w:val="0"/>
                    <w:snapToGrid w:val="0"/>
                    <w:jc w:val="center"/>
                    <w:rPr>
                      <w:color w:val="auto"/>
                      <w:szCs w:val="21"/>
                    </w:rPr>
                  </w:pPr>
                  <w:r>
                    <w:rPr>
                      <w:color w:val="auto"/>
                      <w:szCs w:val="21"/>
                    </w:rPr>
                    <w:t>1.</w:t>
                  </w:r>
                  <w:r>
                    <w:rPr>
                      <w:rFonts w:hint="eastAsia"/>
                      <w:color w:val="auto"/>
                      <w:szCs w:val="21"/>
                      <w:lang w:val="en-US" w:eastAsia="zh-CN"/>
                    </w:rPr>
                    <w:t>0</w:t>
                  </w:r>
                  <w:r>
                    <w:rPr>
                      <w:color w:val="auto"/>
                      <w:szCs w:val="21"/>
                    </w:rPr>
                    <w:t>mg/m</w:t>
                  </w:r>
                  <w:r>
                    <w:rPr>
                      <w:color w:val="auto"/>
                      <w:szCs w:val="21"/>
                      <w:vertAlign w:val="superscript"/>
                    </w:rPr>
                    <w:t>3</w:t>
                  </w:r>
                </w:p>
              </w:tc>
              <w:tc>
                <w:tcPr>
                  <w:tcW w:w="627" w:type="pct"/>
                  <w:tcBorders>
                    <w:tl2br w:val="nil"/>
                    <w:tr2bl w:val="nil"/>
                  </w:tcBorders>
                  <w:vAlign w:val="center"/>
                </w:tcPr>
                <w:p>
                  <w:pPr>
                    <w:adjustRightInd w:val="0"/>
                    <w:snapToGrid w:val="0"/>
                    <w:jc w:val="center"/>
                    <w:rPr>
                      <w:color w:val="auto"/>
                      <w:szCs w:val="21"/>
                    </w:rPr>
                  </w:pPr>
                  <w:r>
                    <w:rPr>
                      <w:color w:val="auto"/>
                      <w:szCs w:val="21"/>
                    </w:rPr>
                    <w:t>4mg/m</w:t>
                  </w:r>
                  <w:r>
                    <w:rPr>
                      <w:color w:val="auto"/>
                      <w:szCs w:val="21"/>
                      <w:vertAlign w:val="superscript"/>
                    </w:rPr>
                    <w:t>3</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25.0</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7" w:type="pct"/>
                  <w:tcBorders>
                    <w:tl2br w:val="nil"/>
                    <w:tr2bl w:val="nil"/>
                  </w:tcBorders>
                  <w:vAlign w:val="center"/>
                </w:tcPr>
                <w:p>
                  <w:pPr>
                    <w:adjustRightInd w:val="0"/>
                    <w:snapToGrid w:val="0"/>
                    <w:jc w:val="center"/>
                    <w:rPr>
                      <w:color w:val="auto"/>
                      <w:szCs w:val="21"/>
                    </w:rPr>
                  </w:pPr>
                  <w:r>
                    <w:rPr>
                      <w:color w:val="auto"/>
                      <w:szCs w:val="21"/>
                    </w:rPr>
                    <w:t>O</w:t>
                  </w:r>
                  <w:r>
                    <w:rPr>
                      <w:color w:val="auto"/>
                      <w:szCs w:val="21"/>
                      <w:vertAlign w:val="subscript"/>
                    </w:rPr>
                    <w:t>3</w:t>
                  </w:r>
                </w:p>
              </w:tc>
              <w:tc>
                <w:tcPr>
                  <w:tcW w:w="2077" w:type="pct"/>
                  <w:tcBorders>
                    <w:tl2br w:val="nil"/>
                    <w:tr2bl w:val="nil"/>
                  </w:tcBorders>
                  <w:vAlign w:val="center"/>
                </w:tcPr>
                <w:p>
                  <w:pPr>
                    <w:adjustRightInd w:val="0"/>
                    <w:snapToGrid w:val="0"/>
                    <w:jc w:val="center"/>
                    <w:rPr>
                      <w:color w:val="auto"/>
                      <w:szCs w:val="21"/>
                    </w:rPr>
                  </w:pPr>
                  <w:r>
                    <w:rPr>
                      <w:color w:val="auto"/>
                      <w:szCs w:val="21"/>
                    </w:rPr>
                    <w:t>第95百分位最大8小时平均质量浓度</w:t>
                  </w:r>
                </w:p>
              </w:tc>
              <w:tc>
                <w:tcPr>
                  <w:tcW w:w="627"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149</w:t>
                  </w:r>
                </w:p>
              </w:tc>
              <w:tc>
                <w:tcPr>
                  <w:tcW w:w="627" w:type="pct"/>
                  <w:tcBorders>
                    <w:tl2br w:val="nil"/>
                    <w:tr2bl w:val="nil"/>
                  </w:tcBorders>
                  <w:vAlign w:val="center"/>
                </w:tcPr>
                <w:p>
                  <w:pPr>
                    <w:adjustRightInd w:val="0"/>
                    <w:snapToGrid w:val="0"/>
                    <w:jc w:val="center"/>
                    <w:rPr>
                      <w:color w:val="auto"/>
                      <w:szCs w:val="21"/>
                    </w:rPr>
                  </w:pPr>
                  <w:r>
                    <w:rPr>
                      <w:color w:val="auto"/>
                      <w:szCs w:val="21"/>
                    </w:rPr>
                    <w:t>160</w:t>
                  </w:r>
                </w:p>
              </w:tc>
              <w:tc>
                <w:tcPr>
                  <w:tcW w:w="596"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93.1</w:t>
                  </w:r>
                </w:p>
              </w:tc>
              <w:tc>
                <w:tcPr>
                  <w:tcW w:w="596" w:type="pct"/>
                  <w:tcBorders>
                    <w:tl2br w:val="nil"/>
                    <w:tr2bl w:val="nil"/>
                  </w:tcBorders>
                  <w:vAlign w:val="center"/>
                </w:tcPr>
                <w:p>
                  <w:pPr>
                    <w:adjustRightInd w:val="0"/>
                    <w:snapToGrid w:val="0"/>
                    <w:jc w:val="center"/>
                    <w:rPr>
                      <w:color w:val="auto"/>
                      <w:szCs w:val="21"/>
                    </w:rPr>
                  </w:pPr>
                  <w:r>
                    <w:rPr>
                      <w:color w:val="auto"/>
                      <w:szCs w:val="21"/>
                    </w:rPr>
                    <w:t>达标</w:t>
                  </w:r>
                </w:p>
              </w:tc>
            </w:tr>
          </w:tbl>
          <w:p>
            <w:pPr>
              <w:widowControl/>
              <w:adjustRightInd w:val="0"/>
              <w:snapToGrid w:val="0"/>
              <w:spacing w:line="360" w:lineRule="auto"/>
              <w:ind w:firstLine="480" w:firstLineChars="200"/>
              <w:rPr>
                <w:color w:val="auto"/>
                <w:sz w:val="24"/>
              </w:rPr>
            </w:pPr>
            <w:r>
              <w:rPr>
                <w:color w:val="auto"/>
                <w:sz w:val="24"/>
              </w:rPr>
              <w:t>由表3.1可知：</w:t>
            </w:r>
            <w:r>
              <w:rPr>
                <w:color w:val="auto"/>
                <w:kern w:val="0"/>
                <w:sz w:val="24"/>
                <w:lang w:bidi="ar"/>
              </w:rPr>
              <w:t>铜梁区环境空气质量中基本污染物均满足《环境空气质量标准》(GB3095-2012)二级标准要求，因此，本项目所在区域为环境空气质量达标区。</w:t>
            </w:r>
          </w:p>
          <w:p>
            <w:pPr>
              <w:pStyle w:val="2"/>
              <w:ind w:firstLine="480" w:firstLineChars="200"/>
              <w:rPr>
                <w:rFonts w:ascii="Times New Roman" w:hAnsi="Times New Roman" w:cs="Times New Roman"/>
                <w:color w:val="auto"/>
              </w:rPr>
            </w:pPr>
            <w:r>
              <w:rPr>
                <w:rFonts w:ascii="Times New Roman" w:hAnsi="Times New Roman" w:cs="Times New Roman"/>
                <w:color w:val="auto"/>
              </w:rPr>
              <w:t>（2）特征污染物环境质量现状评价</w:t>
            </w:r>
          </w:p>
          <w:p>
            <w:pPr>
              <w:tabs>
                <w:tab w:val="left" w:pos="7380"/>
              </w:tabs>
              <w:adjustRightInd w:val="0"/>
              <w:snapToGrid w:val="0"/>
              <w:spacing w:line="360" w:lineRule="auto"/>
              <w:ind w:firstLine="480" w:firstLineChars="200"/>
              <w:rPr>
                <w:rFonts w:eastAsiaTheme="minorEastAsia"/>
                <w:color w:val="auto"/>
                <w:sz w:val="24"/>
              </w:rPr>
            </w:pPr>
            <w:r>
              <w:rPr>
                <w:rFonts w:eastAsiaTheme="minorEastAsia"/>
                <w:color w:val="auto"/>
                <w:sz w:val="24"/>
              </w:rPr>
              <w:t>本次评价引用《重庆惠源检测技术有限公司检测报告》惠源（检）字[2020]第HP100号中的监测数据，监测点设置在重庆市元昊科技有限公司，位于项目</w:t>
            </w:r>
            <w:r>
              <w:rPr>
                <w:rFonts w:hint="eastAsia" w:eastAsiaTheme="minorEastAsia"/>
                <w:color w:val="auto"/>
                <w:sz w:val="24"/>
              </w:rPr>
              <w:t>东南</w:t>
            </w:r>
            <w:r>
              <w:rPr>
                <w:rFonts w:eastAsiaTheme="minorEastAsia"/>
                <w:color w:val="auto"/>
                <w:sz w:val="24"/>
              </w:rPr>
              <w:t>侧约</w:t>
            </w:r>
            <w:r>
              <w:rPr>
                <w:rFonts w:hint="eastAsia" w:eastAsiaTheme="minorEastAsia"/>
                <w:color w:val="auto"/>
                <w:sz w:val="24"/>
              </w:rPr>
              <w:t>3.8</w:t>
            </w:r>
            <w:r>
              <w:rPr>
                <w:rFonts w:eastAsiaTheme="minorEastAsia"/>
                <w:color w:val="auto"/>
                <w:sz w:val="24"/>
              </w:rPr>
              <w:t>km处，且至今区域内污染源变化不大，引用监测数据可用。</w:t>
            </w:r>
          </w:p>
          <w:p>
            <w:pPr>
              <w:tabs>
                <w:tab w:val="left" w:pos="7380"/>
              </w:tabs>
              <w:adjustRightInd w:val="0"/>
              <w:snapToGrid w:val="0"/>
              <w:spacing w:line="360" w:lineRule="auto"/>
              <w:ind w:firstLine="480" w:firstLineChars="200"/>
              <w:rPr>
                <w:rFonts w:eastAsiaTheme="minorEastAsia"/>
                <w:color w:val="auto"/>
                <w:sz w:val="24"/>
              </w:rPr>
            </w:pPr>
            <w:r>
              <w:rPr>
                <w:rFonts w:hint="eastAsia" w:ascii="宋体" w:hAnsi="宋体" w:cs="宋体"/>
                <w:color w:val="auto"/>
                <w:sz w:val="24"/>
              </w:rPr>
              <w:t>①</w:t>
            </w:r>
            <w:r>
              <w:rPr>
                <w:rFonts w:eastAsiaTheme="minorEastAsia"/>
                <w:color w:val="auto"/>
                <w:sz w:val="24"/>
              </w:rPr>
              <w:t>监测资料概况</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监测点位：设在重庆市元昊科技有限公司，位于项目</w:t>
            </w:r>
            <w:r>
              <w:rPr>
                <w:rFonts w:hint="eastAsia" w:eastAsiaTheme="minorEastAsia"/>
                <w:color w:val="auto"/>
                <w:sz w:val="24"/>
              </w:rPr>
              <w:t>东南</w:t>
            </w:r>
            <w:r>
              <w:rPr>
                <w:rFonts w:eastAsiaTheme="minorEastAsia"/>
                <w:color w:val="auto"/>
                <w:sz w:val="24"/>
              </w:rPr>
              <w:t>面约</w:t>
            </w:r>
            <w:r>
              <w:rPr>
                <w:rFonts w:hint="eastAsia" w:eastAsiaTheme="minorEastAsia"/>
                <w:color w:val="auto"/>
                <w:sz w:val="24"/>
              </w:rPr>
              <w:t>3.8</w:t>
            </w:r>
            <w:r>
              <w:rPr>
                <w:rFonts w:eastAsiaTheme="minorEastAsia"/>
                <w:color w:val="auto"/>
                <w:sz w:val="24"/>
              </w:rPr>
              <w:t>km处；</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监测因子：非甲烷总烃；</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监测频率：连续监测7天；</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监测时间：2020年9月21日～9月27日；</w:t>
            </w:r>
          </w:p>
          <w:p>
            <w:pPr>
              <w:adjustRightInd w:val="0"/>
              <w:snapToGrid w:val="0"/>
              <w:spacing w:line="360" w:lineRule="auto"/>
              <w:ind w:firstLine="480" w:firstLineChars="200"/>
              <w:rPr>
                <w:rFonts w:eastAsiaTheme="minorEastAsia"/>
                <w:color w:val="auto"/>
                <w:sz w:val="24"/>
              </w:rPr>
            </w:pPr>
            <w:r>
              <w:rPr>
                <w:rFonts w:hint="eastAsia" w:ascii="宋体" w:hAnsi="宋体" w:cs="宋体"/>
                <w:color w:val="auto"/>
                <w:sz w:val="24"/>
              </w:rPr>
              <w:t>②</w:t>
            </w:r>
            <w:r>
              <w:rPr>
                <w:rFonts w:eastAsiaTheme="minorEastAsia"/>
                <w:color w:val="auto"/>
                <w:sz w:val="24"/>
              </w:rPr>
              <w:t>现状评价方法与标准</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评价方法：采用最大浓度值占相应标准浓度限值的百分比（即占标率）</w:t>
            </w:r>
          </w:p>
          <w:p>
            <w:pPr>
              <w:adjustRightInd w:val="0"/>
              <w:snapToGrid w:val="0"/>
              <w:spacing w:line="360" w:lineRule="auto"/>
              <w:ind w:firstLine="480" w:firstLineChars="200"/>
              <w:rPr>
                <w:rFonts w:eastAsiaTheme="minorEastAsia"/>
                <w:color w:val="auto"/>
                <w:sz w:val="24"/>
              </w:rPr>
            </w:pPr>
            <w:r>
              <w:rPr>
                <w:rFonts w:eastAsiaTheme="minorEastAsia"/>
                <w:color w:val="auto"/>
                <w:sz w:val="24"/>
              </w:rPr>
              <w:t>评价标准：非甲烷总烃参照执行河北省地方标准《环境空气质量—非甲烷总烃限值》（DB13/1577-2012）。</w:t>
            </w:r>
          </w:p>
          <w:p>
            <w:pPr>
              <w:adjustRightInd w:val="0"/>
              <w:snapToGrid w:val="0"/>
              <w:spacing w:line="360" w:lineRule="auto"/>
              <w:ind w:firstLine="480" w:firstLineChars="200"/>
              <w:rPr>
                <w:rFonts w:eastAsiaTheme="minorEastAsia"/>
                <w:color w:val="auto"/>
                <w:sz w:val="24"/>
              </w:rPr>
            </w:pPr>
            <w:r>
              <w:rPr>
                <w:rFonts w:hint="eastAsia" w:ascii="宋体" w:hAnsi="宋体" w:cs="宋体"/>
                <w:color w:val="auto"/>
                <w:sz w:val="24"/>
              </w:rPr>
              <w:t>③</w:t>
            </w:r>
            <w:r>
              <w:rPr>
                <w:rFonts w:eastAsiaTheme="minorEastAsia"/>
                <w:color w:val="auto"/>
                <w:sz w:val="24"/>
              </w:rPr>
              <w:t>监测及评价结果</w:t>
            </w:r>
          </w:p>
          <w:p>
            <w:pPr>
              <w:pStyle w:val="8"/>
              <w:adjustRightInd w:val="0"/>
              <w:snapToGrid w:val="0"/>
              <w:spacing w:line="360" w:lineRule="auto"/>
              <w:ind w:firstLine="0"/>
              <w:jc w:val="center"/>
              <w:rPr>
                <w:rFonts w:ascii="Times New Roman" w:hAnsi="Times New Roman" w:eastAsiaTheme="minorEastAsia"/>
                <w:color w:val="auto"/>
                <w:sz w:val="21"/>
                <w:szCs w:val="21"/>
              </w:rPr>
            </w:pPr>
            <w:r>
              <w:rPr>
                <w:rFonts w:ascii="Times New Roman" w:hAnsi="Times New Roman" w:eastAsiaTheme="minorEastAsia"/>
                <w:color w:val="auto"/>
                <w:sz w:val="21"/>
                <w:szCs w:val="21"/>
              </w:rPr>
              <w:t>表3.2 环境空气质量现状监测及评价结果表</w:t>
            </w:r>
          </w:p>
          <w:tbl>
            <w:tblPr>
              <w:tblStyle w:val="22"/>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43"/>
              <w:gridCol w:w="1374"/>
              <w:gridCol w:w="1822"/>
              <w:gridCol w:w="1204"/>
              <w:gridCol w:w="1680"/>
              <w:gridCol w:w="84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4"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监测点</w:t>
                  </w:r>
                </w:p>
              </w:tc>
              <w:tc>
                <w:tcPr>
                  <w:tcW w:w="862"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监测项目</w:t>
                  </w:r>
                </w:p>
              </w:tc>
              <w:tc>
                <w:tcPr>
                  <w:tcW w:w="1143"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日均值（</w:t>
                  </w:r>
                  <w:r>
                    <w:rPr>
                      <w:rFonts w:eastAsiaTheme="minorEastAsia"/>
                      <w:color w:val="auto"/>
                      <w:sz w:val="21"/>
                      <w:szCs w:val="21"/>
                      <w:lang w:val="en-GB"/>
                    </w:rPr>
                    <w:t>mg/m</w:t>
                  </w:r>
                  <w:r>
                    <w:rPr>
                      <w:rFonts w:eastAsiaTheme="minorEastAsia"/>
                      <w:color w:val="auto"/>
                      <w:sz w:val="21"/>
                      <w:szCs w:val="21"/>
                      <w:vertAlign w:val="superscript"/>
                      <w:lang w:val="en-GB"/>
                    </w:rPr>
                    <w:t>3</w:t>
                  </w:r>
                  <w:r>
                    <w:rPr>
                      <w:rFonts w:eastAsiaTheme="minorEastAsia"/>
                      <w:color w:val="auto"/>
                      <w:sz w:val="21"/>
                      <w:szCs w:val="21"/>
                    </w:rPr>
                    <w:t>）</w:t>
                  </w:r>
                </w:p>
              </w:tc>
              <w:tc>
                <w:tcPr>
                  <w:tcW w:w="755" w:type="pct"/>
                  <w:tcBorders>
                    <w:tl2br w:val="nil"/>
                    <w:tr2bl w:val="nil"/>
                  </w:tcBorders>
                </w:tcPr>
                <w:p>
                  <w:pPr>
                    <w:pStyle w:val="37"/>
                    <w:spacing w:line="240" w:lineRule="auto"/>
                    <w:rPr>
                      <w:rFonts w:eastAsiaTheme="minorEastAsia"/>
                      <w:color w:val="auto"/>
                      <w:sz w:val="21"/>
                      <w:szCs w:val="21"/>
                    </w:rPr>
                  </w:pPr>
                  <w:r>
                    <w:rPr>
                      <w:rFonts w:eastAsiaTheme="minorEastAsia"/>
                      <w:color w:val="auto"/>
                      <w:sz w:val="21"/>
                      <w:szCs w:val="21"/>
                    </w:rPr>
                    <w:t>标准值</w:t>
                  </w:r>
                </w:p>
                <w:p>
                  <w:pPr>
                    <w:pStyle w:val="37"/>
                    <w:spacing w:line="240" w:lineRule="auto"/>
                    <w:rPr>
                      <w:rFonts w:eastAsiaTheme="minorEastAsia"/>
                      <w:color w:val="auto"/>
                      <w:sz w:val="21"/>
                      <w:szCs w:val="21"/>
                    </w:rPr>
                  </w:pPr>
                  <w:r>
                    <w:rPr>
                      <w:rFonts w:eastAsiaTheme="minorEastAsia"/>
                      <w:color w:val="auto"/>
                      <w:sz w:val="21"/>
                      <w:szCs w:val="21"/>
                    </w:rPr>
                    <w:t>（mg/m</w:t>
                  </w:r>
                  <w:r>
                    <w:rPr>
                      <w:rFonts w:eastAsiaTheme="minorEastAsia"/>
                      <w:color w:val="auto"/>
                      <w:sz w:val="21"/>
                      <w:szCs w:val="21"/>
                      <w:vertAlign w:val="superscript"/>
                    </w:rPr>
                    <w:t>3</w:t>
                  </w:r>
                  <w:r>
                    <w:rPr>
                      <w:rFonts w:eastAsiaTheme="minorEastAsia"/>
                      <w:color w:val="auto"/>
                      <w:sz w:val="21"/>
                      <w:szCs w:val="21"/>
                    </w:rPr>
                    <w:t>）</w:t>
                  </w:r>
                </w:p>
              </w:tc>
              <w:tc>
                <w:tcPr>
                  <w:tcW w:w="1054"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最大浓度占标率（%）</w:t>
                  </w:r>
                </w:p>
              </w:tc>
              <w:tc>
                <w:tcPr>
                  <w:tcW w:w="532"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超标率（%）</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54"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E1</w:t>
                  </w:r>
                </w:p>
              </w:tc>
              <w:tc>
                <w:tcPr>
                  <w:tcW w:w="862"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非甲烷总烃</w:t>
                  </w:r>
                </w:p>
              </w:tc>
              <w:tc>
                <w:tcPr>
                  <w:tcW w:w="1143" w:type="pct"/>
                  <w:tcBorders>
                    <w:tl2br w:val="nil"/>
                    <w:tr2bl w:val="nil"/>
                  </w:tcBorders>
                  <w:vAlign w:val="center"/>
                </w:tcPr>
                <w:p>
                  <w:pPr>
                    <w:adjustRightInd w:val="0"/>
                    <w:snapToGrid w:val="0"/>
                    <w:jc w:val="center"/>
                    <w:rPr>
                      <w:rFonts w:eastAsiaTheme="minorEastAsia"/>
                      <w:color w:val="auto"/>
                      <w:szCs w:val="21"/>
                      <w:lang w:val="en-GB"/>
                    </w:rPr>
                  </w:pPr>
                  <w:r>
                    <w:rPr>
                      <w:rFonts w:eastAsiaTheme="minorEastAsia"/>
                      <w:color w:val="auto"/>
                      <w:szCs w:val="21"/>
                    </w:rPr>
                    <w:t>0.60</w:t>
                  </w:r>
                  <w:r>
                    <w:rPr>
                      <w:rFonts w:eastAsiaTheme="minorEastAsia"/>
                      <w:color w:val="auto"/>
                      <w:szCs w:val="21"/>
                      <w:lang w:val="en-GB"/>
                    </w:rPr>
                    <w:t>～</w:t>
                  </w:r>
                  <w:r>
                    <w:rPr>
                      <w:rFonts w:eastAsiaTheme="minorEastAsia"/>
                      <w:color w:val="auto"/>
                      <w:szCs w:val="21"/>
                    </w:rPr>
                    <w:t>0.91</w:t>
                  </w:r>
                </w:p>
              </w:tc>
              <w:tc>
                <w:tcPr>
                  <w:tcW w:w="755"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2.0</w:t>
                  </w:r>
                </w:p>
              </w:tc>
              <w:tc>
                <w:tcPr>
                  <w:tcW w:w="1054" w:type="pct"/>
                  <w:tcBorders>
                    <w:tl2br w:val="nil"/>
                    <w:tr2bl w:val="nil"/>
                  </w:tcBorders>
                  <w:vAlign w:val="center"/>
                </w:tcPr>
                <w:p>
                  <w:pPr>
                    <w:adjustRightInd w:val="0"/>
                    <w:snapToGrid w:val="0"/>
                    <w:jc w:val="center"/>
                    <w:rPr>
                      <w:rFonts w:eastAsiaTheme="minorEastAsia"/>
                      <w:color w:val="auto"/>
                      <w:szCs w:val="21"/>
                    </w:rPr>
                  </w:pPr>
                  <w:r>
                    <w:rPr>
                      <w:rFonts w:eastAsiaTheme="minorEastAsia"/>
                      <w:color w:val="auto"/>
                      <w:szCs w:val="21"/>
                    </w:rPr>
                    <w:t>45.5</w:t>
                  </w:r>
                </w:p>
              </w:tc>
              <w:tc>
                <w:tcPr>
                  <w:tcW w:w="532" w:type="pct"/>
                  <w:tcBorders>
                    <w:tl2br w:val="nil"/>
                    <w:tr2bl w:val="nil"/>
                  </w:tcBorders>
                  <w:vAlign w:val="center"/>
                </w:tcPr>
                <w:p>
                  <w:pPr>
                    <w:pStyle w:val="37"/>
                    <w:spacing w:line="240" w:lineRule="auto"/>
                    <w:rPr>
                      <w:rFonts w:eastAsiaTheme="minorEastAsia"/>
                      <w:color w:val="auto"/>
                      <w:sz w:val="21"/>
                      <w:szCs w:val="21"/>
                    </w:rPr>
                  </w:pPr>
                  <w:r>
                    <w:rPr>
                      <w:rFonts w:eastAsiaTheme="minorEastAsia"/>
                      <w:color w:val="auto"/>
                      <w:sz w:val="21"/>
                      <w:szCs w:val="21"/>
                    </w:rPr>
                    <w:t>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6"/>
                  <w:tcBorders>
                    <w:tl2br w:val="nil"/>
                    <w:tr2bl w:val="nil"/>
                  </w:tcBorders>
                  <w:vAlign w:val="center"/>
                </w:tcPr>
                <w:p>
                  <w:pPr>
                    <w:pStyle w:val="37"/>
                    <w:spacing w:line="240" w:lineRule="auto"/>
                    <w:jc w:val="both"/>
                    <w:rPr>
                      <w:rFonts w:eastAsiaTheme="minorEastAsia"/>
                      <w:color w:val="auto"/>
                      <w:sz w:val="21"/>
                      <w:szCs w:val="21"/>
                    </w:rPr>
                  </w:pPr>
                  <w:r>
                    <w:rPr>
                      <w:rFonts w:eastAsiaTheme="minorEastAsia"/>
                      <w:color w:val="auto"/>
                      <w:sz w:val="21"/>
                      <w:szCs w:val="21"/>
                    </w:rPr>
                    <w:t>备注：“L”标准检测数据低于标准检测方法检出限，报出值为检出限值</w:t>
                  </w:r>
                </w:p>
              </w:tc>
            </w:tr>
          </w:tbl>
          <w:p>
            <w:pPr>
              <w:adjustRightInd w:val="0"/>
              <w:snapToGrid w:val="0"/>
              <w:spacing w:line="360" w:lineRule="auto"/>
              <w:ind w:firstLine="480" w:firstLineChars="200"/>
              <w:rPr>
                <w:color w:val="auto"/>
                <w:sz w:val="24"/>
              </w:rPr>
            </w:pPr>
            <w:r>
              <w:rPr>
                <w:rFonts w:eastAsiaTheme="minorEastAsia"/>
                <w:color w:val="auto"/>
                <w:sz w:val="24"/>
              </w:rPr>
              <w:t>由表3.2可知，监测点非甲烷总烃均未出现超标现象，占标率均小于100%，满足《环</w:t>
            </w:r>
            <w:r>
              <w:rPr>
                <w:color w:val="auto"/>
                <w:sz w:val="24"/>
              </w:rPr>
              <w:t>境空气质量非甲烷总烃限值》（DB13/1577-2012）</w:t>
            </w:r>
            <w:r>
              <w:rPr>
                <w:rFonts w:hint="eastAsia"/>
                <w:color w:val="auto"/>
                <w:sz w:val="24"/>
                <w:lang w:eastAsia="zh-CN"/>
              </w:rPr>
              <w:t>。</w:t>
            </w:r>
          </w:p>
          <w:p>
            <w:pPr>
              <w:adjustRightInd w:val="0"/>
              <w:snapToGrid w:val="0"/>
              <w:spacing w:line="360" w:lineRule="auto"/>
              <w:rPr>
                <w:b/>
                <w:bCs/>
                <w:color w:val="auto"/>
                <w:kern w:val="0"/>
                <w:sz w:val="24"/>
              </w:rPr>
            </w:pPr>
            <w:r>
              <w:rPr>
                <w:b/>
                <w:bCs/>
                <w:color w:val="auto"/>
                <w:kern w:val="0"/>
                <w:sz w:val="24"/>
              </w:rPr>
              <w:t>2.地表水环境质量现状</w:t>
            </w:r>
          </w:p>
          <w:p>
            <w:pPr>
              <w:adjustRightInd w:val="0"/>
              <w:snapToGrid w:val="0"/>
              <w:spacing w:line="360" w:lineRule="auto"/>
              <w:ind w:firstLine="480" w:firstLineChars="200"/>
              <w:rPr>
                <w:color w:val="auto"/>
                <w:kern w:val="0"/>
                <w:sz w:val="24"/>
              </w:rPr>
            </w:pPr>
            <w:r>
              <w:rPr>
                <w:color w:val="auto"/>
                <w:kern w:val="0"/>
                <w:sz w:val="24"/>
              </w:rPr>
              <w:t>本项目废水经处理后通过市政管网排入</w:t>
            </w:r>
            <w:r>
              <w:rPr>
                <w:color w:val="auto"/>
                <w:sz w:val="24"/>
              </w:rPr>
              <w:t>铜梁城市</w:t>
            </w:r>
            <w:r>
              <w:rPr>
                <w:color w:val="auto"/>
                <w:kern w:val="0"/>
                <w:sz w:val="24"/>
              </w:rPr>
              <w:t>污水处理厂深度处理达标后排入淮远河。根据《铜梁县人民政府办公室关于印发铜梁县地面水域适用功能类别划分规定的通知》（铜府办[2006]70号）和根据《重庆市人民政府批转重庆市地表水环境功能类别调整方案的通知》（渝府发[2012]4号）的规定，本项目所在的淮远河流域属于IV类水域功能，执行《地表水环境质量标准》（GB3838-2002）中的IV类水域水质标准。</w:t>
            </w:r>
          </w:p>
          <w:p>
            <w:pPr>
              <w:adjustRightInd w:val="0"/>
              <w:snapToGrid w:val="0"/>
              <w:spacing w:line="360" w:lineRule="auto"/>
              <w:ind w:firstLine="472"/>
              <w:rPr>
                <w:rFonts w:eastAsiaTheme="minorEastAsia"/>
                <w:color w:val="auto"/>
                <w:spacing w:val="-2"/>
                <w:sz w:val="24"/>
              </w:rPr>
            </w:pPr>
            <w:r>
              <w:rPr>
                <w:color w:val="auto"/>
                <w:spacing w:val="-2"/>
                <w:sz w:val="24"/>
              </w:rPr>
              <w:t>本评价并优先采用国务院生态环境保护主管部门统一发布的水环境状况信息。根据重庆市铜梁区人民政府网上公示的“重庆市铜梁区地表水水质状况（2022年</w:t>
            </w:r>
            <w:r>
              <w:rPr>
                <w:rFonts w:hint="eastAsia"/>
                <w:color w:val="auto"/>
                <w:spacing w:val="-2"/>
                <w:sz w:val="24"/>
              </w:rPr>
              <w:t>1</w:t>
            </w:r>
            <w:r>
              <w:rPr>
                <w:color w:val="auto"/>
                <w:spacing w:val="-2"/>
                <w:sz w:val="24"/>
              </w:rPr>
              <w:t>月）”，</w:t>
            </w:r>
            <w:r>
              <w:rPr>
                <w:rFonts w:hint="eastAsia"/>
                <w:color w:val="auto"/>
                <w:spacing w:val="-2"/>
                <w:sz w:val="24"/>
              </w:rPr>
              <w:t>淮远河众志桥</w:t>
            </w:r>
            <w:r>
              <w:rPr>
                <w:color w:val="auto"/>
                <w:spacing w:val="-2"/>
                <w:sz w:val="24"/>
              </w:rPr>
              <w:t>监测断面满足《地表水环境质</w:t>
            </w:r>
            <w:r>
              <w:rPr>
                <w:rFonts w:eastAsiaTheme="minorEastAsia"/>
                <w:color w:val="auto"/>
                <w:spacing w:val="-2"/>
                <w:sz w:val="24"/>
              </w:rPr>
              <w:t>量标准》(GB3838-2002)</w:t>
            </w:r>
            <w:r>
              <w:rPr>
                <w:color w:val="auto"/>
                <w:kern w:val="0"/>
                <w:sz w:val="24"/>
              </w:rPr>
              <w:t>IV</w:t>
            </w:r>
            <w:r>
              <w:rPr>
                <w:rFonts w:eastAsiaTheme="minorEastAsia"/>
                <w:color w:val="auto"/>
                <w:spacing w:val="-2"/>
                <w:sz w:val="24"/>
              </w:rPr>
              <w:t>类水域标准要求，为水环境功能达标区。</w:t>
            </w:r>
          </w:p>
          <w:p>
            <w:pPr>
              <w:pStyle w:val="2"/>
              <w:rPr>
                <w:rFonts w:ascii="Times New Roman" w:hAnsi="Times New Roman" w:cs="Times New Roman"/>
                <w:b/>
                <w:color w:val="auto"/>
              </w:rPr>
            </w:pPr>
            <w:r>
              <w:rPr>
                <w:rFonts w:hint="eastAsia" w:ascii="Times New Roman" w:hAnsi="Times New Roman" w:cs="Times New Roman"/>
                <w:b/>
                <w:color w:val="auto"/>
              </w:rPr>
              <w:t>3.</w:t>
            </w:r>
            <w:r>
              <w:rPr>
                <w:rFonts w:ascii="Times New Roman" w:hAnsi="Times New Roman" w:cs="Times New Roman"/>
                <w:b/>
                <w:color w:val="auto"/>
              </w:rPr>
              <w:t>声环境质量现状</w:t>
            </w:r>
          </w:p>
          <w:p>
            <w:pPr>
              <w:pStyle w:val="2"/>
              <w:ind w:firstLine="480" w:firstLineChars="200"/>
              <w:rPr>
                <w:rFonts w:ascii="Times New Roman" w:hAnsi="Times New Roman" w:cs="Times New Roman"/>
                <w:color w:val="auto"/>
              </w:rPr>
            </w:pPr>
            <w:r>
              <w:rPr>
                <w:rFonts w:ascii="Times New Roman" w:hAnsi="Times New Roman" w:cs="Times New Roman"/>
                <w:bCs/>
                <w:color w:val="auto"/>
              </w:rPr>
              <w:t>本项目</w:t>
            </w:r>
            <w:r>
              <w:rPr>
                <w:rFonts w:hint="eastAsia" w:ascii="Times New Roman" w:cs="Times New Roman"/>
                <w:bCs/>
                <w:color w:val="auto"/>
              </w:rPr>
              <w:t>位于</w:t>
            </w:r>
            <w:r>
              <w:rPr>
                <w:rFonts w:hint="eastAsia"/>
                <w:color w:val="auto"/>
                <w:spacing w:val="8"/>
                <w:shd w:val="clear" w:color="auto" w:fill="FFFFFF"/>
              </w:rPr>
              <w:t>重庆市铜梁区东城街道祝英南路7号</w:t>
            </w:r>
            <w:r>
              <w:rPr>
                <w:rFonts w:ascii="Times New Roman" w:hAnsi="Times New Roman" w:cs="Times New Roman"/>
                <w:color w:val="auto"/>
              </w:rPr>
              <w:t>，项目周边50m范围内均为工业企业，无居民、医院、学校等声环境保护目标。因此本评价不对声环境</w:t>
            </w:r>
            <w:r>
              <w:rPr>
                <w:rFonts w:hint="eastAsia" w:ascii="Times New Roman" w:cs="Times New Roman"/>
                <w:color w:val="auto"/>
              </w:rPr>
              <w:t>保护目标声环境质量</w:t>
            </w:r>
            <w:r>
              <w:rPr>
                <w:rFonts w:ascii="Times New Roman" w:hAnsi="Times New Roman" w:cs="Times New Roman"/>
                <w:color w:val="auto"/>
              </w:rPr>
              <w:t>现状监测并评价其达标情况。</w:t>
            </w:r>
          </w:p>
          <w:p>
            <w:pPr>
              <w:pStyle w:val="3"/>
              <w:rPr>
                <w:rFonts w:ascii="Times New Roman" w:hAnsi="Times New Roman" w:cs="Times New Roman"/>
                <w:b/>
                <w:bCs/>
                <w:color w:val="auto"/>
              </w:rPr>
            </w:pPr>
            <w:r>
              <w:rPr>
                <w:rFonts w:hint="eastAsia" w:ascii="Times New Roman" w:hAnsi="Times New Roman" w:cs="Times New Roman"/>
                <w:b/>
                <w:bCs/>
                <w:color w:val="auto"/>
              </w:rPr>
              <w:t>4.地下水、土壤环境质量现状</w:t>
            </w:r>
          </w:p>
          <w:p>
            <w:pPr>
              <w:pStyle w:val="2"/>
              <w:ind w:firstLine="480" w:firstLineChars="200"/>
              <w:rPr>
                <w:rFonts w:eastAsiaTheme="minorEastAsia"/>
                <w:color w:val="auto"/>
              </w:rPr>
            </w:pPr>
            <w:r>
              <w:rPr>
                <w:color w:val="auto"/>
              </w:rPr>
              <w:t>本项目主要</w:t>
            </w:r>
            <w:r>
              <w:rPr>
                <w:rFonts w:hint="eastAsia"/>
                <w:color w:val="auto"/>
                <w:lang w:eastAsia="zh-CN"/>
              </w:rPr>
              <w:t>生产汽车零部件</w:t>
            </w:r>
            <w:r>
              <w:rPr>
                <w:rFonts w:eastAsiaTheme="minorEastAsia"/>
                <w:color w:val="auto"/>
              </w:rPr>
              <w:t>，</w:t>
            </w:r>
            <w:r>
              <w:rPr>
                <w:rFonts w:hint="eastAsia" w:eastAsiaTheme="minorEastAsia"/>
                <w:color w:val="auto"/>
                <w:highlight w:val="none"/>
              </w:rPr>
              <w:t>不涉及土壤、地下水</w:t>
            </w:r>
            <w:r>
              <w:rPr>
                <w:rFonts w:hint="eastAsia" w:eastAsiaTheme="minorEastAsia"/>
                <w:color w:val="auto"/>
                <w:highlight w:val="none"/>
                <w:lang w:eastAsia="zh-CN"/>
              </w:rPr>
              <w:t>污染物质</w:t>
            </w:r>
            <w:r>
              <w:rPr>
                <w:rFonts w:hint="eastAsia" w:eastAsiaTheme="minorEastAsia"/>
                <w:color w:val="auto"/>
                <w:highlight w:val="none"/>
              </w:rPr>
              <w:t>，</w:t>
            </w:r>
            <w:r>
              <w:rPr>
                <w:rFonts w:eastAsiaTheme="minorEastAsia"/>
                <w:color w:val="auto"/>
                <w:highlight w:val="none"/>
              </w:rPr>
              <w:t>基</w:t>
            </w:r>
            <w:r>
              <w:rPr>
                <w:rFonts w:eastAsiaTheme="minorEastAsia"/>
                <w:color w:val="auto"/>
              </w:rPr>
              <w:t>本无</w:t>
            </w:r>
            <w:r>
              <w:rPr>
                <w:rFonts w:hint="eastAsia"/>
                <w:color w:val="auto"/>
                <w:spacing w:val="8"/>
              </w:rPr>
              <w:t>地下水、土壤环境污染途径</w:t>
            </w:r>
            <w:r>
              <w:rPr>
                <w:rFonts w:eastAsiaTheme="minorEastAsia"/>
                <w:color w:val="auto"/>
              </w:rPr>
              <w:t>。因此，不开展地下水</w:t>
            </w:r>
            <w:r>
              <w:rPr>
                <w:rFonts w:hint="eastAsia"/>
                <w:color w:val="auto"/>
                <w:spacing w:val="8"/>
              </w:rPr>
              <w:t>、土壤</w:t>
            </w:r>
            <w:r>
              <w:rPr>
                <w:rFonts w:eastAsiaTheme="minorEastAsia"/>
                <w:color w:val="auto"/>
              </w:rPr>
              <w:t>现状调查。</w:t>
            </w:r>
          </w:p>
          <w:p>
            <w:pPr>
              <w:pStyle w:val="2"/>
              <w:rPr>
                <w:rFonts w:ascii="Times New Roman" w:cs="Times New Roman"/>
                <w:b/>
                <w:bCs/>
                <w:color w:val="auto"/>
              </w:rPr>
            </w:pPr>
            <w:r>
              <w:rPr>
                <w:rFonts w:hint="eastAsia" w:ascii="Times New Roman" w:cs="Times New Roman"/>
                <w:b/>
                <w:bCs/>
                <w:color w:val="auto"/>
              </w:rPr>
              <w:t>5</w:t>
            </w:r>
            <w:r>
              <w:rPr>
                <w:rFonts w:ascii="Times New Roman" w:cs="Times New Roman"/>
                <w:b/>
                <w:bCs/>
                <w:color w:val="auto"/>
              </w:rPr>
              <w:t>.生态环境</w:t>
            </w:r>
          </w:p>
          <w:p>
            <w:pPr>
              <w:adjustRightInd w:val="0"/>
              <w:snapToGrid w:val="0"/>
              <w:spacing w:line="360" w:lineRule="auto"/>
              <w:ind w:firstLine="480" w:firstLineChars="200"/>
              <w:rPr>
                <w:color w:val="auto"/>
                <w:sz w:val="24"/>
              </w:rPr>
            </w:pPr>
            <w:r>
              <w:rPr>
                <w:color w:val="auto"/>
                <w:kern w:val="0"/>
                <w:sz w:val="24"/>
              </w:rPr>
              <w:t>本项目</w:t>
            </w:r>
            <w:r>
              <w:rPr>
                <w:rFonts w:hint="eastAsia"/>
                <w:bCs/>
                <w:color w:val="auto"/>
                <w:kern w:val="0"/>
                <w:sz w:val="24"/>
              </w:rPr>
              <w:t>位于</w:t>
            </w:r>
            <w:r>
              <w:rPr>
                <w:rFonts w:hint="eastAsia"/>
                <w:color w:val="auto"/>
                <w:spacing w:val="8"/>
                <w:sz w:val="24"/>
                <w:shd w:val="clear" w:color="auto" w:fill="FFFFFF"/>
              </w:rPr>
              <w:t>重庆市铜梁区东城街道祝英南路7号</w:t>
            </w:r>
            <w:r>
              <w:rPr>
                <w:color w:val="auto"/>
                <w:sz w:val="24"/>
              </w:rPr>
              <w:t>，</w:t>
            </w:r>
            <w:r>
              <w:rPr>
                <w:color w:val="auto"/>
                <w:kern w:val="0"/>
                <w:sz w:val="24"/>
              </w:rPr>
              <w:t>所在地已被规划为工业用地，用地范围内无生态环境保护目标</w:t>
            </w:r>
            <w:r>
              <w:rPr>
                <w:color w:val="auto"/>
                <w:sz w:val="24"/>
              </w:rPr>
              <w:t>，因此本评价不对项目所在地开展生态环境现状调查。</w:t>
            </w:r>
          </w:p>
          <w:p>
            <w:pPr>
              <w:pStyle w:val="2"/>
              <w:rPr>
                <w:rFonts w:ascii="Times New Roman" w:cs="Times New Roman"/>
                <w:b/>
                <w:bCs/>
                <w:color w:val="auto"/>
              </w:rPr>
            </w:pPr>
            <w:r>
              <w:rPr>
                <w:rFonts w:hint="eastAsia" w:ascii="Times New Roman" w:cs="Times New Roman"/>
                <w:b/>
                <w:bCs/>
                <w:color w:val="auto"/>
              </w:rPr>
              <w:t>6</w:t>
            </w:r>
            <w:r>
              <w:rPr>
                <w:rFonts w:ascii="Times New Roman" w:cs="Times New Roman"/>
                <w:b/>
                <w:bCs/>
                <w:color w:val="auto"/>
              </w:rPr>
              <w:t>.电磁辐射</w:t>
            </w:r>
          </w:p>
          <w:p>
            <w:pPr>
              <w:pStyle w:val="2"/>
              <w:ind w:firstLine="480" w:firstLineChars="200"/>
              <w:rPr>
                <w:color w:val="auto"/>
              </w:rPr>
            </w:pPr>
            <w:r>
              <w:rPr>
                <w:rFonts w:ascii="Times New Roman" w:cs="Times New Roman"/>
                <w:color w:val="auto"/>
              </w:rPr>
              <w:t>本项目不属于广播电台、差转台、电视塔台、卫星地球上行站、雷达等电磁辐射类项目，根据相关技术导则本评价不开展电磁辐射现状监测与评价。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保护</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目标</w:t>
            </w:r>
          </w:p>
        </w:tc>
        <w:tc>
          <w:tcPr>
            <w:tcW w:w="8190" w:type="dxa"/>
          </w:tcPr>
          <w:p>
            <w:pPr>
              <w:adjustRightInd w:val="0"/>
              <w:snapToGrid w:val="0"/>
              <w:spacing w:line="360" w:lineRule="auto"/>
              <w:rPr>
                <w:b/>
                <w:bCs/>
                <w:color w:val="auto"/>
                <w:sz w:val="24"/>
              </w:rPr>
            </w:pPr>
            <w:r>
              <w:rPr>
                <w:rFonts w:hint="eastAsia"/>
                <w:b/>
                <w:bCs/>
                <w:color w:val="auto"/>
                <w:sz w:val="24"/>
              </w:rPr>
              <w:t>1.</w:t>
            </w:r>
            <w:r>
              <w:rPr>
                <w:b/>
                <w:bCs/>
                <w:color w:val="auto"/>
                <w:sz w:val="24"/>
              </w:rPr>
              <w:t>大气环境保护目标</w:t>
            </w:r>
          </w:p>
          <w:p>
            <w:pPr>
              <w:pStyle w:val="2"/>
              <w:snapToGrid w:val="0"/>
              <w:ind w:firstLine="480" w:firstLineChars="200"/>
              <w:rPr>
                <w:rFonts w:ascii="Times New Roman" w:cs="Times New Roman"/>
                <w:color w:val="auto"/>
              </w:rPr>
            </w:pPr>
            <w:r>
              <w:rPr>
                <w:rFonts w:ascii="Times New Roman" w:cs="Times New Roman"/>
                <w:bCs/>
                <w:color w:val="auto"/>
              </w:rPr>
              <w:t>本项目</w:t>
            </w:r>
            <w:r>
              <w:rPr>
                <w:rFonts w:hint="eastAsia" w:ascii="Times New Roman" w:cs="Times New Roman"/>
                <w:color w:val="auto"/>
              </w:rPr>
              <w:t>位于</w:t>
            </w:r>
            <w:r>
              <w:rPr>
                <w:color w:val="auto"/>
              </w:rPr>
              <w:t>重庆市</w:t>
            </w:r>
            <w:r>
              <w:rPr>
                <w:rFonts w:hint="eastAsia"/>
                <w:color w:val="auto"/>
                <w:spacing w:val="8"/>
                <w:shd w:val="clear" w:color="auto" w:fill="FFFFFF"/>
              </w:rPr>
              <w:t>铜梁区东城街道祝英南路7号</w:t>
            </w:r>
            <w:r>
              <w:rPr>
                <w:rFonts w:ascii="Times New Roman" w:cs="Times New Roman"/>
                <w:color w:val="auto"/>
              </w:rPr>
              <w:t>，项目周边5</w:t>
            </w:r>
            <w:r>
              <w:rPr>
                <w:rFonts w:hint="eastAsia" w:ascii="Times New Roman" w:cs="Times New Roman"/>
                <w:color w:val="auto"/>
              </w:rPr>
              <w:t>0</w:t>
            </w:r>
            <w:r>
              <w:rPr>
                <w:rFonts w:ascii="Times New Roman" w:cs="Times New Roman"/>
                <w:color w:val="auto"/>
              </w:rPr>
              <w:t>0m范围内均为工业企业，无居民、医院、学校等声环境保护目标。</w:t>
            </w:r>
          </w:p>
          <w:p>
            <w:pPr>
              <w:pStyle w:val="2"/>
              <w:rPr>
                <w:rFonts w:ascii="Times New Roman" w:cs="Times New Roman"/>
                <w:b/>
                <w:bCs/>
                <w:color w:val="auto"/>
              </w:rPr>
            </w:pPr>
            <w:r>
              <w:rPr>
                <w:rFonts w:hint="eastAsia" w:ascii="Times New Roman" w:cs="Times New Roman"/>
                <w:b/>
                <w:bCs/>
                <w:color w:val="auto"/>
              </w:rPr>
              <w:t>2.声</w:t>
            </w:r>
            <w:r>
              <w:rPr>
                <w:rFonts w:ascii="Times New Roman" w:cs="Times New Roman"/>
                <w:b/>
                <w:bCs/>
                <w:color w:val="auto"/>
              </w:rPr>
              <w:t>环境保护目标</w:t>
            </w:r>
          </w:p>
          <w:p>
            <w:pPr>
              <w:pStyle w:val="2"/>
              <w:ind w:firstLine="480" w:firstLineChars="200"/>
              <w:rPr>
                <w:rFonts w:ascii="Times New Roman" w:hAnsi="Times New Roman" w:cs="Times New Roman"/>
                <w:color w:val="auto"/>
              </w:rPr>
            </w:pPr>
            <w:r>
              <w:rPr>
                <w:rFonts w:ascii="Times New Roman" w:hAnsi="Times New Roman" w:cs="Times New Roman"/>
                <w:bCs/>
                <w:color w:val="auto"/>
              </w:rPr>
              <w:t>本项目位于</w:t>
            </w:r>
            <w:r>
              <w:rPr>
                <w:rFonts w:ascii="Times New Roman" w:hAnsi="Times New Roman" w:cs="Times New Roman"/>
                <w:color w:val="auto"/>
              </w:rPr>
              <w:t>重庆市</w:t>
            </w:r>
            <w:r>
              <w:rPr>
                <w:rFonts w:hint="eastAsia"/>
                <w:color w:val="auto"/>
                <w:spacing w:val="8"/>
                <w:shd w:val="clear" w:color="auto" w:fill="FFFFFF"/>
              </w:rPr>
              <w:t>铜梁区东城街道祝英南路7号</w:t>
            </w:r>
            <w:r>
              <w:rPr>
                <w:rFonts w:ascii="Times New Roman" w:hAnsi="Times New Roman" w:cs="Times New Roman"/>
                <w:color w:val="auto"/>
              </w:rPr>
              <w:t>，项目周边50m范围内均为工业企业，无居民、医院、学校等声环境保护目标。</w:t>
            </w:r>
          </w:p>
          <w:p>
            <w:pPr>
              <w:pStyle w:val="2"/>
              <w:rPr>
                <w:rFonts w:ascii="Times New Roman" w:hAnsi="Times New Roman" w:cs="Times New Roman"/>
                <w:b/>
                <w:bCs/>
                <w:color w:val="auto"/>
              </w:rPr>
            </w:pPr>
            <w:r>
              <w:rPr>
                <w:rFonts w:ascii="Times New Roman" w:hAnsi="Times New Roman" w:cs="Times New Roman"/>
                <w:b/>
                <w:bCs/>
                <w:color w:val="auto"/>
              </w:rPr>
              <w:t>3.地下水环境保护目标</w:t>
            </w:r>
          </w:p>
          <w:p>
            <w:pPr>
              <w:pStyle w:val="2"/>
              <w:ind w:firstLine="480" w:firstLineChars="200"/>
              <w:rPr>
                <w:rFonts w:ascii="Times New Roman" w:hAnsi="Times New Roman" w:cs="Times New Roman"/>
                <w:color w:val="auto"/>
              </w:rPr>
            </w:pPr>
            <w:r>
              <w:rPr>
                <w:rFonts w:ascii="Times New Roman" w:hAnsi="Times New Roman" w:cs="Times New Roman"/>
                <w:bCs/>
                <w:color w:val="auto"/>
              </w:rPr>
              <w:t>本项目位于</w:t>
            </w:r>
            <w:r>
              <w:rPr>
                <w:rFonts w:hint="eastAsia" w:ascii="Times New Roman" w:hAnsi="Times New Roman" w:cs="Times New Roman"/>
                <w:bCs/>
                <w:color w:val="auto"/>
              </w:rPr>
              <w:t>重庆市</w:t>
            </w:r>
            <w:r>
              <w:rPr>
                <w:rFonts w:hint="eastAsia"/>
                <w:color w:val="auto"/>
                <w:spacing w:val="8"/>
                <w:shd w:val="clear" w:color="auto" w:fill="FFFFFF"/>
              </w:rPr>
              <w:t>铜梁区东城街道祝英南路7号</w:t>
            </w:r>
            <w:r>
              <w:rPr>
                <w:rFonts w:ascii="Times New Roman" w:hAnsi="Times New Roman" w:cs="Times New Roman"/>
                <w:color w:val="auto"/>
              </w:rPr>
              <w:t>，项目周边无地下水集中式饮用水源、热水、矿泉水、温泉等特殊地下水资源。</w:t>
            </w:r>
          </w:p>
          <w:p>
            <w:pPr>
              <w:pStyle w:val="2"/>
              <w:rPr>
                <w:rFonts w:ascii="Times New Roman" w:hAnsi="Times New Roman" w:cs="Times New Roman"/>
                <w:b/>
                <w:bCs/>
                <w:color w:val="auto"/>
              </w:rPr>
            </w:pPr>
            <w:r>
              <w:rPr>
                <w:rFonts w:ascii="Times New Roman" w:hAnsi="Times New Roman" w:cs="Times New Roman"/>
                <w:b/>
                <w:bCs/>
                <w:color w:val="auto"/>
              </w:rPr>
              <w:t>4.生态环境保护目标</w:t>
            </w:r>
          </w:p>
          <w:p>
            <w:pPr>
              <w:pStyle w:val="2"/>
              <w:ind w:firstLine="480" w:firstLineChars="200"/>
              <w:rPr>
                <w:rFonts w:ascii="Times New Roman" w:eastAsia="等线" w:cs="Times New Roman"/>
                <w:color w:val="auto"/>
                <w:sz w:val="21"/>
                <w:szCs w:val="21"/>
              </w:rPr>
            </w:pPr>
            <w:r>
              <w:rPr>
                <w:rFonts w:ascii="Times New Roman" w:hAnsi="Times New Roman" w:cs="Times New Roman"/>
                <w:color w:val="auto"/>
              </w:rPr>
              <w:t>本项目位于重庆市</w:t>
            </w:r>
            <w:r>
              <w:rPr>
                <w:rFonts w:hint="eastAsia"/>
                <w:color w:val="auto"/>
                <w:spacing w:val="8"/>
                <w:shd w:val="clear" w:color="auto" w:fill="FFFFFF"/>
              </w:rPr>
              <w:t>铜梁区东城街道祝英南路7号</w:t>
            </w:r>
            <w:r>
              <w:rPr>
                <w:rFonts w:ascii="Times New Roman" w:hAnsi="Times New Roman" w:cs="Times New Roman"/>
                <w:color w:val="auto"/>
              </w:rPr>
              <w:t>，</w:t>
            </w:r>
            <w:r>
              <w:rPr>
                <w:rFonts w:ascii="Times New Roman" w:hAnsi="Times New Roman" w:cs="Times New Roman"/>
                <w:color w:val="auto"/>
                <w:highlight w:val="none"/>
              </w:rPr>
              <w:t>所在地</w:t>
            </w:r>
            <w:r>
              <w:rPr>
                <w:rFonts w:hint="eastAsia" w:ascii="Times New Roman" w:hAnsi="Times New Roman" w:cs="Times New Roman"/>
                <w:color w:val="auto"/>
                <w:highlight w:val="none"/>
                <w:lang w:eastAsia="zh-CN"/>
              </w:rPr>
              <w:t>用地性质为</w:t>
            </w:r>
            <w:r>
              <w:rPr>
                <w:rFonts w:ascii="Times New Roman" w:hAnsi="Times New Roman" w:cs="Times New Roman"/>
                <w:color w:val="auto"/>
                <w:highlight w:val="none"/>
              </w:rPr>
              <w:t>工业用地，</w:t>
            </w:r>
            <w:r>
              <w:rPr>
                <w:rFonts w:ascii="Times New Roman" w:hAnsi="Times New Roman" w:cs="Times New Roman"/>
                <w:color w:val="auto"/>
              </w:rPr>
              <w:t>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tcPr>
          <w:p>
            <w:pPr>
              <w:adjustRightInd w:val="0"/>
              <w:snapToGrid w:val="0"/>
              <w:spacing w:line="360" w:lineRule="auto"/>
              <w:rPr>
                <w:b/>
                <w:bCs/>
                <w:color w:val="auto"/>
                <w:sz w:val="24"/>
              </w:rPr>
            </w:pPr>
            <w:r>
              <w:rPr>
                <w:b/>
                <w:bCs/>
                <w:color w:val="auto"/>
                <w:sz w:val="24"/>
              </w:rPr>
              <w:t>废气排放标准</w:t>
            </w:r>
          </w:p>
          <w:p>
            <w:pPr>
              <w:snapToGrid w:val="0"/>
              <w:spacing w:line="360" w:lineRule="auto"/>
              <w:ind w:firstLine="480" w:firstLineChars="200"/>
              <w:rPr>
                <w:rFonts w:hint="eastAsia" w:eastAsia="宋体"/>
                <w:snapToGrid w:val="0"/>
                <w:color w:val="auto"/>
                <w:sz w:val="24"/>
                <w:lang w:eastAsia="zh-CN"/>
              </w:rPr>
            </w:pPr>
            <w:r>
              <w:rPr>
                <w:rFonts w:hint="eastAsia"/>
                <w:color w:val="auto"/>
                <w:sz w:val="24"/>
                <w:highlight w:val="none"/>
                <w:lang w:eastAsia="zh-CN"/>
              </w:rPr>
              <w:t>本项目不涉及涂料及涂装工序，拉幅定型无纺布的烘干工序使用天然气作为能源加热空气对工件进行直接烘干，则拉幅定型无纺布生产线</w:t>
            </w:r>
            <w:r>
              <w:rPr>
                <w:rFonts w:hint="eastAsia"/>
                <w:color w:val="auto"/>
                <w:sz w:val="24"/>
              </w:rPr>
              <w:t>涂胶、烘干</w:t>
            </w:r>
            <w:r>
              <w:rPr>
                <w:color w:val="auto"/>
                <w:sz w:val="24"/>
              </w:rPr>
              <w:t>产生的</w:t>
            </w:r>
            <w:r>
              <w:rPr>
                <w:rFonts w:hint="eastAsia"/>
                <w:color w:val="auto"/>
                <w:sz w:val="24"/>
              </w:rPr>
              <w:t>非甲烷总烃、</w:t>
            </w:r>
            <w:r>
              <w:rPr>
                <w:color w:val="auto"/>
                <w:sz w:val="24"/>
              </w:rPr>
              <w:t>SO</w:t>
            </w:r>
            <w:r>
              <w:rPr>
                <w:color w:val="auto"/>
                <w:sz w:val="24"/>
                <w:vertAlign w:val="subscript"/>
              </w:rPr>
              <w:t>2</w:t>
            </w:r>
            <w:r>
              <w:rPr>
                <w:color w:val="auto"/>
                <w:sz w:val="24"/>
              </w:rPr>
              <w:t>、NO</w:t>
            </w:r>
            <w:r>
              <w:rPr>
                <w:color w:val="auto"/>
                <w:sz w:val="24"/>
                <w:vertAlign w:val="subscript"/>
              </w:rPr>
              <w:t>X</w:t>
            </w:r>
            <w:r>
              <w:rPr>
                <w:color w:val="auto"/>
                <w:sz w:val="24"/>
              </w:rPr>
              <w:t>、颗粒物执行</w:t>
            </w:r>
            <w:r>
              <w:rPr>
                <w:snapToGrid w:val="0"/>
                <w:color w:val="auto"/>
                <w:kern w:val="0"/>
                <w:sz w:val="24"/>
              </w:rPr>
              <w:t>《</w:t>
            </w:r>
            <w:r>
              <w:rPr>
                <w:color w:val="auto"/>
                <w:sz w:val="24"/>
              </w:rPr>
              <w:t>大气污染物综合排放标准》(DB50/418－2016)中表1的标准</w:t>
            </w:r>
            <w:r>
              <w:rPr>
                <w:rFonts w:hint="eastAsia"/>
                <w:color w:val="auto"/>
                <w:sz w:val="24"/>
              </w:rPr>
              <w:t>；</w:t>
            </w:r>
            <w:r>
              <w:rPr>
                <w:rFonts w:hint="eastAsia"/>
                <w:color w:val="auto"/>
                <w:sz w:val="24"/>
                <w:lang w:eastAsia="zh-CN"/>
              </w:rPr>
              <w:t>淋膜无纺布生产线</w:t>
            </w:r>
            <w:r>
              <w:rPr>
                <w:rFonts w:hint="eastAsia"/>
                <w:color w:val="auto"/>
                <w:sz w:val="24"/>
              </w:rPr>
              <w:t>淋膜、冷却工序</w:t>
            </w:r>
            <w:r>
              <w:rPr>
                <w:color w:val="auto"/>
                <w:sz w:val="24"/>
              </w:rPr>
              <w:t>产生的</w:t>
            </w:r>
            <w:r>
              <w:rPr>
                <w:rFonts w:hint="eastAsia"/>
                <w:color w:val="auto"/>
                <w:sz w:val="24"/>
              </w:rPr>
              <w:t>非甲烷总烃</w:t>
            </w:r>
            <w:r>
              <w:rPr>
                <w:color w:val="auto"/>
                <w:sz w:val="24"/>
              </w:rPr>
              <w:t>执行《合成树脂工业污染物排放标准》（GB31572-2015）特别排放限值；企业厂区内非甲烷总烃无组织排放监控点浓度执行《挥发性有机物无组织排放控制标准》（GB37822-2019）表A.1</w:t>
            </w:r>
            <w:r>
              <w:rPr>
                <w:rFonts w:hint="eastAsia"/>
                <w:color w:val="auto"/>
                <w:sz w:val="24"/>
              </w:rPr>
              <w:t>中</w:t>
            </w:r>
            <w:r>
              <w:rPr>
                <w:color w:val="auto"/>
                <w:sz w:val="24"/>
              </w:rPr>
              <w:t>的</w:t>
            </w:r>
            <w:r>
              <w:rPr>
                <w:rFonts w:hint="eastAsia"/>
                <w:color w:val="auto"/>
                <w:sz w:val="24"/>
              </w:rPr>
              <w:t>特别排放限值；</w:t>
            </w:r>
            <w:r>
              <w:rPr>
                <w:color w:val="auto"/>
                <w:kern w:val="0"/>
                <w:sz w:val="24"/>
              </w:rPr>
              <w:t>食堂产生的油烟、非甲烷总烃执行《餐饮业大气污染物排放标准》（DB50/859-2018）中标准限制，</w:t>
            </w:r>
            <w:r>
              <w:rPr>
                <w:color w:val="auto"/>
                <w:sz w:val="24"/>
              </w:rPr>
              <w:t>详见表3.</w:t>
            </w:r>
            <w:r>
              <w:rPr>
                <w:rFonts w:hint="eastAsia"/>
                <w:color w:val="auto"/>
                <w:sz w:val="24"/>
              </w:rPr>
              <w:t>3、表3.4、表3.5</w:t>
            </w:r>
            <w:r>
              <w:rPr>
                <w:color w:val="auto"/>
                <w:sz w:val="24"/>
              </w:rPr>
              <w:t>。</w:t>
            </w:r>
          </w:p>
          <w:p>
            <w:pPr>
              <w:adjustRightInd w:val="0"/>
              <w:snapToGrid w:val="0"/>
              <w:spacing w:line="360" w:lineRule="auto"/>
              <w:jc w:val="center"/>
              <w:rPr>
                <w:snapToGrid w:val="0"/>
                <w:color w:val="auto"/>
                <w:sz w:val="24"/>
                <w:highlight w:val="none"/>
              </w:rPr>
            </w:pPr>
            <w:r>
              <w:rPr>
                <w:snapToGrid w:val="0"/>
                <w:color w:val="auto"/>
                <w:sz w:val="21"/>
                <w:szCs w:val="21"/>
                <w:highlight w:val="none"/>
              </w:rPr>
              <w:t>表3.</w:t>
            </w:r>
            <w:r>
              <w:rPr>
                <w:rFonts w:hint="eastAsia"/>
                <w:snapToGrid w:val="0"/>
                <w:color w:val="auto"/>
                <w:sz w:val="21"/>
                <w:szCs w:val="21"/>
                <w:highlight w:val="none"/>
              </w:rPr>
              <w:t>3</w:t>
            </w:r>
            <w:r>
              <w:rPr>
                <w:snapToGrid w:val="0"/>
                <w:color w:val="auto"/>
                <w:sz w:val="21"/>
                <w:szCs w:val="21"/>
                <w:highlight w:val="none"/>
              </w:rPr>
              <w:t xml:space="preserve"> 《大气污染物综合排放标准》(DB50/418－2016)</w:t>
            </w:r>
          </w:p>
          <w:tbl>
            <w:tblPr>
              <w:tblStyle w:val="22"/>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71"/>
              <w:gridCol w:w="1670"/>
              <w:gridCol w:w="3741"/>
              <w:gridCol w:w="169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vMerge w:val="restart"/>
                  <w:vAlign w:val="center"/>
                </w:tcPr>
                <w:p>
                  <w:pPr>
                    <w:autoSpaceDE w:val="0"/>
                    <w:autoSpaceDN w:val="0"/>
                    <w:adjustRightInd w:val="0"/>
                    <w:snapToGrid w:val="0"/>
                    <w:jc w:val="center"/>
                    <w:rPr>
                      <w:color w:val="auto"/>
                      <w:kern w:val="0"/>
                      <w:szCs w:val="21"/>
                    </w:rPr>
                  </w:pPr>
                  <w:r>
                    <w:rPr>
                      <w:color w:val="auto"/>
                      <w:kern w:val="0"/>
                      <w:szCs w:val="21"/>
                    </w:rPr>
                    <w:t>污染物项目</w:t>
                  </w:r>
                </w:p>
              </w:tc>
              <w:tc>
                <w:tcPr>
                  <w:tcW w:w="1047" w:type="pct"/>
                  <w:vMerge w:val="restart"/>
                  <w:vAlign w:val="center"/>
                </w:tcPr>
                <w:p>
                  <w:pPr>
                    <w:autoSpaceDE w:val="0"/>
                    <w:autoSpaceDN w:val="0"/>
                    <w:adjustRightInd w:val="0"/>
                    <w:snapToGrid w:val="0"/>
                    <w:jc w:val="center"/>
                    <w:rPr>
                      <w:color w:val="auto"/>
                      <w:szCs w:val="21"/>
                    </w:rPr>
                  </w:pPr>
                  <w:r>
                    <w:rPr>
                      <w:color w:val="auto"/>
                      <w:kern w:val="0"/>
                      <w:szCs w:val="21"/>
                    </w:rPr>
                    <w:t>大气污染物最高允许排放浓度（mg/m</w:t>
                  </w:r>
                  <w:r>
                    <w:rPr>
                      <w:color w:val="auto"/>
                      <w:kern w:val="0"/>
                      <w:szCs w:val="21"/>
                      <w:vertAlign w:val="superscript"/>
                    </w:rPr>
                    <w:t>3</w:t>
                  </w:r>
                  <w:r>
                    <w:rPr>
                      <w:color w:val="auto"/>
                      <w:kern w:val="0"/>
                      <w:szCs w:val="21"/>
                    </w:rPr>
                    <w:t>）</w:t>
                  </w:r>
                </w:p>
              </w:tc>
              <w:tc>
                <w:tcPr>
                  <w:tcW w:w="2345" w:type="pct"/>
                  <w:vAlign w:val="center"/>
                </w:tcPr>
                <w:p>
                  <w:pPr>
                    <w:autoSpaceDE w:val="0"/>
                    <w:autoSpaceDN w:val="0"/>
                    <w:adjustRightInd w:val="0"/>
                    <w:snapToGrid w:val="0"/>
                    <w:jc w:val="center"/>
                    <w:rPr>
                      <w:color w:val="auto"/>
                      <w:kern w:val="0"/>
                      <w:szCs w:val="21"/>
                    </w:rPr>
                  </w:pPr>
                  <w:r>
                    <w:rPr>
                      <w:color w:val="auto"/>
                      <w:kern w:val="0"/>
                      <w:szCs w:val="21"/>
                    </w:rPr>
                    <w:t>与排气筒高度对应的大气污染物最高允许排放速率（kg/h）</w:t>
                  </w:r>
                </w:p>
              </w:tc>
              <w:tc>
                <w:tcPr>
                  <w:tcW w:w="1060" w:type="pct"/>
                  <w:vMerge w:val="restart"/>
                  <w:vAlign w:val="center"/>
                </w:tcPr>
                <w:p>
                  <w:pPr>
                    <w:autoSpaceDE w:val="0"/>
                    <w:autoSpaceDN w:val="0"/>
                    <w:adjustRightInd w:val="0"/>
                    <w:snapToGrid w:val="0"/>
                    <w:jc w:val="center"/>
                    <w:rPr>
                      <w:color w:val="auto"/>
                      <w:kern w:val="0"/>
                      <w:szCs w:val="21"/>
                    </w:rPr>
                  </w:pPr>
                  <w:r>
                    <w:rPr>
                      <w:color w:val="auto"/>
                      <w:kern w:val="0"/>
                      <w:szCs w:val="21"/>
                    </w:rPr>
                    <w:t>无组织排放监控点浓度限值</w:t>
                  </w:r>
                </w:p>
                <w:p>
                  <w:pPr>
                    <w:adjustRightInd w:val="0"/>
                    <w:snapToGrid w:val="0"/>
                    <w:jc w:val="center"/>
                    <w:rPr>
                      <w:color w:val="auto"/>
                      <w:szCs w:val="21"/>
                    </w:rPr>
                  </w:pPr>
                  <w:r>
                    <w:rPr>
                      <w:color w:val="auto"/>
                      <w:kern w:val="0"/>
                      <w:szCs w:val="21"/>
                    </w:rPr>
                    <w:t>（mg/m</w:t>
                  </w:r>
                  <w:r>
                    <w:rPr>
                      <w:color w:val="auto"/>
                      <w:kern w:val="0"/>
                      <w:szCs w:val="21"/>
                      <w:vertAlign w:val="superscript"/>
                    </w:rPr>
                    <w:t>3</w:t>
                  </w:r>
                  <w:r>
                    <w:rPr>
                      <w:color w:val="auto"/>
                      <w:kern w:val="0"/>
                      <w:szCs w:val="21"/>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546" w:type="pct"/>
                  <w:vMerge w:val="continue"/>
                  <w:vAlign w:val="center"/>
                </w:tcPr>
                <w:p>
                  <w:pPr>
                    <w:adjustRightInd w:val="0"/>
                    <w:snapToGrid w:val="0"/>
                    <w:jc w:val="center"/>
                    <w:rPr>
                      <w:color w:val="auto"/>
                      <w:kern w:val="0"/>
                      <w:szCs w:val="21"/>
                    </w:rPr>
                  </w:pPr>
                </w:p>
              </w:tc>
              <w:tc>
                <w:tcPr>
                  <w:tcW w:w="1047" w:type="pct"/>
                  <w:vMerge w:val="continue"/>
                  <w:vAlign w:val="center"/>
                </w:tcPr>
                <w:p>
                  <w:pPr>
                    <w:adjustRightInd w:val="0"/>
                    <w:snapToGrid w:val="0"/>
                    <w:jc w:val="center"/>
                    <w:rPr>
                      <w:color w:val="auto"/>
                      <w:szCs w:val="21"/>
                    </w:rPr>
                  </w:pPr>
                </w:p>
              </w:tc>
              <w:tc>
                <w:tcPr>
                  <w:tcW w:w="2345" w:type="pct"/>
                  <w:vAlign w:val="center"/>
                </w:tcPr>
                <w:p>
                  <w:pPr>
                    <w:adjustRightInd w:val="0"/>
                    <w:snapToGrid w:val="0"/>
                    <w:jc w:val="center"/>
                    <w:rPr>
                      <w:color w:val="auto"/>
                      <w:szCs w:val="21"/>
                    </w:rPr>
                  </w:pPr>
                  <w:r>
                    <w:rPr>
                      <w:color w:val="auto"/>
                      <w:kern w:val="0"/>
                      <w:szCs w:val="21"/>
                    </w:rPr>
                    <w:t>15m</w:t>
                  </w:r>
                </w:p>
              </w:tc>
              <w:tc>
                <w:tcPr>
                  <w:tcW w:w="1060" w:type="pct"/>
                  <w:vMerge w:val="continue"/>
                  <w:vAlign w:val="center"/>
                </w:tcPr>
                <w:p>
                  <w:pPr>
                    <w:adjustRightInd w:val="0"/>
                    <w:snapToGrid w:val="0"/>
                    <w:jc w:val="center"/>
                    <w:rPr>
                      <w:color w:val="auto"/>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46" w:type="pct"/>
                  <w:vAlign w:val="center"/>
                </w:tcPr>
                <w:p>
                  <w:pPr>
                    <w:adjustRightInd w:val="0"/>
                    <w:snapToGrid w:val="0"/>
                    <w:jc w:val="center"/>
                    <w:rPr>
                      <w:color w:val="auto"/>
                      <w:kern w:val="0"/>
                      <w:szCs w:val="21"/>
                    </w:rPr>
                  </w:pPr>
                  <w:r>
                    <w:rPr>
                      <w:color w:val="auto"/>
                      <w:kern w:val="0"/>
                      <w:szCs w:val="21"/>
                    </w:rPr>
                    <w:t>其他颗粒物</w:t>
                  </w:r>
                </w:p>
              </w:tc>
              <w:tc>
                <w:tcPr>
                  <w:tcW w:w="1047" w:type="pct"/>
                  <w:vAlign w:val="center"/>
                </w:tcPr>
                <w:p>
                  <w:pPr>
                    <w:adjustRightInd w:val="0"/>
                    <w:snapToGrid w:val="0"/>
                    <w:jc w:val="center"/>
                    <w:rPr>
                      <w:color w:val="auto"/>
                      <w:szCs w:val="21"/>
                    </w:rPr>
                  </w:pPr>
                  <w:r>
                    <w:rPr>
                      <w:rFonts w:hint="eastAsia"/>
                      <w:color w:val="auto"/>
                      <w:szCs w:val="21"/>
                    </w:rPr>
                    <w:t>120</w:t>
                  </w:r>
                </w:p>
              </w:tc>
              <w:tc>
                <w:tcPr>
                  <w:tcW w:w="2345" w:type="pct"/>
                  <w:vAlign w:val="center"/>
                </w:tcPr>
                <w:p>
                  <w:pPr>
                    <w:adjustRightInd w:val="0"/>
                    <w:snapToGrid w:val="0"/>
                    <w:jc w:val="center"/>
                    <w:rPr>
                      <w:color w:val="auto"/>
                      <w:szCs w:val="21"/>
                    </w:rPr>
                  </w:pPr>
                  <w:r>
                    <w:rPr>
                      <w:rFonts w:hint="eastAsia"/>
                      <w:color w:val="auto"/>
                      <w:szCs w:val="21"/>
                    </w:rPr>
                    <w:t>3.5</w:t>
                  </w:r>
                </w:p>
              </w:tc>
              <w:tc>
                <w:tcPr>
                  <w:tcW w:w="1060" w:type="pct"/>
                  <w:vAlign w:val="center"/>
                </w:tcPr>
                <w:p>
                  <w:pPr>
                    <w:adjustRightInd w:val="0"/>
                    <w:snapToGrid w:val="0"/>
                    <w:jc w:val="center"/>
                    <w:rPr>
                      <w:color w:val="auto"/>
                      <w:szCs w:val="21"/>
                    </w:rPr>
                  </w:pPr>
                  <w:r>
                    <w:rPr>
                      <w:color w:val="auto"/>
                      <w:szCs w:val="21"/>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46" w:type="pct"/>
                  <w:vAlign w:val="center"/>
                </w:tcPr>
                <w:p>
                  <w:pPr>
                    <w:adjustRightInd w:val="0"/>
                    <w:snapToGrid w:val="0"/>
                    <w:jc w:val="center"/>
                    <w:rPr>
                      <w:color w:val="auto"/>
                      <w:kern w:val="0"/>
                      <w:szCs w:val="21"/>
                    </w:rPr>
                  </w:pPr>
                  <w:r>
                    <w:rPr>
                      <w:color w:val="auto"/>
                      <w:kern w:val="0"/>
                      <w:szCs w:val="21"/>
                    </w:rPr>
                    <w:t>非甲烷总烃</w:t>
                  </w:r>
                </w:p>
              </w:tc>
              <w:tc>
                <w:tcPr>
                  <w:tcW w:w="1047" w:type="pct"/>
                  <w:vAlign w:val="center"/>
                </w:tcPr>
                <w:p>
                  <w:pPr>
                    <w:adjustRightInd w:val="0"/>
                    <w:snapToGrid w:val="0"/>
                    <w:jc w:val="center"/>
                    <w:rPr>
                      <w:color w:val="auto"/>
                      <w:szCs w:val="21"/>
                    </w:rPr>
                  </w:pPr>
                  <w:r>
                    <w:rPr>
                      <w:color w:val="auto"/>
                      <w:szCs w:val="21"/>
                    </w:rPr>
                    <w:t>120</w:t>
                  </w:r>
                </w:p>
              </w:tc>
              <w:tc>
                <w:tcPr>
                  <w:tcW w:w="2345" w:type="pct"/>
                  <w:vAlign w:val="center"/>
                </w:tcPr>
                <w:p>
                  <w:pPr>
                    <w:adjustRightInd w:val="0"/>
                    <w:snapToGrid w:val="0"/>
                    <w:jc w:val="center"/>
                    <w:rPr>
                      <w:color w:val="auto"/>
                      <w:szCs w:val="21"/>
                    </w:rPr>
                  </w:pPr>
                  <w:r>
                    <w:rPr>
                      <w:color w:val="auto"/>
                      <w:szCs w:val="21"/>
                    </w:rPr>
                    <w:t>10</w:t>
                  </w:r>
                </w:p>
              </w:tc>
              <w:tc>
                <w:tcPr>
                  <w:tcW w:w="1060" w:type="pct"/>
                  <w:vAlign w:val="center"/>
                </w:tcPr>
                <w:p>
                  <w:pPr>
                    <w:adjustRightInd w:val="0"/>
                    <w:snapToGrid w:val="0"/>
                    <w:jc w:val="center"/>
                    <w:rPr>
                      <w:color w:val="auto"/>
                      <w:szCs w:val="21"/>
                    </w:rPr>
                  </w:pPr>
                  <w:r>
                    <w:rPr>
                      <w:color w:val="auto"/>
                      <w:szCs w:val="21"/>
                    </w:rPr>
                    <w:t>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46" w:type="pct"/>
                  <w:vAlign w:val="center"/>
                </w:tcPr>
                <w:p>
                  <w:pPr>
                    <w:adjustRightInd w:val="0"/>
                    <w:snapToGrid w:val="0"/>
                    <w:jc w:val="center"/>
                    <w:rPr>
                      <w:color w:val="auto"/>
                      <w:kern w:val="0"/>
                      <w:szCs w:val="21"/>
                    </w:rPr>
                  </w:pPr>
                  <w:r>
                    <w:rPr>
                      <w:color w:val="auto"/>
                      <w:kern w:val="0"/>
                      <w:szCs w:val="21"/>
                    </w:rPr>
                    <w:t>SO</w:t>
                  </w:r>
                  <w:r>
                    <w:rPr>
                      <w:color w:val="auto"/>
                      <w:kern w:val="0"/>
                      <w:szCs w:val="21"/>
                      <w:vertAlign w:val="subscript"/>
                    </w:rPr>
                    <w:t>2</w:t>
                  </w:r>
                </w:p>
              </w:tc>
              <w:tc>
                <w:tcPr>
                  <w:tcW w:w="1047" w:type="pct"/>
                  <w:vAlign w:val="center"/>
                </w:tcPr>
                <w:p>
                  <w:pPr>
                    <w:adjustRightInd w:val="0"/>
                    <w:snapToGrid w:val="0"/>
                    <w:jc w:val="center"/>
                    <w:rPr>
                      <w:color w:val="auto"/>
                      <w:szCs w:val="21"/>
                    </w:rPr>
                  </w:pPr>
                  <w:r>
                    <w:rPr>
                      <w:rFonts w:hint="eastAsia"/>
                      <w:color w:val="auto"/>
                      <w:szCs w:val="21"/>
                    </w:rPr>
                    <w:t>550</w:t>
                  </w:r>
                </w:p>
              </w:tc>
              <w:tc>
                <w:tcPr>
                  <w:tcW w:w="2345" w:type="pct"/>
                  <w:vAlign w:val="center"/>
                </w:tcPr>
                <w:p>
                  <w:pPr>
                    <w:adjustRightInd w:val="0"/>
                    <w:snapToGrid w:val="0"/>
                    <w:jc w:val="center"/>
                    <w:rPr>
                      <w:color w:val="auto"/>
                      <w:szCs w:val="21"/>
                    </w:rPr>
                  </w:pPr>
                  <w:r>
                    <w:rPr>
                      <w:rFonts w:hint="eastAsia"/>
                      <w:color w:val="auto"/>
                      <w:szCs w:val="21"/>
                    </w:rPr>
                    <w:t>2.6</w:t>
                  </w:r>
                </w:p>
              </w:tc>
              <w:tc>
                <w:tcPr>
                  <w:tcW w:w="1060" w:type="pct"/>
                  <w:vAlign w:val="center"/>
                </w:tcPr>
                <w:p>
                  <w:pPr>
                    <w:adjustRightInd w:val="0"/>
                    <w:snapToGrid w:val="0"/>
                    <w:jc w:val="center"/>
                    <w:rPr>
                      <w:color w:val="auto"/>
                      <w:szCs w:val="21"/>
                    </w:rPr>
                  </w:pPr>
                  <w:r>
                    <w:rPr>
                      <w:color w:val="auto"/>
                      <w:szCs w:val="21"/>
                    </w:rPr>
                    <w:t>0.4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46" w:type="pct"/>
                  <w:vAlign w:val="center"/>
                </w:tcPr>
                <w:p>
                  <w:pPr>
                    <w:adjustRightInd w:val="0"/>
                    <w:snapToGrid w:val="0"/>
                    <w:jc w:val="center"/>
                    <w:rPr>
                      <w:color w:val="auto"/>
                      <w:kern w:val="0"/>
                      <w:szCs w:val="21"/>
                    </w:rPr>
                  </w:pPr>
                  <w:r>
                    <w:rPr>
                      <w:color w:val="auto"/>
                      <w:kern w:val="0"/>
                      <w:szCs w:val="21"/>
                    </w:rPr>
                    <w:t>NO</w:t>
                  </w:r>
                  <w:r>
                    <w:rPr>
                      <w:color w:val="auto"/>
                      <w:kern w:val="0"/>
                      <w:szCs w:val="21"/>
                      <w:vertAlign w:val="subscript"/>
                    </w:rPr>
                    <w:t>X</w:t>
                  </w:r>
                </w:p>
              </w:tc>
              <w:tc>
                <w:tcPr>
                  <w:tcW w:w="1047" w:type="pct"/>
                  <w:vAlign w:val="center"/>
                </w:tcPr>
                <w:p>
                  <w:pPr>
                    <w:adjustRightInd w:val="0"/>
                    <w:snapToGrid w:val="0"/>
                    <w:jc w:val="center"/>
                    <w:rPr>
                      <w:color w:val="auto"/>
                      <w:szCs w:val="21"/>
                    </w:rPr>
                  </w:pPr>
                  <w:r>
                    <w:rPr>
                      <w:rFonts w:hint="eastAsia"/>
                      <w:color w:val="auto"/>
                      <w:szCs w:val="21"/>
                    </w:rPr>
                    <w:t>240</w:t>
                  </w:r>
                </w:p>
              </w:tc>
              <w:tc>
                <w:tcPr>
                  <w:tcW w:w="2345" w:type="pct"/>
                  <w:vAlign w:val="center"/>
                </w:tcPr>
                <w:p>
                  <w:pPr>
                    <w:adjustRightInd w:val="0"/>
                    <w:snapToGrid w:val="0"/>
                    <w:jc w:val="center"/>
                    <w:rPr>
                      <w:color w:val="auto"/>
                      <w:szCs w:val="21"/>
                    </w:rPr>
                  </w:pPr>
                  <w:r>
                    <w:rPr>
                      <w:rFonts w:hint="eastAsia"/>
                      <w:color w:val="auto"/>
                      <w:szCs w:val="21"/>
                    </w:rPr>
                    <w:t>0.77</w:t>
                  </w:r>
                </w:p>
              </w:tc>
              <w:tc>
                <w:tcPr>
                  <w:tcW w:w="1060" w:type="pct"/>
                  <w:vAlign w:val="center"/>
                </w:tcPr>
                <w:p>
                  <w:pPr>
                    <w:adjustRightInd w:val="0"/>
                    <w:snapToGrid w:val="0"/>
                    <w:jc w:val="center"/>
                    <w:rPr>
                      <w:color w:val="auto"/>
                      <w:szCs w:val="21"/>
                    </w:rPr>
                  </w:pPr>
                  <w:r>
                    <w:rPr>
                      <w:color w:val="auto"/>
                      <w:szCs w:val="21"/>
                    </w:rPr>
                    <w:t>0.12</w:t>
                  </w:r>
                </w:p>
              </w:tc>
            </w:tr>
          </w:tbl>
          <w:p>
            <w:pPr>
              <w:spacing w:line="336" w:lineRule="auto"/>
              <w:jc w:val="center"/>
              <w:rPr>
                <w:color w:val="auto"/>
                <w:sz w:val="24"/>
              </w:rPr>
            </w:pPr>
            <w:r>
              <w:rPr>
                <w:rFonts w:hint="eastAsia"/>
                <w:color w:val="auto"/>
                <w:sz w:val="21"/>
                <w:szCs w:val="21"/>
              </w:rPr>
              <w:t>表3.4</w:t>
            </w:r>
            <w:r>
              <w:rPr>
                <w:color w:val="auto"/>
                <w:sz w:val="21"/>
                <w:szCs w:val="21"/>
              </w:rPr>
              <w:t xml:space="preserve"> 《合成树脂工业污染物排放标准》（GB31572-2015） 单位：mg/m</w:t>
            </w:r>
            <w:r>
              <w:rPr>
                <w:color w:val="auto"/>
                <w:sz w:val="21"/>
                <w:szCs w:val="21"/>
                <w:vertAlign w:val="superscript"/>
              </w:rPr>
              <w:t>3</w:t>
            </w:r>
          </w:p>
          <w:tbl>
            <w:tblPr>
              <w:tblStyle w:val="22"/>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454"/>
              <w:gridCol w:w="3179"/>
              <w:gridCol w:w="133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8" w:hRule="exact"/>
                <w:jc w:val="center"/>
              </w:trPr>
              <w:tc>
                <w:tcPr>
                  <w:tcW w:w="2167" w:type="pct"/>
                  <w:vMerge w:val="restart"/>
                  <w:tcBorders>
                    <w:top w:val="single" w:color="auto" w:sz="6" w:space="0"/>
                    <w:left w:val="nil"/>
                    <w:bottom w:val="single" w:color="auto" w:sz="6" w:space="0"/>
                    <w:right w:val="single" w:color="auto" w:sz="6" w:space="0"/>
                  </w:tcBorders>
                  <w:vAlign w:val="center"/>
                </w:tcPr>
                <w:p>
                  <w:pPr>
                    <w:autoSpaceDE w:val="0"/>
                    <w:autoSpaceDN w:val="0"/>
                    <w:jc w:val="center"/>
                    <w:rPr>
                      <w:color w:val="auto"/>
                      <w:szCs w:val="21"/>
                      <w:lang w:val="zh-CN"/>
                    </w:rPr>
                  </w:pPr>
                  <w:r>
                    <w:rPr>
                      <w:color w:val="auto"/>
                      <w:szCs w:val="21"/>
                      <w:lang w:val="zh-CN"/>
                    </w:rPr>
                    <w:t>污染物项目</w:t>
                  </w:r>
                </w:p>
              </w:tc>
              <w:tc>
                <w:tcPr>
                  <w:tcW w:w="2832" w:type="pct"/>
                  <w:gridSpan w:val="2"/>
                  <w:tcBorders>
                    <w:top w:val="single" w:color="auto" w:sz="6" w:space="0"/>
                    <w:left w:val="single" w:color="auto" w:sz="6" w:space="0"/>
                    <w:bottom w:val="single" w:color="auto" w:sz="6" w:space="0"/>
                    <w:right w:val="nil"/>
                  </w:tcBorders>
                  <w:vAlign w:val="center"/>
                </w:tcPr>
                <w:p>
                  <w:pPr>
                    <w:autoSpaceDE w:val="0"/>
                    <w:autoSpaceDN w:val="0"/>
                    <w:jc w:val="center"/>
                    <w:rPr>
                      <w:color w:val="auto"/>
                      <w:szCs w:val="21"/>
                      <w:lang w:val="zh-CN"/>
                    </w:rPr>
                  </w:pPr>
                  <w:r>
                    <w:rPr>
                      <w:color w:val="auto"/>
                      <w:szCs w:val="21"/>
                      <w:lang w:val="zh-CN"/>
                    </w:rPr>
                    <w:t>排放限值</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58" w:hRule="exact"/>
                <w:jc w:val="center"/>
              </w:trPr>
              <w:tc>
                <w:tcPr>
                  <w:tcW w:w="2167" w:type="pct"/>
                  <w:vMerge w:val="continue"/>
                  <w:tcBorders>
                    <w:top w:val="single" w:color="auto" w:sz="6" w:space="0"/>
                    <w:left w:val="nil"/>
                    <w:bottom w:val="single" w:color="auto" w:sz="6" w:space="0"/>
                    <w:right w:val="single" w:color="auto" w:sz="6" w:space="0"/>
                  </w:tcBorders>
                  <w:vAlign w:val="center"/>
                </w:tcPr>
                <w:p>
                  <w:pPr>
                    <w:widowControl/>
                    <w:jc w:val="left"/>
                    <w:rPr>
                      <w:color w:val="auto"/>
                      <w:szCs w:val="21"/>
                      <w:lang w:val="zh-CN"/>
                    </w:rPr>
                  </w:pPr>
                </w:p>
              </w:tc>
              <w:tc>
                <w:tcPr>
                  <w:tcW w:w="1994" w:type="pct"/>
                  <w:tcBorders>
                    <w:top w:val="single" w:color="auto" w:sz="6" w:space="0"/>
                    <w:left w:val="single" w:color="auto" w:sz="6" w:space="0"/>
                    <w:bottom w:val="single" w:color="auto" w:sz="6" w:space="0"/>
                    <w:right w:val="single" w:color="auto" w:sz="6" w:space="0"/>
                  </w:tcBorders>
                  <w:vAlign w:val="center"/>
                </w:tcPr>
                <w:p>
                  <w:pPr>
                    <w:autoSpaceDE w:val="0"/>
                    <w:autoSpaceDN w:val="0"/>
                    <w:ind w:firstLine="199" w:firstLineChars="95"/>
                    <w:jc w:val="center"/>
                    <w:rPr>
                      <w:color w:val="auto"/>
                      <w:szCs w:val="21"/>
                      <w:lang w:val="zh-CN"/>
                    </w:rPr>
                  </w:pPr>
                  <w:r>
                    <w:rPr>
                      <w:color w:val="auto"/>
                      <w:szCs w:val="21"/>
                      <w:lang w:val="zh-CN"/>
                    </w:rPr>
                    <w:t>车间或生产设施排气筒</w:t>
                  </w:r>
                </w:p>
              </w:tc>
              <w:tc>
                <w:tcPr>
                  <w:tcW w:w="838" w:type="pct"/>
                  <w:tcBorders>
                    <w:top w:val="single" w:color="auto" w:sz="6" w:space="0"/>
                    <w:left w:val="single" w:color="auto" w:sz="6" w:space="0"/>
                    <w:bottom w:val="single" w:color="auto" w:sz="6" w:space="0"/>
                    <w:right w:val="nil"/>
                  </w:tcBorders>
                  <w:vAlign w:val="center"/>
                </w:tcPr>
                <w:p>
                  <w:pPr>
                    <w:autoSpaceDE w:val="0"/>
                    <w:autoSpaceDN w:val="0"/>
                    <w:jc w:val="center"/>
                    <w:rPr>
                      <w:color w:val="auto"/>
                      <w:szCs w:val="21"/>
                    </w:rPr>
                  </w:pPr>
                  <w:r>
                    <w:rPr>
                      <w:color w:val="auto"/>
                      <w:szCs w:val="21"/>
                      <w:lang w:val="zh-CN"/>
                    </w:rPr>
                    <w:t>企业边界</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2167" w:type="pct"/>
                  <w:tcBorders>
                    <w:top w:val="single" w:color="auto" w:sz="6" w:space="0"/>
                    <w:left w:val="nil"/>
                    <w:bottom w:val="single" w:color="auto" w:sz="6" w:space="0"/>
                    <w:right w:val="single" w:color="auto" w:sz="6" w:space="0"/>
                  </w:tcBorders>
                  <w:vAlign w:val="center"/>
                </w:tcPr>
                <w:p>
                  <w:pPr>
                    <w:autoSpaceDE w:val="0"/>
                    <w:autoSpaceDN w:val="0"/>
                    <w:jc w:val="center"/>
                    <w:rPr>
                      <w:color w:val="auto"/>
                      <w:szCs w:val="21"/>
                      <w:lang w:val="zh-CN"/>
                    </w:rPr>
                  </w:pPr>
                  <w:r>
                    <w:rPr>
                      <w:color w:val="auto"/>
                      <w:szCs w:val="21"/>
                      <w:lang w:val="zh-CN"/>
                    </w:rPr>
                    <w:t>非甲烷总烃</w:t>
                  </w:r>
                </w:p>
              </w:tc>
              <w:tc>
                <w:tcPr>
                  <w:tcW w:w="1994" w:type="pct"/>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color w:val="auto"/>
                      <w:szCs w:val="21"/>
                      <w:lang w:val="zh-CN"/>
                    </w:rPr>
                  </w:pPr>
                  <w:r>
                    <w:rPr>
                      <w:snapToGrid w:val="0"/>
                      <w:color w:val="auto"/>
                      <w:szCs w:val="21"/>
                    </w:rPr>
                    <w:t>60</w:t>
                  </w:r>
                </w:p>
              </w:tc>
              <w:tc>
                <w:tcPr>
                  <w:tcW w:w="838" w:type="pct"/>
                  <w:tcBorders>
                    <w:top w:val="single" w:color="auto" w:sz="6" w:space="0"/>
                    <w:left w:val="single" w:color="auto" w:sz="6" w:space="0"/>
                    <w:bottom w:val="single" w:color="auto" w:sz="6" w:space="0"/>
                    <w:right w:val="nil"/>
                  </w:tcBorders>
                  <w:vAlign w:val="center"/>
                </w:tcPr>
                <w:p>
                  <w:pPr>
                    <w:autoSpaceDE w:val="0"/>
                    <w:autoSpaceDN w:val="0"/>
                    <w:ind w:firstLine="199" w:firstLineChars="95"/>
                    <w:jc w:val="center"/>
                    <w:rPr>
                      <w:color w:val="auto"/>
                      <w:szCs w:val="21"/>
                      <w:lang w:val="zh-CN"/>
                    </w:rPr>
                  </w:pPr>
                  <w:r>
                    <w:rPr>
                      <w:color w:val="auto"/>
                      <w:szCs w:val="21"/>
                    </w:rPr>
                    <w:t>4.0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2167" w:type="pct"/>
                  <w:tcBorders>
                    <w:top w:val="single" w:color="auto" w:sz="6" w:space="0"/>
                    <w:left w:val="nil"/>
                    <w:bottom w:val="single" w:color="auto" w:sz="6" w:space="0"/>
                    <w:right w:val="single" w:color="auto" w:sz="6" w:space="0"/>
                  </w:tcBorders>
                  <w:vAlign w:val="center"/>
                </w:tcPr>
                <w:p>
                  <w:pPr>
                    <w:autoSpaceDE w:val="0"/>
                    <w:autoSpaceDN w:val="0"/>
                    <w:jc w:val="center"/>
                    <w:rPr>
                      <w:color w:val="auto"/>
                      <w:szCs w:val="21"/>
                      <w:lang w:val="zh-CN"/>
                    </w:rPr>
                  </w:pPr>
                  <w:r>
                    <w:rPr>
                      <w:rFonts w:hint="eastAsia"/>
                      <w:color w:val="auto"/>
                      <w:szCs w:val="21"/>
                      <w:lang w:val="zh-CN"/>
                    </w:rPr>
                    <w:t>单位产品非甲烷总烃排放量</w:t>
                  </w:r>
                </w:p>
              </w:tc>
              <w:tc>
                <w:tcPr>
                  <w:tcW w:w="2832" w:type="pct"/>
                  <w:gridSpan w:val="2"/>
                  <w:tcBorders>
                    <w:top w:val="single" w:color="auto" w:sz="6" w:space="0"/>
                    <w:left w:val="single" w:color="auto" w:sz="6" w:space="0"/>
                    <w:bottom w:val="single" w:color="auto" w:sz="6" w:space="0"/>
                    <w:right w:val="nil"/>
                  </w:tcBorders>
                  <w:vAlign w:val="center"/>
                </w:tcPr>
                <w:p>
                  <w:pPr>
                    <w:autoSpaceDE w:val="0"/>
                    <w:autoSpaceDN w:val="0"/>
                    <w:ind w:firstLine="199" w:firstLineChars="95"/>
                    <w:jc w:val="center"/>
                    <w:rPr>
                      <w:color w:val="auto"/>
                      <w:szCs w:val="21"/>
                    </w:rPr>
                  </w:pPr>
                  <w:r>
                    <w:rPr>
                      <w:rFonts w:hint="eastAsia"/>
                      <w:snapToGrid w:val="0"/>
                      <w:color w:val="auto"/>
                      <w:szCs w:val="21"/>
                    </w:rPr>
                    <w:t>0.3kg/t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5000" w:type="pct"/>
                  <w:gridSpan w:val="3"/>
                  <w:tcBorders>
                    <w:top w:val="single" w:color="auto" w:sz="6" w:space="0"/>
                    <w:left w:val="nil"/>
                    <w:bottom w:val="single" w:color="auto" w:sz="6" w:space="0"/>
                    <w:right w:val="nil"/>
                  </w:tcBorders>
                  <w:vAlign w:val="center"/>
                </w:tcPr>
                <w:p>
                  <w:pPr>
                    <w:autoSpaceDE w:val="0"/>
                    <w:autoSpaceDN w:val="0"/>
                    <w:rPr>
                      <w:snapToGrid w:val="0"/>
                      <w:color w:val="auto"/>
                      <w:szCs w:val="21"/>
                    </w:rPr>
                  </w:pPr>
                  <w:r>
                    <w:rPr>
                      <w:rFonts w:hint="eastAsia"/>
                      <w:snapToGrid w:val="0"/>
                      <w:color w:val="auto"/>
                      <w:szCs w:val="21"/>
                    </w:rPr>
                    <w:t>注：</w:t>
                  </w:r>
                  <w:r>
                    <w:rPr>
                      <w:rFonts w:hint="eastAsia"/>
                      <w:color w:val="auto"/>
                      <w:vertAlign w:val="superscript"/>
                    </w:rPr>
                    <w:t>（1）</w:t>
                  </w:r>
                  <w:r>
                    <w:rPr>
                      <w:rFonts w:hint="eastAsia"/>
                      <w:color w:val="auto"/>
                    </w:rPr>
                    <w:t>待国家污染物监测方法标准发布后实施</w:t>
                  </w:r>
                </w:p>
              </w:tc>
            </w:tr>
          </w:tbl>
          <w:p>
            <w:pPr>
              <w:autoSpaceDE w:val="0"/>
              <w:autoSpaceDN w:val="0"/>
              <w:adjustRightInd w:val="0"/>
              <w:snapToGrid w:val="0"/>
              <w:spacing w:line="360" w:lineRule="auto"/>
              <w:jc w:val="center"/>
              <w:rPr>
                <w:color w:val="auto"/>
                <w:sz w:val="21"/>
                <w:szCs w:val="21"/>
              </w:rPr>
            </w:pPr>
            <w:r>
              <w:rPr>
                <w:color w:val="auto"/>
                <w:sz w:val="21"/>
                <w:szCs w:val="21"/>
              </w:rPr>
              <w:t>表</w:t>
            </w:r>
            <w:r>
              <w:rPr>
                <w:rFonts w:hint="eastAsia"/>
                <w:color w:val="auto"/>
                <w:sz w:val="21"/>
                <w:szCs w:val="21"/>
              </w:rPr>
              <w:t>3.5</w:t>
            </w:r>
            <w:r>
              <w:rPr>
                <w:color w:val="auto"/>
                <w:sz w:val="21"/>
                <w:szCs w:val="21"/>
              </w:rPr>
              <w:t xml:space="preserve"> 《挥发性有机物无组织排放控制标准》（GB37822-2019）</w:t>
            </w:r>
          </w:p>
          <w:tbl>
            <w:tblPr>
              <w:tblStyle w:val="22"/>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745"/>
              <w:gridCol w:w="2966"/>
              <w:gridCol w:w="228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0" w:type="pct"/>
                  <w:vAlign w:val="center"/>
                </w:tcPr>
                <w:p>
                  <w:pPr>
                    <w:autoSpaceDE w:val="0"/>
                    <w:autoSpaceDN w:val="0"/>
                    <w:adjustRightInd w:val="0"/>
                    <w:snapToGrid w:val="0"/>
                    <w:jc w:val="center"/>
                    <w:rPr>
                      <w:color w:val="auto"/>
                      <w:szCs w:val="21"/>
                    </w:rPr>
                  </w:pPr>
                  <w:r>
                    <w:rPr>
                      <w:color w:val="auto"/>
                      <w:szCs w:val="21"/>
                    </w:rPr>
                    <w:t>污染物</w:t>
                  </w:r>
                </w:p>
                <w:p>
                  <w:pPr>
                    <w:autoSpaceDE w:val="0"/>
                    <w:autoSpaceDN w:val="0"/>
                    <w:adjustRightInd w:val="0"/>
                    <w:snapToGrid w:val="0"/>
                    <w:jc w:val="center"/>
                    <w:rPr>
                      <w:color w:val="auto"/>
                      <w:szCs w:val="21"/>
                    </w:rPr>
                  </w:pPr>
                  <w:r>
                    <w:rPr>
                      <w:color w:val="auto"/>
                      <w:szCs w:val="21"/>
                    </w:rPr>
                    <w:t>项目</w:t>
                  </w:r>
                </w:p>
              </w:tc>
              <w:tc>
                <w:tcPr>
                  <w:tcW w:w="1094" w:type="pct"/>
                  <w:vAlign w:val="center"/>
                </w:tcPr>
                <w:p>
                  <w:pPr>
                    <w:autoSpaceDE w:val="0"/>
                    <w:autoSpaceDN w:val="0"/>
                    <w:adjustRightInd w:val="0"/>
                    <w:snapToGrid w:val="0"/>
                    <w:jc w:val="center"/>
                    <w:rPr>
                      <w:color w:val="auto"/>
                      <w:szCs w:val="21"/>
                    </w:rPr>
                  </w:pPr>
                  <w:r>
                    <w:rPr>
                      <w:color w:val="auto"/>
                      <w:szCs w:val="21"/>
                    </w:rPr>
                    <w:t>特别排放限值</w:t>
                  </w:r>
                </w:p>
              </w:tc>
              <w:tc>
                <w:tcPr>
                  <w:tcW w:w="1860" w:type="pct"/>
                  <w:vAlign w:val="center"/>
                </w:tcPr>
                <w:p>
                  <w:pPr>
                    <w:autoSpaceDE w:val="0"/>
                    <w:autoSpaceDN w:val="0"/>
                    <w:adjustRightInd w:val="0"/>
                    <w:snapToGrid w:val="0"/>
                    <w:jc w:val="center"/>
                    <w:rPr>
                      <w:color w:val="auto"/>
                      <w:szCs w:val="21"/>
                    </w:rPr>
                  </w:pPr>
                  <w:r>
                    <w:rPr>
                      <w:color w:val="auto"/>
                      <w:szCs w:val="21"/>
                    </w:rPr>
                    <w:t>限值含义</w:t>
                  </w:r>
                </w:p>
              </w:tc>
              <w:tc>
                <w:tcPr>
                  <w:tcW w:w="1434" w:type="pct"/>
                  <w:vAlign w:val="center"/>
                </w:tcPr>
                <w:p>
                  <w:pPr>
                    <w:autoSpaceDE w:val="0"/>
                    <w:autoSpaceDN w:val="0"/>
                    <w:adjustRightInd w:val="0"/>
                    <w:snapToGrid w:val="0"/>
                    <w:jc w:val="center"/>
                    <w:rPr>
                      <w:color w:val="auto"/>
                      <w:szCs w:val="21"/>
                    </w:rPr>
                  </w:pPr>
                  <w:r>
                    <w:rPr>
                      <w:color w:val="auto"/>
                      <w:szCs w:val="21"/>
                    </w:rPr>
                    <w:t>无组织排放监控位置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610" w:type="pct"/>
                  <w:vMerge w:val="restart"/>
                  <w:vAlign w:val="center"/>
                </w:tcPr>
                <w:p>
                  <w:pPr>
                    <w:autoSpaceDE w:val="0"/>
                    <w:autoSpaceDN w:val="0"/>
                    <w:adjustRightInd w:val="0"/>
                    <w:snapToGrid w:val="0"/>
                    <w:jc w:val="center"/>
                    <w:rPr>
                      <w:color w:val="auto"/>
                      <w:szCs w:val="21"/>
                    </w:rPr>
                  </w:pPr>
                  <w:r>
                    <w:rPr>
                      <w:color w:val="auto"/>
                      <w:szCs w:val="21"/>
                    </w:rPr>
                    <w:t>NMHC</w:t>
                  </w:r>
                </w:p>
              </w:tc>
              <w:tc>
                <w:tcPr>
                  <w:tcW w:w="1094" w:type="pct"/>
                  <w:vAlign w:val="center"/>
                </w:tcPr>
                <w:p>
                  <w:pPr>
                    <w:autoSpaceDE w:val="0"/>
                    <w:autoSpaceDN w:val="0"/>
                    <w:adjustRightInd w:val="0"/>
                    <w:snapToGrid w:val="0"/>
                    <w:jc w:val="center"/>
                    <w:rPr>
                      <w:color w:val="auto"/>
                      <w:szCs w:val="21"/>
                    </w:rPr>
                  </w:pPr>
                  <w:r>
                    <w:rPr>
                      <w:color w:val="auto"/>
                      <w:szCs w:val="21"/>
                    </w:rPr>
                    <w:t>6</w:t>
                  </w:r>
                </w:p>
              </w:tc>
              <w:tc>
                <w:tcPr>
                  <w:tcW w:w="1860" w:type="pct"/>
                  <w:vAlign w:val="center"/>
                </w:tcPr>
                <w:p>
                  <w:pPr>
                    <w:autoSpaceDE w:val="0"/>
                    <w:autoSpaceDN w:val="0"/>
                    <w:adjustRightInd w:val="0"/>
                    <w:snapToGrid w:val="0"/>
                    <w:jc w:val="center"/>
                    <w:rPr>
                      <w:color w:val="auto"/>
                      <w:szCs w:val="21"/>
                    </w:rPr>
                  </w:pPr>
                  <w:r>
                    <w:rPr>
                      <w:color w:val="auto"/>
                      <w:szCs w:val="21"/>
                    </w:rPr>
                    <w:t>监控点处1h平均浓度值</w:t>
                  </w:r>
                </w:p>
              </w:tc>
              <w:tc>
                <w:tcPr>
                  <w:tcW w:w="1434" w:type="pct"/>
                  <w:vMerge w:val="restart"/>
                  <w:vAlign w:val="center"/>
                </w:tcPr>
                <w:p>
                  <w:pPr>
                    <w:autoSpaceDE w:val="0"/>
                    <w:autoSpaceDN w:val="0"/>
                    <w:adjustRightInd w:val="0"/>
                    <w:snapToGrid w:val="0"/>
                    <w:jc w:val="center"/>
                    <w:rPr>
                      <w:color w:val="auto"/>
                      <w:szCs w:val="21"/>
                    </w:rPr>
                  </w:pPr>
                  <w:r>
                    <w:rPr>
                      <w:color w:val="auto"/>
                      <w:szCs w:val="21"/>
                    </w:rPr>
                    <w:t>在厂房外设置监控点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610" w:type="pct"/>
                  <w:vMerge w:val="continue"/>
                  <w:vAlign w:val="center"/>
                </w:tcPr>
                <w:p>
                  <w:pPr>
                    <w:autoSpaceDE w:val="0"/>
                    <w:autoSpaceDN w:val="0"/>
                    <w:adjustRightInd w:val="0"/>
                    <w:snapToGrid w:val="0"/>
                    <w:jc w:val="center"/>
                    <w:rPr>
                      <w:color w:val="auto"/>
                      <w:szCs w:val="21"/>
                    </w:rPr>
                  </w:pPr>
                </w:p>
              </w:tc>
              <w:tc>
                <w:tcPr>
                  <w:tcW w:w="1094" w:type="pct"/>
                  <w:vAlign w:val="center"/>
                </w:tcPr>
                <w:p>
                  <w:pPr>
                    <w:autoSpaceDE w:val="0"/>
                    <w:autoSpaceDN w:val="0"/>
                    <w:adjustRightInd w:val="0"/>
                    <w:snapToGrid w:val="0"/>
                    <w:jc w:val="center"/>
                    <w:rPr>
                      <w:color w:val="auto"/>
                      <w:szCs w:val="21"/>
                    </w:rPr>
                  </w:pPr>
                  <w:r>
                    <w:rPr>
                      <w:color w:val="auto"/>
                      <w:szCs w:val="21"/>
                    </w:rPr>
                    <w:t>20</w:t>
                  </w:r>
                </w:p>
              </w:tc>
              <w:tc>
                <w:tcPr>
                  <w:tcW w:w="1860" w:type="pct"/>
                  <w:vAlign w:val="center"/>
                </w:tcPr>
                <w:p>
                  <w:pPr>
                    <w:autoSpaceDE w:val="0"/>
                    <w:autoSpaceDN w:val="0"/>
                    <w:adjustRightInd w:val="0"/>
                    <w:snapToGrid w:val="0"/>
                    <w:jc w:val="center"/>
                    <w:rPr>
                      <w:color w:val="auto"/>
                      <w:szCs w:val="21"/>
                    </w:rPr>
                  </w:pPr>
                  <w:r>
                    <w:rPr>
                      <w:color w:val="auto"/>
                      <w:szCs w:val="21"/>
                    </w:rPr>
                    <w:t>监控点处任意一次浓度值</w:t>
                  </w:r>
                </w:p>
              </w:tc>
              <w:tc>
                <w:tcPr>
                  <w:tcW w:w="1434" w:type="pct"/>
                  <w:vMerge w:val="continue"/>
                  <w:vAlign w:val="center"/>
                </w:tcPr>
                <w:p>
                  <w:pPr>
                    <w:autoSpaceDE w:val="0"/>
                    <w:autoSpaceDN w:val="0"/>
                    <w:adjustRightInd w:val="0"/>
                    <w:snapToGrid w:val="0"/>
                    <w:jc w:val="left"/>
                    <w:rPr>
                      <w:color w:val="auto"/>
                      <w:szCs w:val="21"/>
                    </w:rPr>
                  </w:pPr>
                </w:p>
              </w:tc>
            </w:tr>
          </w:tbl>
          <w:p>
            <w:pPr>
              <w:autoSpaceDE w:val="0"/>
              <w:autoSpaceDN w:val="0"/>
              <w:adjustRightInd w:val="0"/>
              <w:snapToGrid w:val="0"/>
              <w:spacing w:line="360" w:lineRule="auto"/>
              <w:ind w:firstLine="420" w:firstLineChars="200"/>
              <w:jc w:val="left"/>
              <w:rPr>
                <w:color w:val="auto"/>
                <w:szCs w:val="21"/>
              </w:rPr>
            </w:pPr>
            <w:r>
              <w:rPr>
                <w:color w:val="auto"/>
                <w:szCs w:val="21"/>
              </w:rPr>
              <w:t>表</w:t>
            </w:r>
            <w:r>
              <w:rPr>
                <w:rFonts w:hint="eastAsia"/>
                <w:color w:val="auto"/>
                <w:kern w:val="0"/>
                <w:szCs w:val="21"/>
              </w:rPr>
              <w:t>3.6</w:t>
            </w:r>
            <w:r>
              <w:rPr>
                <w:color w:val="auto"/>
                <w:kern w:val="0"/>
                <w:szCs w:val="21"/>
              </w:rPr>
              <w:t xml:space="preserve"> 《餐饮业大气污染物排放</w:t>
            </w:r>
            <w:r>
              <w:rPr>
                <w:color w:val="auto"/>
                <w:szCs w:val="21"/>
              </w:rPr>
              <w:t>标准》（DB50/859-2018） 单位：</w:t>
            </w:r>
            <w:r>
              <w:rPr>
                <w:color w:val="auto"/>
                <w:kern w:val="0"/>
                <w:szCs w:val="21"/>
              </w:rPr>
              <w:t>mg/m</w:t>
            </w:r>
            <w:r>
              <w:rPr>
                <w:color w:val="auto"/>
                <w:kern w:val="0"/>
                <w:szCs w:val="21"/>
                <w:vertAlign w:val="superscript"/>
              </w:rPr>
              <w:t>3</w:t>
            </w:r>
          </w:p>
          <w:tbl>
            <w:tblPr>
              <w:tblStyle w:val="2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4"/>
              <w:gridCol w:w="40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kern w:val="0"/>
                      <w:szCs w:val="21"/>
                    </w:rPr>
                  </w:pPr>
                  <w:r>
                    <w:rPr>
                      <w:color w:val="auto"/>
                      <w:kern w:val="0"/>
                      <w:szCs w:val="21"/>
                    </w:rPr>
                    <w:t>污染物</w:t>
                  </w:r>
                </w:p>
              </w:tc>
              <w:tc>
                <w:tcPr>
                  <w:tcW w:w="4642" w:type="dxa"/>
                  <w:tcBorders>
                    <w:top w:val="single" w:color="auto" w:sz="4" w:space="0"/>
                    <w:left w:val="single" w:color="auto" w:sz="4" w:space="0"/>
                    <w:bottom w:val="single" w:color="auto" w:sz="4" w:space="0"/>
                    <w:right w:val="nil"/>
                  </w:tcBorders>
                  <w:vAlign w:val="center"/>
                </w:tcPr>
                <w:p>
                  <w:pPr>
                    <w:autoSpaceDE w:val="0"/>
                    <w:autoSpaceDN w:val="0"/>
                    <w:adjustRightInd w:val="0"/>
                    <w:snapToGrid w:val="0"/>
                    <w:jc w:val="center"/>
                    <w:rPr>
                      <w:color w:val="auto"/>
                      <w:kern w:val="0"/>
                      <w:szCs w:val="21"/>
                    </w:rPr>
                  </w:pPr>
                  <w:r>
                    <w:rPr>
                      <w:color w:val="auto"/>
                      <w:kern w:val="0"/>
                      <w:szCs w:val="21"/>
                    </w:rPr>
                    <w:t>最高允许排放浓度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4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kern w:val="0"/>
                      <w:szCs w:val="21"/>
                    </w:rPr>
                  </w:pPr>
                  <w:r>
                    <w:rPr>
                      <w:color w:val="auto"/>
                      <w:kern w:val="0"/>
                      <w:szCs w:val="21"/>
                    </w:rPr>
                    <w:t>油烟</w:t>
                  </w:r>
                </w:p>
              </w:tc>
              <w:tc>
                <w:tcPr>
                  <w:tcW w:w="4642" w:type="dxa"/>
                  <w:tcBorders>
                    <w:top w:val="single" w:color="auto" w:sz="4" w:space="0"/>
                    <w:left w:val="single" w:color="auto" w:sz="4" w:space="0"/>
                    <w:bottom w:val="single" w:color="auto" w:sz="4" w:space="0"/>
                    <w:right w:val="nil"/>
                  </w:tcBorders>
                  <w:vAlign w:val="center"/>
                </w:tcPr>
                <w:p>
                  <w:pPr>
                    <w:autoSpaceDE w:val="0"/>
                    <w:autoSpaceDN w:val="0"/>
                    <w:adjustRightInd w:val="0"/>
                    <w:snapToGrid w:val="0"/>
                    <w:jc w:val="center"/>
                    <w:rPr>
                      <w:color w:val="auto"/>
                      <w:kern w:val="0"/>
                      <w:szCs w:val="21"/>
                    </w:rPr>
                  </w:pPr>
                  <w:r>
                    <w:rPr>
                      <w:color w:val="auto"/>
                      <w:kern w:val="0"/>
                      <w:szCs w:val="21"/>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64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kern w:val="0"/>
                      <w:szCs w:val="21"/>
                    </w:rPr>
                  </w:pPr>
                  <w:r>
                    <w:rPr>
                      <w:color w:val="auto"/>
                      <w:kern w:val="0"/>
                      <w:szCs w:val="21"/>
                    </w:rPr>
                    <w:t>非甲烷总烃</w:t>
                  </w:r>
                </w:p>
              </w:tc>
              <w:tc>
                <w:tcPr>
                  <w:tcW w:w="4642" w:type="dxa"/>
                  <w:tcBorders>
                    <w:top w:val="single" w:color="auto" w:sz="4" w:space="0"/>
                    <w:left w:val="single" w:color="auto" w:sz="4" w:space="0"/>
                    <w:bottom w:val="single" w:color="auto" w:sz="4" w:space="0"/>
                    <w:right w:val="nil"/>
                  </w:tcBorders>
                  <w:vAlign w:val="center"/>
                </w:tcPr>
                <w:p>
                  <w:pPr>
                    <w:autoSpaceDE w:val="0"/>
                    <w:autoSpaceDN w:val="0"/>
                    <w:adjustRightInd w:val="0"/>
                    <w:snapToGrid w:val="0"/>
                    <w:jc w:val="center"/>
                    <w:rPr>
                      <w:color w:val="auto"/>
                      <w:kern w:val="0"/>
                      <w:szCs w:val="21"/>
                    </w:rPr>
                  </w:pPr>
                  <w:r>
                    <w:rPr>
                      <w:color w:val="auto"/>
                      <w:kern w:val="0"/>
                      <w:szCs w:val="21"/>
                    </w:rPr>
                    <w:t>10.0</w:t>
                  </w:r>
                </w:p>
              </w:tc>
            </w:tr>
          </w:tbl>
          <w:p>
            <w:pPr>
              <w:pStyle w:val="2"/>
              <w:rPr>
                <w:rFonts w:ascii="Times New Roman" w:cs="Times New Roman"/>
                <w:b/>
                <w:bCs/>
                <w:color w:val="auto"/>
              </w:rPr>
            </w:pPr>
            <w:r>
              <w:rPr>
                <w:rFonts w:ascii="Times New Roman" w:cs="Times New Roman"/>
                <w:b/>
                <w:bCs/>
                <w:color w:val="auto"/>
              </w:rPr>
              <w:t>废水排放标准</w:t>
            </w:r>
          </w:p>
          <w:p>
            <w:pPr>
              <w:spacing w:line="360" w:lineRule="auto"/>
              <w:ind w:firstLine="480" w:firstLineChars="200"/>
              <w:rPr>
                <w:color w:val="auto"/>
                <w:sz w:val="21"/>
                <w:szCs w:val="21"/>
              </w:rPr>
            </w:pPr>
            <w:r>
              <w:rPr>
                <w:rFonts w:hint="eastAsia"/>
                <w:color w:val="auto"/>
                <w:sz w:val="24"/>
              </w:rPr>
              <w:t>废水经自建</w:t>
            </w:r>
            <w:r>
              <w:rPr>
                <w:color w:val="auto"/>
                <w:sz w:val="24"/>
              </w:rPr>
              <w:t>污水处理设施</w:t>
            </w:r>
            <w:r>
              <w:rPr>
                <w:rFonts w:hint="eastAsia"/>
                <w:color w:val="auto"/>
                <w:sz w:val="24"/>
              </w:rPr>
              <w:t>处理</w:t>
            </w:r>
            <w:r>
              <w:rPr>
                <w:color w:val="auto"/>
                <w:sz w:val="24"/>
              </w:rPr>
              <w:t>达《污水综合排放标准》（GB8978-1996）三级排放标准排入市政污水管网</w:t>
            </w:r>
            <w:r>
              <w:rPr>
                <w:rFonts w:hint="eastAsia"/>
                <w:color w:val="auto"/>
                <w:sz w:val="24"/>
              </w:rPr>
              <w:t>，再</w:t>
            </w:r>
            <w:r>
              <w:rPr>
                <w:color w:val="auto"/>
                <w:sz w:val="24"/>
              </w:rPr>
              <w:t>经</w:t>
            </w:r>
            <w:r>
              <w:rPr>
                <w:rFonts w:hint="eastAsia"/>
                <w:color w:val="auto"/>
                <w:sz w:val="24"/>
              </w:rPr>
              <w:t>东城</w:t>
            </w:r>
            <w:r>
              <w:rPr>
                <w:color w:val="auto"/>
                <w:sz w:val="24"/>
              </w:rPr>
              <w:t>污水处理厂深度处理达《城镇污水处理厂污染物排放标准》（GB18918—2002）一级</w:t>
            </w:r>
            <w:r>
              <w:rPr>
                <w:rFonts w:hint="eastAsia"/>
                <w:color w:val="auto"/>
                <w:sz w:val="24"/>
              </w:rPr>
              <w:t>B</w:t>
            </w:r>
            <w:r>
              <w:rPr>
                <w:color w:val="auto"/>
                <w:sz w:val="24"/>
              </w:rPr>
              <w:t>标准后排入</w:t>
            </w:r>
            <w:r>
              <w:rPr>
                <w:rFonts w:hint="eastAsia"/>
                <w:color w:val="auto"/>
                <w:sz w:val="24"/>
              </w:rPr>
              <w:t>淮远河</w:t>
            </w:r>
            <w:r>
              <w:rPr>
                <w:color w:val="auto"/>
                <w:sz w:val="24"/>
              </w:rPr>
              <w:t>，详见表3.</w:t>
            </w:r>
            <w:r>
              <w:rPr>
                <w:rFonts w:hint="eastAsia"/>
                <w:color w:val="auto"/>
                <w:sz w:val="24"/>
              </w:rPr>
              <w:t>7</w:t>
            </w:r>
            <w:r>
              <w:rPr>
                <w:color w:val="auto"/>
                <w:sz w:val="24"/>
              </w:rPr>
              <w:t>、表3.</w:t>
            </w:r>
            <w:r>
              <w:rPr>
                <w:rFonts w:hint="eastAsia"/>
                <w:color w:val="auto"/>
                <w:sz w:val="24"/>
              </w:rPr>
              <w:t>8</w:t>
            </w:r>
            <w:r>
              <w:rPr>
                <w:color w:val="auto"/>
                <w:sz w:val="24"/>
              </w:rPr>
              <w:t>。</w:t>
            </w:r>
          </w:p>
          <w:p>
            <w:pPr>
              <w:spacing w:line="360" w:lineRule="auto"/>
              <w:jc w:val="center"/>
              <w:rPr>
                <w:bCs/>
                <w:color w:val="auto"/>
                <w:sz w:val="21"/>
                <w:szCs w:val="21"/>
                <w:highlight w:val="none"/>
              </w:rPr>
            </w:pPr>
            <w:r>
              <w:rPr>
                <w:color w:val="auto"/>
                <w:sz w:val="21"/>
                <w:szCs w:val="21"/>
                <w:highlight w:val="none"/>
              </w:rPr>
              <w:t>表3.</w:t>
            </w:r>
            <w:r>
              <w:rPr>
                <w:rFonts w:hint="eastAsia"/>
                <w:color w:val="auto"/>
                <w:sz w:val="21"/>
                <w:szCs w:val="21"/>
                <w:highlight w:val="none"/>
              </w:rPr>
              <w:t>7</w:t>
            </w:r>
            <w:r>
              <w:rPr>
                <w:color w:val="auto"/>
                <w:sz w:val="21"/>
                <w:szCs w:val="21"/>
                <w:highlight w:val="none"/>
              </w:rPr>
              <w:t xml:space="preserve"> 《污水综合排放标准》（GB8978-1996） 单位：</w:t>
            </w:r>
            <w:r>
              <w:rPr>
                <w:bCs/>
                <w:color w:val="auto"/>
                <w:sz w:val="21"/>
                <w:szCs w:val="21"/>
                <w:highlight w:val="none"/>
              </w:rPr>
              <w:t>mg/L</w:t>
            </w:r>
          </w:p>
          <w:tbl>
            <w:tblPr>
              <w:tblStyle w:val="22"/>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855"/>
              <w:gridCol w:w="944"/>
              <w:gridCol w:w="687"/>
              <w:gridCol w:w="823"/>
              <w:gridCol w:w="1372"/>
              <w:gridCol w:w="13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tcBorders>
                    <w:top w:val="single" w:color="auto" w:sz="4" w:space="0"/>
                    <w:left w:val="nil"/>
                    <w:bottom w:val="single" w:color="auto" w:sz="4" w:space="0"/>
                    <w:right w:val="single" w:color="auto" w:sz="4" w:space="0"/>
                  </w:tcBorders>
                  <w:vAlign w:val="center"/>
                </w:tcPr>
                <w:p>
                  <w:pPr>
                    <w:snapToGrid w:val="0"/>
                    <w:jc w:val="center"/>
                    <w:rPr>
                      <w:color w:val="auto"/>
                      <w:szCs w:val="21"/>
                    </w:rPr>
                  </w:pPr>
                  <w:r>
                    <w:rPr>
                      <w:color w:val="auto"/>
                      <w:szCs w:val="21"/>
                    </w:rPr>
                    <w:t>污染物</w:t>
                  </w:r>
                </w:p>
              </w:tc>
              <w:tc>
                <w:tcPr>
                  <w:tcW w:w="536"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COD</w:t>
                  </w:r>
                </w:p>
              </w:tc>
              <w:tc>
                <w:tcPr>
                  <w:tcW w:w="59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BOD</w:t>
                  </w:r>
                  <w:r>
                    <w:rPr>
                      <w:color w:val="auto"/>
                      <w:szCs w:val="21"/>
                      <w:vertAlign w:val="subscript"/>
                    </w:rPr>
                    <w:t>5</w:t>
                  </w:r>
                </w:p>
              </w:tc>
              <w:tc>
                <w:tcPr>
                  <w:tcW w:w="43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SS</w:t>
                  </w:r>
                </w:p>
              </w:tc>
              <w:tc>
                <w:tcPr>
                  <w:tcW w:w="516"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氨氮</w:t>
                  </w:r>
                </w:p>
              </w:tc>
              <w:tc>
                <w:tcPr>
                  <w:tcW w:w="860" w:type="pct"/>
                  <w:tcBorders>
                    <w:top w:val="single" w:color="auto" w:sz="4" w:space="0"/>
                    <w:left w:val="single" w:color="auto" w:sz="4" w:space="0"/>
                    <w:bottom w:val="single" w:color="auto" w:sz="4" w:space="0"/>
                    <w:right w:val="nil"/>
                  </w:tcBorders>
                  <w:vAlign w:val="center"/>
                </w:tcPr>
                <w:p>
                  <w:pPr>
                    <w:snapToGrid w:val="0"/>
                    <w:jc w:val="center"/>
                    <w:rPr>
                      <w:rFonts w:hint="eastAsia" w:eastAsia="宋体"/>
                      <w:color w:val="auto"/>
                      <w:szCs w:val="21"/>
                      <w:lang w:eastAsia="zh-CN"/>
                    </w:rPr>
                  </w:pPr>
                  <w:r>
                    <w:rPr>
                      <w:rFonts w:hint="eastAsia"/>
                      <w:color w:val="auto"/>
                      <w:szCs w:val="21"/>
                      <w:lang w:eastAsia="zh-CN"/>
                    </w:rPr>
                    <w:t>石油类</w:t>
                  </w:r>
                </w:p>
              </w:tc>
              <w:tc>
                <w:tcPr>
                  <w:tcW w:w="860" w:type="pct"/>
                  <w:tcBorders>
                    <w:top w:val="single" w:color="auto" w:sz="4" w:space="0"/>
                    <w:left w:val="single" w:color="auto" w:sz="4" w:space="0"/>
                    <w:bottom w:val="single" w:color="auto" w:sz="4" w:space="0"/>
                    <w:right w:val="nil"/>
                  </w:tcBorders>
                  <w:vAlign w:val="center"/>
                </w:tcPr>
                <w:p>
                  <w:pPr>
                    <w:snapToGrid w:val="0"/>
                    <w:jc w:val="center"/>
                    <w:rPr>
                      <w:color w:val="auto"/>
                      <w:szCs w:val="21"/>
                    </w:rPr>
                  </w:pPr>
                  <w:r>
                    <w:rPr>
                      <w:rFonts w:hint="eastAsia"/>
                      <w:color w:val="auto"/>
                      <w:szCs w:val="21"/>
                    </w:rPr>
                    <w:t>动植物油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02" w:type="pct"/>
                  <w:tcBorders>
                    <w:top w:val="single" w:color="auto" w:sz="4" w:space="0"/>
                    <w:left w:val="nil"/>
                    <w:bottom w:val="single" w:color="auto" w:sz="4" w:space="0"/>
                    <w:right w:val="single" w:color="auto" w:sz="4" w:space="0"/>
                  </w:tcBorders>
                  <w:vAlign w:val="center"/>
                </w:tcPr>
                <w:p>
                  <w:pPr>
                    <w:snapToGrid w:val="0"/>
                    <w:jc w:val="center"/>
                    <w:rPr>
                      <w:color w:val="auto"/>
                      <w:szCs w:val="21"/>
                    </w:rPr>
                  </w:pPr>
                  <w:r>
                    <w:rPr>
                      <w:color w:val="auto"/>
                      <w:szCs w:val="21"/>
                    </w:rPr>
                    <w:t>三级</w:t>
                  </w:r>
                  <w:r>
                    <w:rPr>
                      <w:rFonts w:hint="eastAsia"/>
                      <w:color w:val="auto"/>
                      <w:szCs w:val="21"/>
                    </w:rPr>
                    <w:t>排放</w:t>
                  </w:r>
                  <w:r>
                    <w:rPr>
                      <w:color w:val="auto"/>
                      <w:szCs w:val="21"/>
                    </w:rPr>
                    <w:t>标准</w:t>
                  </w:r>
                </w:p>
              </w:tc>
              <w:tc>
                <w:tcPr>
                  <w:tcW w:w="536"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500</w:t>
                  </w:r>
                </w:p>
              </w:tc>
              <w:tc>
                <w:tcPr>
                  <w:tcW w:w="592" w:type="pct"/>
                  <w:tcBorders>
                    <w:top w:val="single" w:color="auto" w:sz="4" w:space="0"/>
                    <w:left w:val="single" w:color="auto" w:sz="4" w:space="0"/>
                    <w:bottom w:val="single" w:color="auto" w:sz="4" w:space="0"/>
                    <w:right w:val="single" w:color="auto" w:sz="4" w:space="0"/>
                  </w:tcBorders>
                </w:tcPr>
                <w:p>
                  <w:pPr>
                    <w:snapToGrid w:val="0"/>
                    <w:jc w:val="center"/>
                    <w:rPr>
                      <w:color w:val="auto"/>
                      <w:szCs w:val="21"/>
                    </w:rPr>
                  </w:pPr>
                  <w:r>
                    <w:rPr>
                      <w:color w:val="auto"/>
                      <w:szCs w:val="21"/>
                    </w:rPr>
                    <w:t>300</w:t>
                  </w:r>
                </w:p>
              </w:tc>
              <w:tc>
                <w:tcPr>
                  <w:tcW w:w="43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rPr>
                  </w:pPr>
                  <w:r>
                    <w:rPr>
                      <w:color w:val="auto"/>
                      <w:szCs w:val="21"/>
                    </w:rPr>
                    <w:t>400</w:t>
                  </w:r>
                </w:p>
              </w:tc>
              <w:tc>
                <w:tcPr>
                  <w:tcW w:w="516" w:type="pct"/>
                  <w:tcBorders>
                    <w:top w:val="single" w:color="auto" w:sz="4" w:space="0"/>
                    <w:left w:val="single" w:color="auto" w:sz="4" w:space="0"/>
                    <w:bottom w:val="single" w:color="auto" w:sz="4" w:space="0"/>
                    <w:right w:val="single" w:color="auto" w:sz="4" w:space="0"/>
                  </w:tcBorders>
                </w:tcPr>
                <w:p>
                  <w:pPr>
                    <w:snapToGrid w:val="0"/>
                    <w:jc w:val="center"/>
                    <w:rPr>
                      <w:color w:val="auto"/>
                      <w:szCs w:val="21"/>
                    </w:rPr>
                  </w:pPr>
                  <w:r>
                    <w:rPr>
                      <w:color w:val="auto"/>
                      <w:szCs w:val="21"/>
                    </w:rPr>
                    <w:t>45*</w:t>
                  </w:r>
                </w:p>
              </w:tc>
              <w:tc>
                <w:tcPr>
                  <w:tcW w:w="860" w:type="pct"/>
                  <w:tcBorders>
                    <w:top w:val="single" w:color="auto" w:sz="4" w:space="0"/>
                    <w:left w:val="single" w:color="auto" w:sz="4" w:space="0"/>
                    <w:bottom w:val="single" w:color="auto" w:sz="4" w:space="0"/>
                    <w:right w:val="nil"/>
                  </w:tcBorders>
                </w:tcPr>
                <w:p>
                  <w:pPr>
                    <w:snapToGrid w:val="0"/>
                    <w:jc w:val="center"/>
                    <w:rPr>
                      <w:rFonts w:hint="default" w:eastAsia="宋体"/>
                      <w:color w:val="auto"/>
                      <w:szCs w:val="21"/>
                      <w:lang w:val="en-US" w:eastAsia="zh-CN"/>
                    </w:rPr>
                  </w:pPr>
                  <w:r>
                    <w:rPr>
                      <w:rFonts w:hint="eastAsia"/>
                      <w:color w:val="auto"/>
                      <w:szCs w:val="21"/>
                      <w:lang w:val="en-US" w:eastAsia="zh-CN"/>
                    </w:rPr>
                    <w:t>20</w:t>
                  </w:r>
                </w:p>
              </w:tc>
              <w:tc>
                <w:tcPr>
                  <w:tcW w:w="860" w:type="pct"/>
                  <w:tcBorders>
                    <w:top w:val="single" w:color="auto" w:sz="4" w:space="0"/>
                    <w:left w:val="single" w:color="auto" w:sz="4" w:space="0"/>
                    <w:bottom w:val="single" w:color="auto" w:sz="4" w:space="0"/>
                    <w:right w:val="nil"/>
                  </w:tcBorders>
                </w:tcPr>
                <w:p>
                  <w:pPr>
                    <w:snapToGrid w:val="0"/>
                    <w:jc w:val="center"/>
                    <w:rPr>
                      <w:color w:val="auto"/>
                      <w:szCs w:val="21"/>
                    </w:rPr>
                  </w:pPr>
                  <w:r>
                    <w:rPr>
                      <w:rFonts w:hint="eastAsia"/>
                      <w:color w:val="auto"/>
                      <w:szCs w:val="21"/>
                    </w:rPr>
                    <w:t>100</w:t>
                  </w:r>
                </w:p>
              </w:tc>
            </w:tr>
          </w:tbl>
          <w:p>
            <w:pPr>
              <w:spacing w:line="360" w:lineRule="auto"/>
              <w:jc w:val="center"/>
              <w:rPr>
                <w:bCs/>
                <w:snapToGrid w:val="0"/>
                <w:color w:val="auto"/>
                <w:kern w:val="0"/>
                <w:sz w:val="21"/>
                <w:szCs w:val="21"/>
              </w:rPr>
            </w:pPr>
          </w:p>
          <w:p>
            <w:pPr>
              <w:spacing w:line="360" w:lineRule="auto"/>
              <w:jc w:val="center"/>
              <w:rPr>
                <w:color w:val="auto"/>
                <w:sz w:val="21"/>
                <w:szCs w:val="21"/>
              </w:rPr>
            </w:pPr>
            <w:r>
              <w:rPr>
                <w:bCs/>
                <w:snapToGrid w:val="0"/>
                <w:color w:val="auto"/>
                <w:kern w:val="0"/>
                <w:sz w:val="21"/>
                <w:szCs w:val="21"/>
              </w:rPr>
              <w:t>表</w:t>
            </w:r>
            <w:r>
              <w:rPr>
                <w:rFonts w:hint="eastAsia"/>
                <w:bCs/>
                <w:snapToGrid w:val="0"/>
                <w:color w:val="auto"/>
                <w:kern w:val="0"/>
                <w:sz w:val="21"/>
                <w:szCs w:val="21"/>
              </w:rPr>
              <w:t>3.8</w:t>
            </w:r>
            <w:r>
              <w:rPr>
                <w:bCs/>
                <w:snapToGrid w:val="0"/>
                <w:color w:val="auto"/>
                <w:kern w:val="0"/>
                <w:sz w:val="21"/>
                <w:szCs w:val="21"/>
              </w:rPr>
              <w:t xml:space="preserve"> 《城镇污水处理厂污染物排放标准》(GB18918-2002) 单位：mg/L</w:t>
            </w:r>
          </w:p>
          <w:tbl>
            <w:tblPr>
              <w:tblStyle w:val="22"/>
              <w:tblW w:w="4997"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591"/>
              <w:gridCol w:w="962"/>
              <w:gridCol w:w="1061"/>
              <w:gridCol w:w="656"/>
              <w:gridCol w:w="927"/>
              <w:gridCol w:w="1233"/>
              <w:gridCol w:w="1539"/>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998" w:type="pct"/>
                  <w:tcBorders>
                    <w:top w:val="single" w:color="auto" w:sz="6" w:space="0"/>
                    <w:left w:val="nil"/>
                    <w:bottom w:val="single" w:color="auto" w:sz="6" w:space="0"/>
                    <w:right w:val="single" w:color="auto" w:sz="6" w:space="0"/>
                    <w:tl2br w:val="single" w:color="auto" w:sz="4" w:space="0"/>
                  </w:tcBorders>
                </w:tcPr>
                <w:p>
                  <w:pPr>
                    <w:snapToGrid w:val="0"/>
                    <w:spacing w:line="216" w:lineRule="auto"/>
                    <w:jc w:val="right"/>
                    <w:rPr>
                      <w:snapToGrid w:val="0"/>
                      <w:color w:val="auto"/>
                      <w:kern w:val="0"/>
                      <w:szCs w:val="21"/>
                    </w:rPr>
                  </w:pPr>
                  <w:r>
                    <w:rPr>
                      <w:rFonts w:hint="eastAsia"/>
                      <w:snapToGrid w:val="0"/>
                      <w:color w:val="auto"/>
                      <w:kern w:val="0"/>
                      <w:szCs w:val="21"/>
                    </w:rPr>
                    <w:t>污染物</w:t>
                  </w:r>
                </w:p>
                <w:p>
                  <w:pPr>
                    <w:snapToGrid w:val="0"/>
                    <w:spacing w:line="216" w:lineRule="auto"/>
                    <w:rPr>
                      <w:snapToGrid w:val="0"/>
                      <w:color w:val="auto"/>
                      <w:kern w:val="0"/>
                      <w:szCs w:val="21"/>
                    </w:rPr>
                  </w:pPr>
                  <w:r>
                    <w:rPr>
                      <w:rFonts w:hint="eastAsia"/>
                      <w:snapToGrid w:val="0"/>
                      <w:color w:val="auto"/>
                      <w:kern w:val="0"/>
                      <w:szCs w:val="21"/>
                    </w:rPr>
                    <w:t>标准</w:t>
                  </w:r>
                </w:p>
              </w:tc>
              <w:tc>
                <w:tcPr>
                  <w:tcW w:w="603"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lang w:val="en-GB"/>
                    </w:rPr>
                  </w:pPr>
                  <w:r>
                    <w:rPr>
                      <w:snapToGrid w:val="0"/>
                      <w:color w:val="auto"/>
                      <w:kern w:val="0"/>
                      <w:szCs w:val="21"/>
                      <w:lang w:val="en-GB"/>
                    </w:rPr>
                    <w:t>COD</w:t>
                  </w:r>
                </w:p>
              </w:tc>
              <w:tc>
                <w:tcPr>
                  <w:tcW w:w="665"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lang w:val="en-GB"/>
                    </w:rPr>
                  </w:pPr>
                  <w:r>
                    <w:rPr>
                      <w:snapToGrid w:val="0"/>
                      <w:color w:val="auto"/>
                      <w:kern w:val="0"/>
                      <w:szCs w:val="21"/>
                      <w:lang w:val="en-GB"/>
                    </w:rPr>
                    <w:t>BOD</w:t>
                  </w:r>
                  <w:r>
                    <w:rPr>
                      <w:snapToGrid w:val="0"/>
                      <w:color w:val="auto"/>
                      <w:kern w:val="0"/>
                      <w:szCs w:val="21"/>
                      <w:vertAlign w:val="subscript"/>
                      <w:lang w:val="en-GB"/>
                    </w:rPr>
                    <w:t>5</w:t>
                  </w:r>
                </w:p>
              </w:tc>
              <w:tc>
                <w:tcPr>
                  <w:tcW w:w="411"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lang w:val="en-GB"/>
                    </w:rPr>
                  </w:pPr>
                  <w:r>
                    <w:rPr>
                      <w:snapToGrid w:val="0"/>
                      <w:color w:val="auto"/>
                      <w:kern w:val="0"/>
                      <w:szCs w:val="21"/>
                      <w:lang w:val="en-GB"/>
                    </w:rPr>
                    <w:t>SS</w:t>
                  </w:r>
                </w:p>
              </w:tc>
              <w:tc>
                <w:tcPr>
                  <w:tcW w:w="581"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lang w:val="en-GB"/>
                    </w:rPr>
                  </w:pPr>
                  <w:r>
                    <w:rPr>
                      <w:rFonts w:hint="eastAsia"/>
                      <w:snapToGrid w:val="0"/>
                      <w:color w:val="auto"/>
                      <w:kern w:val="0"/>
                      <w:szCs w:val="21"/>
                      <w:lang w:val="en-GB"/>
                    </w:rPr>
                    <w:t>氨氮</w:t>
                  </w:r>
                </w:p>
              </w:tc>
              <w:tc>
                <w:tcPr>
                  <w:tcW w:w="773" w:type="pct"/>
                  <w:tcBorders>
                    <w:top w:val="single" w:color="auto" w:sz="6" w:space="0"/>
                    <w:left w:val="single" w:color="auto" w:sz="6" w:space="0"/>
                    <w:bottom w:val="single" w:color="auto" w:sz="6" w:space="0"/>
                    <w:right w:val="nil"/>
                  </w:tcBorders>
                  <w:vAlign w:val="center"/>
                </w:tcPr>
                <w:p>
                  <w:pPr>
                    <w:snapToGrid w:val="0"/>
                    <w:spacing w:line="216" w:lineRule="auto"/>
                    <w:jc w:val="center"/>
                    <w:rPr>
                      <w:rFonts w:hint="eastAsia" w:eastAsia="宋体"/>
                      <w:snapToGrid w:val="0"/>
                      <w:color w:val="auto"/>
                      <w:kern w:val="0"/>
                      <w:szCs w:val="21"/>
                      <w:lang w:val="en-GB" w:eastAsia="zh-CN"/>
                    </w:rPr>
                  </w:pPr>
                  <w:r>
                    <w:rPr>
                      <w:rFonts w:hint="eastAsia"/>
                      <w:snapToGrid w:val="0"/>
                      <w:color w:val="auto"/>
                      <w:kern w:val="0"/>
                      <w:szCs w:val="21"/>
                      <w:lang w:val="en-GB" w:eastAsia="zh-CN"/>
                    </w:rPr>
                    <w:t>石油类</w:t>
                  </w:r>
                </w:p>
              </w:tc>
              <w:tc>
                <w:tcPr>
                  <w:tcW w:w="965" w:type="pct"/>
                  <w:tcBorders>
                    <w:top w:val="single" w:color="auto" w:sz="6" w:space="0"/>
                    <w:left w:val="single" w:color="auto" w:sz="6" w:space="0"/>
                    <w:bottom w:val="single" w:color="auto" w:sz="6" w:space="0"/>
                    <w:right w:val="nil"/>
                  </w:tcBorders>
                  <w:vAlign w:val="center"/>
                </w:tcPr>
                <w:p>
                  <w:pPr>
                    <w:snapToGrid w:val="0"/>
                    <w:spacing w:line="216" w:lineRule="auto"/>
                    <w:jc w:val="center"/>
                    <w:rPr>
                      <w:color w:val="auto"/>
                      <w:szCs w:val="21"/>
                    </w:rPr>
                  </w:pPr>
                  <w:r>
                    <w:rPr>
                      <w:rFonts w:hint="eastAsia"/>
                      <w:color w:val="auto"/>
                      <w:szCs w:val="21"/>
                    </w:rPr>
                    <w:t>动植物油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998" w:type="pct"/>
                  <w:tcBorders>
                    <w:top w:val="single" w:color="auto" w:sz="6" w:space="0"/>
                    <w:left w:val="nil"/>
                    <w:bottom w:val="single" w:color="auto" w:sz="6" w:space="0"/>
                    <w:right w:val="single" w:color="auto" w:sz="6" w:space="0"/>
                  </w:tcBorders>
                  <w:vAlign w:val="center"/>
                </w:tcPr>
                <w:p>
                  <w:pPr>
                    <w:snapToGrid w:val="0"/>
                    <w:spacing w:line="216" w:lineRule="auto"/>
                    <w:jc w:val="center"/>
                    <w:rPr>
                      <w:snapToGrid w:val="0"/>
                      <w:color w:val="auto"/>
                      <w:kern w:val="0"/>
                      <w:szCs w:val="21"/>
                    </w:rPr>
                  </w:pPr>
                  <w:r>
                    <w:rPr>
                      <w:rFonts w:hint="eastAsia"/>
                      <w:snapToGrid w:val="0"/>
                      <w:color w:val="auto"/>
                      <w:kern w:val="0"/>
                      <w:szCs w:val="21"/>
                    </w:rPr>
                    <w:t>一级B标</w:t>
                  </w:r>
                </w:p>
              </w:tc>
              <w:tc>
                <w:tcPr>
                  <w:tcW w:w="603"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rPr>
                  </w:pPr>
                  <w:r>
                    <w:rPr>
                      <w:rFonts w:hint="eastAsia"/>
                      <w:snapToGrid w:val="0"/>
                      <w:color w:val="auto"/>
                      <w:kern w:val="0"/>
                      <w:szCs w:val="21"/>
                    </w:rPr>
                    <w:t>60</w:t>
                  </w:r>
                </w:p>
              </w:tc>
              <w:tc>
                <w:tcPr>
                  <w:tcW w:w="665" w:type="pct"/>
                  <w:tcBorders>
                    <w:top w:val="single" w:color="auto" w:sz="6" w:space="0"/>
                    <w:left w:val="single" w:color="auto" w:sz="6" w:space="0"/>
                    <w:bottom w:val="single" w:color="auto" w:sz="6" w:space="0"/>
                    <w:right w:val="single" w:color="auto" w:sz="6" w:space="0"/>
                  </w:tcBorders>
                </w:tcPr>
                <w:p>
                  <w:pPr>
                    <w:snapToGrid w:val="0"/>
                    <w:spacing w:line="216" w:lineRule="auto"/>
                    <w:jc w:val="center"/>
                    <w:rPr>
                      <w:snapToGrid w:val="0"/>
                      <w:color w:val="auto"/>
                      <w:kern w:val="0"/>
                      <w:szCs w:val="21"/>
                    </w:rPr>
                  </w:pPr>
                  <w:r>
                    <w:rPr>
                      <w:rFonts w:hint="eastAsia"/>
                      <w:snapToGrid w:val="0"/>
                      <w:color w:val="auto"/>
                      <w:kern w:val="0"/>
                      <w:szCs w:val="21"/>
                    </w:rPr>
                    <w:t>20</w:t>
                  </w:r>
                </w:p>
              </w:tc>
              <w:tc>
                <w:tcPr>
                  <w:tcW w:w="411"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rPr>
                  </w:pPr>
                  <w:r>
                    <w:rPr>
                      <w:rFonts w:hint="eastAsia"/>
                      <w:snapToGrid w:val="0"/>
                      <w:color w:val="auto"/>
                      <w:kern w:val="0"/>
                      <w:szCs w:val="21"/>
                    </w:rPr>
                    <w:t>20</w:t>
                  </w:r>
                </w:p>
              </w:tc>
              <w:tc>
                <w:tcPr>
                  <w:tcW w:w="581" w:type="pct"/>
                  <w:tcBorders>
                    <w:top w:val="single" w:color="auto" w:sz="6" w:space="0"/>
                    <w:left w:val="single" w:color="auto" w:sz="6" w:space="0"/>
                    <w:bottom w:val="single" w:color="auto" w:sz="6" w:space="0"/>
                    <w:right w:val="single" w:color="auto" w:sz="6" w:space="0"/>
                  </w:tcBorders>
                  <w:vAlign w:val="center"/>
                </w:tcPr>
                <w:p>
                  <w:pPr>
                    <w:snapToGrid w:val="0"/>
                    <w:spacing w:line="216" w:lineRule="auto"/>
                    <w:jc w:val="center"/>
                    <w:rPr>
                      <w:snapToGrid w:val="0"/>
                      <w:color w:val="auto"/>
                      <w:kern w:val="0"/>
                      <w:szCs w:val="21"/>
                      <w:lang w:val="en-GB"/>
                    </w:rPr>
                  </w:pPr>
                  <w:r>
                    <w:rPr>
                      <w:rFonts w:hint="eastAsia"/>
                      <w:snapToGrid w:val="0"/>
                      <w:color w:val="auto"/>
                      <w:kern w:val="0"/>
                      <w:szCs w:val="21"/>
                    </w:rPr>
                    <w:t>8</w:t>
                  </w:r>
                </w:p>
              </w:tc>
              <w:tc>
                <w:tcPr>
                  <w:tcW w:w="773" w:type="pct"/>
                  <w:tcBorders>
                    <w:top w:val="single" w:color="auto" w:sz="6" w:space="0"/>
                    <w:left w:val="single" w:color="auto" w:sz="6" w:space="0"/>
                    <w:bottom w:val="single" w:color="auto" w:sz="6" w:space="0"/>
                    <w:right w:val="nil"/>
                  </w:tcBorders>
                  <w:vAlign w:val="center"/>
                </w:tcPr>
                <w:p>
                  <w:pPr>
                    <w:snapToGrid w:val="0"/>
                    <w:spacing w:line="216" w:lineRule="auto"/>
                    <w:jc w:val="center"/>
                    <w:rPr>
                      <w:rFonts w:hint="eastAsia" w:eastAsia="宋体"/>
                      <w:snapToGrid w:val="0"/>
                      <w:color w:val="auto"/>
                      <w:kern w:val="0"/>
                      <w:szCs w:val="21"/>
                      <w:lang w:val="en-US" w:eastAsia="zh-CN"/>
                    </w:rPr>
                  </w:pPr>
                  <w:r>
                    <w:rPr>
                      <w:rFonts w:hint="eastAsia"/>
                      <w:snapToGrid w:val="0"/>
                      <w:color w:val="auto"/>
                      <w:kern w:val="0"/>
                      <w:szCs w:val="21"/>
                      <w:lang w:val="en-US" w:eastAsia="zh-CN"/>
                    </w:rPr>
                    <w:t>3</w:t>
                  </w:r>
                </w:p>
              </w:tc>
              <w:tc>
                <w:tcPr>
                  <w:tcW w:w="965" w:type="pct"/>
                  <w:tcBorders>
                    <w:top w:val="single" w:color="auto" w:sz="6" w:space="0"/>
                    <w:left w:val="single" w:color="auto" w:sz="6" w:space="0"/>
                    <w:bottom w:val="single" w:color="auto" w:sz="6" w:space="0"/>
                    <w:right w:val="nil"/>
                  </w:tcBorders>
                  <w:vAlign w:val="center"/>
                </w:tcPr>
                <w:p>
                  <w:pPr>
                    <w:snapToGrid w:val="0"/>
                    <w:spacing w:line="216" w:lineRule="auto"/>
                    <w:jc w:val="center"/>
                    <w:rPr>
                      <w:snapToGrid w:val="0"/>
                      <w:color w:val="auto"/>
                      <w:kern w:val="0"/>
                      <w:szCs w:val="21"/>
                    </w:rPr>
                  </w:pPr>
                  <w:r>
                    <w:rPr>
                      <w:rFonts w:hint="eastAsia"/>
                      <w:snapToGrid w:val="0"/>
                      <w:color w:val="auto"/>
                      <w:kern w:val="0"/>
                      <w:szCs w:val="21"/>
                    </w:rPr>
                    <w:t>3</w:t>
                  </w:r>
                </w:p>
              </w:tc>
            </w:tr>
          </w:tbl>
          <w:p>
            <w:pPr>
              <w:pStyle w:val="2"/>
              <w:rPr>
                <w:rFonts w:ascii="Times New Roman" w:cs="Times New Roman"/>
                <w:b/>
                <w:bCs/>
                <w:color w:val="auto"/>
              </w:rPr>
            </w:pPr>
            <w:r>
              <w:rPr>
                <w:rFonts w:ascii="Times New Roman" w:cs="Times New Roman"/>
                <w:b/>
                <w:bCs/>
                <w:color w:val="auto"/>
              </w:rPr>
              <w:t>噪声排放标准</w:t>
            </w:r>
          </w:p>
          <w:p>
            <w:pPr>
              <w:pStyle w:val="2"/>
              <w:ind w:firstLine="480" w:firstLineChars="200"/>
              <w:rPr>
                <w:rFonts w:ascii="Times New Roman" w:cs="Times New Roman"/>
                <w:color w:val="auto"/>
              </w:rPr>
            </w:pPr>
            <w:r>
              <w:rPr>
                <w:rFonts w:ascii="Times New Roman" w:cs="Times New Roman"/>
                <w:color w:val="auto"/>
              </w:rPr>
              <w:t>运营期噪声排放标准执行《工业企业厂界环境噪声排放标准》（GB12348-2008）中的3类标准，详见表3.</w:t>
            </w:r>
            <w:r>
              <w:rPr>
                <w:rFonts w:hint="eastAsia" w:ascii="Times New Roman" w:cs="Times New Roman"/>
                <w:color w:val="auto"/>
              </w:rPr>
              <w:t>9</w:t>
            </w:r>
            <w:r>
              <w:rPr>
                <w:rFonts w:ascii="Times New Roman" w:cs="Times New Roman"/>
                <w:color w:val="auto"/>
              </w:rPr>
              <w:t>。</w:t>
            </w:r>
          </w:p>
          <w:p>
            <w:pPr>
              <w:spacing w:line="360" w:lineRule="auto"/>
              <w:jc w:val="center"/>
              <w:rPr>
                <w:bCs/>
                <w:color w:val="auto"/>
                <w:szCs w:val="21"/>
              </w:rPr>
            </w:pPr>
            <w:r>
              <w:rPr>
                <w:bCs/>
                <w:color w:val="auto"/>
                <w:szCs w:val="21"/>
              </w:rPr>
              <w:t>表3.</w:t>
            </w:r>
            <w:r>
              <w:rPr>
                <w:rFonts w:hint="eastAsia"/>
                <w:bCs/>
                <w:color w:val="auto"/>
                <w:szCs w:val="21"/>
              </w:rPr>
              <w:t>9</w:t>
            </w:r>
            <w:r>
              <w:rPr>
                <w:bCs/>
                <w:color w:val="auto"/>
                <w:szCs w:val="21"/>
              </w:rPr>
              <w:t xml:space="preserve"> </w:t>
            </w:r>
            <w:r>
              <w:rPr>
                <w:color w:val="auto"/>
                <w:szCs w:val="21"/>
              </w:rPr>
              <w:t>《工业企业厂界环境噪声排放标准》（GB12348-2008）</w:t>
            </w:r>
            <w:r>
              <w:rPr>
                <w:bCs/>
                <w:color w:val="auto"/>
                <w:szCs w:val="21"/>
              </w:rPr>
              <w:t xml:space="preserve"> 单位：dB(A)</w:t>
            </w:r>
          </w:p>
          <w:tbl>
            <w:tblPr>
              <w:tblStyle w:val="22"/>
              <w:tblW w:w="4999"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656"/>
              <w:gridCol w:w="2657"/>
              <w:gridCol w:w="2659"/>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666" w:type="pct"/>
                  <w:vMerge w:val="restart"/>
                  <w:tcBorders>
                    <w:tl2br w:val="nil"/>
                    <w:tr2bl w:val="nil"/>
                  </w:tcBorders>
                  <w:vAlign w:val="center"/>
                </w:tcPr>
                <w:p>
                  <w:pPr>
                    <w:jc w:val="center"/>
                    <w:rPr>
                      <w:color w:val="auto"/>
                      <w:szCs w:val="21"/>
                    </w:rPr>
                  </w:pPr>
                  <w:r>
                    <w:rPr>
                      <w:color w:val="auto"/>
                      <w:szCs w:val="21"/>
                    </w:rPr>
                    <w:t>类别</w:t>
                  </w:r>
                </w:p>
              </w:tc>
              <w:tc>
                <w:tcPr>
                  <w:tcW w:w="3333" w:type="pct"/>
                  <w:gridSpan w:val="2"/>
                  <w:tcBorders>
                    <w:tl2br w:val="nil"/>
                    <w:tr2bl w:val="nil"/>
                  </w:tcBorders>
                  <w:vAlign w:val="center"/>
                </w:tcPr>
                <w:p>
                  <w:pPr>
                    <w:jc w:val="center"/>
                    <w:rPr>
                      <w:color w:val="auto"/>
                      <w:szCs w:val="21"/>
                    </w:rPr>
                  </w:pPr>
                  <w:r>
                    <w:rPr>
                      <w:color w:val="auto"/>
                      <w:szCs w:val="21"/>
                    </w:rPr>
                    <w:t>标准值</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1666" w:type="pct"/>
                  <w:vMerge w:val="continue"/>
                  <w:tcBorders>
                    <w:tl2br w:val="nil"/>
                    <w:tr2bl w:val="nil"/>
                  </w:tcBorders>
                  <w:vAlign w:val="center"/>
                </w:tcPr>
                <w:p>
                  <w:pPr>
                    <w:ind w:firstLine="315" w:firstLineChars="150"/>
                    <w:jc w:val="center"/>
                    <w:rPr>
                      <w:color w:val="auto"/>
                      <w:szCs w:val="21"/>
                    </w:rPr>
                  </w:pPr>
                </w:p>
              </w:tc>
              <w:tc>
                <w:tcPr>
                  <w:tcW w:w="1666" w:type="pct"/>
                  <w:tcBorders>
                    <w:tl2br w:val="nil"/>
                    <w:tr2bl w:val="nil"/>
                  </w:tcBorders>
                  <w:vAlign w:val="center"/>
                </w:tcPr>
                <w:p>
                  <w:pPr>
                    <w:jc w:val="center"/>
                    <w:rPr>
                      <w:color w:val="auto"/>
                      <w:szCs w:val="21"/>
                    </w:rPr>
                  </w:pPr>
                  <w:r>
                    <w:rPr>
                      <w:color w:val="auto"/>
                      <w:szCs w:val="21"/>
                    </w:rPr>
                    <w:t>昼间</w:t>
                  </w:r>
                </w:p>
              </w:tc>
              <w:tc>
                <w:tcPr>
                  <w:tcW w:w="1666" w:type="pct"/>
                  <w:tcBorders>
                    <w:tl2br w:val="nil"/>
                    <w:tr2bl w:val="nil"/>
                  </w:tcBorders>
                  <w:vAlign w:val="center"/>
                </w:tcPr>
                <w:p>
                  <w:pPr>
                    <w:jc w:val="center"/>
                    <w:rPr>
                      <w:color w:val="auto"/>
                      <w:szCs w:val="21"/>
                    </w:rPr>
                  </w:pPr>
                  <w:r>
                    <w:rPr>
                      <w:color w:val="auto"/>
                      <w:szCs w:val="21"/>
                    </w:rPr>
                    <w:t>夜间</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666" w:type="pct"/>
                  <w:tcBorders>
                    <w:tl2br w:val="nil"/>
                    <w:tr2bl w:val="nil"/>
                  </w:tcBorders>
                  <w:vAlign w:val="center"/>
                </w:tcPr>
                <w:p>
                  <w:pPr>
                    <w:jc w:val="center"/>
                    <w:rPr>
                      <w:color w:val="auto"/>
                      <w:szCs w:val="21"/>
                    </w:rPr>
                  </w:pPr>
                  <w:r>
                    <w:rPr>
                      <w:color w:val="auto"/>
                      <w:szCs w:val="21"/>
                    </w:rPr>
                    <w:t>3类</w:t>
                  </w:r>
                </w:p>
              </w:tc>
              <w:tc>
                <w:tcPr>
                  <w:tcW w:w="1666" w:type="pct"/>
                  <w:tcBorders>
                    <w:tl2br w:val="nil"/>
                    <w:tr2bl w:val="nil"/>
                  </w:tcBorders>
                  <w:vAlign w:val="center"/>
                </w:tcPr>
                <w:p>
                  <w:pPr>
                    <w:jc w:val="center"/>
                    <w:rPr>
                      <w:color w:val="auto"/>
                      <w:szCs w:val="21"/>
                    </w:rPr>
                  </w:pPr>
                  <w:r>
                    <w:rPr>
                      <w:color w:val="auto"/>
                      <w:szCs w:val="21"/>
                    </w:rPr>
                    <w:t>65</w:t>
                  </w:r>
                </w:p>
              </w:tc>
              <w:tc>
                <w:tcPr>
                  <w:tcW w:w="1666" w:type="pct"/>
                  <w:tcBorders>
                    <w:tl2br w:val="nil"/>
                    <w:tr2bl w:val="nil"/>
                  </w:tcBorders>
                  <w:vAlign w:val="center"/>
                </w:tcPr>
                <w:p>
                  <w:pPr>
                    <w:jc w:val="center"/>
                    <w:rPr>
                      <w:color w:val="auto"/>
                      <w:szCs w:val="21"/>
                    </w:rPr>
                  </w:pPr>
                  <w:r>
                    <w:rPr>
                      <w:color w:val="auto"/>
                      <w:szCs w:val="21"/>
                    </w:rPr>
                    <w:t>55</w:t>
                  </w:r>
                </w:p>
              </w:tc>
            </w:tr>
          </w:tbl>
          <w:p>
            <w:pPr>
              <w:pStyle w:val="2"/>
              <w:rPr>
                <w:rFonts w:ascii="Times New Roman" w:cs="Times New Roman"/>
                <w:b/>
                <w:bCs/>
                <w:color w:val="auto"/>
              </w:rPr>
            </w:pPr>
            <w:r>
              <w:rPr>
                <w:rFonts w:hint="eastAsia" w:ascii="Times New Roman" w:cs="Times New Roman"/>
                <w:b/>
                <w:bCs/>
                <w:color w:val="auto"/>
              </w:rPr>
              <w:t>固体废物</w:t>
            </w:r>
          </w:p>
          <w:p>
            <w:pPr>
              <w:pStyle w:val="2"/>
              <w:ind w:firstLine="480" w:firstLineChars="200"/>
              <w:rPr>
                <w:rFonts w:ascii="Times New Roman" w:cs="Times New Roman"/>
                <w:color w:val="auto"/>
                <w:sz w:val="21"/>
                <w:szCs w:val="21"/>
              </w:rPr>
            </w:pPr>
            <w:r>
              <w:rPr>
                <w:rFonts w:ascii="Times New Roman" w:cs="Times New Roman"/>
                <w:color w:val="auto"/>
              </w:rPr>
              <w:t>根据《一般工业固体废物贮存和填埋污染控制标准》(GB18599-2020)，</w:t>
            </w:r>
            <w:r>
              <w:rPr>
                <w:rFonts w:ascii="Times New Roman" w:eastAsia="方正仿宋_GBK" w:cs="Times New Roman"/>
                <w:color w:val="auto"/>
                <w:lang w:bidi="ar"/>
              </w:rPr>
              <w:t>采用库房、包装工具（罐、桶、包装袋等）贮存一般工业固体废物过程的污染控制，不适用本标准，</w:t>
            </w:r>
            <w:r>
              <w:rPr>
                <w:rFonts w:ascii="Times New Roman" w:cs="Times New Roman"/>
                <w:color w:val="auto"/>
              </w:rPr>
              <w:t>本项目一般工业固体废物的</w:t>
            </w:r>
            <w:r>
              <w:rPr>
                <w:rFonts w:ascii="Times New Roman" w:cs="Times New Roman"/>
                <w:color w:val="auto"/>
                <w:lang w:bidi="ar"/>
              </w:rPr>
              <w:t>贮存过程应满足相应防渗漏、防雨淋、防扬尘等环境保护要求。</w:t>
            </w:r>
            <w:r>
              <w:rPr>
                <w:rFonts w:hint="eastAsia" w:ascii="Times New Roman" w:cs="Times New Roman"/>
                <w:bCs/>
                <w:color w:val="auto"/>
              </w:rPr>
              <w:t>本项目</w:t>
            </w:r>
            <w:r>
              <w:rPr>
                <w:rFonts w:ascii="Times New Roman" w:cs="Times New Roman"/>
                <w:bCs/>
                <w:color w:val="auto"/>
              </w:rPr>
              <w:t>危险废物</w:t>
            </w:r>
            <w:r>
              <w:rPr>
                <w:rFonts w:hint="eastAsia" w:ascii="Times New Roman" w:cs="Times New Roman"/>
                <w:bCs/>
                <w:color w:val="auto"/>
              </w:rPr>
              <w:t>管理</w:t>
            </w:r>
            <w:r>
              <w:rPr>
                <w:rFonts w:ascii="Times New Roman" w:cs="Times New Roman"/>
                <w:bCs/>
                <w:color w:val="auto"/>
              </w:rPr>
              <w:t>执行</w:t>
            </w:r>
            <w:r>
              <w:rPr>
                <w:rFonts w:ascii="Times New Roman" w:cs="Times New Roman"/>
                <w:bCs/>
                <w:color w:val="auto"/>
                <w:highlight w:val="none"/>
              </w:rPr>
              <w:t>《危险废物贮存污染控制标准》(GB18597－</w:t>
            </w:r>
            <w:r>
              <w:rPr>
                <w:rFonts w:hint="eastAsia" w:ascii="Times New Roman" w:cs="Times New Roman"/>
                <w:bCs/>
                <w:color w:val="auto"/>
                <w:highlight w:val="none"/>
                <w:lang w:val="en-US" w:eastAsia="zh-CN"/>
              </w:rPr>
              <w:t>2023</w:t>
            </w:r>
            <w:r>
              <w:rPr>
                <w:rFonts w:ascii="Times New Roman" w:cs="Times New Roman"/>
                <w:bCs/>
                <w:color w:val="auto"/>
                <w:highlight w:val="none"/>
              </w:rPr>
              <w:t>)</w:t>
            </w:r>
            <w:r>
              <w:rPr>
                <w:rFonts w:hint="eastAsia" w:ascii="Times New Roman" w:cs="Times New Roman"/>
                <w:bCs/>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tcPr>
          <w:p>
            <w:pPr>
              <w:adjustRightInd w:val="0"/>
              <w:snapToGrid w:val="0"/>
              <w:spacing w:line="360" w:lineRule="auto"/>
              <w:rPr>
                <w:color w:val="auto"/>
                <w:sz w:val="24"/>
              </w:rPr>
            </w:pPr>
            <w:r>
              <w:rPr>
                <w:color w:val="auto"/>
                <w:sz w:val="24"/>
              </w:rPr>
              <w:t>本项目总量控制的建议指标如下：</w:t>
            </w:r>
          </w:p>
          <w:p>
            <w:pPr>
              <w:adjustRightInd w:val="0"/>
              <w:snapToGrid w:val="0"/>
              <w:spacing w:line="360" w:lineRule="auto"/>
              <w:ind w:firstLine="480" w:firstLineChars="200"/>
              <w:rPr>
                <w:color w:val="auto"/>
                <w:sz w:val="24"/>
                <w:highlight w:val="none"/>
              </w:rPr>
            </w:pPr>
            <w:r>
              <w:rPr>
                <w:color w:val="auto"/>
                <w:sz w:val="24"/>
                <w:highlight w:val="none"/>
              </w:rPr>
              <w:t>COD：</w:t>
            </w:r>
            <w:r>
              <w:rPr>
                <w:rFonts w:hint="eastAsia"/>
                <w:color w:val="auto"/>
                <w:sz w:val="24"/>
                <w:highlight w:val="none"/>
              </w:rPr>
              <w:t>0.</w:t>
            </w:r>
            <w:r>
              <w:rPr>
                <w:rFonts w:hint="eastAsia"/>
                <w:color w:val="auto"/>
                <w:sz w:val="24"/>
                <w:highlight w:val="none"/>
                <w:lang w:val="en-US" w:eastAsia="zh-CN"/>
              </w:rPr>
              <w:t>014</w:t>
            </w:r>
            <w:r>
              <w:rPr>
                <w:color w:val="auto"/>
                <w:sz w:val="24"/>
                <w:highlight w:val="none"/>
              </w:rPr>
              <w:t>t/a、氨氮：0.0</w:t>
            </w:r>
            <w:r>
              <w:rPr>
                <w:rFonts w:hint="eastAsia"/>
                <w:color w:val="auto"/>
                <w:sz w:val="24"/>
                <w:highlight w:val="none"/>
                <w:lang w:val="en-US" w:eastAsia="zh-CN"/>
              </w:rPr>
              <w:t>02</w:t>
            </w:r>
            <w:r>
              <w:rPr>
                <w:color w:val="auto"/>
                <w:sz w:val="24"/>
                <w:highlight w:val="none"/>
              </w:rPr>
              <w:t>t/a；废气：SO</w:t>
            </w:r>
            <w:r>
              <w:rPr>
                <w:color w:val="auto"/>
                <w:sz w:val="24"/>
                <w:highlight w:val="none"/>
                <w:vertAlign w:val="subscript"/>
              </w:rPr>
              <w:t>2</w:t>
            </w:r>
            <w:r>
              <w:rPr>
                <w:color w:val="auto"/>
                <w:sz w:val="24"/>
                <w:highlight w:val="none"/>
              </w:rPr>
              <w:t>：0.</w:t>
            </w:r>
            <w:r>
              <w:rPr>
                <w:rFonts w:hint="eastAsia"/>
                <w:color w:val="auto"/>
                <w:sz w:val="24"/>
                <w:highlight w:val="none"/>
              </w:rPr>
              <w:t>044</w:t>
            </w:r>
            <w:r>
              <w:rPr>
                <w:color w:val="auto"/>
                <w:sz w:val="24"/>
                <w:highlight w:val="none"/>
              </w:rPr>
              <w:t>t/a、NO</w:t>
            </w:r>
            <w:r>
              <w:rPr>
                <w:color w:val="auto"/>
                <w:sz w:val="24"/>
                <w:highlight w:val="none"/>
                <w:vertAlign w:val="subscript"/>
              </w:rPr>
              <w:t>X</w:t>
            </w:r>
            <w:r>
              <w:rPr>
                <w:color w:val="auto"/>
                <w:sz w:val="24"/>
                <w:highlight w:val="none"/>
              </w:rPr>
              <w:t>：0.</w:t>
            </w:r>
            <w:r>
              <w:rPr>
                <w:rFonts w:hint="eastAsia"/>
                <w:color w:val="auto"/>
                <w:sz w:val="24"/>
                <w:highlight w:val="none"/>
              </w:rPr>
              <w:t>408</w:t>
            </w:r>
            <w:r>
              <w:rPr>
                <w:color w:val="auto"/>
                <w:sz w:val="24"/>
                <w:highlight w:val="none"/>
              </w:rPr>
              <w:t>t/a、</w:t>
            </w:r>
            <w:r>
              <w:rPr>
                <w:rFonts w:hint="eastAsia"/>
                <w:color w:val="auto"/>
                <w:sz w:val="24"/>
                <w:highlight w:val="none"/>
              </w:rPr>
              <w:t>非甲烷总烃（</w:t>
            </w:r>
            <w:r>
              <w:rPr>
                <w:color w:val="auto"/>
                <w:sz w:val="24"/>
                <w:highlight w:val="none"/>
              </w:rPr>
              <w:t>VOC</w:t>
            </w:r>
            <w:r>
              <w:rPr>
                <w:rFonts w:hint="eastAsia"/>
                <w:color w:val="auto"/>
                <w:sz w:val="24"/>
                <w:highlight w:val="none"/>
                <w:vertAlign w:val="subscript"/>
              </w:rPr>
              <w:t>S</w:t>
            </w:r>
            <w:r>
              <w:rPr>
                <w:rFonts w:hint="eastAsia"/>
                <w:color w:val="auto"/>
                <w:sz w:val="24"/>
                <w:highlight w:val="none"/>
              </w:rPr>
              <w:t>）：0.</w:t>
            </w:r>
            <w:r>
              <w:rPr>
                <w:rFonts w:hint="eastAsia"/>
                <w:color w:val="auto"/>
                <w:sz w:val="24"/>
                <w:highlight w:val="none"/>
                <w:lang w:val="en-US" w:eastAsia="zh-CN"/>
              </w:rPr>
              <w:t>307</w:t>
            </w:r>
            <w:r>
              <w:rPr>
                <w:color w:val="auto"/>
                <w:sz w:val="24"/>
                <w:highlight w:val="none"/>
              </w:rPr>
              <w:t>t/a、</w:t>
            </w:r>
            <w:r>
              <w:rPr>
                <w:rFonts w:hint="eastAsia"/>
                <w:color w:val="auto"/>
                <w:sz w:val="24"/>
                <w:highlight w:val="none"/>
              </w:rPr>
              <w:t>颗粒物：0.062</w:t>
            </w:r>
            <w:r>
              <w:rPr>
                <w:color w:val="auto"/>
                <w:sz w:val="24"/>
                <w:highlight w:val="none"/>
              </w:rPr>
              <w:t>t/a</w:t>
            </w:r>
            <w:r>
              <w:rPr>
                <w:rFonts w:hint="eastAsia"/>
                <w:color w:val="auto"/>
                <w:sz w:val="24"/>
                <w:highlight w:val="none"/>
              </w:rPr>
              <w:t>。</w:t>
            </w:r>
          </w:p>
          <w:p>
            <w:pPr>
              <w:adjustRightInd w:val="0"/>
              <w:snapToGrid w:val="0"/>
              <w:spacing w:line="360" w:lineRule="auto"/>
              <w:rPr>
                <w:color w:val="auto"/>
                <w:sz w:val="24"/>
                <w:highlight w:val="none"/>
              </w:rPr>
            </w:pPr>
          </w:p>
          <w:p>
            <w:pPr>
              <w:adjustRightInd w:val="0"/>
              <w:snapToGrid w:val="0"/>
              <w:spacing w:line="360" w:lineRule="auto"/>
              <w:rPr>
                <w:rFonts w:hint="default" w:eastAsia="宋体"/>
                <w:color w:val="auto"/>
                <w:sz w:val="24"/>
                <w:lang w:val="en-US" w:eastAsia="zh-CN"/>
              </w:rPr>
            </w:pPr>
          </w:p>
          <w:p>
            <w:pPr>
              <w:adjustRightInd w:val="0"/>
              <w:snapToGrid w:val="0"/>
              <w:spacing w:line="360" w:lineRule="auto"/>
              <w:rPr>
                <w:color w:val="auto"/>
                <w:sz w:val="24"/>
              </w:rPr>
            </w:pPr>
          </w:p>
          <w:p>
            <w:pPr>
              <w:adjustRightInd w:val="0"/>
              <w:snapToGrid w:val="0"/>
              <w:spacing w:line="360" w:lineRule="auto"/>
              <w:rPr>
                <w:color w:val="auto"/>
                <w:sz w:val="24"/>
              </w:rPr>
            </w:pPr>
          </w:p>
          <w:p>
            <w:pPr>
              <w:pStyle w:val="2"/>
              <w:rPr>
                <w:color w:val="auto"/>
                <w:sz w:val="24"/>
              </w:rPr>
            </w:pPr>
          </w:p>
          <w:p>
            <w:pPr>
              <w:pStyle w:val="3"/>
              <w:rPr>
                <w:color w:val="auto"/>
              </w:rPr>
            </w:pPr>
          </w:p>
          <w:p>
            <w:pPr>
              <w:adjustRightInd w:val="0"/>
              <w:snapToGrid w:val="0"/>
              <w:spacing w:line="360" w:lineRule="auto"/>
              <w:rPr>
                <w:color w:val="auto"/>
                <w:sz w:val="24"/>
              </w:rPr>
            </w:pPr>
          </w:p>
          <w:p>
            <w:pPr>
              <w:adjustRightInd w:val="0"/>
              <w:snapToGrid w:val="0"/>
              <w:spacing w:line="360" w:lineRule="auto"/>
              <w:rPr>
                <w:color w:val="auto"/>
                <w:sz w:val="24"/>
              </w:rPr>
            </w:pPr>
          </w:p>
          <w:p>
            <w:pPr>
              <w:adjustRightInd w:val="0"/>
              <w:snapToGrid w:val="0"/>
              <w:spacing w:line="360" w:lineRule="auto"/>
              <w:rPr>
                <w:color w:val="auto"/>
                <w:sz w:val="24"/>
              </w:rPr>
            </w:pPr>
          </w:p>
          <w:p>
            <w:pPr>
              <w:adjustRightInd w:val="0"/>
              <w:snapToGrid w:val="0"/>
              <w:spacing w:line="360" w:lineRule="auto"/>
              <w:rPr>
                <w:color w:val="auto"/>
                <w:sz w:val="24"/>
              </w:rPr>
            </w:pPr>
          </w:p>
        </w:tc>
      </w:tr>
    </w:tbl>
    <w:p>
      <w:pPr>
        <w:pStyle w:val="19"/>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83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11" w:type="dxa"/>
            <w:tcMar>
              <w:left w:w="28" w:type="dxa"/>
              <w:right w:w="28" w:type="dxa"/>
            </w:tcMar>
            <w:vAlign w:val="center"/>
          </w:tcPr>
          <w:p>
            <w:pPr>
              <w:pStyle w:val="19"/>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施工</w:t>
            </w:r>
          </w:p>
          <w:p>
            <w:pPr>
              <w:pStyle w:val="19"/>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期环</w:t>
            </w:r>
          </w:p>
          <w:p>
            <w:pPr>
              <w:pStyle w:val="19"/>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境保</w:t>
            </w:r>
          </w:p>
          <w:p>
            <w:pPr>
              <w:pStyle w:val="19"/>
              <w:adjustRightInd w:val="0"/>
              <w:snapToGrid w:val="0"/>
              <w:spacing w:before="0" w:beforeAutospacing="0" w:after="0" w:afterAutospacing="0"/>
              <w:jc w:val="center"/>
              <w:rPr>
                <w:rFonts w:cs="宋体"/>
                <w:bCs/>
                <w:color w:val="auto"/>
                <w:sz w:val="21"/>
                <w:szCs w:val="21"/>
              </w:rPr>
            </w:pPr>
            <w:r>
              <w:rPr>
                <w:rFonts w:hint="eastAsia" w:cs="宋体"/>
                <w:color w:val="auto"/>
                <w:sz w:val="21"/>
                <w:szCs w:val="21"/>
              </w:rPr>
              <w:t>护措施</w:t>
            </w:r>
          </w:p>
        </w:tc>
        <w:tc>
          <w:tcPr>
            <w:tcW w:w="8370" w:type="dxa"/>
          </w:tcPr>
          <w:p>
            <w:pPr>
              <w:spacing w:line="360" w:lineRule="auto"/>
              <w:rPr>
                <w:b/>
                <w:bCs/>
                <w:color w:val="auto"/>
                <w:sz w:val="24"/>
              </w:rPr>
            </w:pPr>
            <w:r>
              <w:rPr>
                <w:rFonts w:hint="eastAsia"/>
                <w:b/>
                <w:bCs/>
                <w:color w:val="auto"/>
                <w:sz w:val="24"/>
              </w:rPr>
              <w:t>施工期环境保护措施</w:t>
            </w:r>
          </w:p>
          <w:p>
            <w:pPr>
              <w:tabs>
                <w:tab w:val="left" w:pos="1535"/>
              </w:tabs>
              <w:snapToGrid w:val="0"/>
              <w:spacing w:line="360" w:lineRule="auto"/>
              <w:ind w:firstLine="480"/>
              <w:rPr>
                <w:color w:val="auto"/>
              </w:rPr>
            </w:pPr>
            <w:r>
              <w:rPr>
                <w:rFonts w:hint="eastAsia"/>
                <w:color w:val="auto"/>
                <w:sz w:val="24"/>
                <w:lang w:eastAsia="zh-CN"/>
              </w:rPr>
              <w:t>扩建项目</w:t>
            </w:r>
            <w:r>
              <w:rPr>
                <w:rFonts w:hint="eastAsia"/>
                <w:color w:val="auto"/>
                <w:sz w:val="24"/>
              </w:rPr>
              <w:t>利用</w:t>
            </w:r>
            <w:r>
              <w:rPr>
                <w:color w:val="auto"/>
                <w:sz w:val="24"/>
              </w:rPr>
              <w:t>现有生产厂房，不新建厂房，没有土建工程，</w:t>
            </w:r>
            <w:r>
              <w:rPr>
                <w:rFonts w:hint="eastAsia"/>
                <w:color w:val="auto"/>
                <w:sz w:val="24"/>
              </w:rPr>
              <w:t>施工期仅需</w:t>
            </w:r>
            <w:r>
              <w:rPr>
                <w:color w:val="auto"/>
                <w:sz w:val="24"/>
              </w:rPr>
              <w:t>对设备的布置、安装和调试，</w:t>
            </w:r>
            <w:r>
              <w:rPr>
                <w:rFonts w:hint="eastAsia"/>
                <w:color w:val="auto"/>
                <w:sz w:val="24"/>
              </w:rPr>
              <w:t>施工周期短，污染物产排量小，对环境影响小，</w:t>
            </w:r>
            <w:r>
              <w:rPr>
                <w:color w:val="auto"/>
                <w:sz w:val="24"/>
              </w:rPr>
              <w:t>因此，本评价主要针对营运期对环境的影响做重点分析。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611" w:type="dxa"/>
            <w:tcMar>
              <w:left w:w="28" w:type="dxa"/>
              <w:right w:w="28" w:type="dxa"/>
            </w:tcMar>
            <w:vAlign w:val="center"/>
          </w:tcPr>
          <w:p>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ascii="宋体" w:hAnsi="宋体" w:cs="宋体"/>
                <w:bCs/>
                <w:color w:val="auto"/>
                <w:szCs w:val="21"/>
              </w:rPr>
            </w:pPr>
            <w:r>
              <w:rPr>
                <w:rFonts w:hint="eastAsia" w:ascii="宋体" w:hAnsi="宋体" w:cs="宋体"/>
                <w:bCs/>
                <w:color w:val="auto"/>
                <w:szCs w:val="21"/>
              </w:rPr>
              <w:t>保护</w:t>
            </w:r>
          </w:p>
          <w:p>
            <w:pPr>
              <w:pStyle w:val="19"/>
              <w:adjustRightInd w:val="0"/>
              <w:snapToGrid w:val="0"/>
              <w:spacing w:before="0" w:beforeAutospacing="0" w:after="0" w:afterAutospacing="0"/>
              <w:jc w:val="center"/>
              <w:rPr>
                <w:rFonts w:cs="宋体"/>
                <w:color w:val="auto"/>
                <w:sz w:val="21"/>
                <w:szCs w:val="21"/>
              </w:rPr>
            </w:pPr>
            <w:r>
              <w:rPr>
                <w:rFonts w:hint="eastAsia" w:cs="宋体"/>
                <w:bCs/>
                <w:color w:val="auto"/>
                <w:szCs w:val="21"/>
              </w:rPr>
              <w:t>措施</w:t>
            </w:r>
          </w:p>
        </w:tc>
        <w:tc>
          <w:tcPr>
            <w:tcW w:w="8370" w:type="dxa"/>
          </w:tcPr>
          <w:p>
            <w:pPr>
              <w:adjustRightInd w:val="0"/>
              <w:snapToGrid w:val="0"/>
              <w:spacing w:line="360" w:lineRule="auto"/>
              <w:rPr>
                <w:b/>
                <w:bCs/>
                <w:color w:val="auto"/>
                <w:sz w:val="24"/>
              </w:rPr>
            </w:pPr>
            <w:r>
              <w:rPr>
                <w:b/>
                <w:bCs/>
                <w:color w:val="auto"/>
                <w:sz w:val="24"/>
              </w:rPr>
              <w:t>1.废气</w:t>
            </w:r>
          </w:p>
          <w:p>
            <w:pPr>
              <w:snapToGrid w:val="0"/>
              <w:spacing w:line="360" w:lineRule="auto"/>
              <w:ind w:firstLine="480" w:firstLineChars="200"/>
              <w:rPr>
                <w:color w:val="auto"/>
                <w:sz w:val="24"/>
              </w:rPr>
            </w:pPr>
            <w:r>
              <w:rPr>
                <w:color w:val="auto"/>
                <w:sz w:val="24"/>
              </w:rPr>
              <w:t>（1）污染物源强核算</w:t>
            </w:r>
          </w:p>
          <w:p>
            <w:pPr>
              <w:snapToGrid w:val="0"/>
              <w:spacing w:line="360" w:lineRule="auto"/>
              <w:ind w:firstLine="495"/>
              <w:rPr>
                <w:color w:val="auto"/>
                <w:sz w:val="24"/>
              </w:rPr>
            </w:pPr>
            <w:r>
              <w:rPr>
                <w:rFonts w:hint="eastAsia"/>
                <w:color w:val="auto"/>
                <w:sz w:val="24"/>
                <w:lang w:eastAsia="zh-CN"/>
              </w:rPr>
              <w:t>扩建项目</w:t>
            </w:r>
            <w:r>
              <w:rPr>
                <w:rFonts w:hint="eastAsia"/>
                <w:color w:val="auto"/>
                <w:sz w:val="24"/>
              </w:rPr>
              <w:t>运营期废气主要为涂胶、烘干、淋膜、冷却工序产生的挥发性有机物，天然气燃烧产生的SO</w:t>
            </w:r>
            <w:r>
              <w:rPr>
                <w:rFonts w:hint="eastAsia"/>
                <w:color w:val="auto"/>
                <w:sz w:val="24"/>
                <w:vertAlign w:val="subscript"/>
              </w:rPr>
              <w:t>2</w:t>
            </w:r>
            <w:r>
              <w:rPr>
                <w:rFonts w:hint="eastAsia"/>
                <w:color w:val="auto"/>
                <w:sz w:val="24"/>
              </w:rPr>
              <w:t>、NO</w:t>
            </w:r>
            <w:r>
              <w:rPr>
                <w:rFonts w:hint="eastAsia"/>
                <w:color w:val="auto"/>
                <w:sz w:val="24"/>
                <w:vertAlign w:val="subscript"/>
              </w:rPr>
              <w:t>X</w:t>
            </w:r>
            <w:r>
              <w:rPr>
                <w:rFonts w:hint="eastAsia"/>
                <w:color w:val="auto"/>
                <w:sz w:val="24"/>
              </w:rPr>
              <w:t>、颗粒物以及员工食堂产生的油烟、非甲烷总烃</w:t>
            </w:r>
            <w:r>
              <w:rPr>
                <w:color w:val="auto"/>
                <w:sz w:val="24"/>
              </w:rPr>
              <w:t>。</w:t>
            </w:r>
            <w:r>
              <w:rPr>
                <w:rFonts w:hint="eastAsia"/>
                <w:color w:val="auto"/>
                <w:sz w:val="24"/>
              </w:rPr>
              <w:t>根据《</w:t>
            </w:r>
            <w:r>
              <w:rPr>
                <w:color w:val="auto"/>
                <w:sz w:val="24"/>
              </w:rPr>
              <w:t>挥发性有机物无组织排放控制标</w:t>
            </w:r>
            <w:r>
              <w:rPr>
                <w:color w:val="auto"/>
                <w:szCs w:val="21"/>
              </w:rPr>
              <w:t>准</w:t>
            </w:r>
            <w:r>
              <w:rPr>
                <w:color w:val="auto"/>
                <w:sz w:val="24"/>
              </w:rPr>
              <w:t>》（GB37822-2019），在表征VOC</w:t>
            </w:r>
            <w:r>
              <w:rPr>
                <w:color w:val="auto"/>
                <w:sz w:val="24"/>
                <w:vertAlign w:val="subscript"/>
              </w:rPr>
              <w:t>S</w:t>
            </w:r>
            <w:r>
              <w:rPr>
                <w:color w:val="auto"/>
                <w:sz w:val="24"/>
              </w:rPr>
              <w:t>总体排放情况时，根据行业特征和环境管理要求可采用总挥发性有机物(TVOC表示）、非甲烷总烃（以NMHC表示）作为污染物控制项目，本项目产生的VOC</w:t>
            </w:r>
            <w:r>
              <w:rPr>
                <w:color w:val="auto"/>
                <w:sz w:val="24"/>
                <w:vertAlign w:val="subscript"/>
              </w:rPr>
              <w:t>S</w:t>
            </w:r>
            <w:r>
              <w:rPr>
                <w:color w:val="auto"/>
                <w:sz w:val="24"/>
              </w:rPr>
              <w:t>以非甲烷总烃进行表征。</w:t>
            </w:r>
          </w:p>
          <w:p>
            <w:pPr>
              <w:pStyle w:val="2"/>
              <w:ind w:firstLine="480" w:firstLineChars="200"/>
              <w:rPr>
                <w:rFonts w:ascii="Times New Roman" w:hAnsi="Times New Roman" w:cs="Times New Roman"/>
                <w:color w:val="auto"/>
              </w:rPr>
            </w:pPr>
            <w:r>
              <w:rPr>
                <w:rFonts w:ascii="Times New Roman" w:hAnsi="Times New Roman" w:cs="Times New Roman"/>
                <w:color w:val="auto"/>
              </w:rPr>
              <w:t>①</w:t>
            </w:r>
            <w:r>
              <w:rPr>
                <w:color w:val="auto"/>
                <w:kern w:val="0"/>
                <w:szCs w:val="21"/>
              </w:rPr>
              <w:t>拉幅定型无纺布生产线</w:t>
            </w:r>
            <w:r>
              <w:rPr>
                <w:rFonts w:hint="eastAsia" w:ascii="Times New Roman" w:hAnsi="Times New Roman" w:cs="Times New Roman"/>
                <w:color w:val="auto"/>
              </w:rPr>
              <w:t>废气</w:t>
            </w:r>
            <w:r>
              <w:rPr>
                <w:rFonts w:ascii="Times New Roman" w:hAnsi="Times New Roman" w:cs="Times New Roman"/>
                <w:color w:val="auto"/>
              </w:rPr>
              <w:t>（G1</w:t>
            </w:r>
            <w:r>
              <w:rPr>
                <w:rFonts w:hint="eastAsia" w:ascii="Times New Roman" w:hAnsi="Times New Roman" w:cs="Times New Roman"/>
                <w:color w:val="auto"/>
              </w:rPr>
              <w:t>、G2</w:t>
            </w:r>
            <w:r>
              <w:rPr>
                <w:rFonts w:ascii="Times New Roman" w:hAnsi="Times New Roman" w:cs="Times New Roman"/>
                <w:color w:val="auto"/>
              </w:rPr>
              <w:t>）</w:t>
            </w:r>
          </w:p>
          <w:p>
            <w:pPr>
              <w:snapToGrid w:val="0"/>
              <w:spacing w:line="360" w:lineRule="auto"/>
              <w:ind w:firstLine="480" w:firstLineChars="200"/>
              <w:rPr>
                <w:color w:val="auto"/>
                <w:sz w:val="24"/>
              </w:rPr>
            </w:pPr>
            <w:r>
              <w:rPr>
                <w:rFonts w:hint="eastAsia"/>
                <w:color w:val="auto"/>
                <w:sz w:val="24"/>
              </w:rPr>
              <w:t>由表2.4、表2.7的分析可知，</w:t>
            </w:r>
            <w:r>
              <w:rPr>
                <w:rFonts w:hint="eastAsia"/>
                <w:color w:val="auto"/>
                <w:sz w:val="24"/>
                <w:lang w:eastAsia="zh-CN"/>
              </w:rPr>
              <w:t>扩建项目</w:t>
            </w:r>
            <w:r>
              <w:rPr>
                <w:rFonts w:hint="eastAsia"/>
                <w:color w:val="auto"/>
                <w:sz w:val="24"/>
              </w:rPr>
              <w:t>胶粘剂使用量为</w:t>
            </w:r>
            <w:r>
              <w:rPr>
                <w:rFonts w:hint="eastAsia"/>
                <w:color w:val="auto"/>
                <w:sz w:val="24"/>
                <w:lang w:val="en-US" w:eastAsia="zh-CN"/>
              </w:rPr>
              <w:t>59</w:t>
            </w:r>
            <w:r>
              <w:rPr>
                <w:rFonts w:hint="eastAsia"/>
                <w:color w:val="auto"/>
                <w:sz w:val="24"/>
              </w:rPr>
              <w:t>t/a，运行时间为7h/d。</w:t>
            </w:r>
            <w:r>
              <w:rPr>
                <w:rFonts w:hint="eastAsia"/>
                <w:color w:val="auto"/>
                <w:sz w:val="24"/>
                <w:lang w:eastAsia="zh-CN"/>
              </w:rPr>
              <w:t>根据本项目水性胶粘剂</w:t>
            </w:r>
            <w:r>
              <w:rPr>
                <w:rFonts w:hint="eastAsia"/>
                <w:color w:val="auto"/>
                <w:sz w:val="24"/>
                <w:lang w:val="en-US" w:eastAsia="zh-CN"/>
              </w:rPr>
              <w:t>MSDS，其中挥发份占比3%，</w:t>
            </w:r>
            <w:r>
              <w:rPr>
                <w:rFonts w:hint="eastAsia"/>
                <w:color w:val="auto"/>
                <w:sz w:val="24"/>
              </w:rPr>
              <w:t>本评价施工胶中挥发份按100%挥发</w:t>
            </w:r>
            <w:r>
              <w:rPr>
                <w:color w:val="auto"/>
                <w:sz w:val="24"/>
              </w:rPr>
              <w:t>，</w:t>
            </w:r>
            <w:r>
              <w:rPr>
                <w:rFonts w:hint="eastAsia"/>
                <w:color w:val="auto"/>
                <w:sz w:val="24"/>
              </w:rPr>
              <w:t>其中涂胶工序占比按20%、烘干工序占比按80%计，</w:t>
            </w:r>
            <w:r>
              <w:rPr>
                <w:color w:val="auto"/>
                <w:sz w:val="24"/>
              </w:rPr>
              <w:t>则</w:t>
            </w:r>
            <w:r>
              <w:rPr>
                <w:rFonts w:hint="eastAsia"/>
                <w:color w:val="auto"/>
                <w:sz w:val="24"/>
              </w:rPr>
              <w:t>涂胶工序非甲烷总烃</w:t>
            </w:r>
            <w:r>
              <w:rPr>
                <w:color w:val="auto"/>
                <w:sz w:val="24"/>
              </w:rPr>
              <w:t>产生量约</w:t>
            </w:r>
            <w:r>
              <w:rPr>
                <w:rFonts w:hint="eastAsia"/>
                <w:color w:val="auto"/>
                <w:sz w:val="24"/>
              </w:rPr>
              <w:t>0.</w:t>
            </w:r>
            <w:r>
              <w:rPr>
                <w:rFonts w:hint="eastAsia"/>
                <w:color w:val="auto"/>
                <w:sz w:val="24"/>
                <w:lang w:val="en-US" w:eastAsia="zh-CN"/>
              </w:rPr>
              <w:t>167</w:t>
            </w:r>
            <w:r>
              <w:rPr>
                <w:color w:val="auto"/>
                <w:sz w:val="24"/>
              </w:rPr>
              <w:t>kg/h，</w:t>
            </w:r>
            <w:r>
              <w:rPr>
                <w:rFonts w:hint="eastAsia"/>
                <w:color w:val="auto"/>
                <w:sz w:val="24"/>
              </w:rPr>
              <w:t>0.</w:t>
            </w:r>
            <w:r>
              <w:rPr>
                <w:rFonts w:hint="eastAsia"/>
                <w:color w:val="auto"/>
                <w:sz w:val="24"/>
                <w:lang w:val="en-US" w:eastAsia="zh-CN"/>
              </w:rPr>
              <w:t>351</w:t>
            </w:r>
            <w:r>
              <w:rPr>
                <w:color w:val="auto"/>
                <w:sz w:val="24"/>
              </w:rPr>
              <w:t>t/a</w:t>
            </w:r>
            <w:r>
              <w:rPr>
                <w:rFonts w:hint="eastAsia"/>
                <w:color w:val="auto"/>
                <w:sz w:val="24"/>
              </w:rPr>
              <w:t>；烘干工序非甲烷总烃</w:t>
            </w:r>
            <w:r>
              <w:rPr>
                <w:color w:val="auto"/>
                <w:sz w:val="24"/>
              </w:rPr>
              <w:t>产生量约</w:t>
            </w:r>
            <w:r>
              <w:rPr>
                <w:rFonts w:hint="eastAsia"/>
                <w:color w:val="auto"/>
                <w:sz w:val="24"/>
                <w:lang w:val="en-US" w:eastAsia="zh-CN"/>
              </w:rPr>
              <w:t>0.669</w:t>
            </w:r>
            <w:r>
              <w:rPr>
                <w:color w:val="auto"/>
                <w:sz w:val="24"/>
              </w:rPr>
              <w:t>kg/h，</w:t>
            </w:r>
            <w:r>
              <w:rPr>
                <w:rFonts w:hint="eastAsia"/>
                <w:color w:val="auto"/>
                <w:sz w:val="24"/>
                <w:lang w:val="en-US" w:eastAsia="zh-CN"/>
              </w:rPr>
              <w:t>1.404</w:t>
            </w:r>
            <w:r>
              <w:rPr>
                <w:color w:val="auto"/>
                <w:sz w:val="24"/>
              </w:rPr>
              <w:t>t/a。</w:t>
            </w:r>
          </w:p>
          <w:p>
            <w:pPr>
              <w:autoSpaceDE w:val="0"/>
              <w:autoSpaceDN w:val="0"/>
              <w:adjustRightInd w:val="0"/>
              <w:snapToGrid w:val="0"/>
              <w:spacing w:line="360" w:lineRule="auto"/>
              <w:ind w:firstLine="480" w:firstLineChars="200"/>
              <w:rPr>
                <w:color w:val="auto"/>
                <w:sz w:val="24"/>
              </w:rPr>
            </w:pPr>
            <w:r>
              <w:rPr>
                <w:rFonts w:hint="eastAsia"/>
                <w:color w:val="auto"/>
                <w:sz w:val="24"/>
              </w:rPr>
              <w:t>由表2.5分析可知，拉幅定型设备天然气用气量为27300m</w:t>
            </w:r>
            <w:r>
              <w:rPr>
                <w:rFonts w:hint="eastAsia"/>
                <w:color w:val="auto"/>
                <w:sz w:val="24"/>
                <w:vertAlign w:val="superscript"/>
              </w:rPr>
              <w:t>3</w:t>
            </w:r>
            <w:r>
              <w:rPr>
                <w:rFonts w:hint="eastAsia"/>
                <w:color w:val="auto"/>
                <w:sz w:val="24"/>
              </w:rPr>
              <w:t>/a，运行时间为7h/d。</w:t>
            </w:r>
            <w:r>
              <w:rPr>
                <w:color w:val="auto"/>
                <w:sz w:val="24"/>
              </w:rPr>
              <w:t>根据《</w:t>
            </w:r>
            <w:r>
              <w:rPr>
                <w:color w:val="auto"/>
                <w:kern w:val="0"/>
                <w:sz w:val="24"/>
                <w:lang w:bidi="ar"/>
              </w:rPr>
              <w:t>排放源统计调查产排污核算方法和系数手册—机械行业系数手册</w:t>
            </w:r>
            <w:r>
              <w:rPr>
                <w:color w:val="auto"/>
                <w:sz w:val="24"/>
              </w:rPr>
              <w:t>》</w:t>
            </w:r>
            <w:r>
              <w:rPr>
                <w:rFonts w:eastAsiaTheme="minorEastAsia"/>
                <w:bCs/>
                <w:color w:val="auto"/>
                <w:sz w:val="24"/>
              </w:rPr>
              <w:t>（生态环境部公告2021年第24号）</w:t>
            </w:r>
            <w:r>
              <w:rPr>
                <w:color w:val="auto"/>
                <w:sz w:val="24"/>
              </w:rPr>
              <w:t>，天然气燃烧各类污染物产污系数为：SO</w:t>
            </w:r>
            <w:r>
              <w:rPr>
                <w:color w:val="auto"/>
                <w:sz w:val="24"/>
                <w:vertAlign w:val="subscript"/>
              </w:rPr>
              <w:t>2</w:t>
            </w:r>
            <w:r>
              <w:rPr>
                <w:color w:val="auto"/>
                <w:sz w:val="24"/>
              </w:rPr>
              <w:t>0.000002Skg/m</w:t>
            </w:r>
            <w:r>
              <w:rPr>
                <w:color w:val="auto"/>
                <w:sz w:val="24"/>
                <w:vertAlign w:val="superscript"/>
              </w:rPr>
              <w:t>3</w:t>
            </w:r>
            <w:r>
              <w:rPr>
                <w:color w:val="auto"/>
                <w:sz w:val="24"/>
              </w:rPr>
              <w:t>-原料,、NO</w:t>
            </w:r>
            <w:r>
              <w:rPr>
                <w:color w:val="auto"/>
                <w:sz w:val="24"/>
                <w:vertAlign w:val="subscript"/>
              </w:rPr>
              <w:t>X</w:t>
            </w:r>
            <w:r>
              <w:rPr>
                <w:color w:val="auto"/>
                <w:sz w:val="24"/>
              </w:rPr>
              <w:t>0.00187kg/m</w:t>
            </w:r>
            <w:r>
              <w:rPr>
                <w:color w:val="auto"/>
                <w:sz w:val="24"/>
                <w:vertAlign w:val="superscript"/>
              </w:rPr>
              <w:t>3</w:t>
            </w:r>
            <w:r>
              <w:rPr>
                <w:color w:val="auto"/>
                <w:sz w:val="24"/>
              </w:rPr>
              <w:t>-原料、颗粒物0.000286kg/m</w:t>
            </w:r>
            <w:r>
              <w:rPr>
                <w:color w:val="auto"/>
                <w:sz w:val="24"/>
                <w:vertAlign w:val="superscript"/>
              </w:rPr>
              <w:t>3</w:t>
            </w:r>
            <w:r>
              <w:rPr>
                <w:color w:val="auto"/>
                <w:sz w:val="24"/>
              </w:rPr>
              <w:t>-原料,</w:t>
            </w:r>
            <w:r>
              <w:rPr>
                <w:bCs/>
                <w:color w:val="auto"/>
                <w:sz w:val="24"/>
              </w:rPr>
              <w:t>其S含量取值100mg/m</w:t>
            </w:r>
            <w:r>
              <w:rPr>
                <w:bCs/>
                <w:color w:val="auto"/>
                <w:sz w:val="24"/>
                <w:vertAlign w:val="superscript"/>
              </w:rPr>
              <w:t>3</w:t>
            </w:r>
            <w:r>
              <w:rPr>
                <w:color w:val="auto"/>
                <w:sz w:val="24"/>
              </w:rPr>
              <w:t>，则SO</w:t>
            </w:r>
            <w:r>
              <w:rPr>
                <w:color w:val="auto"/>
                <w:sz w:val="24"/>
                <w:vertAlign w:val="subscript"/>
              </w:rPr>
              <w:t>2</w:t>
            </w:r>
            <w:r>
              <w:rPr>
                <w:color w:val="auto"/>
                <w:sz w:val="24"/>
              </w:rPr>
              <w:t>产生量为0.0</w:t>
            </w:r>
            <w:r>
              <w:rPr>
                <w:rFonts w:hint="eastAsia"/>
                <w:color w:val="auto"/>
                <w:sz w:val="24"/>
              </w:rPr>
              <w:t>26</w:t>
            </w:r>
            <w:r>
              <w:rPr>
                <w:color w:val="auto"/>
                <w:sz w:val="24"/>
              </w:rPr>
              <w:t>kg/h，即0.0</w:t>
            </w:r>
            <w:r>
              <w:rPr>
                <w:rFonts w:hint="eastAsia"/>
                <w:color w:val="auto"/>
                <w:sz w:val="24"/>
              </w:rPr>
              <w:t>55</w:t>
            </w:r>
            <w:r>
              <w:rPr>
                <w:color w:val="auto"/>
                <w:sz w:val="24"/>
              </w:rPr>
              <w:t>t/a，NO</w:t>
            </w:r>
            <w:r>
              <w:rPr>
                <w:color w:val="auto"/>
                <w:sz w:val="24"/>
                <w:vertAlign w:val="subscript"/>
              </w:rPr>
              <w:t>X</w:t>
            </w:r>
            <w:r>
              <w:rPr>
                <w:color w:val="auto"/>
                <w:sz w:val="24"/>
              </w:rPr>
              <w:t>产生量0.</w:t>
            </w:r>
            <w:r>
              <w:rPr>
                <w:rFonts w:hint="eastAsia"/>
                <w:color w:val="auto"/>
                <w:sz w:val="24"/>
              </w:rPr>
              <w:t>243</w:t>
            </w:r>
            <w:r>
              <w:rPr>
                <w:color w:val="auto"/>
                <w:sz w:val="24"/>
              </w:rPr>
              <w:t>kg/h，即0.</w:t>
            </w:r>
            <w:r>
              <w:rPr>
                <w:rFonts w:hint="eastAsia"/>
                <w:color w:val="auto"/>
                <w:sz w:val="24"/>
              </w:rPr>
              <w:t>511</w:t>
            </w:r>
            <w:r>
              <w:rPr>
                <w:color w:val="auto"/>
                <w:sz w:val="24"/>
              </w:rPr>
              <w:t>t/a，颗粒物0.0</w:t>
            </w:r>
            <w:r>
              <w:rPr>
                <w:rFonts w:hint="eastAsia"/>
                <w:color w:val="auto"/>
                <w:sz w:val="24"/>
              </w:rPr>
              <w:t>37</w:t>
            </w:r>
            <w:r>
              <w:rPr>
                <w:color w:val="auto"/>
                <w:sz w:val="24"/>
              </w:rPr>
              <w:t>kg/h，即0.0</w:t>
            </w:r>
            <w:r>
              <w:rPr>
                <w:rFonts w:hint="eastAsia"/>
                <w:color w:val="auto"/>
                <w:sz w:val="24"/>
              </w:rPr>
              <w:t>78</w:t>
            </w:r>
            <w:r>
              <w:rPr>
                <w:color w:val="auto"/>
                <w:sz w:val="24"/>
              </w:rPr>
              <w:t>t/a</w:t>
            </w:r>
            <w:r>
              <w:rPr>
                <w:rFonts w:hint="eastAsia"/>
                <w:color w:val="auto"/>
                <w:sz w:val="24"/>
              </w:rPr>
              <w:t>。</w:t>
            </w:r>
          </w:p>
          <w:p>
            <w:pPr>
              <w:pStyle w:val="15"/>
              <w:snapToGrid w:val="0"/>
              <w:spacing w:after="0" w:line="360" w:lineRule="auto"/>
              <w:ind w:left="0" w:leftChars="0" w:firstLine="480" w:firstLineChars="200"/>
              <w:rPr>
                <w:color w:val="auto"/>
                <w:sz w:val="24"/>
              </w:rPr>
            </w:pPr>
            <w:r>
              <w:rPr>
                <w:rFonts w:hint="eastAsia"/>
                <w:color w:val="auto"/>
                <w:sz w:val="24"/>
                <w:lang w:eastAsia="zh-CN"/>
              </w:rPr>
              <w:t>扩建项目</w:t>
            </w:r>
            <w:r>
              <w:rPr>
                <w:rFonts w:hint="eastAsia"/>
                <w:color w:val="auto"/>
                <w:sz w:val="24"/>
              </w:rPr>
              <w:t>共设置2条拉幅定型无纺布生产线，</w:t>
            </w:r>
            <w:r>
              <w:rPr>
                <w:color w:val="auto"/>
                <w:sz w:val="24"/>
              </w:rPr>
              <w:t>在</w:t>
            </w:r>
            <w:r>
              <w:rPr>
                <w:rFonts w:hint="eastAsia"/>
                <w:color w:val="auto"/>
                <w:sz w:val="24"/>
              </w:rPr>
              <w:t>涂胶工位、烘道进口、出口处设置集气罩，</w:t>
            </w:r>
            <w:r>
              <w:rPr>
                <w:color w:val="auto"/>
                <w:sz w:val="24"/>
              </w:rPr>
              <w:t>采用负压抽风的方式收集废气，</w:t>
            </w:r>
            <w:r>
              <w:rPr>
                <w:rFonts w:hint="eastAsia"/>
                <w:color w:val="auto"/>
                <w:sz w:val="24"/>
              </w:rPr>
              <w:t>其风量核算见表4.1。</w:t>
            </w:r>
          </w:p>
          <w:p>
            <w:pPr>
              <w:pStyle w:val="15"/>
              <w:snapToGrid w:val="0"/>
              <w:spacing w:after="0" w:line="360" w:lineRule="auto"/>
              <w:ind w:left="0" w:leftChars="0"/>
              <w:jc w:val="center"/>
              <w:rPr>
                <w:color w:val="auto"/>
                <w:sz w:val="21"/>
                <w:szCs w:val="21"/>
              </w:rPr>
            </w:pPr>
            <w:r>
              <w:rPr>
                <w:rFonts w:hint="eastAsia"/>
                <w:color w:val="auto"/>
                <w:sz w:val="21"/>
                <w:szCs w:val="21"/>
              </w:rPr>
              <w:t>表4.1 涂胶、固化工序风量核算一览表</w:t>
            </w:r>
          </w:p>
          <w:tbl>
            <w:tblPr>
              <w:tblStyle w:val="23"/>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947"/>
              <w:gridCol w:w="1440"/>
              <w:gridCol w:w="1385"/>
              <w:gridCol w:w="1349"/>
              <w:gridCol w:w="1162"/>
              <w:gridCol w:w="13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序号</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生产工序</w:t>
                  </w:r>
                </w:p>
              </w:tc>
              <w:tc>
                <w:tcPr>
                  <w:tcW w:w="884"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集气罩尺寸</w:t>
                  </w:r>
                </w:p>
              </w:tc>
              <w:tc>
                <w:tcPr>
                  <w:tcW w:w="850"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控制点距离</w:t>
                  </w:r>
                </w:p>
              </w:tc>
              <w:tc>
                <w:tcPr>
                  <w:tcW w:w="828"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控制</w:t>
                  </w:r>
                  <w:r>
                    <w:rPr>
                      <w:color w:val="auto"/>
                    </w:rPr>
                    <w:t>点风速</w:t>
                  </w:r>
                </w:p>
              </w:tc>
              <w:tc>
                <w:tcPr>
                  <w:tcW w:w="713"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数量</w:t>
                  </w:r>
                </w:p>
              </w:tc>
              <w:tc>
                <w:tcPr>
                  <w:tcW w:w="845"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最小风量（m</w:t>
                  </w:r>
                  <w:r>
                    <w:rPr>
                      <w:color w:val="auto"/>
                      <w:vertAlign w:val="superscript"/>
                    </w:rPr>
                    <w:t>3</w:t>
                  </w:r>
                  <w:r>
                    <w:rPr>
                      <w:color w:val="auto"/>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涂胶</w:t>
                  </w:r>
                </w:p>
              </w:tc>
              <w:tc>
                <w:tcPr>
                  <w:tcW w:w="884"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1600</w:t>
                  </w:r>
                  <w:r>
                    <w:rPr>
                      <w:color w:val="auto"/>
                    </w:rPr>
                    <w:t>×</w:t>
                  </w:r>
                  <w:r>
                    <w:rPr>
                      <w:rFonts w:hint="eastAsia"/>
                      <w:color w:val="auto"/>
                    </w:rPr>
                    <w:t>300</w:t>
                  </w:r>
                  <w:r>
                    <w:rPr>
                      <w:color w:val="auto"/>
                    </w:rPr>
                    <w:t>mm</w:t>
                  </w:r>
                </w:p>
              </w:tc>
              <w:tc>
                <w:tcPr>
                  <w:tcW w:w="850"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0.4m</w:t>
                  </w:r>
                </w:p>
              </w:tc>
              <w:tc>
                <w:tcPr>
                  <w:tcW w:w="828"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0.3m/s</w:t>
                  </w:r>
                </w:p>
              </w:tc>
              <w:tc>
                <w:tcPr>
                  <w:tcW w:w="713"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2个</w:t>
                  </w:r>
                </w:p>
              </w:tc>
              <w:tc>
                <w:tcPr>
                  <w:tcW w:w="845"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4595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2</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烘干</w:t>
                  </w:r>
                </w:p>
              </w:tc>
              <w:tc>
                <w:tcPr>
                  <w:tcW w:w="1440"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1600</w:t>
                  </w:r>
                  <w:r>
                    <w:rPr>
                      <w:color w:val="auto"/>
                    </w:rPr>
                    <w:t>×</w:t>
                  </w:r>
                  <w:r>
                    <w:rPr>
                      <w:rFonts w:hint="eastAsia"/>
                      <w:color w:val="auto"/>
                    </w:rPr>
                    <w:t>300</w:t>
                  </w:r>
                  <w:r>
                    <w:rPr>
                      <w:color w:val="auto"/>
                    </w:rPr>
                    <w:t>mm</w:t>
                  </w:r>
                </w:p>
              </w:tc>
              <w:tc>
                <w:tcPr>
                  <w:tcW w:w="1385"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0.2m</w:t>
                  </w:r>
                </w:p>
              </w:tc>
              <w:tc>
                <w:tcPr>
                  <w:tcW w:w="1349" w:type="dxa"/>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0.3m/s</w:t>
                  </w:r>
                </w:p>
              </w:tc>
              <w:tc>
                <w:tcPr>
                  <w:tcW w:w="1162"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4个</w:t>
                  </w:r>
                </w:p>
              </w:tc>
              <w:tc>
                <w:tcPr>
                  <w:tcW w:w="1380"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4595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l2br w:val="nil"/>
                    <w:tr2bl w:val="nil"/>
                  </w:tcBorders>
                  <w:vAlign w:val="center"/>
                </w:tcPr>
                <w:p>
                  <w:pPr>
                    <w:pStyle w:val="15"/>
                    <w:adjustRightInd w:val="0"/>
                    <w:snapToGrid w:val="0"/>
                    <w:spacing w:after="0" w:line="240" w:lineRule="auto"/>
                    <w:ind w:left="0" w:leftChars="0"/>
                    <w:rPr>
                      <w:color w:val="auto"/>
                    </w:rPr>
                  </w:pPr>
                  <w:r>
                    <w:rPr>
                      <w:color w:val="auto"/>
                    </w:rPr>
                    <w:t>备注：Q=1.4·p·h·v·</w:t>
                  </w:r>
                  <w:r>
                    <w:rPr>
                      <w:rFonts w:hint="eastAsia"/>
                      <w:color w:val="auto"/>
                    </w:rPr>
                    <w:t>3600</w:t>
                  </w:r>
                  <w:r>
                    <w:rPr>
                      <w:color w:val="auto"/>
                    </w:rPr>
                    <w:t>；Q-最小风量，m</w:t>
                  </w:r>
                  <w:r>
                    <w:rPr>
                      <w:color w:val="auto"/>
                      <w:vertAlign w:val="superscript"/>
                    </w:rPr>
                    <w:t>3</w:t>
                  </w:r>
                  <w:r>
                    <w:rPr>
                      <w:color w:val="auto"/>
                    </w:rPr>
                    <w:t>/h，p-集气罩周长，m；h-</w:t>
                  </w:r>
                  <w:r>
                    <w:rPr>
                      <w:rFonts w:hint="eastAsia"/>
                      <w:color w:val="auto"/>
                    </w:rPr>
                    <w:t>控制点</w:t>
                  </w:r>
                  <w:r>
                    <w:rPr>
                      <w:color w:val="auto"/>
                    </w:rPr>
                    <w:t>距离，m，v-</w:t>
                  </w:r>
                  <w:r>
                    <w:rPr>
                      <w:rFonts w:hint="eastAsia"/>
                      <w:color w:val="auto"/>
                    </w:rPr>
                    <w:t>控制点收集</w:t>
                  </w:r>
                  <w:r>
                    <w:rPr>
                      <w:color w:val="auto"/>
                    </w:rPr>
                    <w:t>风速，m/s</w:t>
                  </w:r>
                </w:p>
              </w:tc>
            </w:tr>
          </w:tbl>
          <w:p>
            <w:pPr>
              <w:autoSpaceDE w:val="0"/>
              <w:autoSpaceDN w:val="0"/>
              <w:adjustRightInd w:val="0"/>
              <w:snapToGrid w:val="0"/>
              <w:spacing w:line="360" w:lineRule="auto"/>
              <w:ind w:firstLine="480" w:firstLineChars="200"/>
              <w:rPr>
                <w:color w:val="auto"/>
                <w:sz w:val="24"/>
              </w:rPr>
            </w:pPr>
            <w:r>
              <w:rPr>
                <w:color w:val="auto"/>
                <w:sz w:val="24"/>
                <w:highlight w:val="none"/>
              </w:rPr>
              <w:t>由表4.</w:t>
            </w:r>
            <w:r>
              <w:rPr>
                <w:rFonts w:hint="eastAsia"/>
                <w:color w:val="auto"/>
                <w:sz w:val="24"/>
                <w:highlight w:val="none"/>
              </w:rPr>
              <w:t>1</w:t>
            </w:r>
            <w:r>
              <w:rPr>
                <w:color w:val="auto"/>
                <w:sz w:val="24"/>
                <w:highlight w:val="none"/>
              </w:rPr>
              <w:t>可知：</w:t>
            </w:r>
            <w:r>
              <w:rPr>
                <w:rFonts w:hint="eastAsia"/>
                <w:color w:val="auto"/>
                <w:sz w:val="24"/>
                <w:highlight w:val="none"/>
              </w:rPr>
              <w:t>涂胶、固化工序</w:t>
            </w:r>
            <w:r>
              <w:rPr>
                <w:color w:val="auto"/>
                <w:sz w:val="24"/>
                <w:highlight w:val="none"/>
              </w:rPr>
              <w:t>工序废气收集最小风量</w:t>
            </w:r>
            <w:r>
              <w:rPr>
                <w:rFonts w:hint="eastAsia"/>
                <w:color w:val="auto"/>
                <w:sz w:val="24"/>
                <w:highlight w:val="none"/>
              </w:rPr>
              <w:t>均</w:t>
            </w:r>
            <w:r>
              <w:rPr>
                <w:color w:val="auto"/>
                <w:sz w:val="24"/>
                <w:highlight w:val="none"/>
              </w:rPr>
              <w:t>为</w:t>
            </w:r>
            <w:r>
              <w:rPr>
                <w:rFonts w:hint="eastAsia"/>
                <w:color w:val="auto"/>
                <w:sz w:val="24"/>
                <w:highlight w:val="none"/>
              </w:rPr>
              <w:t>9193</w:t>
            </w:r>
            <w:r>
              <w:rPr>
                <w:color w:val="auto"/>
                <w:sz w:val="24"/>
                <w:highlight w:val="none"/>
              </w:rPr>
              <w:t>m</w:t>
            </w:r>
            <w:r>
              <w:rPr>
                <w:color w:val="auto"/>
                <w:sz w:val="24"/>
                <w:highlight w:val="none"/>
                <w:vertAlign w:val="superscript"/>
              </w:rPr>
              <w:t>3</w:t>
            </w:r>
            <w:r>
              <w:rPr>
                <w:color w:val="auto"/>
                <w:sz w:val="24"/>
                <w:highlight w:val="none"/>
              </w:rPr>
              <w:t>/h，风机风量</w:t>
            </w:r>
            <w:r>
              <w:rPr>
                <w:rFonts w:hint="eastAsia"/>
                <w:color w:val="auto"/>
                <w:sz w:val="24"/>
                <w:highlight w:val="none"/>
              </w:rPr>
              <w:t>均</w:t>
            </w:r>
            <w:r>
              <w:rPr>
                <w:color w:val="auto"/>
                <w:sz w:val="24"/>
                <w:highlight w:val="none"/>
              </w:rPr>
              <w:t>取</w:t>
            </w:r>
            <w:r>
              <w:rPr>
                <w:rFonts w:hint="eastAsia"/>
                <w:color w:val="auto"/>
                <w:sz w:val="24"/>
                <w:highlight w:val="none"/>
              </w:rPr>
              <w:t>10000</w:t>
            </w:r>
            <w:r>
              <w:rPr>
                <w:color w:val="auto"/>
                <w:sz w:val="24"/>
                <w:highlight w:val="none"/>
              </w:rPr>
              <w:t>m</w:t>
            </w:r>
            <w:r>
              <w:rPr>
                <w:color w:val="auto"/>
                <w:sz w:val="24"/>
                <w:highlight w:val="none"/>
                <w:vertAlign w:val="superscript"/>
              </w:rPr>
              <w:t>3</w:t>
            </w:r>
            <w:r>
              <w:rPr>
                <w:color w:val="auto"/>
                <w:sz w:val="24"/>
                <w:highlight w:val="none"/>
              </w:rPr>
              <w:t>/h，收集效率取</w:t>
            </w:r>
            <w:r>
              <w:rPr>
                <w:rFonts w:hint="eastAsia"/>
                <w:color w:val="auto"/>
                <w:sz w:val="24"/>
                <w:highlight w:val="none"/>
              </w:rPr>
              <w:t>80</w:t>
            </w:r>
            <w:r>
              <w:rPr>
                <w:color w:val="auto"/>
                <w:sz w:val="24"/>
                <w:highlight w:val="none"/>
              </w:rPr>
              <w:t>%</w:t>
            </w:r>
            <w:r>
              <w:rPr>
                <w:rFonts w:hint="eastAsia"/>
                <w:color w:val="auto"/>
                <w:sz w:val="24"/>
                <w:highlight w:val="none"/>
              </w:rPr>
              <w:t>；非甲烷总烃经集气罩收集后采用</w:t>
            </w:r>
            <w:r>
              <w:rPr>
                <w:rFonts w:hint="eastAsia"/>
                <w:color w:val="auto"/>
                <w:sz w:val="24"/>
                <w:highlight w:val="none"/>
                <w:lang w:eastAsia="zh-CN"/>
              </w:rPr>
              <w:t>“</w:t>
            </w:r>
            <w:r>
              <w:rPr>
                <w:rFonts w:hint="eastAsia"/>
                <w:color w:val="auto"/>
                <w:sz w:val="24"/>
                <w:highlight w:val="none"/>
                <w:lang w:val="en-US" w:eastAsia="zh-CN"/>
              </w:rPr>
              <w:t>UV光解+</w:t>
            </w:r>
            <w:r>
              <w:rPr>
                <w:rFonts w:hint="eastAsia"/>
                <w:color w:val="auto"/>
                <w:sz w:val="24"/>
                <w:highlight w:val="none"/>
              </w:rPr>
              <w:t>二级活性炭吸附</w:t>
            </w:r>
            <w:r>
              <w:rPr>
                <w:rFonts w:hint="eastAsia"/>
                <w:color w:val="auto"/>
                <w:sz w:val="24"/>
                <w:highlight w:val="none"/>
                <w:lang w:eastAsia="zh-CN"/>
              </w:rPr>
              <w:t>”</w:t>
            </w:r>
            <w:r>
              <w:rPr>
                <w:rFonts w:hint="eastAsia"/>
                <w:color w:val="auto"/>
                <w:sz w:val="24"/>
                <w:highlight w:val="none"/>
              </w:rPr>
              <w:t>，最后引至15m高的3#排气筒排放，根据</w:t>
            </w:r>
            <w:r>
              <w:rPr>
                <w:color w:val="auto"/>
                <w:sz w:val="24"/>
                <w:highlight w:val="none"/>
              </w:rPr>
              <w:t>《第二次全国污染源普</w:t>
            </w:r>
            <w:r>
              <w:rPr>
                <w:rFonts w:hint="default" w:ascii="Times New Roman" w:hAnsi="Times New Roman" w:cs="Times New Roman"/>
                <w:color w:val="auto"/>
                <w:sz w:val="24"/>
                <w:highlight w:val="none"/>
              </w:rPr>
              <w:t>查产排污核算系数手册》中“</w:t>
            </w:r>
            <w:r>
              <w:rPr>
                <w:rFonts w:hint="default" w:ascii="Times New Roman" w:hAnsi="Times New Roman" w:cs="Times New Roman"/>
                <w:color w:val="auto"/>
                <w:kern w:val="0"/>
                <w:sz w:val="24"/>
                <w:highlight w:val="none"/>
                <w:lang w:bidi="ar"/>
              </w:rPr>
              <w:t>33金属制品业、34通用设备制造业、35专用设备制造业、36汽车制造业、37铁路、船舶、航空航天和其他运输设备制造业、431金属制品修理、432通用设备修理、433专用设备修理、434铁路、船舶、航空航天等运输设备修理（不包括电镀工艺）行业系数手册</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光解的处理效率为</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其它（吸附法）的处理效率为60%，由于非甲烷总烃经第</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级活性炭处理后其浓度降低，导致第</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级活性炭对非甲烷总烃的处理效率将降低，本评价取</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%，则</w:t>
            </w:r>
            <w:r>
              <w:rPr>
                <w:rFonts w:hint="default" w:ascii="Times New Roman" w:hAnsi="Times New Roman" w:cs="Times New Roman"/>
                <w:color w:val="auto"/>
                <w:sz w:val="24"/>
                <w:highlight w:val="none"/>
                <w:lang w:val="en-US" w:eastAsia="zh-CN"/>
              </w:rPr>
              <w:t>UV光解+</w:t>
            </w:r>
            <w:r>
              <w:rPr>
                <w:rFonts w:hint="default" w:ascii="Times New Roman" w:hAnsi="Times New Roman" w:cs="Times New Roman"/>
                <w:color w:val="auto"/>
                <w:sz w:val="24"/>
                <w:highlight w:val="none"/>
              </w:rPr>
              <w:t>二活性炭综合处理效率为</w:t>
            </w:r>
            <w:r>
              <w:rPr>
                <w:rFonts w:hint="default" w:ascii="Times New Roman" w:hAnsi="Times New Roman" w:cs="Times New Roman"/>
                <w:color w:val="auto"/>
                <w:sz w:val="24"/>
                <w:highlight w:val="none"/>
                <w:lang w:val="en-US" w:eastAsia="zh-CN"/>
              </w:rPr>
              <w:t>80</w:t>
            </w:r>
            <w:r>
              <w:rPr>
                <w:rFonts w:hint="default" w:ascii="Times New Roman" w:hAnsi="Times New Roman" w:cs="Times New Roman"/>
                <w:color w:val="auto"/>
                <w:sz w:val="24"/>
                <w:highlight w:val="none"/>
              </w:rPr>
              <w:t>%，则非甲烷总烃排放浓度为</w:t>
            </w:r>
            <w:r>
              <w:rPr>
                <w:rFonts w:hint="default" w:ascii="Times New Roman" w:hAnsi="Times New Roman" w:cs="Times New Roman"/>
                <w:color w:val="auto"/>
                <w:sz w:val="24"/>
                <w:highlight w:val="none"/>
                <w:lang w:val="en-US" w:eastAsia="zh-CN"/>
              </w:rPr>
              <w:t>13.371</w:t>
            </w:r>
            <w:r>
              <w:rPr>
                <w:rFonts w:hint="default" w:ascii="Times New Roman" w:hAnsi="Times New Roman" w:cs="Times New Roman"/>
                <w:color w:val="auto"/>
                <w:sz w:val="24"/>
                <w:highlight w:val="none"/>
              </w:rPr>
              <w:t>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,排放速率为0.</w:t>
            </w:r>
            <w:r>
              <w:rPr>
                <w:rFonts w:hint="default" w:ascii="Times New Roman" w:hAnsi="Times New Roman" w:cs="Times New Roman"/>
                <w:color w:val="auto"/>
                <w:sz w:val="24"/>
                <w:highlight w:val="none"/>
                <w:lang w:val="en-US" w:eastAsia="zh-CN"/>
              </w:rPr>
              <w:t>134</w:t>
            </w:r>
            <w:r>
              <w:rPr>
                <w:rFonts w:hint="default" w:ascii="Times New Roman" w:hAnsi="Times New Roman" w:cs="Times New Roman"/>
                <w:color w:val="auto"/>
                <w:sz w:val="24"/>
                <w:highlight w:val="none"/>
              </w:rPr>
              <w:t>kg/h，即0.</w:t>
            </w:r>
            <w:r>
              <w:rPr>
                <w:rFonts w:hint="default" w:ascii="Times New Roman" w:hAnsi="Times New Roman" w:cs="Times New Roman"/>
                <w:color w:val="auto"/>
                <w:sz w:val="24"/>
                <w:highlight w:val="none"/>
                <w:lang w:val="en-US" w:eastAsia="zh-CN"/>
              </w:rPr>
              <w:t>281</w:t>
            </w:r>
            <w:r>
              <w:rPr>
                <w:rFonts w:hint="default" w:ascii="Times New Roman" w:hAnsi="Times New Roman" w:cs="Times New Roman"/>
                <w:color w:val="auto"/>
                <w:sz w:val="24"/>
                <w:highlight w:val="none"/>
              </w:rPr>
              <w:t>t/a；SO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排放浓度为2.080mg/m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，排放速率为0.021kg/h，即0.044</w:t>
            </w:r>
            <w:r>
              <w:rPr>
                <w:rFonts w:hint="default" w:ascii="Times New Roman" w:hAnsi="Times New Roman" w:cs="Times New Roman"/>
                <w:color w:val="auto"/>
                <w:sz w:val="24"/>
                <w:highlight w:val="none"/>
                <w:lang w:val="en-US" w:eastAsia="zh-CN"/>
              </w:rPr>
              <w:t>t</w:t>
            </w:r>
            <w:r>
              <w:rPr>
                <w:rFonts w:hint="default" w:ascii="Times New Roman" w:hAnsi="Times New Roman" w:cs="Times New Roman"/>
                <w:color w:val="auto"/>
                <w:sz w:val="24"/>
                <w:highlight w:val="none"/>
              </w:rPr>
              <w:t>/a；NO</w:t>
            </w:r>
            <w:r>
              <w:rPr>
                <w:rFonts w:hint="default" w:ascii="Times New Roman" w:hAnsi="Times New Roman" w:cs="Times New Roman"/>
                <w:color w:val="auto"/>
                <w:sz w:val="24"/>
                <w:highlight w:val="none"/>
                <w:vertAlign w:val="subscript"/>
              </w:rPr>
              <w:t>X</w:t>
            </w:r>
            <w:r>
              <w:rPr>
                <w:rFonts w:hint="default" w:ascii="Times New Roman" w:hAnsi="Times New Roman" w:cs="Times New Roman"/>
                <w:color w:val="auto"/>
                <w:sz w:val="24"/>
                <w:highlight w:val="none"/>
              </w:rPr>
              <w:t>排放浓</w:t>
            </w:r>
            <w:r>
              <w:rPr>
                <w:rFonts w:hint="default" w:ascii="Times New Roman" w:hAnsi="Times New Roman" w:cs="Times New Roman"/>
                <w:color w:val="auto"/>
                <w:sz w:val="24"/>
              </w:rPr>
              <w:t>度</w:t>
            </w:r>
            <w:r>
              <w:rPr>
                <w:color w:val="auto"/>
                <w:sz w:val="24"/>
              </w:rPr>
              <w:t>为</w:t>
            </w:r>
            <w:r>
              <w:rPr>
                <w:rFonts w:hint="eastAsia"/>
                <w:color w:val="auto"/>
                <w:sz w:val="24"/>
              </w:rPr>
              <w:t>19.448</w:t>
            </w:r>
            <w:r>
              <w:rPr>
                <w:color w:val="auto"/>
                <w:sz w:val="24"/>
              </w:rPr>
              <w:t>mg/m</w:t>
            </w:r>
            <w:r>
              <w:rPr>
                <w:color w:val="auto"/>
                <w:sz w:val="24"/>
                <w:vertAlign w:val="superscript"/>
              </w:rPr>
              <w:t>3</w:t>
            </w:r>
            <w:r>
              <w:rPr>
                <w:color w:val="auto"/>
                <w:sz w:val="24"/>
              </w:rPr>
              <w:t>,排放速率为</w:t>
            </w:r>
            <w:r>
              <w:rPr>
                <w:rFonts w:hint="eastAsia"/>
                <w:color w:val="auto"/>
                <w:sz w:val="24"/>
              </w:rPr>
              <w:t>0.194</w:t>
            </w:r>
            <w:r>
              <w:rPr>
                <w:color w:val="auto"/>
                <w:sz w:val="24"/>
              </w:rPr>
              <w:t>kg/h，即</w:t>
            </w:r>
            <w:r>
              <w:rPr>
                <w:rFonts w:hint="eastAsia"/>
                <w:color w:val="auto"/>
                <w:sz w:val="24"/>
              </w:rPr>
              <w:t>0.408</w:t>
            </w:r>
            <w:r>
              <w:rPr>
                <w:color w:val="auto"/>
                <w:sz w:val="24"/>
              </w:rPr>
              <w:t>t/a；</w:t>
            </w:r>
            <w:r>
              <w:rPr>
                <w:rFonts w:hint="eastAsia"/>
                <w:color w:val="auto"/>
                <w:sz w:val="24"/>
              </w:rPr>
              <w:t>颗粒物排放浓度为2.974mg/m</w:t>
            </w:r>
            <w:r>
              <w:rPr>
                <w:rFonts w:hint="eastAsia"/>
                <w:color w:val="auto"/>
                <w:sz w:val="24"/>
                <w:vertAlign w:val="superscript"/>
              </w:rPr>
              <w:t>3</w:t>
            </w:r>
            <w:r>
              <w:rPr>
                <w:rFonts w:hint="eastAsia"/>
                <w:color w:val="auto"/>
                <w:sz w:val="24"/>
              </w:rPr>
              <w:t>,排放速率为0.030kg/h，即0.062t/a；满足</w:t>
            </w:r>
            <w:r>
              <w:rPr>
                <w:snapToGrid w:val="0"/>
                <w:color w:val="auto"/>
                <w:kern w:val="0"/>
                <w:sz w:val="24"/>
              </w:rPr>
              <w:t>《</w:t>
            </w:r>
            <w:r>
              <w:rPr>
                <w:color w:val="auto"/>
                <w:sz w:val="24"/>
              </w:rPr>
              <w:t>大气污染物综合排放标准》(DB50/418－2016)</w:t>
            </w:r>
            <w:r>
              <w:rPr>
                <w:rFonts w:hint="eastAsia"/>
                <w:color w:val="auto"/>
                <w:sz w:val="24"/>
              </w:rPr>
              <w:t>的标准要求。</w:t>
            </w:r>
          </w:p>
          <w:p>
            <w:pPr>
              <w:autoSpaceDE w:val="0"/>
              <w:autoSpaceDN w:val="0"/>
              <w:adjustRightInd w:val="0"/>
              <w:snapToGrid w:val="0"/>
              <w:spacing w:line="360" w:lineRule="auto"/>
              <w:ind w:firstLine="480" w:firstLineChars="200"/>
              <w:rPr>
                <w:color w:val="auto"/>
              </w:rPr>
            </w:pPr>
            <w:r>
              <w:rPr>
                <w:color w:val="auto"/>
                <w:sz w:val="24"/>
              </w:rPr>
              <w:t>由上述分析可知，由于</w:t>
            </w:r>
            <w:r>
              <w:rPr>
                <w:rFonts w:hint="eastAsia"/>
                <w:color w:val="auto"/>
                <w:sz w:val="24"/>
              </w:rPr>
              <w:t>涂胶、烘干各工位有少量废气无法被收集</w:t>
            </w:r>
            <w:r>
              <w:rPr>
                <w:color w:val="auto"/>
                <w:sz w:val="24"/>
              </w:rPr>
              <w:t>、处理，将以无组织形式排放</w:t>
            </w:r>
            <w:r>
              <w:rPr>
                <w:rFonts w:hint="eastAsia"/>
                <w:color w:val="auto"/>
                <w:sz w:val="24"/>
              </w:rPr>
              <w:t>。根据物料平衡计算，</w:t>
            </w:r>
            <w:r>
              <w:rPr>
                <w:color w:val="auto"/>
                <w:sz w:val="24"/>
              </w:rPr>
              <w:t>非甲烷总烃无组织排放量为</w:t>
            </w:r>
            <w:r>
              <w:rPr>
                <w:rFonts w:hint="eastAsia"/>
                <w:color w:val="auto"/>
                <w:sz w:val="24"/>
              </w:rPr>
              <w:t>0.</w:t>
            </w:r>
            <w:r>
              <w:rPr>
                <w:rFonts w:hint="eastAsia"/>
                <w:color w:val="auto"/>
                <w:sz w:val="24"/>
                <w:lang w:val="en-US" w:eastAsia="zh-CN"/>
              </w:rPr>
              <w:t>351</w:t>
            </w:r>
            <w:r>
              <w:rPr>
                <w:color w:val="auto"/>
                <w:sz w:val="24"/>
              </w:rPr>
              <w:t>t/a</w:t>
            </w:r>
            <w:r>
              <w:rPr>
                <w:rFonts w:hint="eastAsia"/>
                <w:color w:val="auto"/>
                <w:sz w:val="24"/>
              </w:rPr>
              <w:t>;SO</w:t>
            </w:r>
            <w:r>
              <w:rPr>
                <w:rFonts w:hint="eastAsia"/>
                <w:color w:val="auto"/>
                <w:sz w:val="24"/>
                <w:vertAlign w:val="subscript"/>
              </w:rPr>
              <w:t>2</w:t>
            </w:r>
            <w:r>
              <w:rPr>
                <w:rFonts w:hint="eastAsia"/>
                <w:color w:val="auto"/>
                <w:sz w:val="24"/>
              </w:rPr>
              <w:t>无组织排放量为0.011t/a;NO</w:t>
            </w:r>
            <w:r>
              <w:rPr>
                <w:rFonts w:hint="eastAsia"/>
                <w:color w:val="auto"/>
                <w:sz w:val="24"/>
                <w:vertAlign w:val="subscript"/>
              </w:rPr>
              <w:t>X</w:t>
            </w:r>
            <w:r>
              <w:rPr>
                <w:rFonts w:hint="eastAsia"/>
                <w:color w:val="auto"/>
                <w:sz w:val="24"/>
              </w:rPr>
              <w:t>无组织排放量为0.102t/a;颗粒物无组织排放量为0.016t/a</w:t>
            </w:r>
            <w:r>
              <w:rPr>
                <w:color w:val="auto"/>
                <w:sz w:val="24"/>
              </w:rPr>
              <w:t>。</w:t>
            </w:r>
          </w:p>
          <w:p>
            <w:pPr>
              <w:pStyle w:val="2"/>
              <w:ind w:firstLine="480" w:firstLineChars="200"/>
              <w:rPr>
                <w:rFonts w:ascii="Times New Roman" w:hAnsi="Times New Roman" w:cs="Times New Roman"/>
                <w:color w:val="auto"/>
              </w:rPr>
            </w:pPr>
            <w:r>
              <w:rPr>
                <w:rFonts w:hint="eastAsia"/>
                <w:color w:val="auto"/>
              </w:rPr>
              <w:t>②</w:t>
            </w:r>
            <w:r>
              <w:rPr>
                <w:color w:val="auto"/>
                <w:szCs w:val="21"/>
              </w:rPr>
              <w:t>淋膜无纺布</w:t>
            </w:r>
            <w:r>
              <w:rPr>
                <w:rFonts w:hint="eastAsia"/>
                <w:color w:val="auto"/>
                <w:szCs w:val="21"/>
              </w:rPr>
              <w:t>生产线</w:t>
            </w:r>
            <w:r>
              <w:rPr>
                <w:rFonts w:ascii="Times New Roman" w:hAnsi="Times New Roman" w:cs="Times New Roman"/>
                <w:color w:val="auto"/>
              </w:rPr>
              <w:t>（G</w:t>
            </w:r>
            <w:r>
              <w:rPr>
                <w:rFonts w:hint="eastAsia" w:ascii="Times New Roman" w:hAnsi="Times New Roman" w:cs="Times New Roman"/>
                <w:color w:val="auto"/>
              </w:rPr>
              <w:t>3、G4</w:t>
            </w:r>
            <w:r>
              <w:rPr>
                <w:rFonts w:ascii="Times New Roman" w:hAnsi="Times New Roman" w:cs="Times New Roman"/>
                <w:color w:val="auto"/>
              </w:rPr>
              <w:t>）</w:t>
            </w:r>
          </w:p>
          <w:p>
            <w:pPr>
              <w:snapToGrid w:val="0"/>
              <w:spacing w:line="360" w:lineRule="auto"/>
              <w:ind w:firstLine="480" w:firstLineChars="200"/>
              <w:rPr>
                <w:rFonts w:hint="eastAsia" w:eastAsia="宋体"/>
                <w:color w:val="auto"/>
                <w:sz w:val="24"/>
                <w:lang w:val="en-US" w:eastAsia="zh-CN"/>
              </w:rPr>
            </w:pPr>
            <w:r>
              <w:rPr>
                <w:color w:val="auto"/>
                <w:sz w:val="24"/>
              </w:rPr>
              <w:t>由表2.4、表2.7的分析可知，</w:t>
            </w:r>
            <w:r>
              <w:rPr>
                <w:rFonts w:hint="eastAsia"/>
                <w:color w:val="auto"/>
                <w:sz w:val="24"/>
                <w:lang w:eastAsia="zh-CN"/>
              </w:rPr>
              <w:t>扩建项目</w:t>
            </w:r>
            <w:r>
              <w:rPr>
                <w:color w:val="auto"/>
                <w:sz w:val="24"/>
              </w:rPr>
              <w:t>P</w:t>
            </w:r>
            <w:r>
              <w:rPr>
                <w:rFonts w:hint="eastAsia"/>
                <w:color w:val="auto"/>
                <w:sz w:val="24"/>
                <w:lang w:val="en-US" w:eastAsia="zh-CN"/>
              </w:rPr>
              <w:t>E</w:t>
            </w:r>
            <w:r>
              <w:rPr>
                <w:color w:val="auto"/>
                <w:sz w:val="24"/>
              </w:rPr>
              <w:t>塑料粒使用量为</w:t>
            </w:r>
            <w:r>
              <w:rPr>
                <w:rFonts w:hint="eastAsia"/>
                <w:color w:val="auto"/>
                <w:sz w:val="24"/>
                <w:lang w:val="en-US" w:eastAsia="zh-CN"/>
              </w:rPr>
              <w:t>61</w:t>
            </w:r>
            <w:r>
              <w:rPr>
                <w:color w:val="auto"/>
                <w:sz w:val="24"/>
              </w:rPr>
              <w:t>t/a，运行时间为7h/d。参照《排放源统计调查产排污核算方法和系数手册—292塑料制品制造行业系数手册》（生态环境部公告2021年第24号）：塑料零件—注塑工序—挥发性有机物产污系数为2.7kg/t-产品；</w:t>
            </w:r>
            <w:r>
              <w:rPr>
                <w:rFonts w:hint="eastAsia"/>
                <w:color w:val="auto"/>
                <w:sz w:val="24"/>
              </w:rPr>
              <w:t>其中淋膜工序占比按50%、冷却工序占比按50%计，</w:t>
            </w:r>
            <w:r>
              <w:rPr>
                <w:color w:val="auto"/>
                <w:sz w:val="24"/>
              </w:rPr>
              <w:t>则</w:t>
            </w:r>
            <w:r>
              <w:rPr>
                <w:rFonts w:hint="eastAsia"/>
                <w:color w:val="auto"/>
                <w:sz w:val="24"/>
              </w:rPr>
              <w:t>淋膜工序非甲烷总烃</w:t>
            </w:r>
            <w:r>
              <w:rPr>
                <w:color w:val="auto"/>
                <w:sz w:val="24"/>
              </w:rPr>
              <w:t>产生量约</w:t>
            </w:r>
            <w:r>
              <w:rPr>
                <w:rFonts w:hint="eastAsia"/>
                <w:color w:val="auto"/>
                <w:sz w:val="24"/>
              </w:rPr>
              <w:t>0.039</w:t>
            </w:r>
            <w:r>
              <w:rPr>
                <w:color w:val="auto"/>
                <w:sz w:val="24"/>
              </w:rPr>
              <w:t>kg/h，</w:t>
            </w:r>
            <w:r>
              <w:rPr>
                <w:rFonts w:hint="eastAsia"/>
                <w:color w:val="auto"/>
                <w:sz w:val="24"/>
              </w:rPr>
              <w:t>0.08</w:t>
            </w:r>
            <w:r>
              <w:rPr>
                <w:rFonts w:hint="eastAsia"/>
                <w:color w:val="auto"/>
                <w:sz w:val="24"/>
                <w:lang w:val="en-US" w:eastAsia="zh-CN"/>
              </w:rPr>
              <w:t>2</w:t>
            </w:r>
            <w:r>
              <w:rPr>
                <w:color w:val="auto"/>
                <w:sz w:val="24"/>
              </w:rPr>
              <w:t>t/a</w:t>
            </w:r>
            <w:r>
              <w:rPr>
                <w:rFonts w:hint="eastAsia"/>
                <w:color w:val="auto"/>
                <w:sz w:val="24"/>
              </w:rPr>
              <w:t>；冷却工序非甲烷总烃</w:t>
            </w:r>
            <w:r>
              <w:rPr>
                <w:color w:val="auto"/>
                <w:sz w:val="24"/>
              </w:rPr>
              <w:t>产生量约</w:t>
            </w:r>
            <w:r>
              <w:rPr>
                <w:rFonts w:hint="eastAsia"/>
                <w:color w:val="auto"/>
                <w:sz w:val="24"/>
              </w:rPr>
              <w:t>0.039</w:t>
            </w:r>
            <w:r>
              <w:rPr>
                <w:color w:val="auto"/>
                <w:sz w:val="24"/>
              </w:rPr>
              <w:t>kg/h，</w:t>
            </w:r>
            <w:r>
              <w:rPr>
                <w:rFonts w:hint="eastAsia"/>
                <w:color w:val="auto"/>
                <w:sz w:val="24"/>
              </w:rPr>
              <w:t>0.08</w:t>
            </w:r>
            <w:r>
              <w:rPr>
                <w:rFonts w:hint="eastAsia"/>
                <w:color w:val="auto"/>
                <w:sz w:val="24"/>
                <w:lang w:val="en-US" w:eastAsia="zh-CN"/>
              </w:rPr>
              <w:t>2</w:t>
            </w:r>
            <w:r>
              <w:rPr>
                <w:color w:val="auto"/>
                <w:sz w:val="24"/>
              </w:rPr>
              <w:t>t/a。</w:t>
            </w:r>
          </w:p>
          <w:p>
            <w:pPr>
              <w:pStyle w:val="15"/>
              <w:snapToGrid w:val="0"/>
              <w:spacing w:after="0" w:line="360" w:lineRule="auto"/>
              <w:ind w:left="0" w:leftChars="0" w:firstLine="480" w:firstLineChars="200"/>
              <w:rPr>
                <w:color w:val="auto"/>
                <w:sz w:val="24"/>
              </w:rPr>
            </w:pPr>
            <w:r>
              <w:rPr>
                <w:rFonts w:hint="eastAsia"/>
                <w:color w:val="auto"/>
                <w:sz w:val="24"/>
                <w:lang w:eastAsia="zh-CN"/>
              </w:rPr>
              <w:t>扩建项目</w:t>
            </w:r>
            <w:r>
              <w:rPr>
                <w:rFonts w:hint="eastAsia"/>
                <w:color w:val="auto"/>
                <w:sz w:val="24"/>
              </w:rPr>
              <w:t>共设置2条淋膜无纺布生产线，</w:t>
            </w:r>
            <w:r>
              <w:rPr>
                <w:color w:val="auto"/>
                <w:sz w:val="24"/>
              </w:rPr>
              <w:t>在</w:t>
            </w:r>
            <w:r>
              <w:rPr>
                <w:rFonts w:hint="eastAsia"/>
                <w:color w:val="auto"/>
                <w:sz w:val="24"/>
              </w:rPr>
              <w:t>淋膜工位、冷却工位上方处设置集气罩，</w:t>
            </w:r>
            <w:r>
              <w:rPr>
                <w:color w:val="auto"/>
                <w:sz w:val="24"/>
              </w:rPr>
              <w:t>采用负压抽风的方式收集废气，</w:t>
            </w:r>
            <w:r>
              <w:rPr>
                <w:rFonts w:hint="eastAsia"/>
                <w:color w:val="auto"/>
                <w:sz w:val="24"/>
              </w:rPr>
              <w:t>其风量核算见表4.2。</w:t>
            </w:r>
          </w:p>
          <w:p>
            <w:pPr>
              <w:pStyle w:val="15"/>
              <w:snapToGrid w:val="0"/>
              <w:spacing w:after="0" w:line="360" w:lineRule="auto"/>
              <w:ind w:left="0" w:leftChars="0"/>
              <w:jc w:val="center"/>
              <w:rPr>
                <w:color w:val="auto"/>
                <w:sz w:val="21"/>
                <w:szCs w:val="21"/>
              </w:rPr>
            </w:pPr>
            <w:r>
              <w:rPr>
                <w:rFonts w:hint="eastAsia"/>
                <w:color w:val="auto"/>
                <w:sz w:val="21"/>
                <w:szCs w:val="21"/>
              </w:rPr>
              <w:t>表4.2 淋膜、冷却工序风量核算一览表</w:t>
            </w:r>
          </w:p>
          <w:tbl>
            <w:tblPr>
              <w:tblStyle w:val="23"/>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947"/>
              <w:gridCol w:w="1440"/>
              <w:gridCol w:w="1385"/>
              <w:gridCol w:w="1349"/>
              <w:gridCol w:w="1162"/>
              <w:gridCol w:w="13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序号</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生产工序</w:t>
                  </w:r>
                </w:p>
              </w:tc>
              <w:tc>
                <w:tcPr>
                  <w:tcW w:w="884"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集气罩尺寸</w:t>
                  </w:r>
                </w:p>
              </w:tc>
              <w:tc>
                <w:tcPr>
                  <w:tcW w:w="850"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控制点距离</w:t>
                  </w:r>
                </w:p>
              </w:tc>
              <w:tc>
                <w:tcPr>
                  <w:tcW w:w="828"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控制</w:t>
                  </w:r>
                  <w:r>
                    <w:rPr>
                      <w:color w:val="auto"/>
                    </w:rPr>
                    <w:t>点风速</w:t>
                  </w:r>
                </w:p>
              </w:tc>
              <w:tc>
                <w:tcPr>
                  <w:tcW w:w="713"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数量</w:t>
                  </w:r>
                </w:p>
              </w:tc>
              <w:tc>
                <w:tcPr>
                  <w:tcW w:w="845"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最小风量（m</w:t>
                  </w:r>
                  <w:r>
                    <w:rPr>
                      <w:color w:val="auto"/>
                      <w:vertAlign w:val="superscript"/>
                    </w:rPr>
                    <w:t>3</w:t>
                  </w:r>
                  <w:r>
                    <w:rPr>
                      <w:color w:val="auto"/>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淋膜</w:t>
                  </w:r>
                </w:p>
              </w:tc>
              <w:tc>
                <w:tcPr>
                  <w:tcW w:w="884"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w:t>
                  </w:r>
                  <w:r>
                    <w:rPr>
                      <w:rFonts w:hint="eastAsia"/>
                      <w:color w:val="auto"/>
                      <w:lang w:val="en-US" w:eastAsia="zh-CN"/>
                    </w:rPr>
                    <w:t>5</w:t>
                  </w:r>
                  <w:r>
                    <w:rPr>
                      <w:rFonts w:hint="eastAsia"/>
                      <w:color w:val="auto"/>
                    </w:rPr>
                    <w:t>00</w:t>
                  </w:r>
                  <w:r>
                    <w:rPr>
                      <w:color w:val="auto"/>
                    </w:rPr>
                    <w:t>×</w:t>
                  </w:r>
                  <w:r>
                    <w:rPr>
                      <w:rFonts w:hint="eastAsia"/>
                      <w:color w:val="auto"/>
                    </w:rPr>
                    <w:t>300</w:t>
                  </w:r>
                  <w:r>
                    <w:rPr>
                      <w:color w:val="auto"/>
                    </w:rPr>
                    <w:t>mm</w:t>
                  </w:r>
                </w:p>
              </w:tc>
              <w:tc>
                <w:tcPr>
                  <w:tcW w:w="850"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0.</w:t>
                  </w:r>
                  <w:r>
                    <w:rPr>
                      <w:rFonts w:hint="eastAsia"/>
                      <w:color w:val="auto"/>
                      <w:lang w:val="en-US" w:eastAsia="zh-CN"/>
                    </w:rPr>
                    <w:t>3</w:t>
                  </w:r>
                  <w:r>
                    <w:rPr>
                      <w:rFonts w:hint="eastAsia"/>
                      <w:color w:val="auto"/>
                    </w:rPr>
                    <w:t>m</w:t>
                  </w:r>
                </w:p>
              </w:tc>
              <w:tc>
                <w:tcPr>
                  <w:tcW w:w="828" w:type="pct"/>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0.3m/s</w:t>
                  </w:r>
                </w:p>
              </w:tc>
              <w:tc>
                <w:tcPr>
                  <w:tcW w:w="713"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2个</w:t>
                  </w:r>
                </w:p>
              </w:tc>
              <w:tc>
                <w:tcPr>
                  <w:tcW w:w="845" w:type="pct"/>
                  <w:tcBorders>
                    <w:tl2br w:val="nil"/>
                    <w:tr2bl w:val="nil"/>
                  </w:tcBorders>
                  <w:vAlign w:val="center"/>
                </w:tcPr>
                <w:p>
                  <w:pPr>
                    <w:pStyle w:val="15"/>
                    <w:adjustRightInd w:val="0"/>
                    <w:snapToGrid w:val="0"/>
                    <w:spacing w:after="0" w:line="240" w:lineRule="auto"/>
                    <w:ind w:left="0" w:leftChars="0"/>
                    <w:jc w:val="center"/>
                    <w:rPr>
                      <w:rFonts w:hint="default" w:eastAsia="宋体"/>
                      <w:color w:val="auto"/>
                      <w:lang w:val="en-US" w:eastAsia="zh-CN"/>
                    </w:rPr>
                  </w:pPr>
                  <w:r>
                    <w:rPr>
                      <w:rFonts w:hint="eastAsia"/>
                      <w:color w:val="auto"/>
                      <w:lang w:val="en-US" w:eastAsia="zh-CN"/>
                    </w:rPr>
                    <w:t>3266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2</w:t>
                  </w:r>
                </w:p>
              </w:tc>
              <w:tc>
                <w:tcPr>
                  <w:tcW w:w="581" w:type="pct"/>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冷却</w:t>
                  </w:r>
                </w:p>
              </w:tc>
              <w:tc>
                <w:tcPr>
                  <w:tcW w:w="1440"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1</w:t>
                  </w:r>
                  <w:r>
                    <w:rPr>
                      <w:rFonts w:hint="eastAsia"/>
                      <w:color w:val="auto"/>
                      <w:lang w:val="en-US" w:eastAsia="zh-CN"/>
                    </w:rPr>
                    <w:t>5</w:t>
                  </w:r>
                  <w:r>
                    <w:rPr>
                      <w:rFonts w:hint="eastAsia"/>
                      <w:color w:val="auto"/>
                    </w:rPr>
                    <w:t>00</w:t>
                  </w:r>
                  <w:r>
                    <w:rPr>
                      <w:color w:val="auto"/>
                    </w:rPr>
                    <w:t>×</w:t>
                  </w:r>
                  <w:r>
                    <w:rPr>
                      <w:rFonts w:hint="eastAsia"/>
                      <w:color w:val="auto"/>
                    </w:rPr>
                    <w:t>600</w:t>
                  </w:r>
                  <w:r>
                    <w:rPr>
                      <w:color w:val="auto"/>
                    </w:rPr>
                    <w:t>mm</w:t>
                  </w:r>
                </w:p>
              </w:tc>
              <w:tc>
                <w:tcPr>
                  <w:tcW w:w="1385"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0.</w:t>
                  </w:r>
                  <w:r>
                    <w:rPr>
                      <w:rFonts w:hint="eastAsia"/>
                      <w:color w:val="auto"/>
                      <w:lang w:val="en-US" w:eastAsia="zh-CN"/>
                    </w:rPr>
                    <w:t>5</w:t>
                  </w:r>
                  <w:r>
                    <w:rPr>
                      <w:rFonts w:hint="eastAsia"/>
                      <w:color w:val="auto"/>
                    </w:rPr>
                    <w:t>m</w:t>
                  </w:r>
                </w:p>
              </w:tc>
              <w:tc>
                <w:tcPr>
                  <w:tcW w:w="1349" w:type="dxa"/>
                  <w:tcBorders>
                    <w:tl2br w:val="nil"/>
                    <w:tr2bl w:val="nil"/>
                  </w:tcBorders>
                  <w:vAlign w:val="center"/>
                </w:tcPr>
                <w:p>
                  <w:pPr>
                    <w:pStyle w:val="15"/>
                    <w:adjustRightInd w:val="0"/>
                    <w:snapToGrid w:val="0"/>
                    <w:spacing w:after="0" w:line="240" w:lineRule="auto"/>
                    <w:ind w:left="0" w:leftChars="0"/>
                    <w:jc w:val="center"/>
                    <w:rPr>
                      <w:color w:val="auto"/>
                    </w:rPr>
                  </w:pPr>
                  <w:r>
                    <w:rPr>
                      <w:color w:val="auto"/>
                    </w:rPr>
                    <w:t>0.3m/s</w:t>
                  </w:r>
                </w:p>
              </w:tc>
              <w:tc>
                <w:tcPr>
                  <w:tcW w:w="1162" w:type="dxa"/>
                  <w:tcBorders>
                    <w:tl2br w:val="nil"/>
                    <w:tr2bl w:val="nil"/>
                  </w:tcBorders>
                  <w:vAlign w:val="center"/>
                </w:tcPr>
                <w:p>
                  <w:pPr>
                    <w:pStyle w:val="15"/>
                    <w:adjustRightInd w:val="0"/>
                    <w:snapToGrid w:val="0"/>
                    <w:spacing w:after="0" w:line="240" w:lineRule="auto"/>
                    <w:ind w:left="0" w:leftChars="0"/>
                    <w:jc w:val="center"/>
                    <w:rPr>
                      <w:color w:val="auto"/>
                    </w:rPr>
                  </w:pPr>
                  <w:r>
                    <w:rPr>
                      <w:rFonts w:hint="eastAsia"/>
                      <w:color w:val="auto"/>
                    </w:rPr>
                    <w:t>2个</w:t>
                  </w:r>
                </w:p>
              </w:tc>
              <w:tc>
                <w:tcPr>
                  <w:tcW w:w="1380" w:type="dxa"/>
                  <w:tcBorders>
                    <w:tl2br w:val="nil"/>
                    <w:tr2bl w:val="nil"/>
                  </w:tcBorders>
                  <w:vAlign w:val="center"/>
                </w:tcPr>
                <w:p>
                  <w:pPr>
                    <w:pStyle w:val="15"/>
                    <w:adjustRightInd w:val="0"/>
                    <w:snapToGrid w:val="0"/>
                    <w:spacing w:after="0" w:line="240" w:lineRule="auto"/>
                    <w:ind w:left="0" w:leftChars="0"/>
                    <w:jc w:val="center"/>
                    <w:rPr>
                      <w:rFonts w:hint="default" w:eastAsia="宋体"/>
                      <w:color w:val="auto"/>
                      <w:lang w:val="en-US" w:eastAsia="zh-CN"/>
                    </w:rPr>
                  </w:pPr>
                  <w:r>
                    <w:rPr>
                      <w:rFonts w:hint="eastAsia"/>
                      <w:color w:val="auto"/>
                      <w:lang w:val="en-US" w:eastAsia="zh-CN"/>
                    </w:rPr>
                    <w:t>6350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7"/>
                  <w:tcBorders>
                    <w:tl2br w:val="nil"/>
                    <w:tr2bl w:val="nil"/>
                  </w:tcBorders>
                  <w:vAlign w:val="center"/>
                </w:tcPr>
                <w:p>
                  <w:pPr>
                    <w:pStyle w:val="15"/>
                    <w:adjustRightInd w:val="0"/>
                    <w:snapToGrid w:val="0"/>
                    <w:spacing w:after="0" w:line="240" w:lineRule="auto"/>
                    <w:ind w:left="0" w:leftChars="0"/>
                    <w:rPr>
                      <w:color w:val="auto"/>
                    </w:rPr>
                  </w:pPr>
                  <w:r>
                    <w:rPr>
                      <w:color w:val="auto"/>
                    </w:rPr>
                    <w:t>备注：Q=1.4·p·h·v·</w:t>
                  </w:r>
                  <w:r>
                    <w:rPr>
                      <w:rFonts w:hint="eastAsia"/>
                      <w:color w:val="auto"/>
                    </w:rPr>
                    <w:t>3600</w:t>
                  </w:r>
                  <w:r>
                    <w:rPr>
                      <w:color w:val="auto"/>
                    </w:rPr>
                    <w:t>；Q-最小风量，m</w:t>
                  </w:r>
                  <w:r>
                    <w:rPr>
                      <w:color w:val="auto"/>
                      <w:vertAlign w:val="superscript"/>
                    </w:rPr>
                    <w:t>3</w:t>
                  </w:r>
                  <w:r>
                    <w:rPr>
                      <w:color w:val="auto"/>
                    </w:rPr>
                    <w:t>/h，p-集气罩周长，m；h-</w:t>
                  </w:r>
                  <w:r>
                    <w:rPr>
                      <w:rFonts w:hint="eastAsia"/>
                      <w:color w:val="auto"/>
                    </w:rPr>
                    <w:t>控制点</w:t>
                  </w:r>
                  <w:r>
                    <w:rPr>
                      <w:color w:val="auto"/>
                    </w:rPr>
                    <w:t>距离，m，v-</w:t>
                  </w:r>
                  <w:r>
                    <w:rPr>
                      <w:rFonts w:hint="eastAsia"/>
                      <w:color w:val="auto"/>
                    </w:rPr>
                    <w:t>控制点收集</w:t>
                  </w:r>
                  <w:r>
                    <w:rPr>
                      <w:color w:val="auto"/>
                    </w:rPr>
                    <w:t>风速，m/s</w:t>
                  </w:r>
                </w:p>
              </w:tc>
            </w:tr>
          </w:tbl>
          <w:p>
            <w:pPr>
              <w:pStyle w:val="2"/>
              <w:ind w:firstLine="480" w:firstLineChars="200"/>
              <w:rPr>
                <w:rFonts w:ascii="Times New Roman" w:hAnsi="Times New Roman" w:cs="Times New Roman"/>
                <w:color w:val="auto"/>
              </w:rPr>
            </w:pPr>
            <w:r>
              <w:rPr>
                <w:rFonts w:ascii="Times New Roman" w:hAnsi="Times New Roman" w:cs="Times New Roman"/>
                <w:color w:val="auto"/>
              </w:rPr>
              <w:t>由表4.2可知：淋膜、冷却工序工序废气收集最小风量均为</w:t>
            </w:r>
            <w:r>
              <w:rPr>
                <w:rFonts w:hint="eastAsia" w:ascii="Times New Roman" w:hAnsi="Times New Roman" w:cs="Times New Roman"/>
                <w:color w:val="auto"/>
                <w:lang w:val="en-US" w:eastAsia="zh-CN"/>
              </w:rPr>
              <w:t>9616</w:t>
            </w:r>
            <w:r>
              <w:rPr>
                <w:rFonts w:ascii="Times New Roman" w:hAnsi="Times New Roman" w:cs="Times New Roman"/>
                <w:color w:val="auto"/>
              </w:rPr>
              <w:t>m</w:t>
            </w:r>
            <w:r>
              <w:rPr>
                <w:rFonts w:ascii="Times New Roman" w:hAnsi="Times New Roman" w:cs="Times New Roman"/>
                <w:color w:val="auto"/>
                <w:vertAlign w:val="superscript"/>
              </w:rPr>
              <w:t>3</w:t>
            </w:r>
            <w:r>
              <w:rPr>
                <w:rFonts w:ascii="Times New Roman" w:hAnsi="Times New Roman" w:cs="Times New Roman"/>
                <w:color w:val="auto"/>
              </w:rPr>
              <w:t>/h，风机风量均</w:t>
            </w:r>
            <w:r>
              <w:rPr>
                <w:rFonts w:ascii="Times New Roman" w:hAnsi="Times New Roman" w:cs="Times New Roman"/>
                <w:color w:val="auto"/>
                <w:highlight w:val="none"/>
              </w:rPr>
              <w:t>取1</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000m</w:t>
            </w:r>
            <w:r>
              <w:rPr>
                <w:rFonts w:ascii="Times New Roman" w:hAnsi="Times New Roman" w:cs="Times New Roman"/>
                <w:color w:val="auto"/>
                <w:highlight w:val="none"/>
                <w:vertAlign w:val="superscript"/>
              </w:rPr>
              <w:t>3</w:t>
            </w:r>
            <w:r>
              <w:rPr>
                <w:rFonts w:ascii="Times New Roman" w:hAnsi="Times New Roman" w:cs="Times New Roman"/>
                <w:color w:val="auto"/>
                <w:highlight w:val="none"/>
              </w:rPr>
              <w:t>/h，收集效率取80%；非甲烷总烃经集气罩收集后采用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UV光解</w:t>
            </w:r>
            <w:r>
              <w:rPr>
                <w:rFonts w:hint="default" w:ascii="Times New Roman" w:hAnsi="Times New Roman" w:cs="Times New Roman"/>
                <w:color w:val="auto"/>
                <w:highlight w:val="none"/>
                <w:lang w:val="en-US" w:eastAsia="zh-CN"/>
              </w:rPr>
              <w:t>+二级</w:t>
            </w:r>
            <w:r>
              <w:rPr>
                <w:rFonts w:hint="default" w:ascii="Times New Roman" w:hAnsi="Times New Roman" w:cs="Times New Roman"/>
                <w:color w:val="auto"/>
                <w:highlight w:val="none"/>
              </w:rPr>
              <w:t>活性炭吸附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，最后引至15m高的4#排气筒排放，根据《第二次全国污染源普查产排污核算系数手册》中“</w:t>
            </w:r>
            <w:r>
              <w:rPr>
                <w:rFonts w:hint="default" w:ascii="Times New Roman" w:hAnsi="Times New Roman" w:cs="Times New Roman"/>
                <w:color w:val="auto"/>
                <w:highlight w:val="none"/>
                <w:lang w:bidi="ar"/>
              </w:rPr>
              <w:t>33金属制品业、34通用设备制造业、35专用设备制造业、36汽车制造业、37铁路、船舶、航空航天和其他运输设备制造业、431金属制品修理、432通用设备修理、433专用设备修理、434铁路、船舶、航空航天等运输设备修理（不包括电镀工艺）行业系数手册</w:t>
            </w:r>
            <w:r>
              <w:rPr>
                <w:rFonts w:hint="default" w:ascii="Times New Roman" w:hAnsi="Times New Roman" w:cs="Times New Roman"/>
                <w:color w:val="auto"/>
                <w:highlight w:val="none"/>
              </w:rPr>
              <w:t>—</w:t>
            </w:r>
            <w:r>
              <w:rPr>
                <w:rFonts w:hint="default" w:ascii="Times New Roman" w:hAnsi="Times New Roman" w:cs="Times New Roman"/>
                <w:color w:val="auto"/>
                <w:sz w:val="24"/>
                <w:highlight w:val="none"/>
                <w:lang w:eastAsia="zh-CN"/>
              </w:rPr>
              <w:t>光解的处理效率为</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highlight w:val="none"/>
              </w:rPr>
              <w:t>其它（吸附法）的处理效率为60%，</w:t>
            </w:r>
            <w:r>
              <w:rPr>
                <w:rFonts w:hint="default" w:ascii="Times New Roman" w:hAnsi="Times New Roman" w:cs="Times New Roman"/>
                <w:color w:val="auto"/>
                <w:sz w:val="24"/>
                <w:highlight w:val="none"/>
              </w:rPr>
              <w:t>由于非甲烷总烃经第</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级活性炭处理后其浓度降低，导致第</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级活性炭对非甲烷总烃的处理效率将降低，本评价取</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%，则</w:t>
            </w:r>
            <w:r>
              <w:rPr>
                <w:rFonts w:hint="default" w:ascii="Times New Roman" w:hAnsi="Times New Roman" w:cs="Times New Roman"/>
                <w:color w:val="auto"/>
                <w:sz w:val="24"/>
                <w:highlight w:val="none"/>
                <w:lang w:val="en-US" w:eastAsia="zh-CN"/>
              </w:rPr>
              <w:t>UV光解+</w:t>
            </w:r>
            <w:r>
              <w:rPr>
                <w:rFonts w:hint="default" w:ascii="Times New Roman" w:hAnsi="Times New Roman" w:cs="Times New Roman"/>
                <w:color w:val="auto"/>
                <w:sz w:val="24"/>
                <w:highlight w:val="none"/>
              </w:rPr>
              <w:t>二活性炭综合处理效率为</w:t>
            </w:r>
            <w:r>
              <w:rPr>
                <w:rFonts w:hint="default" w:ascii="Times New Roman" w:hAnsi="Times New Roman" w:cs="Times New Roman"/>
                <w:color w:val="auto"/>
                <w:sz w:val="24"/>
                <w:highlight w:val="none"/>
                <w:lang w:val="en-US" w:eastAsia="zh-CN"/>
              </w:rPr>
              <w:t>80</w:t>
            </w:r>
            <w:r>
              <w:rPr>
                <w:rFonts w:hint="default" w:ascii="Times New Roman" w:hAnsi="Times New Roman" w:cs="Times New Roman"/>
                <w:color w:val="auto"/>
                <w:sz w:val="24"/>
                <w:highlight w:val="none"/>
              </w:rPr>
              <w:t>%，则非甲烷总烃排放浓度为</w:t>
            </w:r>
            <w:r>
              <w:rPr>
                <w:rFonts w:hint="eastAsia" w:ascii="Times New Roman" w:hAnsi="Times New Roman" w:cs="Times New Roman"/>
                <w:color w:val="auto"/>
                <w:sz w:val="24"/>
                <w:highlight w:val="none"/>
                <w:lang w:val="en-US" w:eastAsia="zh-CN"/>
              </w:rPr>
              <w:t>1.250</w:t>
            </w:r>
            <w:r>
              <w:rPr>
                <w:rFonts w:hint="default" w:ascii="Times New Roman" w:hAnsi="Times New Roman" w:cs="Times New Roman"/>
                <w:color w:val="auto"/>
                <w:sz w:val="24"/>
                <w:highlight w:val="none"/>
              </w:rPr>
              <w:t>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,排放速率为0.</w:t>
            </w:r>
            <w:r>
              <w:rPr>
                <w:rFonts w:hint="eastAsia" w:ascii="Times New Roman" w:hAnsi="Times New Roman" w:cs="Times New Roman"/>
                <w:color w:val="auto"/>
                <w:sz w:val="24"/>
                <w:highlight w:val="none"/>
                <w:lang w:val="en-US" w:eastAsia="zh-CN"/>
              </w:rPr>
              <w:t>012</w:t>
            </w:r>
            <w:r>
              <w:rPr>
                <w:rFonts w:hint="default" w:ascii="Times New Roman" w:hAnsi="Times New Roman" w:cs="Times New Roman"/>
                <w:color w:val="auto"/>
                <w:sz w:val="24"/>
                <w:highlight w:val="none"/>
              </w:rPr>
              <w:t>kg/h，即0.</w:t>
            </w:r>
            <w:r>
              <w:rPr>
                <w:rFonts w:hint="eastAsia" w:ascii="Times New Roman" w:hAnsi="Times New Roman" w:cs="Times New Roman"/>
                <w:color w:val="auto"/>
                <w:sz w:val="24"/>
                <w:highlight w:val="none"/>
                <w:lang w:val="en-US" w:eastAsia="zh-CN"/>
              </w:rPr>
              <w:t>026</w:t>
            </w:r>
            <w:r>
              <w:rPr>
                <w:rFonts w:hint="default" w:ascii="Times New Roman" w:hAnsi="Times New Roman" w:cs="Times New Roman"/>
                <w:color w:val="auto"/>
                <w:sz w:val="24"/>
                <w:highlight w:val="none"/>
              </w:rPr>
              <w:t>t/a</w:t>
            </w:r>
            <w:r>
              <w:rPr>
                <w:rFonts w:hint="default" w:ascii="Times New Roman" w:hAnsi="Times New Roman" w:cs="Times New Roman"/>
                <w:color w:val="auto"/>
                <w:highlight w:val="none"/>
              </w:rPr>
              <w:t>；单位产品非甲烷总烃排放量为0.</w:t>
            </w:r>
            <w:r>
              <w:rPr>
                <w:rFonts w:hint="eastAsia" w:ascii="Times New Roman" w:hAnsi="Times New Roman" w:cs="Times New Roman"/>
                <w:color w:val="auto"/>
                <w:highlight w:val="none"/>
                <w:lang w:val="en-US" w:eastAsia="zh-CN"/>
              </w:rPr>
              <w:t>087</w:t>
            </w:r>
            <w:r>
              <w:rPr>
                <w:rFonts w:hint="default" w:ascii="Times New Roman" w:hAnsi="Times New Roman" w:cs="Times New Roman"/>
                <w:color w:val="auto"/>
                <w:highlight w:val="none"/>
              </w:rPr>
              <w:t>kg/t-产品，满足《合成树脂工业污染物</w:t>
            </w:r>
            <w:r>
              <w:rPr>
                <w:rFonts w:ascii="Times New Roman" w:hAnsi="Times New Roman" w:cs="Times New Roman"/>
                <w:color w:val="auto"/>
                <w:highlight w:val="none"/>
              </w:rPr>
              <w:t>排</w:t>
            </w:r>
            <w:r>
              <w:rPr>
                <w:rFonts w:ascii="Times New Roman" w:hAnsi="Times New Roman" w:cs="Times New Roman"/>
                <w:color w:val="auto"/>
              </w:rPr>
              <w:t>放标准》（GB31572-2015）特别排放限值要求。</w:t>
            </w:r>
          </w:p>
          <w:p>
            <w:pPr>
              <w:autoSpaceDE w:val="0"/>
              <w:autoSpaceDN w:val="0"/>
              <w:adjustRightInd w:val="0"/>
              <w:snapToGrid w:val="0"/>
              <w:spacing w:line="360" w:lineRule="auto"/>
              <w:ind w:firstLine="480" w:firstLineChars="200"/>
              <w:rPr>
                <w:color w:val="auto"/>
              </w:rPr>
            </w:pPr>
            <w:r>
              <w:rPr>
                <w:color w:val="auto"/>
                <w:sz w:val="24"/>
              </w:rPr>
              <w:t>由上述分析可知，由于</w:t>
            </w:r>
            <w:r>
              <w:rPr>
                <w:rFonts w:hint="eastAsia"/>
                <w:color w:val="auto"/>
                <w:sz w:val="24"/>
              </w:rPr>
              <w:t>淋膜、冷却各工位有少量废气无法被收集</w:t>
            </w:r>
            <w:r>
              <w:rPr>
                <w:color w:val="auto"/>
                <w:sz w:val="24"/>
              </w:rPr>
              <w:t>、处理，将以无组织形式排放</w:t>
            </w:r>
            <w:r>
              <w:rPr>
                <w:rFonts w:hint="eastAsia"/>
                <w:color w:val="auto"/>
                <w:sz w:val="24"/>
              </w:rPr>
              <w:t>。根据物料平衡计算，</w:t>
            </w:r>
            <w:r>
              <w:rPr>
                <w:color w:val="auto"/>
                <w:sz w:val="24"/>
              </w:rPr>
              <w:t>非甲烷总烃无组织排放量为</w:t>
            </w:r>
            <w:r>
              <w:rPr>
                <w:rFonts w:hint="eastAsia"/>
                <w:color w:val="auto"/>
                <w:sz w:val="24"/>
              </w:rPr>
              <w:t>0.03</w:t>
            </w:r>
            <w:r>
              <w:rPr>
                <w:rFonts w:hint="eastAsia"/>
                <w:color w:val="auto"/>
                <w:sz w:val="24"/>
                <w:lang w:val="en-US" w:eastAsia="zh-CN"/>
              </w:rPr>
              <w:t>3</w:t>
            </w:r>
            <w:r>
              <w:rPr>
                <w:color w:val="auto"/>
                <w:sz w:val="24"/>
              </w:rPr>
              <w:t>t/a。</w:t>
            </w:r>
          </w:p>
          <w:p>
            <w:pPr>
              <w:tabs>
                <w:tab w:val="left" w:pos="652"/>
              </w:tabs>
              <w:snapToGrid w:val="0"/>
              <w:spacing w:line="360" w:lineRule="auto"/>
              <w:ind w:firstLine="480" w:firstLineChars="200"/>
              <w:rPr>
                <w:color w:val="auto"/>
                <w:sz w:val="24"/>
              </w:rPr>
            </w:pPr>
            <w:r>
              <w:rPr>
                <w:rFonts w:hint="eastAsia"/>
                <w:color w:val="auto"/>
                <w:sz w:val="24"/>
                <w:lang w:eastAsia="zh-CN"/>
              </w:rPr>
              <w:t>扩建项目</w:t>
            </w:r>
            <w:r>
              <w:rPr>
                <w:color w:val="auto"/>
                <w:sz w:val="24"/>
              </w:rPr>
              <w:t>废气</w:t>
            </w:r>
            <w:r>
              <w:rPr>
                <w:rFonts w:hint="eastAsia"/>
                <w:color w:val="auto"/>
                <w:sz w:val="24"/>
              </w:rPr>
              <w:t>产排污节点、污染物及污染治理设施</w:t>
            </w:r>
            <w:r>
              <w:rPr>
                <w:color w:val="auto"/>
                <w:sz w:val="24"/>
              </w:rPr>
              <w:t>见表4.</w:t>
            </w:r>
            <w:r>
              <w:rPr>
                <w:rFonts w:hint="eastAsia"/>
                <w:color w:val="auto"/>
                <w:sz w:val="24"/>
              </w:rPr>
              <w:t>3、废气排放口基本信息见表4.4、废气产排情况见表4.5。</w:t>
            </w:r>
          </w:p>
          <w:p>
            <w:pPr>
              <w:pStyle w:val="2"/>
              <w:jc w:val="center"/>
              <w:rPr>
                <w:rFonts w:ascii="Times New Roman" w:cs="Times New Roman"/>
                <w:color w:val="auto"/>
                <w:sz w:val="21"/>
                <w:szCs w:val="21"/>
              </w:rPr>
            </w:pPr>
          </w:p>
          <w:p>
            <w:pPr>
              <w:pStyle w:val="2"/>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rPr>
              <w:t>3</w:t>
            </w:r>
            <w:r>
              <w:rPr>
                <w:rFonts w:ascii="Times New Roman" w:cs="Times New Roman"/>
                <w:color w:val="auto"/>
                <w:sz w:val="21"/>
                <w:szCs w:val="21"/>
              </w:rPr>
              <w:t xml:space="preserve"> 废气产排</w:t>
            </w:r>
            <w:r>
              <w:rPr>
                <w:rFonts w:hint="eastAsia" w:ascii="Times New Roman" w:cs="Times New Roman"/>
                <w:color w:val="auto"/>
                <w:sz w:val="21"/>
                <w:szCs w:val="21"/>
              </w:rPr>
              <w:t>节点、污染物及污染治理设施</w:t>
            </w:r>
            <w:r>
              <w:rPr>
                <w:rFonts w:ascii="Times New Roman" w:cs="Times New Roman"/>
                <w:color w:val="auto"/>
                <w:sz w:val="21"/>
                <w:szCs w:val="21"/>
              </w:rPr>
              <w:t>一览表</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433"/>
              <w:gridCol w:w="889"/>
              <w:gridCol w:w="1164"/>
              <w:gridCol w:w="1164"/>
              <w:gridCol w:w="1176"/>
              <w:gridCol w:w="11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产污环节</w:t>
                  </w:r>
                </w:p>
              </w:tc>
              <w:tc>
                <w:tcPr>
                  <w:tcW w:w="879"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污染物</w:t>
                  </w:r>
                </w:p>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种类</w:t>
                  </w:r>
                </w:p>
              </w:tc>
              <w:tc>
                <w:tcPr>
                  <w:tcW w:w="545"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排放形式</w:t>
                  </w:r>
                </w:p>
              </w:tc>
              <w:tc>
                <w:tcPr>
                  <w:tcW w:w="2149" w:type="pct"/>
                  <w:gridSpan w:val="3"/>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污染治理设施</w:t>
                  </w:r>
                </w:p>
              </w:tc>
              <w:tc>
                <w:tcPr>
                  <w:tcW w:w="71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79"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545"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714"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治理工艺</w:t>
                  </w:r>
                </w:p>
              </w:tc>
              <w:tc>
                <w:tcPr>
                  <w:tcW w:w="714"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收集效率</w:t>
                  </w:r>
                </w:p>
              </w:tc>
              <w:tc>
                <w:tcPr>
                  <w:tcW w:w="721"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治理工艺去除率</w:t>
                  </w:r>
                </w:p>
              </w:tc>
              <w:tc>
                <w:tcPr>
                  <w:tcW w:w="71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09" w:type="pct"/>
                  <w:tcBorders>
                    <w:tl2br w:val="nil"/>
                    <w:tr2bl w:val="nil"/>
                  </w:tcBorders>
                  <w:vAlign w:val="center"/>
                </w:tcPr>
                <w:p>
                  <w:pPr>
                    <w:pStyle w:val="3"/>
                    <w:adjustRightInd w:val="0"/>
                    <w:spacing w:line="240" w:lineRule="auto"/>
                    <w:jc w:val="center"/>
                    <w:rPr>
                      <w:color w:val="auto"/>
                    </w:rPr>
                  </w:pPr>
                  <w:r>
                    <w:rPr>
                      <w:rFonts w:hint="eastAsia"/>
                      <w:color w:val="auto"/>
                      <w:sz w:val="21"/>
                      <w:szCs w:val="21"/>
                    </w:rPr>
                    <w:t>涂胶、烘干</w:t>
                  </w:r>
                </w:p>
              </w:tc>
              <w:tc>
                <w:tcPr>
                  <w:tcW w:w="879"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p>
                <w:p>
                  <w:pPr>
                    <w:pStyle w:val="2"/>
                    <w:snapToGrid w:val="0"/>
                    <w:spacing w:line="240" w:lineRule="auto"/>
                    <w:jc w:val="center"/>
                    <w:rPr>
                      <w:rFonts w:ascii="Times New Roman" w:cs="Times New Roman"/>
                      <w:color w:val="auto"/>
                      <w:sz w:val="21"/>
                      <w:szCs w:val="21"/>
                      <w:vertAlign w:val="subscript"/>
                    </w:rPr>
                  </w:pPr>
                  <w:r>
                    <w:rPr>
                      <w:rFonts w:hint="eastAsia" w:ascii="Times New Roman" w:cs="Times New Roman"/>
                      <w:color w:val="auto"/>
                      <w:sz w:val="21"/>
                      <w:szCs w:val="21"/>
                    </w:rPr>
                    <w:t>SO</w:t>
                  </w:r>
                  <w:r>
                    <w:rPr>
                      <w:rFonts w:hint="eastAsia" w:ascii="Times New Roman" w:cs="Times New Roman"/>
                      <w:color w:val="auto"/>
                      <w:sz w:val="21"/>
                      <w:szCs w:val="21"/>
                      <w:vertAlign w:val="subscript"/>
                    </w:rPr>
                    <w:t>2</w:t>
                  </w:r>
                </w:p>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NO</w:t>
                  </w:r>
                  <w:r>
                    <w:rPr>
                      <w:rFonts w:hint="eastAsia" w:ascii="Times New Roman" w:cs="Times New Roman"/>
                      <w:color w:val="auto"/>
                      <w:sz w:val="21"/>
                      <w:szCs w:val="21"/>
                      <w:vertAlign w:val="subscript"/>
                    </w:rPr>
                    <w:t>X</w:t>
                  </w:r>
                </w:p>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颗粒物</w:t>
                  </w:r>
                </w:p>
              </w:tc>
              <w:tc>
                <w:tcPr>
                  <w:tcW w:w="545"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有组织</w:t>
                  </w:r>
                </w:p>
              </w:tc>
              <w:tc>
                <w:tcPr>
                  <w:tcW w:w="714" w:type="pct"/>
                  <w:vMerge w:val="restart"/>
                  <w:tcBorders>
                    <w:tl2br w:val="nil"/>
                    <w:tr2bl w:val="nil"/>
                  </w:tcBorders>
                  <w:vAlign w:val="center"/>
                </w:tcPr>
                <w:p>
                  <w:pPr>
                    <w:pStyle w:val="2"/>
                    <w:snapToGrid w:val="0"/>
                    <w:spacing w:line="240" w:lineRule="auto"/>
                    <w:jc w:val="center"/>
                    <w:rPr>
                      <w:rFonts w:ascii="Times New Roman" w:cs="Times New Roman"/>
                      <w:bCs/>
                      <w:color w:val="auto"/>
                      <w:sz w:val="21"/>
                      <w:szCs w:val="21"/>
                    </w:rPr>
                  </w:pPr>
                  <w:r>
                    <w:rPr>
                      <w:rFonts w:hint="eastAsia" w:ascii="Times New Roman" w:cs="Times New Roman"/>
                      <w:bCs/>
                      <w:color w:val="auto"/>
                      <w:sz w:val="21"/>
                      <w:szCs w:val="21"/>
                      <w:highlight w:val="none"/>
                      <w:lang w:val="en-US" w:eastAsia="zh-CN"/>
                    </w:rPr>
                    <w:t>UV光解+</w:t>
                  </w:r>
                  <w:r>
                    <w:rPr>
                      <w:rFonts w:hint="eastAsia" w:ascii="Times New Roman" w:cs="Times New Roman"/>
                      <w:bCs/>
                      <w:color w:val="auto"/>
                      <w:sz w:val="21"/>
                      <w:szCs w:val="21"/>
                      <w:highlight w:val="none"/>
                    </w:rPr>
                    <w:t>二级活性炭吸附</w:t>
                  </w:r>
                </w:p>
              </w:tc>
              <w:tc>
                <w:tcPr>
                  <w:tcW w:w="714"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80%</w:t>
                  </w:r>
                </w:p>
              </w:tc>
              <w:tc>
                <w:tcPr>
                  <w:tcW w:w="721"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r>
                    <w:rPr>
                      <w:rFonts w:hint="eastAsia" w:ascii="Times New Roman" w:cs="Times New Roman"/>
                      <w:color w:val="auto"/>
                      <w:sz w:val="21"/>
                      <w:szCs w:val="21"/>
                      <w:lang w:val="en-US" w:eastAsia="zh-CN"/>
                    </w:rPr>
                    <w:t>80</w:t>
                  </w:r>
                  <w:r>
                    <w:rPr>
                      <w:rFonts w:hint="eastAsia" w:ascii="Times New Roman" w:cs="Times New Roman"/>
                      <w:color w:val="auto"/>
                      <w:sz w:val="21"/>
                      <w:szCs w:val="21"/>
                    </w:rPr>
                    <w:t>%</w:t>
                  </w:r>
                </w:p>
              </w:tc>
              <w:tc>
                <w:tcPr>
                  <w:tcW w:w="717"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DB50/</w:t>
                  </w:r>
                  <w:r>
                    <w:rPr>
                      <w:rFonts w:hint="eastAsia" w:ascii="Times New Roman" w:cs="Times New Roman"/>
                      <w:color w:val="auto"/>
                      <w:sz w:val="21"/>
                      <w:szCs w:val="21"/>
                    </w:rPr>
                    <w:t>418</w:t>
                  </w:r>
                  <w:r>
                    <w:rPr>
                      <w:rFonts w:ascii="Times New Roman" w:cs="Times New Roman"/>
                      <w:color w:val="auto"/>
                      <w:sz w:val="21"/>
                      <w:szCs w:val="21"/>
                    </w:rPr>
                    <w:t>－2016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9" w:type="pct"/>
                  <w:tcBorders>
                    <w:tl2br w:val="nil"/>
                    <w:tr2bl w:val="nil"/>
                  </w:tcBorders>
                  <w:vAlign w:val="center"/>
                </w:tcPr>
                <w:p>
                  <w:pPr>
                    <w:pStyle w:val="3"/>
                    <w:adjustRightInd w:val="0"/>
                    <w:spacing w:line="240" w:lineRule="auto"/>
                    <w:jc w:val="center"/>
                    <w:rPr>
                      <w:rFonts w:ascii="宋体" w:hAnsi="宋体"/>
                      <w:color w:val="auto"/>
                      <w:szCs w:val="21"/>
                    </w:rPr>
                  </w:pPr>
                  <w:r>
                    <w:rPr>
                      <w:rFonts w:hint="eastAsia"/>
                      <w:color w:val="auto"/>
                      <w:sz w:val="21"/>
                      <w:szCs w:val="21"/>
                    </w:rPr>
                    <w:t>淋膜、冷却</w:t>
                  </w:r>
                </w:p>
              </w:tc>
              <w:tc>
                <w:tcPr>
                  <w:tcW w:w="879" w:type="pct"/>
                  <w:tcBorders>
                    <w:tl2br w:val="nil"/>
                    <w:tr2bl w:val="nil"/>
                  </w:tcBorders>
                  <w:vAlign w:val="center"/>
                </w:tcPr>
                <w:p>
                  <w:pPr>
                    <w:pStyle w:val="3"/>
                    <w:adjustRightInd w:val="0"/>
                    <w:spacing w:line="240" w:lineRule="auto"/>
                    <w:jc w:val="center"/>
                    <w:rPr>
                      <w:color w:val="auto"/>
                    </w:rPr>
                  </w:pPr>
                  <w:r>
                    <w:rPr>
                      <w:rFonts w:hint="eastAsia" w:ascii="Times New Roman" w:cs="Times New Roman"/>
                      <w:color w:val="auto"/>
                      <w:sz w:val="21"/>
                      <w:szCs w:val="21"/>
                    </w:rPr>
                    <w:t>非甲烷总烃</w:t>
                  </w:r>
                </w:p>
              </w:tc>
              <w:tc>
                <w:tcPr>
                  <w:tcW w:w="545"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有组织</w:t>
                  </w:r>
                </w:p>
              </w:tc>
              <w:tc>
                <w:tcPr>
                  <w:tcW w:w="714" w:type="pct"/>
                  <w:vMerge w:val="continue"/>
                  <w:tcBorders>
                    <w:tl2br w:val="nil"/>
                    <w:tr2bl w:val="nil"/>
                  </w:tcBorders>
                  <w:vAlign w:val="center"/>
                </w:tcPr>
                <w:p>
                  <w:pPr>
                    <w:pStyle w:val="2"/>
                    <w:snapToGrid w:val="0"/>
                    <w:spacing w:line="240" w:lineRule="auto"/>
                    <w:jc w:val="center"/>
                    <w:rPr>
                      <w:rFonts w:ascii="Times New Roman" w:cs="Times New Roman"/>
                      <w:bCs/>
                      <w:color w:val="auto"/>
                      <w:sz w:val="21"/>
                      <w:szCs w:val="21"/>
                    </w:rPr>
                  </w:pPr>
                </w:p>
              </w:tc>
              <w:tc>
                <w:tcPr>
                  <w:tcW w:w="714"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80%</w:t>
                  </w:r>
                </w:p>
              </w:tc>
              <w:tc>
                <w:tcPr>
                  <w:tcW w:w="721"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r>
                    <w:rPr>
                      <w:rFonts w:hint="eastAsia" w:ascii="Times New Roman" w:cs="Times New Roman"/>
                      <w:color w:val="auto"/>
                      <w:sz w:val="21"/>
                      <w:szCs w:val="21"/>
                      <w:lang w:val="en-US" w:eastAsia="zh-CN"/>
                    </w:rPr>
                    <w:t>80</w:t>
                  </w:r>
                  <w:r>
                    <w:rPr>
                      <w:rFonts w:hint="eastAsia" w:ascii="Times New Roman" w:cs="Times New Roman"/>
                      <w:color w:val="auto"/>
                      <w:sz w:val="21"/>
                      <w:szCs w:val="21"/>
                    </w:rPr>
                    <w:t>%</w:t>
                  </w:r>
                </w:p>
              </w:tc>
              <w:tc>
                <w:tcPr>
                  <w:tcW w:w="717"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GB31572</w:t>
                  </w:r>
                  <w:r>
                    <w:rPr>
                      <w:rFonts w:ascii="Times New Roman" w:cs="Times New Roman"/>
                      <w:color w:val="auto"/>
                      <w:sz w:val="21"/>
                      <w:szCs w:val="21"/>
                    </w:rPr>
                    <w:t>－201</w:t>
                  </w:r>
                  <w:r>
                    <w:rPr>
                      <w:rFonts w:hint="eastAsia" w:ascii="Times New Roman" w:cs="Times New Roman"/>
                      <w:color w:val="auto"/>
                      <w:sz w:val="21"/>
                      <w:szCs w:val="21"/>
                    </w:rPr>
                    <w:t>5</w:t>
                  </w:r>
                </w:p>
              </w:tc>
            </w:tr>
          </w:tbl>
          <w:p>
            <w:pPr>
              <w:pStyle w:val="2"/>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rPr>
              <w:t xml:space="preserve">4 </w:t>
            </w:r>
            <w:r>
              <w:rPr>
                <w:rFonts w:ascii="Times New Roman" w:cs="Times New Roman"/>
                <w:color w:val="auto"/>
                <w:sz w:val="21"/>
                <w:szCs w:val="21"/>
              </w:rPr>
              <w:t>废气</w:t>
            </w:r>
            <w:r>
              <w:rPr>
                <w:rFonts w:hint="eastAsia" w:ascii="Times New Roman" w:cs="Times New Roman"/>
                <w:color w:val="auto"/>
                <w:sz w:val="21"/>
                <w:szCs w:val="21"/>
              </w:rPr>
              <w:t>排放口基本信息</w:t>
            </w:r>
            <w:r>
              <w:rPr>
                <w:rFonts w:ascii="Times New Roman" w:cs="Times New Roman"/>
                <w:color w:val="auto"/>
                <w:sz w:val="21"/>
                <w:szCs w:val="21"/>
              </w:rPr>
              <w:t>一览表</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700"/>
              <w:gridCol w:w="1315"/>
              <w:gridCol w:w="1595"/>
              <w:gridCol w:w="1499"/>
              <w:gridCol w:w="739"/>
              <w:gridCol w:w="656"/>
              <w:gridCol w:w="7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产污</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环节</w:t>
                  </w:r>
                </w:p>
              </w:tc>
              <w:tc>
                <w:tcPr>
                  <w:tcW w:w="429"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排放口</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名称</w:t>
                  </w:r>
                </w:p>
              </w:tc>
              <w:tc>
                <w:tcPr>
                  <w:tcW w:w="806"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污染物</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种类</w:t>
                  </w:r>
                </w:p>
              </w:tc>
              <w:tc>
                <w:tcPr>
                  <w:tcW w:w="1897" w:type="pct"/>
                  <w:gridSpan w:val="2"/>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地理坐标</w:t>
                  </w:r>
                </w:p>
              </w:tc>
              <w:tc>
                <w:tcPr>
                  <w:tcW w:w="1294" w:type="pct"/>
                  <w:gridSpan w:val="3"/>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1"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429"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806"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978"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经度</w:t>
                  </w:r>
                </w:p>
              </w:tc>
              <w:tc>
                <w:tcPr>
                  <w:tcW w:w="919"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纬度</w:t>
                  </w:r>
                </w:p>
              </w:tc>
              <w:tc>
                <w:tcPr>
                  <w:tcW w:w="453"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高度m</w:t>
                  </w:r>
                </w:p>
              </w:tc>
              <w:tc>
                <w:tcPr>
                  <w:tcW w:w="402"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内径m</w:t>
                  </w:r>
                </w:p>
              </w:tc>
              <w:tc>
                <w:tcPr>
                  <w:tcW w:w="439"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温度</w:t>
                  </w:r>
                </w:p>
                <w:p>
                  <w:pPr>
                    <w:pStyle w:val="2"/>
                    <w:spacing w:line="240" w:lineRule="auto"/>
                    <w:jc w:val="center"/>
                    <w:rPr>
                      <w:rFonts w:ascii="Times New Roman" w:cs="Times New Roman"/>
                      <w:color w:val="auto"/>
                      <w:sz w:val="21"/>
                      <w:szCs w:val="21"/>
                    </w:rPr>
                  </w:pPr>
                  <w:r>
                    <w:rPr>
                      <w:rFonts w:ascii="Times New Roman" w:cs="Times New Roman"/>
                      <w:color w:val="auto"/>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1" w:type="pct"/>
                  <w:tcBorders>
                    <w:tl2br w:val="nil"/>
                    <w:tr2bl w:val="nil"/>
                  </w:tcBorders>
                  <w:vAlign w:val="center"/>
                </w:tcPr>
                <w:p>
                  <w:pPr>
                    <w:pStyle w:val="3"/>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涂胶</w:t>
                  </w:r>
                </w:p>
                <w:p>
                  <w:pPr>
                    <w:jc w:val="center"/>
                    <w:rPr>
                      <w:color w:val="auto"/>
                      <w:szCs w:val="21"/>
                    </w:rPr>
                  </w:pPr>
                  <w:r>
                    <w:rPr>
                      <w:color w:val="auto"/>
                      <w:szCs w:val="21"/>
                    </w:rPr>
                    <w:t>烘干</w:t>
                  </w:r>
                </w:p>
              </w:tc>
              <w:tc>
                <w:tcPr>
                  <w:tcW w:w="429" w:type="pct"/>
                  <w:tcBorders>
                    <w:tl2br w:val="nil"/>
                    <w:tr2bl w:val="nil"/>
                  </w:tcBorders>
                  <w:vAlign w:val="center"/>
                </w:tcPr>
                <w:p>
                  <w:pPr>
                    <w:pStyle w:val="2"/>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3</w:t>
                  </w:r>
                  <w:r>
                    <w:rPr>
                      <w:rFonts w:ascii="Times New Roman" w:hAnsi="Times New Roman" w:cs="Times New Roman"/>
                      <w:color w:val="auto"/>
                      <w:sz w:val="21"/>
                      <w:szCs w:val="21"/>
                    </w:rPr>
                    <w:t>#排放口</w:t>
                  </w:r>
                </w:p>
              </w:tc>
              <w:tc>
                <w:tcPr>
                  <w:tcW w:w="806"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p>
                <w:p>
                  <w:pPr>
                    <w:pStyle w:val="2"/>
                    <w:spacing w:line="240" w:lineRule="auto"/>
                    <w:jc w:val="center"/>
                    <w:rPr>
                      <w:rFonts w:ascii="Times New Roman" w:cs="Times New Roman"/>
                      <w:color w:val="auto"/>
                      <w:sz w:val="21"/>
                      <w:szCs w:val="21"/>
                      <w:vertAlign w:val="subscript"/>
                    </w:rPr>
                  </w:pPr>
                  <w:r>
                    <w:rPr>
                      <w:rFonts w:hint="eastAsia" w:ascii="Times New Roman" w:cs="Times New Roman"/>
                      <w:color w:val="auto"/>
                      <w:sz w:val="21"/>
                      <w:szCs w:val="21"/>
                    </w:rPr>
                    <w:t>SO</w:t>
                  </w:r>
                  <w:r>
                    <w:rPr>
                      <w:rFonts w:hint="eastAsia" w:ascii="Times New Roman" w:cs="Times New Roman"/>
                      <w:color w:val="auto"/>
                      <w:sz w:val="21"/>
                      <w:szCs w:val="21"/>
                      <w:vertAlign w:val="subscript"/>
                    </w:rPr>
                    <w:t>2</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NO</w:t>
                  </w:r>
                  <w:r>
                    <w:rPr>
                      <w:rFonts w:hint="eastAsia" w:ascii="Times New Roman" w:cs="Times New Roman"/>
                      <w:color w:val="auto"/>
                      <w:sz w:val="21"/>
                      <w:szCs w:val="21"/>
                      <w:vertAlign w:val="subscript"/>
                    </w:rPr>
                    <w:t>X</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颗粒物</w:t>
                  </w:r>
                </w:p>
              </w:tc>
              <w:tc>
                <w:tcPr>
                  <w:tcW w:w="978" w:type="pct"/>
                  <w:tcBorders>
                    <w:tl2br w:val="nil"/>
                    <w:tr2bl w:val="nil"/>
                  </w:tcBorders>
                  <w:vAlign w:val="center"/>
                </w:tcPr>
                <w:p>
                  <w:pPr>
                    <w:tabs>
                      <w:tab w:val="left" w:pos="600"/>
                    </w:tabs>
                    <w:adjustRightInd w:val="0"/>
                    <w:snapToGrid w:val="0"/>
                    <w:jc w:val="center"/>
                    <w:rPr>
                      <w:color w:val="auto"/>
                      <w:szCs w:val="21"/>
                    </w:rPr>
                  </w:pPr>
                  <w:r>
                    <w:rPr>
                      <w:rFonts w:hint="eastAsia"/>
                      <w:color w:val="auto"/>
                      <w:szCs w:val="21"/>
                    </w:rPr>
                    <w:t>106</w:t>
                  </w:r>
                  <w:r>
                    <w:rPr>
                      <w:color w:val="auto"/>
                      <w:szCs w:val="21"/>
                    </w:rPr>
                    <w:t>°</w:t>
                  </w:r>
                  <w:r>
                    <w:rPr>
                      <w:rFonts w:hint="eastAsia"/>
                      <w:color w:val="auto"/>
                      <w:szCs w:val="21"/>
                    </w:rPr>
                    <w:t>7</w:t>
                  </w:r>
                  <w:r>
                    <w:rPr>
                      <w:color w:val="auto"/>
                      <w:szCs w:val="21"/>
                    </w:rPr>
                    <w:t>ʹ</w:t>
                  </w:r>
                  <w:r>
                    <w:rPr>
                      <w:rFonts w:hint="eastAsia"/>
                      <w:color w:val="auto"/>
                      <w:szCs w:val="21"/>
                    </w:rPr>
                    <w:t>10.494</w:t>
                  </w:r>
                  <w:r>
                    <w:rPr>
                      <w:color w:val="auto"/>
                      <w:szCs w:val="21"/>
                    </w:rPr>
                    <w:t>ʺ</w:t>
                  </w:r>
                </w:p>
              </w:tc>
              <w:tc>
                <w:tcPr>
                  <w:tcW w:w="919" w:type="pct"/>
                  <w:tcBorders>
                    <w:tl2br w:val="nil"/>
                    <w:tr2bl w:val="nil"/>
                  </w:tcBorders>
                  <w:vAlign w:val="center"/>
                </w:tcPr>
                <w:p>
                  <w:pPr>
                    <w:tabs>
                      <w:tab w:val="left" w:pos="600"/>
                    </w:tabs>
                    <w:adjustRightInd w:val="0"/>
                    <w:snapToGrid w:val="0"/>
                    <w:jc w:val="center"/>
                    <w:rPr>
                      <w:color w:val="auto"/>
                      <w:szCs w:val="21"/>
                    </w:rPr>
                  </w:pPr>
                  <w:r>
                    <w:rPr>
                      <w:rFonts w:hint="eastAsia"/>
                      <w:color w:val="auto"/>
                      <w:szCs w:val="21"/>
                    </w:rPr>
                    <w:t>29</w:t>
                  </w:r>
                  <w:r>
                    <w:rPr>
                      <w:color w:val="auto"/>
                      <w:szCs w:val="21"/>
                    </w:rPr>
                    <w:t>°</w:t>
                  </w:r>
                  <w:r>
                    <w:rPr>
                      <w:rFonts w:hint="eastAsia"/>
                      <w:color w:val="auto"/>
                      <w:szCs w:val="21"/>
                    </w:rPr>
                    <w:t>50</w:t>
                  </w:r>
                  <w:r>
                    <w:rPr>
                      <w:color w:val="auto"/>
                      <w:szCs w:val="21"/>
                    </w:rPr>
                    <w:t>ʹ</w:t>
                  </w:r>
                  <w:r>
                    <w:rPr>
                      <w:rFonts w:hint="eastAsia"/>
                      <w:color w:val="auto"/>
                      <w:szCs w:val="21"/>
                    </w:rPr>
                    <w:t>38.430</w:t>
                  </w:r>
                  <w:r>
                    <w:rPr>
                      <w:color w:val="auto"/>
                      <w:szCs w:val="21"/>
                    </w:rPr>
                    <w:t>ʺ</w:t>
                  </w:r>
                </w:p>
              </w:tc>
              <w:tc>
                <w:tcPr>
                  <w:tcW w:w="453" w:type="pct"/>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402" w:type="pct"/>
                  <w:tcBorders>
                    <w:tl2br w:val="nil"/>
                    <w:tr2bl w:val="nil"/>
                  </w:tcBorders>
                  <w:vAlign w:val="center"/>
                </w:tcPr>
                <w:p>
                  <w:pPr>
                    <w:adjustRightInd w:val="0"/>
                    <w:snapToGrid w:val="0"/>
                    <w:jc w:val="center"/>
                    <w:rPr>
                      <w:color w:val="auto"/>
                      <w:szCs w:val="21"/>
                    </w:rPr>
                  </w:pPr>
                  <w:r>
                    <w:rPr>
                      <w:rFonts w:hint="eastAsia"/>
                      <w:color w:val="auto"/>
                      <w:szCs w:val="21"/>
                    </w:rPr>
                    <w:t>0.6</w:t>
                  </w:r>
                </w:p>
              </w:tc>
              <w:tc>
                <w:tcPr>
                  <w:tcW w:w="439" w:type="pct"/>
                  <w:tcBorders>
                    <w:tl2br w:val="nil"/>
                    <w:tr2bl w:val="nil"/>
                  </w:tcBorders>
                  <w:vAlign w:val="center"/>
                </w:tcPr>
                <w:p>
                  <w:pPr>
                    <w:adjustRightInd w:val="0"/>
                    <w:snapToGrid w:val="0"/>
                    <w:jc w:val="center"/>
                    <w:rPr>
                      <w:color w:val="auto"/>
                      <w:szCs w:val="21"/>
                    </w:rPr>
                  </w:pPr>
                  <w:r>
                    <w:rPr>
                      <w:rFonts w:hint="eastAsia"/>
                      <w:color w:val="auto"/>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1" w:type="pct"/>
                  <w:tcBorders>
                    <w:tl2br w:val="nil"/>
                    <w:tr2bl w:val="nil"/>
                  </w:tcBorders>
                  <w:vAlign w:val="center"/>
                </w:tcPr>
                <w:p>
                  <w:pPr>
                    <w:pStyle w:val="3"/>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淋膜</w:t>
                  </w:r>
                </w:p>
                <w:p>
                  <w:pPr>
                    <w:pStyle w:val="3"/>
                    <w:spacing w:line="240" w:lineRule="auto"/>
                    <w:jc w:val="center"/>
                    <w:rPr>
                      <w:rFonts w:ascii="宋体" w:hAnsi="宋体"/>
                      <w:color w:val="auto"/>
                      <w:szCs w:val="21"/>
                    </w:rPr>
                  </w:pPr>
                  <w:r>
                    <w:rPr>
                      <w:rFonts w:hint="eastAsia" w:ascii="宋体" w:hAnsi="宋体"/>
                      <w:color w:val="auto"/>
                      <w:sz w:val="21"/>
                      <w:szCs w:val="21"/>
                    </w:rPr>
                    <w:t>冷却</w:t>
                  </w:r>
                </w:p>
              </w:tc>
              <w:tc>
                <w:tcPr>
                  <w:tcW w:w="429"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hAnsi="Times New Roman" w:cs="Times New Roman"/>
                      <w:color w:val="auto"/>
                      <w:sz w:val="21"/>
                      <w:szCs w:val="21"/>
                    </w:rPr>
                    <w:t>4</w:t>
                  </w:r>
                  <w:r>
                    <w:rPr>
                      <w:rFonts w:ascii="Times New Roman" w:hAnsi="Times New Roman" w:cs="Times New Roman"/>
                      <w:color w:val="auto"/>
                      <w:sz w:val="21"/>
                      <w:szCs w:val="21"/>
                    </w:rPr>
                    <w:t>#排放口</w:t>
                  </w:r>
                </w:p>
              </w:tc>
              <w:tc>
                <w:tcPr>
                  <w:tcW w:w="806"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p>
              </w:tc>
              <w:tc>
                <w:tcPr>
                  <w:tcW w:w="1595" w:type="dxa"/>
                  <w:tcBorders>
                    <w:tl2br w:val="nil"/>
                    <w:tr2bl w:val="nil"/>
                  </w:tcBorders>
                  <w:vAlign w:val="center"/>
                </w:tcPr>
                <w:p>
                  <w:pPr>
                    <w:tabs>
                      <w:tab w:val="left" w:pos="600"/>
                    </w:tabs>
                    <w:adjustRightInd w:val="0"/>
                    <w:snapToGrid w:val="0"/>
                    <w:jc w:val="center"/>
                    <w:rPr>
                      <w:color w:val="auto"/>
                      <w:szCs w:val="21"/>
                    </w:rPr>
                  </w:pPr>
                  <w:r>
                    <w:rPr>
                      <w:rFonts w:hint="eastAsia"/>
                      <w:color w:val="auto"/>
                      <w:szCs w:val="21"/>
                    </w:rPr>
                    <w:t>106</w:t>
                  </w:r>
                  <w:r>
                    <w:rPr>
                      <w:color w:val="auto"/>
                      <w:szCs w:val="21"/>
                    </w:rPr>
                    <w:t>°</w:t>
                  </w:r>
                  <w:r>
                    <w:rPr>
                      <w:rFonts w:hint="eastAsia"/>
                      <w:color w:val="auto"/>
                      <w:szCs w:val="21"/>
                    </w:rPr>
                    <w:t>7</w:t>
                  </w:r>
                  <w:r>
                    <w:rPr>
                      <w:color w:val="auto"/>
                      <w:szCs w:val="21"/>
                    </w:rPr>
                    <w:t>ʹ</w:t>
                  </w:r>
                  <w:r>
                    <w:rPr>
                      <w:rFonts w:hint="eastAsia"/>
                      <w:color w:val="auto"/>
                      <w:szCs w:val="21"/>
                    </w:rPr>
                    <w:t>11.324</w:t>
                  </w:r>
                  <w:r>
                    <w:rPr>
                      <w:color w:val="auto"/>
                      <w:szCs w:val="21"/>
                    </w:rPr>
                    <w:t>ʺ</w:t>
                  </w:r>
                </w:p>
              </w:tc>
              <w:tc>
                <w:tcPr>
                  <w:tcW w:w="1499" w:type="dxa"/>
                  <w:tcBorders>
                    <w:tl2br w:val="nil"/>
                    <w:tr2bl w:val="nil"/>
                  </w:tcBorders>
                  <w:vAlign w:val="center"/>
                </w:tcPr>
                <w:p>
                  <w:pPr>
                    <w:tabs>
                      <w:tab w:val="left" w:pos="600"/>
                    </w:tabs>
                    <w:adjustRightInd w:val="0"/>
                    <w:snapToGrid w:val="0"/>
                    <w:jc w:val="center"/>
                    <w:rPr>
                      <w:color w:val="auto"/>
                      <w:szCs w:val="21"/>
                    </w:rPr>
                  </w:pPr>
                  <w:r>
                    <w:rPr>
                      <w:rFonts w:hint="eastAsia"/>
                      <w:color w:val="auto"/>
                      <w:szCs w:val="21"/>
                    </w:rPr>
                    <w:t>29</w:t>
                  </w:r>
                  <w:r>
                    <w:rPr>
                      <w:color w:val="auto"/>
                      <w:szCs w:val="21"/>
                    </w:rPr>
                    <w:t>°</w:t>
                  </w:r>
                  <w:r>
                    <w:rPr>
                      <w:rFonts w:hint="eastAsia"/>
                      <w:color w:val="auto"/>
                      <w:szCs w:val="21"/>
                    </w:rPr>
                    <w:t>50</w:t>
                  </w:r>
                  <w:r>
                    <w:rPr>
                      <w:color w:val="auto"/>
                      <w:szCs w:val="21"/>
                    </w:rPr>
                    <w:t>ʹ</w:t>
                  </w:r>
                  <w:r>
                    <w:rPr>
                      <w:rFonts w:hint="eastAsia"/>
                      <w:color w:val="auto"/>
                      <w:szCs w:val="21"/>
                    </w:rPr>
                    <w:t>38.961</w:t>
                  </w:r>
                  <w:r>
                    <w:rPr>
                      <w:color w:val="auto"/>
                      <w:szCs w:val="21"/>
                    </w:rPr>
                    <w:t>ʺ</w:t>
                  </w:r>
                </w:p>
              </w:tc>
              <w:tc>
                <w:tcPr>
                  <w:tcW w:w="453" w:type="pct"/>
                  <w:tcBorders>
                    <w:tl2br w:val="nil"/>
                    <w:tr2bl w:val="nil"/>
                  </w:tcBorders>
                  <w:vAlign w:val="center"/>
                </w:tcPr>
                <w:p>
                  <w:pPr>
                    <w:adjustRightInd w:val="0"/>
                    <w:snapToGrid w:val="0"/>
                    <w:jc w:val="center"/>
                    <w:rPr>
                      <w:color w:val="auto"/>
                      <w:szCs w:val="21"/>
                    </w:rPr>
                  </w:pPr>
                  <w:r>
                    <w:rPr>
                      <w:rFonts w:hint="eastAsia"/>
                      <w:color w:val="auto"/>
                      <w:szCs w:val="21"/>
                    </w:rPr>
                    <w:t>15</w:t>
                  </w:r>
                </w:p>
              </w:tc>
              <w:tc>
                <w:tcPr>
                  <w:tcW w:w="402" w:type="pct"/>
                  <w:tcBorders>
                    <w:tl2br w:val="nil"/>
                    <w:tr2bl w:val="nil"/>
                  </w:tcBorders>
                  <w:vAlign w:val="center"/>
                </w:tcPr>
                <w:p>
                  <w:pPr>
                    <w:adjustRightInd w:val="0"/>
                    <w:snapToGrid w:val="0"/>
                    <w:jc w:val="center"/>
                    <w:rPr>
                      <w:color w:val="auto"/>
                      <w:szCs w:val="21"/>
                    </w:rPr>
                  </w:pPr>
                  <w:r>
                    <w:rPr>
                      <w:rFonts w:hint="eastAsia"/>
                      <w:color w:val="auto"/>
                      <w:szCs w:val="21"/>
                    </w:rPr>
                    <w:t>0.6</w:t>
                  </w:r>
                </w:p>
              </w:tc>
              <w:tc>
                <w:tcPr>
                  <w:tcW w:w="439" w:type="pct"/>
                  <w:tcBorders>
                    <w:tl2br w:val="nil"/>
                    <w:tr2bl w:val="nil"/>
                  </w:tcBorders>
                  <w:vAlign w:val="center"/>
                </w:tcPr>
                <w:p>
                  <w:pPr>
                    <w:adjustRightInd w:val="0"/>
                    <w:snapToGrid w:val="0"/>
                    <w:jc w:val="center"/>
                    <w:rPr>
                      <w:color w:val="auto"/>
                      <w:szCs w:val="21"/>
                    </w:rPr>
                  </w:pPr>
                  <w:r>
                    <w:rPr>
                      <w:rFonts w:hint="eastAsia"/>
                      <w:color w:val="auto"/>
                      <w:szCs w:val="21"/>
                    </w:rPr>
                    <w:t>25</w:t>
                  </w:r>
                </w:p>
              </w:tc>
            </w:tr>
          </w:tbl>
          <w:p>
            <w:pPr>
              <w:pStyle w:val="2"/>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rPr>
              <w:t>5</w:t>
            </w:r>
            <w:r>
              <w:rPr>
                <w:rFonts w:ascii="Times New Roman" w:cs="Times New Roman"/>
                <w:color w:val="auto"/>
                <w:sz w:val="21"/>
                <w:szCs w:val="21"/>
              </w:rPr>
              <w:t xml:space="preserve"> 废气产排情况一览表</w:t>
            </w:r>
          </w:p>
          <w:tbl>
            <w:tblPr>
              <w:tblStyle w:val="22"/>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29"/>
              <w:gridCol w:w="786"/>
              <w:gridCol w:w="993"/>
              <w:gridCol w:w="708"/>
              <w:gridCol w:w="872"/>
              <w:gridCol w:w="856"/>
              <w:gridCol w:w="1153"/>
              <w:gridCol w:w="9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4" w:type="pct"/>
                  <w:vMerge w:val="restart"/>
                  <w:tcBorders>
                    <w:tl2br w:val="nil"/>
                    <w:tr2bl w:val="nil"/>
                  </w:tcBorders>
                  <w:vAlign w:val="center"/>
                </w:tcPr>
                <w:p>
                  <w:pPr>
                    <w:adjustRightInd w:val="0"/>
                    <w:snapToGrid w:val="0"/>
                    <w:jc w:val="center"/>
                    <w:rPr>
                      <w:color w:val="auto"/>
                      <w:szCs w:val="21"/>
                    </w:rPr>
                  </w:pPr>
                  <w:r>
                    <w:rPr>
                      <w:color w:val="auto"/>
                      <w:szCs w:val="21"/>
                    </w:rPr>
                    <w:t>污染源</w:t>
                  </w:r>
                </w:p>
              </w:tc>
              <w:tc>
                <w:tcPr>
                  <w:tcW w:w="693" w:type="pct"/>
                  <w:vMerge w:val="restart"/>
                  <w:tcBorders>
                    <w:tl2br w:val="nil"/>
                    <w:tr2bl w:val="nil"/>
                  </w:tcBorders>
                  <w:vAlign w:val="center"/>
                </w:tcPr>
                <w:p>
                  <w:pPr>
                    <w:adjustRightInd w:val="0"/>
                    <w:snapToGrid w:val="0"/>
                    <w:jc w:val="center"/>
                    <w:rPr>
                      <w:color w:val="auto"/>
                      <w:szCs w:val="21"/>
                    </w:rPr>
                  </w:pPr>
                  <w:r>
                    <w:rPr>
                      <w:color w:val="auto"/>
                      <w:szCs w:val="21"/>
                    </w:rPr>
                    <w:t>污染物</w:t>
                  </w:r>
                </w:p>
              </w:tc>
              <w:tc>
                <w:tcPr>
                  <w:tcW w:w="482" w:type="pct"/>
                  <w:vMerge w:val="restart"/>
                  <w:tcBorders>
                    <w:tl2br w:val="nil"/>
                    <w:tr2bl w:val="nil"/>
                  </w:tcBorders>
                  <w:vAlign w:val="center"/>
                </w:tcPr>
                <w:p>
                  <w:pPr>
                    <w:adjustRightInd w:val="0"/>
                    <w:snapToGrid w:val="0"/>
                    <w:jc w:val="center"/>
                    <w:rPr>
                      <w:color w:val="auto"/>
                      <w:szCs w:val="21"/>
                    </w:rPr>
                  </w:pPr>
                  <w:r>
                    <w:rPr>
                      <w:color w:val="auto"/>
                      <w:szCs w:val="21"/>
                    </w:rPr>
                    <w:t>废气量m</w:t>
                  </w:r>
                  <w:r>
                    <w:rPr>
                      <w:color w:val="auto"/>
                      <w:szCs w:val="21"/>
                      <w:vertAlign w:val="superscript"/>
                    </w:rPr>
                    <w:t>3</w:t>
                  </w:r>
                  <w:r>
                    <w:rPr>
                      <w:color w:val="auto"/>
                      <w:szCs w:val="21"/>
                    </w:rPr>
                    <w:t>/h</w:t>
                  </w:r>
                </w:p>
              </w:tc>
              <w:tc>
                <w:tcPr>
                  <w:tcW w:w="609" w:type="pct"/>
                  <w:vMerge w:val="restart"/>
                  <w:tcBorders>
                    <w:tl2br w:val="nil"/>
                    <w:tr2bl w:val="nil"/>
                  </w:tcBorders>
                  <w:vAlign w:val="center"/>
                </w:tcPr>
                <w:p>
                  <w:pPr>
                    <w:adjustRightInd w:val="0"/>
                    <w:snapToGrid w:val="0"/>
                    <w:jc w:val="center"/>
                    <w:rPr>
                      <w:color w:val="auto"/>
                      <w:szCs w:val="21"/>
                    </w:rPr>
                  </w:pPr>
                  <w:r>
                    <w:rPr>
                      <w:color w:val="auto"/>
                      <w:szCs w:val="21"/>
                    </w:rPr>
                    <w:t>产生</w:t>
                  </w:r>
                </w:p>
                <w:p>
                  <w:pPr>
                    <w:adjustRightInd w:val="0"/>
                    <w:snapToGrid w:val="0"/>
                    <w:jc w:val="center"/>
                    <w:rPr>
                      <w:color w:val="auto"/>
                      <w:szCs w:val="21"/>
                    </w:rPr>
                  </w:pPr>
                  <w:r>
                    <w:rPr>
                      <w:color w:val="auto"/>
                      <w:szCs w:val="21"/>
                    </w:rPr>
                    <w:t>浓度mg/m</w:t>
                  </w:r>
                  <w:r>
                    <w:rPr>
                      <w:color w:val="auto"/>
                      <w:szCs w:val="21"/>
                      <w:vertAlign w:val="superscript"/>
                    </w:rPr>
                    <w:t>3</w:t>
                  </w:r>
                </w:p>
              </w:tc>
              <w:tc>
                <w:tcPr>
                  <w:tcW w:w="969" w:type="pct"/>
                  <w:gridSpan w:val="2"/>
                  <w:vMerge w:val="restart"/>
                  <w:tcBorders>
                    <w:tl2br w:val="nil"/>
                    <w:tr2bl w:val="nil"/>
                  </w:tcBorders>
                  <w:vAlign w:val="center"/>
                </w:tcPr>
                <w:p>
                  <w:pPr>
                    <w:adjustRightInd w:val="0"/>
                    <w:snapToGrid w:val="0"/>
                    <w:jc w:val="center"/>
                    <w:rPr>
                      <w:color w:val="auto"/>
                      <w:szCs w:val="21"/>
                    </w:rPr>
                  </w:pPr>
                  <w:r>
                    <w:rPr>
                      <w:color w:val="auto"/>
                      <w:szCs w:val="21"/>
                    </w:rPr>
                    <w:t>产生量</w:t>
                  </w:r>
                </w:p>
              </w:tc>
              <w:tc>
                <w:tcPr>
                  <w:tcW w:w="525" w:type="pct"/>
                  <w:vMerge w:val="restart"/>
                  <w:tcBorders>
                    <w:tl2br w:val="nil"/>
                    <w:tr2bl w:val="nil"/>
                  </w:tcBorders>
                  <w:vAlign w:val="center"/>
                </w:tcPr>
                <w:p>
                  <w:pPr>
                    <w:adjustRightInd w:val="0"/>
                    <w:snapToGrid w:val="0"/>
                    <w:jc w:val="center"/>
                    <w:rPr>
                      <w:color w:val="auto"/>
                      <w:szCs w:val="21"/>
                    </w:rPr>
                  </w:pPr>
                  <w:r>
                    <w:rPr>
                      <w:color w:val="auto"/>
                      <w:szCs w:val="21"/>
                    </w:rPr>
                    <w:t>排放</w:t>
                  </w:r>
                </w:p>
                <w:p>
                  <w:pPr>
                    <w:adjustRightInd w:val="0"/>
                    <w:snapToGrid w:val="0"/>
                    <w:jc w:val="center"/>
                    <w:rPr>
                      <w:color w:val="auto"/>
                      <w:szCs w:val="21"/>
                    </w:rPr>
                  </w:pPr>
                  <w:r>
                    <w:rPr>
                      <w:color w:val="auto"/>
                      <w:szCs w:val="21"/>
                    </w:rPr>
                    <w:t>浓度mg/m</w:t>
                  </w:r>
                  <w:r>
                    <w:rPr>
                      <w:color w:val="auto"/>
                      <w:szCs w:val="21"/>
                      <w:vertAlign w:val="superscript"/>
                    </w:rPr>
                    <w:t>3</w:t>
                  </w:r>
                </w:p>
              </w:tc>
              <w:tc>
                <w:tcPr>
                  <w:tcW w:w="1277" w:type="pct"/>
                  <w:gridSpan w:val="2"/>
                  <w:vMerge w:val="restart"/>
                  <w:tcBorders>
                    <w:tl2br w:val="nil"/>
                    <w:tr2bl w:val="nil"/>
                  </w:tcBorders>
                  <w:vAlign w:val="center"/>
                </w:tcPr>
                <w:p>
                  <w:pPr>
                    <w:adjustRightInd w:val="0"/>
                    <w:snapToGrid w:val="0"/>
                    <w:jc w:val="center"/>
                    <w:rPr>
                      <w:color w:val="auto"/>
                      <w:szCs w:val="21"/>
                    </w:rPr>
                  </w:pPr>
                  <w:r>
                    <w:rPr>
                      <w:color w:val="auto"/>
                      <w:szCs w:val="21"/>
                    </w:rPr>
                    <w:t>排放量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4" w:type="pct"/>
                  <w:vMerge w:val="continue"/>
                  <w:tcBorders>
                    <w:tl2br w:val="nil"/>
                    <w:tr2bl w:val="nil"/>
                  </w:tcBorders>
                  <w:vAlign w:val="center"/>
                </w:tcPr>
                <w:p>
                  <w:pPr>
                    <w:widowControl/>
                    <w:adjustRightInd w:val="0"/>
                    <w:snapToGrid w:val="0"/>
                    <w:jc w:val="left"/>
                    <w:rPr>
                      <w:color w:val="auto"/>
                      <w:szCs w:val="21"/>
                    </w:rPr>
                  </w:pPr>
                </w:p>
              </w:tc>
              <w:tc>
                <w:tcPr>
                  <w:tcW w:w="693" w:type="pct"/>
                  <w:vMerge w:val="continue"/>
                  <w:tcBorders>
                    <w:tl2br w:val="nil"/>
                    <w:tr2bl w:val="nil"/>
                  </w:tcBorders>
                  <w:vAlign w:val="center"/>
                </w:tcPr>
                <w:p>
                  <w:pPr>
                    <w:widowControl/>
                    <w:adjustRightInd w:val="0"/>
                    <w:snapToGrid w:val="0"/>
                    <w:jc w:val="left"/>
                    <w:rPr>
                      <w:color w:val="auto"/>
                      <w:szCs w:val="21"/>
                    </w:rPr>
                  </w:pPr>
                </w:p>
              </w:tc>
              <w:tc>
                <w:tcPr>
                  <w:tcW w:w="482" w:type="pct"/>
                  <w:vMerge w:val="continue"/>
                  <w:tcBorders>
                    <w:tl2br w:val="nil"/>
                    <w:tr2bl w:val="nil"/>
                  </w:tcBorders>
                  <w:vAlign w:val="center"/>
                </w:tcPr>
                <w:p>
                  <w:pPr>
                    <w:widowControl/>
                    <w:adjustRightInd w:val="0"/>
                    <w:snapToGrid w:val="0"/>
                    <w:jc w:val="left"/>
                    <w:rPr>
                      <w:color w:val="auto"/>
                      <w:szCs w:val="21"/>
                    </w:rPr>
                  </w:pPr>
                </w:p>
              </w:tc>
              <w:tc>
                <w:tcPr>
                  <w:tcW w:w="609" w:type="pct"/>
                  <w:vMerge w:val="continue"/>
                  <w:tcBorders>
                    <w:tl2br w:val="nil"/>
                    <w:tr2bl w:val="nil"/>
                  </w:tcBorders>
                  <w:vAlign w:val="center"/>
                </w:tcPr>
                <w:p>
                  <w:pPr>
                    <w:widowControl/>
                    <w:adjustRightInd w:val="0"/>
                    <w:snapToGrid w:val="0"/>
                    <w:jc w:val="left"/>
                    <w:rPr>
                      <w:color w:val="auto"/>
                      <w:szCs w:val="21"/>
                    </w:rPr>
                  </w:pPr>
                </w:p>
              </w:tc>
              <w:tc>
                <w:tcPr>
                  <w:tcW w:w="969" w:type="pct"/>
                  <w:gridSpan w:val="2"/>
                  <w:vMerge w:val="continue"/>
                  <w:tcBorders>
                    <w:tl2br w:val="nil"/>
                    <w:tr2bl w:val="nil"/>
                  </w:tcBorders>
                  <w:vAlign w:val="center"/>
                </w:tcPr>
                <w:p>
                  <w:pPr>
                    <w:widowControl/>
                    <w:adjustRightInd w:val="0"/>
                    <w:snapToGrid w:val="0"/>
                    <w:jc w:val="left"/>
                    <w:rPr>
                      <w:color w:val="auto"/>
                      <w:szCs w:val="21"/>
                    </w:rPr>
                  </w:pPr>
                </w:p>
              </w:tc>
              <w:tc>
                <w:tcPr>
                  <w:tcW w:w="525" w:type="pct"/>
                  <w:vMerge w:val="continue"/>
                  <w:tcBorders>
                    <w:tl2br w:val="nil"/>
                    <w:tr2bl w:val="nil"/>
                  </w:tcBorders>
                  <w:vAlign w:val="center"/>
                </w:tcPr>
                <w:p>
                  <w:pPr>
                    <w:widowControl/>
                    <w:adjustRightInd w:val="0"/>
                    <w:snapToGrid w:val="0"/>
                    <w:jc w:val="left"/>
                    <w:rPr>
                      <w:color w:val="auto"/>
                      <w:szCs w:val="21"/>
                    </w:rPr>
                  </w:pPr>
                </w:p>
              </w:tc>
              <w:tc>
                <w:tcPr>
                  <w:tcW w:w="1277" w:type="pct"/>
                  <w:gridSpan w:val="2"/>
                  <w:vMerge w:val="continue"/>
                  <w:tcBorders>
                    <w:tl2br w:val="nil"/>
                    <w:tr2bl w:val="nil"/>
                  </w:tcBorders>
                  <w:vAlign w:val="center"/>
                </w:tcPr>
                <w:p>
                  <w:pPr>
                    <w:widowControl/>
                    <w:adjustRightInd w:val="0"/>
                    <w:snapToGrid w:val="0"/>
                    <w:jc w:val="left"/>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44" w:type="pct"/>
                  <w:vMerge w:val="continue"/>
                  <w:tcBorders>
                    <w:tl2br w:val="nil"/>
                    <w:tr2bl w:val="nil"/>
                  </w:tcBorders>
                  <w:vAlign w:val="center"/>
                </w:tcPr>
                <w:p>
                  <w:pPr>
                    <w:widowControl/>
                    <w:adjustRightInd w:val="0"/>
                    <w:snapToGrid w:val="0"/>
                    <w:jc w:val="left"/>
                    <w:rPr>
                      <w:color w:val="auto"/>
                      <w:szCs w:val="21"/>
                    </w:rPr>
                  </w:pPr>
                </w:p>
              </w:tc>
              <w:tc>
                <w:tcPr>
                  <w:tcW w:w="693" w:type="pct"/>
                  <w:vMerge w:val="continue"/>
                  <w:tcBorders>
                    <w:tl2br w:val="nil"/>
                    <w:tr2bl w:val="nil"/>
                  </w:tcBorders>
                  <w:vAlign w:val="center"/>
                </w:tcPr>
                <w:p>
                  <w:pPr>
                    <w:widowControl/>
                    <w:adjustRightInd w:val="0"/>
                    <w:snapToGrid w:val="0"/>
                    <w:jc w:val="left"/>
                    <w:rPr>
                      <w:color w:val="auto"/>
                      <w:szCs w:val="21"/>
                    </w:rPr>
                  </w:pPr>
                </w:p>
              </w:tc>
              <w:tc>
                <w:tcPr>
                  <w:tcW w:w="482" w:type="pct"/>
                  <w:vMerge w:val="continue"/>
                  <w:tcBorders>
                    <w:tl2br w:val="nil"/>
                    <w:tr2bl w:val="nil"/>
                  </w:tcBorders>
                  <w:vAlign w:val="center"/>
                </w:tcPr>
                <w:p>
                  <w:pPr>
                    <w:widowControl/>
                    <w:adjustRightInd w:val="0"/>
                    <w:snapToGrid w:val="0"/>
                    <w:jc w:val="left"/>
                    <w:rPr>
                      <w:color w:val="auto"/>
                      <w:szCs w:val="21"/>
                    </w:rPr>
                  </w:pPr>
                </w:p>
              </w:tc>
              <w:tc>
                <w:tcPr>
                  <w:tcW w:w="609" w:type="pct"/>
                  <w:vMerge w:val="continue"/>
                  <w:tcBorders>
                    <w:tl2br w:val="nil"/>
                    <w:tr2bl w:val="nil"/>
                  </w:tcBorders>
                  <w:vAlign w:val="center"/>
                </w:tcPr>
                <w:p>
                  <w:pPr>
                    <w:widowControl/>
                    <w:adjustRightInd w:val="0"/>
                    <w:snapToGrid w:val="0"/>
                    <w:jc w:val="left"/>
                    <w:rPr>
                      <w:color w:val="auto"/>
                      <w:szCs w:val="21"/>
                    </w:rPr>
                  </w:pPr>
                </w:p>
              </w:tc>
              <w:tc>
                <w:tcPr>
                  <w:tcW w:w="434" w:type="pct"/>
                  <w:tcBorders>
                    <w:tl2br w:val="nil"/>
                    <w:tr2bl w:val="nil"/>
                  </w:tcBorders>
                  <w:vAlign w:val="center"/>
                </w:tcPr>
                <w:p>
                  <w:pPr>
                    <w:adjustRightInd w:val="0"/>
                    <w:snapToGrid w:val="0"/>
                    <w:jc w:val="center"/>
                    <w:rPr>
                      <w:color w:val="auto"/>
                      <w:szCs w:val="21"/>
                    </w:rPr>
                  </w:pPr>
                  <w:r>
                    <w:rPr>
                      <w:color w:val="auto"/>
                      <w:szCs w:val="21"/>
                    </w:rPr>
                    <w:t>kg/h</w:t>
                  </w:r>
                </w:p>
              </w:tc>
              <w:tc>
                <w:tcPr>
                  <w:tcW w:w="534" w:type="pct"/>
                  <w:tcBorders>
                    <w:tl2br w:val="nil"/>
                    <w:tr2bl w:val="nil"/>
                  </w:tcBorders>
                  <w:vAlign w:val="center"/>
                </w:tcPr>
                <w:p>
                  <w:pPr>
                    <w:adjustRightInd w:val="0"/>
                    <w:snapToGrid w:val="0"/>
                    <w:jc w:val="center"/>
                    <w:rPr>
                      <w:color w:val="auto"/>
                      <w:szCs w:val="21"/>
                    </w:rPr>
                  </w:pPr>
                  <w:r>
                    <w:rPr>
                      <w:color w:val="auto"/>
                      <w:szCs w:val="21"/>
                    </w:rPr>
                    <w:t>t/a</w:t>
                  </w:r>
                </w:p>
              </w:tc>
              <w:tc>
                <w:tcPr>
                  <w:tcW w:w="525" w:type="pct"/>
                  <w:vMerge w:val="continue"/>
                  <w:tcBorders>
                    <w:tl2br w:val="nil"/>
                    <w:tr2bl w:val="nil"/>
                  </w:tcBorders>
                  <w:vAlign w:val="center"/>
                </w:tcPr>
                <w:p>
                  <w:pPr>
                    <w:widowControl/>
                    <w:adjustRightInd w:val="0"/>
                    <w:snapToGrid w:val="0"/>
                    <w:jc w:val="left"/>
                    <w:rPr>
                      <w:color w:val="auto"/>
                      <w:szCs w:val="21"/>
                    </w:rPr>
                  </w:pPr>
                </w:p>
              </w:tc>
              <w:tc>
                <w:tcPr>
                  <w:tcW w:w="707" w:type="pct"/>
                  <w:tcBorders>
                    <w:tl2br w:val="nil"/>
                    <w:tr2bl w:val="nil"/>
                  </w:tcBorders>
                  <w:vAlign w:val="center"/>
                </w:tcPr>
                <w:p>
                  <w:pPr>
                    <w:adjustRightInd w:val="0"/>
                    <w:snapToGrid w:val="0"/>
                    <w:jc w:val="center"/>
                    <w:rPr>
                      <w:color w:val="auto"/>
                      <w:szCs w:val="21"/>
                    </w:rPr>
                  </w:pPr>
                  <w:r>
                    <w:rPr>
                      <w:color w:val="auto"/>
                      <w:szCs w:val="21"/>
                    </w:rPr>
                    <w:t>kg/h</w:t>
                  </w:r>
                </w:p>
              </w:tc>
              <w:tc>
                <w:tcPr>
                  <w:tcW w:w="569" w:type="pct"/>
                  <w:tcBorders>
                    <w:tl2br w:val="nil"/>
                    <w:tr2bl w:val="nil"/>
                  </w:tcBorders>
                  <w:vAlign w:val="center"/>
                </w:tcPr>
                <w:p>
                  <w:pPr>
                    <w:adjustRightInd w:val="0"/>
                    <w:snapToGrid w:val="0"/>
                    <w:jc w:val="center"/>
                    <w:rPr>
                      <w:color w:val="auto"/>
                      <w:szCs w:val="21"/>
                    </w:rPr>
                  </w:pPr>
                  <w:r>
                    <w:rPr>
                      <w:color w:val="auto"/>
                      <w:szCs w:val="21"/>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vAlign w:val="center"/>
                </w:tcPr>
                <w:p>
                  <w:pPr>
                    <w:adjustRightInd w:val="0"/>
                    <w:snapToGrid w:val="0"/>
                    <w:jc w:val="center"/>
                    <w:rPr>
                      <w:color w:val="auto"/>
                      <w:szCs w:val="21"/>
                    </w:rPr>
                  </w:pPr>
                  <w:r>
                    <w:rPr>
                      <w:color w:val="auto"/>
                      <w:szCs w:val="21"/>
                    </w:rPr>
                    <w:t>有组织排放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3#排气筒</w:t>
                  </w:r>
                </w:p>
              </w:tc>
              <w:tc>
                <w:tcPr>
                  <w:tcW w:w="693" w:type="pct"/>
                  <w:tcBorders>
                    <w:tl2br w:val="nil"/>
                    <w:tr2bl w:val="nil"/>
                  </w:tcBorders>
                  <w:vAlign w:val="center"/>
                </w:tcPr>
                <w:p>
                  <w:pPr>
                    <w:adjustRightInd w:val="0"/>
                    <w:snapToGrid w:val="0"/>
                    <w:spacing w:line="216" w:lineRule="auto"/>
                    <w:jc w:val="center"/>
                    <w:rPr>
                      <w:color w:val="auto"/>
                      <w:kern w:val="0"/>
                      <w:szCs w:val="21"/>
                      <w:lang w:bidi="ar"/>
                    </w:rPr>
                  </w:pPr>
                  <w:r>
                    <w:rPr>
                      <w:color w:val="auto"/>
                      <w:kern w:val="0"/>
                      <w:szCs w:val="21"/>
                      <w:lang w:bidi="ar"/>
                    </w:rPr>
                    <w:t>非甲烷</w:t>
                  </w:r>
                </w:p>
                <w:p>
                  <w:pPr>
                    <w:adjustRightInd w:val="0"/>
                    <w:snapToGrid w:val="0"/>
                    <w:spacing w:line="216" w:lineRule="auto"/>
                    <w:jc w:val="center"/>
                    <w:rPr>
                      <w:color w:val="auto"/>
                      <w:kern w:val="0"/>
                      <w:szCs w:val="21"/>
                      <w:lang w:bidi="ar"/>
                    </w:rPr>
                  </w:pPr>
                  <w:r>
                    <w:rPr>
                      <w:color w:val="auto"/>
                      <w:kern w:val="0"/>
                      <w:szCs w:val="21"/>
                      <w:lang w:bidi="ar"/>
                    </w:rPr>
                    <w:t>总烃</w:t>
                  </w:r>
                </w:p>
              </w:tc>
              <w:tc>
                <w:tcPr>
                  <w:tcW w:w="482" w:type="pct"/>
                  <w:vMerge w:val="restart"/>
                  <w:tcBorders>
                    <w:tl2br w:val="nil"/>
                    <w:tr2bl w:val="nil"/>
                  </w:tcBorders>
                  <w:vAlign w:val="center"/>
                </w:tcPr>
                <w:p>
                  <w:pPr>
                    <w:adjustRightInd w:val="0"/>
                    <w:snapToGrid w:val="0"/>
                    <w:jc w:val="center"/>
                    <w:rPr>
                      <w:color w:val="auto"/>
                      <w:szCs w:val="21"/>
                    </w:rPr>
                  </w:pPr>
                  <w:r>
                    <w:rPr>
                      <w:rFonts w:hint="eastAsia"/>
                      <w:color w:val="auto"/>
                      <w:szCs w:val="21"/>
                    </w:rPr>
                    <w:t>10000</w:t>
                  </w:r>
                </w:p>
              </w:tc>
              <w:tc>
                <w:tcPr>
                  <w:tcW w:w="99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66.857</w:t>
                  </w:r>
                </w:p>
              </w:tc>
              <w:tc>
                <w:tcPr>
                  <w:tcW w:w="70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0.669</w:t>
                  </w:r>
                </w:p>
              </w:tc>
              <w:tc>
                <w:tcPr>
                  <w:tcW w:w="87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1.404</w:t>
                  </w:r>
                </w:p>
              </w:tc>
              <w:tc>
                <w:tcPr>
                  <w:tcW w:w="8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13.371</w:t>
                  </w:r>
                </w:p>
              </w:tc>
              <w:tc>
                <w:tcPr>
                  <w:tcW w:w="115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0.134</w:t>
                  </w:r>
                </w:p>
              </w:tc>
              <w:tc>
                <w:tcPr>
                  <w:tcW w:w="93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0.281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vMerge w:val="continue"/>
                  <w:tcBorders>
                    <w:tl2br w:val="nil"/>
                    <w:tr2bl w:val="nil"/>
                  </w:tcBorders>
                  <w:vAlign w:val="center"/>
                </w:tcPr>
                <w:p>
                  <w:pPr>
                    <w:adjustRightInd w:val="0"/>
                    <w:snapToGrid w:val="0"/>
                    <w:jc w:val="center"/>
                    <w:rPr>
                      <w:color w:val="auto"/>
                      <w:szCs w:val="21"/>
                    </w:rPr>
                  </w:pPr>
                </w:p>
              </w:tc>
              <w:tc>
                <w:tcPr>
                  <w:tcW w:w="1129" w:type="dxa"/>
                  <w:tcBorders>
                    <w:tl2br w:val="nil"/>
                    <w:tr2bl w:val="nil"/>
                  </w:tcBorders>
                  <w:vAlign w:val="center"/>
                </w:tcPr>
                <w:p>
                  <w:pPr>
                    <w:adjustRightInd w:val="0"/>
                    <w:snapToGrid w:val="0"/>
                    <w:spacing w:line="216" w:lineRule="auto"/>
                    <w:jc w:val="center"/>
                    <w:rPr>
                      <w:color w:val="auto"/>
                      <w:kern w:val="0"/>
                      <w:szCs w:val="21"/>
                      <w:lang w:bidi="ar"/>
                    </w:rPr>
                  </w:pPr>
                  <w:r>
                    <w:rPr>
                      <w:color w:val="auto"/>
                      <w:szCs w:val="21"/>
                    </w:rPr>
                    <w:t>SO</w:t>
                  </w:r>
                  <w:r>
                    <w:rPr>
                      <w:color w:val="auto"/>
                      <w:szCs w:val="21"/>
                      <w:vertAlign w:val="subscript"/>
                    </w:rPr>
                    <w:t>2</w:t>
                  </w:r>
                </w:p>
              </w:tc>
              <w:tc>
                <w:tcPr>
                  <w:tcW w:w="482" w:type="pct"/>
                  <w:vMerge w:val="continue"/>
                  <w:tcBorders>
                    <w:tl2br w:val="nil"/>
                    <w:tr2bl w:val="nil"/>
                  </w:tcBorders>
                  <w:vAlign w:val="center"/>
                </w:tcPr>
                <w:p>
                  <w:pPr>
                    <w:adjustRightInd w:val="0"/>
                    <w:snapToGrid w:val="0"/>
                    <w:jc w:val="center"/>
                    <w:rPr>
                      <w:color w:val="auto"/>
                      <w:szCs w:val="21"/>
                    </w:rPr>
                  </w:pPr>
                </w:p>
              </w:tc>
              <w:tc>
                <w:tcPr>
                  <w:tcW w:w="993"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2.080</w:t>
                  </w:r>
                </w:p>
              </w:tc>
              <w:tc>
                <w:tcPr>
                  <w:tcW w:w="708"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0.021</w:t>
                  </w:r>
                </w:p>
              </w:tc>
              <w:tc>
                <w:tcPr>
                  <w:tcW w:w="872"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0.044</w:t>
                  </w:r>
                </w:p>
              </w:tc>
              <w:tc>
                <w:tcPr>
                  <w:tcW w:w="856"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2.080</w:t>
                  </w:r>
                </w:p>
              </w:tc>
              <w:tc>
                <w:tcPr>
                  <w:tcW w:w="1153"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0.021</w:t>
                  </w:r>
                </w:p>
              </w:tc>
              <w:tc>
                <w:tcPr>
                  <w:tcW w:w="931"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0.044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vMerge w:val="continue"/>
                  <w:tcBorders>
                    <w:tl2br w:val="nil"/>
                    <w:tr2bl w:val="nil"/>
                  </w:tcBorders>
                  <w:vAlign w:val="center"/>
                </w:tcPr>
                <w:p>
                  <w:pPr>
                    <w:adjustRightInd w:val="0"/>
                    <w:snapToGrid w:val="0"/>
                    <w:jc w:val="center"/>
                    <w:rPr>
                      <w:color w:val="auto"/>
                      <w:szCs w:val="21"/>
                    </w:rPr>
                  </w:pPr>
                </w:p>
              </w:tc>
              <w:tc>
                <w:tcPr>
                  <w:tcW w:w="1129" w:type="dxa"/>
                  <w:tcBorders>
                    <w:tl2br w:val="nil"/>
                    <w:tr2bl w:val="nil"/>
                  </w:tcBorders>
                  <w:vAlign w:val="center"/>
                </w:tcPr>
                <w:p>
                  <w:pPr>
                    <w:adjustRightInd w:val="0"/>
                    <w:snapToGrid w:val="0"/>
                    <w:spacing w:line="216" w:lineRule="auto"/>
                    <w:jc w:val="center"/>
                    <w:rPr>
                      <w:color w:val="auto"/>
                      <w:kern w:val="0"/>
                      <w:szCs w:val="21"/>
                      <w:lang w:bidi="ar"/>
                    </w:rPr>
                  </w:pPr>
                  <w:r>
                    <w:rPr>
                      <w:color w:val="auto"/>
                      <w:szCs w:val="21"/>
                    </w:rPr>
                    <w:t>NO</w:t>
                  </w:r>
                  <w:r>
                    <w:rPr>
                      <w:color w:val="auto"/>
                      <w:szCs w:val="21"/>
                      <w:vertAlign w:val="subscript"/>
                    </w:rPr>
                    <w:t>X</w:t>
                  </w:r>
                </w:p>
              </w:tc>
              <w:tc>
                <w:tcPr>
                  <w:tcW w:w="482" w:type="pct"/>
                  <w:vMerge w:val="continue"/>
                  <w:tcBorders>
                    <w:tl2br w:val="nil"/>
                    <w:tr2bl w:val="nil"/>
                  </w:tcBorders>
                  <w:vAlign w:val="center"/>
                </w:tcPr>
                <w:p>
                  <w:pPr>
                    <w:adjustRightInd w:val="0"/>
                    <w:snapToGrid w:val="0"/>
                    <w:jc w:val="center"/>
                    <w:rPr>
                      <w:color w:val="auto"/>
                      <w:szCs w:val="21"/>
                    </w:rPr>
                  </w:pPr>
                </w:p>
              </w:tc>
              <w:tc>
                <w:tcPr>
                  <w:tcW w:w="993"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19.448</w:t>
                  </w:r>
                </w:p>
              </w:tc>
              <w:tc>
                <w:tcPr>
                  <w:tcW w:w="708"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0.194</w:t>
                  </w:r>
                </w:p>
              </w:tc>
              <w:tc>
                <w:tcPr>
                  <w:tcW w:w="872"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0.408</w:t>
                  </w:r>
                </w:p>
              </w:tc>
              <w:tc>
                <w:tcPr>
                  <w:tcW w:w="856"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19.448</w:t>
                  </w:r>
                </w:p>
              </w:tc>
              <w:tc>
                <w:tcPr>
                  <w:tcW w:w="1153"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0.194</w:t>
                  </w:r>
                </w:p>
              </w:tc>
              <w:tc>
                <w:tcPr>
                  <w:tcW w:w="931"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0.408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vMerge w:val="continue"/>
                  <w:tcBorders>
                    <w:tl2br w:val="nil"/>
                    <w:tr2bl w:val="nil"/>
                  </w:tcBorders>
                  <w:vAlign w:val="center"/>
                </w:tcPr>
                <w:p>
                  <w:pPr>
                    <w:adjustRightInd w:val="0"/>
                    <w:snapToGrid w:val="0"/>
                    <w:jc w:val="center"/>
                    <w:rPr>
                      <w:color w:val="auto"/>
                      <w:szCs w:val="21"/>
                    </w:rPr>
                  </w:pPr>
                </w:p>
              </w:tc>
              <w:tc>
                <w:tcPr>
                  <w:tcW w:w="1129" w:type="dxa"/>
                  <w:tcBorders>
                    <w:tl2br w:val="nil"/>
                    <w:tr2bl w:val="nil"/>
                  </w:tcBorders>
                  <w:vAlign w:val="center"/>
                </w:tcPr>
                <w:p>
                  <w:pPr>
                    <w:adjustRightInd w:val="0"/>
                    <w:snapToGrid w:val="0"/>
                    <w:spacing w:line="216" w:lineRule="auto"/>
                    <w:jc w:val="center"/>
                    <w:rPr>
                      <w:color w:val="auto"/>
                      <w:kern w:val="0"/>
                      <w:szCs w:val="21"/>
                      <w:lang w:bidi="ar"/>
                    </w:rPr>
                  </w:pPr>
                  <w:r>
                    <w:rPr>
                      <w:color w:val="auto"/>
                      <w:szCs w:val="21"/>
                    </w:rPr>
                    <w:t>颗粒物</w:t>
                  </w:r>
                </w:p>
              </w:tc>
              <w:tc>
                <w:tcPr>
                  <w:tcW w:w="482" w:type="pct"/>
                  <w:vMerge w:val="continue"/>
                  <w:tcBorders>
                    <w:tl2br w:val="nil"/>
                    <w:tr2bl w:val="nil"/>
                  </w:tcBorders>
                  <w:vAlign w:val="center"/>
                </w:tcPr>
                <w:p>
                  <w:pPr>
                    <w:adjustRightInd w:val="0"/>
                    <w:snapToGrid w:val="0"/>
                    <w:jc w:val="center"/>
                    <w:rPr>
                      <w:color w:val="auto"/>
                      <w:szCs w:val="21"/>
                    </w:rPr>
                  </w:pPr>
                </w:p>
              </w:tc>
              <w:tc>
                <w:tcPr>
                  <w:tcW w:w="993"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2.974</w:t>
                  </w:r>
                </w:p>
              </w:tc>
              <w:tc>
                <w:tcPr>
                  <w:tcW w:w="708"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0.030</w:t>
                  </w:r>
                </w:p>
              </w:tc>
              <w:tc>
                <w:tcPr>
                  <w:tcW w:w="872" w:type="dxa"/>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0.062</w:t>
                  </w:r>
                </w:p>
              </w:tc>
              <w:tc>
                <w:tcPr>
                  <w:tcW w:w="856"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2.974</w:t>
                  </w:r>
                </w:p>
              </w:tc>
              <w:tc>
                <w:tcPr>
                  <w:tcW w:w="1153"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0.030</w:t>
                  </w:r>
                </w:p>
              </w:tc>
              <w:tc>
                <w:tcPr>
                  <w:tcW w:w="931"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0.062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tcBorders>
                    <w:tl2br w:val="nil"/>
                    <w:tr2bl w:val="nil"/>
                  </w:tcBorders>
                  <w:vAlign w:val="center"/>
                </w:tcPr>
                <w:p>
                  <w:pPr>
                    <w:adjustRightInd w:val="0"/>
                    <w:snapToGrid w:val="0"/>
                    <w:jc w:val="center"/>
                    <w:rPr>
                      <w:color w:val="auto"/>
                      <w:szCs w:val="21"/>
                    </w:rPr>
                  </w:pPr>
                  <w:r>
                    <w:rPr>
                      <w:rFonts w:hint="eastAsia"/>
                      <w:color w:val="auto"/>
                      <w:szCs w:val="21"/>
                    </w:rPr>
                    <w:t>4</w:t>
                  </w:r>
                  <w:r>
                    <w:rPr>
                      <w:color w:val="auto"/>
                      <w:szCs w:val="21"/>
                    </w:rPr>
                    <w:t>#排气筒</w:t>
                  </w:r>
                </w:p>
              </w:tc>
              <w:tc>
                <w:tcPr>
                  <w:tcW w:w="693" w:type="pct"/>
                  <w:tcBorders>
                    <w:tl2br w:val="nil"/>
                    <w:tr2bl w:val="nil"/>
                  </w:tcBorders>
                  <w:vAlign w:val="center"/>
                </w:tcPr>
                <w:p>
                  <w:pPr>
                    <w:adjustRightInd w:val="0"/>
                    <w:snapToGrid w:val="0"/>
                    <w:spacing w:line="216" w:lineRule="auto"/>
                    <w:jc w:val="center"/>
                    <w:rPr>
                      <w:color w:val="auto"/>
                      <w:kern w:val="0"/>
                      <w:szCs w:val="21"/>
                      <w:lang w:bidi="ar"/>
                    </w:rPr>
                  </w:pPr>
                  <w:r>
                    <w:rPr>
                      <w:color w:val="auto"/>
                      <w:kern w:val="0"/>
                      <w:szCs w:val="21"/>
                      <w:lang w:bidi="ar"/>
                    </w:rPr>
                    <w:t>非甲烷</w:t>
                  </w:r>
                </w:p>
                <w:p>
                  <w:pPr>
                    <w:adjustRightInd w:val="0"/>
                    <w:snapToGrid w:val="0"/>
                    <w:spacing w:line="216" w:lineRule="auto"/>
                    <w:jc w:val="center"/>
                    <w:rPr>
                      <w:color w:val="auto"/>
                      <w:szCs w:val="21"/>
                    </w:rPr>
                  </w:pPr>
                  <w:r>
                    <w:rPr>
                      <w:color w:val="auto"/>
                      <w:kern w:val="0"/>
                      <w:szCs w:val="21"/>
                      <w:lang w:bidi="ar"/>
                    </w:rPr>
                    <w:t>总烃</w:t>
                  </w:r>
                </w:p>
              </w:tc>
              <w:tc>
                <w:tcPr>
                  <w:tcW w:w="482" w:type="pct"/>
                  <w:tcBorders>
                    <w:tl2br w:val="nil"/>
                    <w:tr2bl w:val="nil"/>
                  </w:tcBorders>
                  <w:vAlign w:val="center"/>
                </w:tcPr>
                <w:p>
                  <w:pPr>
                    <w:adjustRightInd w:val="0"/>
                    <w:snapToGrid w:val="0"/>
                    <w:jc w:val="center"/>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000</w:t>
                  </w:r>
                </w:p>
              </w:tc>
              <w:tc>
                <w:tcPr>
                  <w:tcW w:w="99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val="en-US" w:bidi="ar"/>
                    </w:rPr>
                  </w:pPr>
                  <w:r>
                    <w:rPr>
                      <w:rFonts w:hint="eastAsia" w:cs="Times New Roman"/>
                      <w:i w:val="0"/>
                      <w:iCs w:val="0"/>
                      <w:color w:val="auto"/>
                      <w:kern w:val="0"/>
                      <w:sz w:val="21"/>
                      <w:szCs w:val="21"/>
                      <w:u w:val="none"/>
                      <w:lang w:val="en-US" w:eastAsia="zh-CN" w:bidi="ar"/>
                    </w:rPr>
                    <w:t>6.249</w:t>
                  </w:r>
                </w:p>
              </w:tc>
              <w:tc>
                <w:tcPr>
                  <w:tcW w:w="70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0.062</w:t>
                  </w:r>
                </w:p>
              </w:tc>
              <w:tc>
                <w:tcPr>
                  <w:tcW w:w="87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0.131</w:t>
                  </w:r>
                </w:p>
              </w:tc>
              <w:tc>
                <w:tcPr>
                  <w:tcW w:w="85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1.250</w:t>
                  </w:r>
                </w:p>
              </w:tc>
              <w:tc>
                <w:tcPr>
                  <w:tcW w:w="115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0.012</w:t>
                  </w:r>
                </w:p>
              </w:tc>
              <w:tc>
                <w:tcPr>
                  <w:tcW w:w="93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0.026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vAlign w:val="center"/>
                </w:tcPr>
                <w:p>
                  <w:pPr>
                    <w:adjustRightInd w:val="0"/>
                    <w:snapToGrid w:val="0"/>
                    <w:spacing w:line="216" w:lineRule="auto"/>
                    <w:jc w:val="center"/>
                    <w:rPr>
                      <w:color w:val="auto"/>
                      <w:szCs w:val="21"/>
                    </w:rPr>
                  </w:pPr>
                  <w:r>
                    <w:rPr>
                      <w:color w:val="auto"/>
                      <w:szCs w:val="21"/>
                    </w:rPr>
                    <w:t>无组织排放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pct"/>
                  <w:vMerge w:val="restart"/>
                  <w:tcBorders>
                    <w:tl2br w:val="nil"/>
                    <w:tr2bl w:val="nil"/>
                  </w:tcBorders>
                  <w:vAlign w:val="center"/>
                </w:tcPr>
                <w:p>
                  <w:pPr>
                    <w:widowControl/>
                    <w:adjustRightInd w:val="0"/>
                    <w:snapToGrid w:val="0"/>
                    <w:jc w:val="center"/>
                    <w:rPr>
                      <w:color w:val="auto"/>
                      <w:szCs w:val="21"/>
                    </w:rPr>
                  </w:pPr>
                  <w:r>
                    <w:rPr>
                      <w:rFonts w:hint="eastAsia"/>
                      <w:color w:val="auto"/>
                      <w:szCs w:val="21"/>
                    </w:rPr>
                    <w:t>厂区</w:t>
                  </w:r>
                </w:p>
              </w:tc>
              <w:tc>
                <w:tcPr>
                  <w:tcW w:w="693" w:type="pct"/>
                  <w:tcBorders>
                    <w:tl2br w:val="nil"/>
                    <w:tr2bl w:val="nil"/>
                  </w:tcBorders>
                  <w:vAlign w:val="center"/>
                </w:tcPr>
                <w:p>
                  <w:pPr>
                    <w:widowControl/>
                    <w:jc w:val="center"/>
                    <w:textAlignment w:val="center"/>
                    <w:rPr>
                      <w:color w:val="auto"/>
                      <w:kern w:val="0"/>
                      <w:szCs w:val="21"/>
                      <w:lang w:bidi="ar"/>
                    </w:rPr>
                  </w:pPr>
                  <w:r>
                    <w:rPr>
                      <w:color w:val="auto"/>
                      <w:kern w:val="0"/>
                      <w:szCs w:val="21"/>
                      <w:lang w:bidi="ar"/>
                    </w:rPr>
                    <w:t>非甲烷</w:t>
                  </w:r>
                </w:p>
                <w:p>
                  <w:pPr>
                    <w:widowControl/>
                    <w:jc w:val="center"/>
                    <w:textAlignment w:val="center"/>
                    <w:rPr>
                      <w:color w:val="auto"/>
                      <w:szCs w:val="21"/>
                    </w:rPr>
                  </w:pPr>
                  <w:r>
                    <w:rPr>
                      <w:color w:val="auto"/>
                      <w:kern w:val="0"/>
                      <w:szCs w:val="21"/>
                      <w:lang w:bidi="ar"/>
                    </w:rPr>
                    <w:t>总烃</w:t>
                  </w:r>
                </w:p>
              </w:tc>
              <w:tc>
                <w:tcPr>
                  <w:tcW w:w="482"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609" w:type="pct"/>
                  <w:tcBorders>
                    <w:tl2br w:val="nil"/>
                    <w:tr2bl w:val="nil"/>
                  </w:tcBorders>
                  <w:vAlign w:val="center"/>
                </w:tcPr>
                <w:p>
                  <w:pPr>
                    <w:adjustRightInd w:val="0"/>
                    <w:snapToGrid w:val="0"/>
                    <w:spacing w:line="216" w:lineRule="auto"/>
                    <w:jc w:val="center"/>
                    <w:rPr>
                      <w:color w:val="auto"/>
                      <w:szCs w:val="21"/>
                    </w:rPr>
                  </w:pPr>
                  <w:r>
                    <w:rPr>
                      <w:color w:val="auto"/>
                      <w:szCs w:val="21"/>
                    </w:rPr>
                    <w:t>/</w:t>
                  </w:r>
                </w:p>
              </w:tc>
              <w:tc>
                <w:tcPr>
                  <w:tcW w:w="70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183</w:t>
                  </w:r>
                </w:p>
              </w:tc>
              <w:tc>
                <w:tcPr>
                  <w:tcW w:w="87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384</w:t>
                  </w:r>
                </w:p>
              </w:tc>
              <w:tc>
                <w:tcPr>
                  <w:tcW w:w="525"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1153" w:type="dxa"/>
                  <w:tcBorders>
                    <w:tl2br w:val="nil"/>
                    <w:tr2bl w:val="nil"/>
                  </w:tcBorders>
                  <w:vAlign w:val="center"/>
                </w:tcPr>
                <w:p>
                  <w:pPr>
                    <w:keepNext w:val="0"/>
                    <w:keepLines w:val="0"/>
                    <w:widowControl/>
                    <w:suppressLineNumbers w:val="0"/>
                    <w:jc w:val="center"/>
                    <w:textAlignment w:val="center"/>
                    <w:rPr>
                      <w:color w:val="auto"/>
                      <w:szCs w:val="21"/>
                      <w:highlight w:val="red"/>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183</w:t>
                  </w:r>
                </w:p>
              </w:tc>
              <w:tc>
                <w:tcPr>
                  <w:tcW w:w="931" w:type="dxa"/>
                  <w:tcBorders>
                    <w:tl2br w:val="nil"/>
                    <w:tr2bl w:val="nil"/>
                  </w:tcBorders>
                  <w:vAlign w:val="center"/>
                </w:tcPr>
                <w:p>
                  <w:pPr>
                    <w:keepNext w:val="0"/>
                    <w:keepLines w:val="0"/>
                    <w:widowControl/>
                    <w:suppressLineNumbers w:val="0"/>
                    <w:jc w:val="center"/>
                    <w:textAlignment w:val="center"/>
                    <w:rPr>
                      <w:color w:val="auto"/>
                      <w:szCs w:val="21"/>
                      <w:highlight w:val="red"/>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384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44" w:type="pct"/>
                  <w:vMerge w:val="continue"/>
                  <w:tcBorders>
                    <w:tl2br w:val="nil"/>
                    <w:tr2bl w:val="nil"/>
                  </w:tcBorders>
                  <w:vAlign w:val="center"/>
                </w:tcPr>
                <w:p>
                  <w:pPr>
                    <w:widowControl/>
                    <w:adjustRightInd w:val="0"/>
                    <w:snapToGrid w:val="0"/>
                    <w:jc w:val="center"/>
                    <w:rPr>
                      <w:color w:val="auto"/>
                      <w:szCs w:val="21"/>
                    </w:rPr>
                  </w:pPr>
                </w:p>
              </w:tc>
              <w:tc>
                <w:tcPr>
                  <w:tcW w:w="693" w:type="pct"/>
                  <w:tcBorders>
                    <w:tl2br w:val="nil"/>
                    <w:tr2bl w:val="nil"/>
                  </w:tcBorders>
                  <w:vAlign w:val="center"/>
                </w:tcPr>
                <w:p>
                  <w:pPr>
                    <w:widowControl/>
                    <w:jc w:val="center"/>
                    <w:textAlignment w:val="center"/>
                    <w:rPr>
                      <w:color w:val="auto"/>
                      <w:szCs w:val="21"/>
                    </w:rPr>
                  </w:pPr>
                  <w:r>
                    <w:rPr>
                      <w:color w:val="auto"/>
                      <w:kern w:val="0"/>
                      <w:szCs w:val="21"/>
                      <w:lang w:bidi="ar"/>
                    </w:rPr>
                    <w:t>SO</w:t>
                  </w:r>
                  <w:r>
                    <w:rPr>
                      <w:color w:val="auto"/>
                      <w:kern w:val="0"/>
                      <w:szCs w:val="21"/>
                      <w:vertAlign w:val="subscript"/>
                      <w:lang w:bidi="ar"/>
                    </w:rPr>
                    <w:t>2</w:t>
                  </w:r>
                </w:p>
              </w:tc>
              <w:tc>
                <w:tcPr>
                  <w:tcW w:w="482"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609" w:type="pct"/>
                  <w:tcBorders>
                    <w:tl2br w:val="nil"/>
                    <w:tr2bl w:val="nil"/>
                  </w:tcBorders>
                  <w:vAlign w:val="center"/>
                </w:tcPr>
                <w:p>
                  <w:pPr>
                    <w:adjustRightInd w:val="0"/>
                    <w:snapToGrid w:val="0"/>
                    <w:spacing w:line="216" w:lineRule="auto"/>
                    <w:jc w:val="center"/>
                    <w:rPr>
                      <w:color w:val="auto"/>
                      <w:szCs w:val="21"/>
                    </w:rPr>
                  </w:pPr>
                  <w:r>
                    <w:rPr>
                      <w:color w:val="auto"/>
                      <w:szCs w:val="21"/>
                    </w:rPr>
                    <w:t>/</w:t>
                  </w:r>
                </w:p>
              </w:tc>
              <w:tc>
                <w:tcPr>
                  <w:tcW w:w="708" w:type="dxa"/>
                  <w:tcBorders>
                    <w:tl2br w:val="nil"/>
                    <w:tr2bl w:val="nil"/>
                  </w:tcBorders>
                  <w:vAlign w:val="center"/>
                </w:tcPr>
                <w:p>
                  <w:pPr>
                    <w:widowControl/>
                    <w:jc w:val="center"/>
                    <w:textAlignment w:val="center"/>
                    <w:rPr>
                      <w:color w:val="auto"/>
                      <w:szCs w:val="21"/>
                    </w:rPr>
                  </w:pPr>
                  <w:r>
                    <w:rPr>
                      <w:color w:val="auto"/>
                      <w:kern w:val="0"/>
                      <w:szCs w:val="21"/>
                      <w:lang w:bidi="ar"/>
                    </w:rPr>
                    <w:t>0.005</w:t>
                  </w:r>
                </w:p>
              </w:tc>
              <w:tc>
                <w:tcPr>
                  <w:tcW w:w="872" w:type="dxa"/>
                  <w:tcBorders>
                    <w:tl2br w:val="nil"/>
                    <w:tr2bl w:val="nil"/>
                  </w:tcBorders>
                  <w:vAlign w:val="center"/>
                </w:tcPr>
                <w:p>
                  <w:pPr>
                    <w:widowControl/>
                    <w:jc w:val="center"/>
                    <w:textAlignment w:val="center"/>
                    <w:rPr>
                      <w:color w:val="auto"/>
                      <w:szCs w:val="21"/>
                    </w:rPr>
                  </w:pPr>
                  <w:r>
                    <w:rPr>
                      <w:color w:val="auto"/>
                      <w:kern w:val="0"/>
                      <w:szCs w:val="21"/>
                      <w:lang w:bidi="ar"/>
                    </w:rPr>
                    <w:t>0.011</w:t>
                  </w:r>
                </w:p>
              </w:tc>
              <w:tc>
                <w:tcPr>
                  <w:tcW w:w="525"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1153" w:type="dxa"/>
                  <w:tcBorders>
                    <w:tl2br w:val="nil"/>
                    <w:tr2bl w:val="nil"/>
                  </w:tcBorders>
                  <w:vAlign w:val="center"/>
                </w:tcPr>
                <w:p>
                  <w:pPr>
                    <w:widowControl/>
                    <w:jc w:val="center"/>
                    <w:textAlignment w:val="center"/>
                    <w:rPr>
                      <w:color w:val="auto"/>
                      <w:szCs w:val="21"/>
                    </w:rPr>
                  </w:pPr>
                  <w:r>
                    <w:rPr>
                      <w:color w:val="auto"/>
                      <w:kern w:val="0"/>
                      <w:szCs w:val="21"/>
                      <w:lang w:bidi="ar"/>
                    </w:rPr>
                    <w:t>0.005</w:t>
                  </w:r>
                </w:p>
              </w:tc>
              <w:tc>
                <w:tcPr>
                  <w:tcW w:w="931" w:type="dxa"/>
                  <w:tcBorders>
                    <w:tl2br w:val="nil"/>
                    <w:tr2bl w:val="nil"/>
                  </w:tcBorders>
                  <w:vAlign w:val="center"/>
                </w:tcPr>
                <w:p>
                  <w:pPr>
                    <w:widowControl/>
                    <w:jc w:val="center"/>
                    <w:textAlignment w:val="center"/>
                    <w:rPr>
                      <w:color w:val="auto"/>
                      <w:szCs w:val="21"/>
                    </w:rPr>
                  </w:pPr>
                  <w:r>
                    <w:rPr>
                      <w:color w:val="auto"/>
                      <w:kern w:val="0"/>
                      <w:szCs w:val="21"/>
                      <w:lang w:bidi="ar"/>
                    </w:rPr>
                    <w:t>0.011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44" w:type="pct"/>
                  <w:vMerge w:val="continue"/>
                  <w:tcBorders>
                    <w:tl2br w:val="nil"/>
                    <w:tr2bl w:val="nil"/>
                  </w:tcBorders>
                  <w:vAlign w:val="center"/>
                </w:tcPr>
                <w:p>
                  <w:pPr>
                    <w:widowControl/>
                    <w:adjustRightInd w:val="0"/>
                    <w:snapToGrid w:val="0"/>
                    <w:jc w:val="center"/>
                    <w:rPr>
                      <w:color w:val="auto"/>
                      <w:szCs w:val="21"/>
                    </w:rPr>
                  </w:pPr>
                </w:p>
              </w:tc>
              <w:tc>
                <w:tcPr>
                  <w:tcW w:w="693" w:type="pct"/>
                  <w:tcBorders>
                    <w:tl2br w:val="nil"/>
                    <w:tr2bl w:val="nil"/>
                  </w:tcBorders>
                  <w:vAlign w:val="center"/>
                </w:tcPr>
                <w:p>
                  <w:pPr>
                    <w:widowControl/>
                    <w:jc w:val="center"/>
                    <w:textAlignment w:val="center"/>
                    <w:rPr>
                      <w:color w:val="auto"/>
                      <w:szCs w:val="21"/>
                    </w:rPr>
                  </w:pPr>
                  <w:r>
                    <w:rPr>
                      <w:color w:val="auto"/>
                      <w:kern w:val="0"/>
                      <w:szCs w:val="21"/>
                      <w:lang w:bidi="ar"/>
                    </w:rPr>
                    <w:t>NO</w:t>
                  </w:r>
                  <w:r>
                    <w:rPr>
                      <w:color w:val="auto"/>
                      <w:kern w:val="0"/>
                      <w:szCs w:val="21"/>
                      <w:vertAlign w:val="subscript"/>
                      <w:lang w:bidi="ar"/>
                    </w:rPr>
                    <w:t>X</w:t>
                  </w:r>
                </w:p>
              </w:tc>
              <w:tc>
                <w:tcPr>
                  <w:tcW w:w="482"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609" w:type="pct"/>
                  <w:tcBorders>
                    <w:tl2br w:val="nil"/>
                    <w:tr2bl w:val="nil"/>
                  </w:tcBorders>
                  <w:vAlign w:val="center"/>
                </w:tcPr>
                <w:p>
                  <w:pPr>
                    <w:adjustRightInd w:val="0"/>
                    <w:snapToGrid w:val="0"/>
                    <w:spacing w:line="216" w:lineRule="auto"/>
                    <w:jc w:val="center"/>
                    <w:rPr>
                      <w:color w:val="auto"/>
                      <w:szCs w:val="21"/>
                    </w:rPr>
                  </w:pPr>
                  <w:r>
                    <w:rPr>
                      <w:color w:val="auto"/>
                      <w:szCs w:val="21"/>
                    </w:rPr>
                    <w:t>/</w:t>
                  </w:r>
                </w:p>
              </w:tc>
              <w:tc>
                <w:tcPr>
                  <w:tcW w:w="708" w:type="dxa"/>
                  <w:tcBorders>
                    <w:tl2br w:val="nil"/>
                    <w:tr2bl w:val="nil"/>
                  </w:tcBorders>
                  <w:vAlign w:val="center"/>
                </w:tcPr>
                <w:p>
                  <w:pPr>
                    <w:widowControl/>
                    <w:jc w:val="center"/>
                    <w:textAlignment w:val="center"/>
                    <w:rPr>
                      <w:color w:val="auto"/>
                      <w:szCs w:val="21"/>
                    </w:rPr>
                  </w:pPr>
                  <w:r>
                    <w:rPr>
                      <w:color w:val="auto"/>
                      <w:kern w:val="0"/>
                      <w:szCs w:val="21"/>
                      <w:lang w:bidi="ar"/>
                    </w:rPr>
                    <w:t>0.049</w:t>
                  </w:r>
                </w:p>
              </w:tc>
              <w:tc>
                <w:tcPr>
                  <w:tcW w:w="872" w:type="dxa"/>
                  <w:tcBorders>
                    <w:tl2br w:val="nil"/>
                    <w:tr2bl w:val="nil"/>
                  </w:tcBorders>
                  <w:vAlign w:val="center"/>
                </w:tcPr>
                <w:p>
                  <w:pPr>
                    <w:widowControl/>
                    <w:jc w:val="center"/>
                    <w:textAlignment w:val="center"/>
                    <w:rPr>
                      <w:color w:val="auto"/>
                      <w:szCs w:val="21"/>
                    </w:rPr>
                  </w:pPr>
                  <w:r>
                    <w:rPr>
                      <w:color w:val="auto"/>
                      <w:kern w:val="0"/>
                      <w:szCs w:val="21"/>
                      <w:lang w:bidi="ar"/>
                    </w:rPr>
                    <w:t>0.102</w:t>
                  </w:r>
                </w:p>
              </w:tc>
              <w:tc>
                <w:tcPr>
                  <w:tcW w:w="525"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1153" w:type="dxa"/>
                  <w:tcBorders>
                    <w:tl2br w:val="nil"/>
                    <w:tr2bl w:val="nil"/>
                  </w:tcBorders>
                  <w:vAlign w:val="center"/>
                </w:tcPr>
                <w:p>
                  <w:pPr>
                    <w:widowControl/>
                    <w:jc w:val="center"/>
                    <w:textAlignment w:val="center"/>
                    <w:rPr>
                      <w:color w:val="auto"/>
                      <w:szCs w:val="21"/>
                    </w:rPr>
                  </w:pPr>
                  <w:r>
                    <w:rPr>
                      <w:color w:val="auto"/>
                      <w:kern w:val="0"/>
                      <w:szCs w:val="21"/>
                      <w:lang w:bidi="ar"/>
                    </w:rPr>
                    <w:t>0.049</w:t>
                  </w:r>
                </w:p>
              </w:tc>
              <w:tc>
                <w:tcPr>
                  <w:tcW w:w="931" w:type="dxa"/>
                  <w:tcBorders>
                    <w:tl2br w:val="nil"/>
                    <w:tr2bl w:val="nil"/>
                  </w:tcBorders>
                  <w:vAlign w:val="center"/>
                </w:tcPr>
                <w:p>
                  <w:pPr>
                    <w:widowControl/>
                    <w:jc w:val="center"/>
                    <w:textAlignment w:val="center"/>
                    <w:rPr>
                      <w:color w:val="auto"/>
                      <w:szCs w:val="21"/>
                    </w:rPr>
                  </w:pPr>
                  <w:r>
                    <w:rPr>
                      <w:color w:val="auto"/>
                      <w:kern w:val="0"/>
                      <w:szCs w:val="21"/>
                      <w:lang w:bidi="ar"/>
                    </w:rPr>
                    <w:t>0.102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44" w:type="pct"/>
                  <w:vMerge w:val="continue"/>
                  <w:tcBorders>
                    <w:tl2br w:val="nil"/>
                    <w:tr2bl w:val="nil"/>
                  </w:tcBorders>
                  <w:vAlign w:val="center"/>
                </w:tcPr>
                <w:p>
                  <w:pPr>
                    <w:widowControl/>
                    <w:adjustRightInd w:val="0"/>
                    <w:snapToGrid w:val="0"/>
                    <w:jc w:val="center"/>
                    <w:rPr>
                      <w:color w:val="auto"/>
                      <w:szCs w:val="21"/>
                    </w:rPr>
                  </w:pPr>
                </w:p>
              </w:tc>
              <w:tc>
                <w:tcPr>
                  <w:tcW w:w="693" w:type="pct"/>
                  <w:tcBorders>
                    <w:tl2br w:val="nil"/>
                    <w:tr2bl w:val="nil"/>
                  </w:tcBorders>
                  <w:vAlign w:val="center"/>
                </w:tcPr>
                <w:p>
                  <w:pPr>
                    <w:widowControl/>
                    <w:jc w:val="center"/>
                    <w:textAlignment w:val="center"/>
                    <w:rPr>
                      <w:color w:val="auto"/>
                      <w:szCs w:val="21"/>
                    </w:rPr>
                  </w:pPr>
                  <w:r>
                    <w:rPr>
                      <w:rFonts w:hint="eastAsia"/>
                      <w:color w:val="auto"/>
                      <w:szCs w:val="21"/>
                    </w:rPr>
                    <w:t>颗粒物</w:t>
                  </w:r>
                </w:p>
              </w:tc>
              <w:tc>
                <w:tcPr>
                  <w:tcW w:w="482"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609" w:type="pct"/>
                  <w:tcBorders>
                    <w:tl2br w:val="nil"/>
                    <w:tr2bl w:val="nil"/>
                  </w:tcBorders>
                  <w:vAlign w:val="center"/>
                </w:tcPr>
                <w:p>
                  <w:pPr>
                    <w:adjustRightInd w:val="0"/>
                    <w:snapToGrid w:val="0"/>
                    <w:spacing w:line="216" w:lineRule="auto"/>
                    <w:jc w:val="center"/>
                    <w:rPr>
                      <w:color w:val="auto"/>
                      <w:szCs w:val="21"/>
                    </w:rPr>
                  </w:pPr>
                  <w:r>
                    <w:rPr>
                      <w:color w:val="auto"/>
                      <w:szCs w:val="21"/>
                    </w:rPr>
                    <w:t>/</w:t>
                  </w:r>
                </w:p>
              </w:tc>
              <w:tc>
                <w:tcPr>
                  <w:tcW w:w="708" w:type="dxa"/>
                  <w:tcBorders>
                    <w:tl2br w:val="nil"/>
                    <w:tr2bl w:val="nil"/>
                  </w:tcBorders>
                  <w:vAlign w:val="center"/>
                </w:tcPr>
                <w:p>
                  <w:pPr>
                    <w:widowControl/>
                    <w:jc w:val="center"/>
                    <w:textAlignment w:val="center"/>
                    <w:rPr>
                      <w:color w:val="auto"/>
                      <w:szCs w:val="21"/>
                    </w:rPr>
                  </w:pPr>
                  <w:r>
                    <w:rPr>
                      <w:color w:val="auto"/>
                      <w:kern w:val="0"/>
                      <w:szCs w:val="21"/>
                      <w:lang w:bidi="ar"/>
                    </w:rPr>
                    <w:t>0.007</w:t>
                  </w:r>
                </w:p>
              </w:tc>
              <w:tc>
                <w:tcPr>
                  <w:tcW w:w="872" w:type="dxa"/>
                  <w:tcBorders>
                    <w:tl2br w:val="nil"/>
                    <w:tr2bl w:val="nil"/>
                  </w:tcBorders>
                  <w:vAlign w:val="center"/>
                </w:tcPr>
                <w:p>
                  <w:pPr>
                    <w:widowControl/>
                    <w:jc w:val="center"/>
                    <w:textAlignment w:val="center"/>
                    <w:rPr>
                      <w:color w:val="auto"/>
                      <w:szCs w:val="21"/>
                    </w:rPr>
                  </w:pPr>
                  <w:r>
                    <w:rPr>
                      <w:color w:val="auto"/>
                      <w:kern w:val="0"/>
                      <w:szCs w:val="21"/>
                      <w:lang w:bidi="ar"/>
                    </w:rPr>
                    <w:t>0.016</w:t>
                  </w:r>
                </w:p>
              </w:tc>
              <w:tc>
                <w:tcPr>
                  <w:tcW w:w="525" w:type="pct"/>
                  <w:tcBorders>
                    <w:tl2br w:val="nil"/>
                    <w:tr2bl w:val="nil"/>
                  </w:tcBorders>
                  <w:vAlign w:val="center"/>
                </w:tcPr>
                <w:p>
                  <w:pPr>
                    <w:widowControl/>
                    <w:adjustRightInd w:val="0"/>
                    <w:snapToGrid w:val="0"/>
                    <w:spacing w:line="216" w:lineRule="auto"/>
                    <w:jc w:val="center"/>
                    <w:rPr>
                      <w:color w:val="auto"/>
                      <w:szCs w:val="21"/>
                    </w:rPr>
                  </w:pPr>
                  <w:r>
                    <w:rPr>
                      <w:color w:val="auto"/>
                      <w:szCs w:val="21"/>
                    </w:rPr>
                    <w:t>/</w:t>
                  </w:r>
                </w:p>
              </w:tc>
              <w:tc>
                <w:tcPr>
                  <w:tcW w:w="1153" w:type="dxa"/>
                  <w:tcBorders>
                    <w:tl2br w:val="nil"/>
                    <w:tr2bl w:val="nil"/>
                  </w:tcBorders>
                  <w:vAlign w:val="center"/>
                </w:tcPr>
                <w:p>
                  <w:pPr>
                    <w:widowControl/>
                    <w:jc w:val="center"/>
                    <w:textAlignment w:val="center"/>
                    <w:rPr>
                      <w:color w:val="auto"/>
                      <w:szCs w:val="21"/>
                    </w:rPr>
                  </w:pPr>
                  <w:r>
                    <w:rPr>
                      <w:color w:val="auto"/>
                      <w:kern w:val="0"/>
                      <w:szCs w:val="21"/>
                      <w:lang w:bidi="ar"/>
                    </w:rPr>
                    <w:t>0.007</w:t>
                  </w:r>
                </w:p>
              </w:tc>
              <w:tc>
                <w:tcPr>
                  <w:tcW w:w="931" w:type="dxa"/>
                  <w:tcBorders>
                    <w:tl2br w:val="nil"/>
                    <w:tr2bl w:val="nil"/>
                  </w:tcBorders>
                  <w:vAlign w:val="center"/>
                </w:tcPr>
                <w:p>
                  <w:pPr>
                    <w:widowControl/>
                    <w:jc w:val="center"/>
                    <w:textAlignment w:val="center"/>
                    <w:rPr>
                      <w:color w:val="auto"/>
                      <w:szCs w:val="21"/>
                    </w:rPr>
                  </w:pPr>
                  <w:r>
                    <w:rPr>
                      <w:color w:val="auto"/>
                      <w:kern w:val="0"/>
                      <w:szCs w:val="21"/>
                      <w:lang w:bidi="ar"/>
                    </w:rPr>
                    <w:t>0.016</w:t>
                  </w:r>
                </w:p>
              </w:tc>
            </w:tr>
          </w:tbl>
          <w:p>
            <w:pPr>
              <w:pStyle w:val="2"/>
              <w:ind w:firstLine="480" w:firstLineChars="200"/>
              <w:rPr>
                <w:rFonts w:ascii="Times New Roman" w:cs="Times New Roman"/>
                <w:color w:val="auto"/>
              </w:rPr>
            </w:pPr>
            <w:r>
              <w:rPr>
                <w:rFonts w:ascii="Times New Roman" w:cs="Times New Roman"/>
                <w:color w:val="auto"/>
              </w:rPr>
              <w:t>（2）治理措施可行性</w:t>
            </w:r>
          </w:p>
          <w:p>
            <w:pPr>
              <w:pStyle w:val="2"/>
              <w:ind w:firstLine="480" w:firstLineChars="200"/>
              <w:rPr>
                <w:rFonts w:ascii="Times New Roman" w:cs="Times New Roman"/>
                <w:color w:val="auto"/>
              </w:rPr>
            </w:pPr>
            <w:r>
              <w:rPr>
                <w:rFonts w:ascii="Times New Roman" w:cs="Times New Roman"/>
                <w:color w:val="auto"/>
              </w:rPr>
              <w:t>①</w:t>
            </w:r>
            <w:r>
              <w:rPr>
                <w:rFonts w:hint="eastAsia" w:ascii="Times New Roman" w:cs="Times New Roman"/>
                <w:color w:val="auto"/>
              </w:rPr>
              <w:t>涂胶、烘干废气</w:t>
            </w:r>
            <w:r>
              <w:rPr>
                <w:rFonts w:ascii="Times New Roman" w:cs="Times New Roman"/>
                <w:color w:val="auto"/>
              </w:rPr>
              <w:t>：</w:t>
            </w:r>
            <w:r>
              <w:rPr>
                <w:rFonts w:hint="eastAsia" w:ascii="Times New Roman" w:cs="Times New Roman"/>
                <w:color w:val="auto"/>
              </w:rPr>
              <w:t>涂胶、烘干工序产生的非甲烷总烃采用</w:t>
            </w:r>
            <w:r>
              <w:rPr>
                <w:rFonts w:ascii="Times New Roman" w:cs="Times New Roman"/>
                <w:color w:val="auto"/>
              </w:rPr>
              <w:t>“</w:t>
            </w:r>
            <w:r>
              <w:rPr>
                <w:rFonts w:hint="eastAsia" w:ascii="Times New Roman" w:cs="Times New Roman"/>
                <w:color w:val="auto"/>
                <w:lang w:val="en-US" w:eastAsia="zh-CN"/>
              </w:rPr>
              <w:t>UV光解+</w:t>
            </w:r>
            <w:r>
              <w:rPr>
                <w:rFonts w:hint="eastAsia" w:ascii="Times New Roman" w:cs="Times New Roman"/>
                <w:color w:val="auto"/>
              </w:rPr>
              <w:t>二级活性炭吸附”处理后</w:t>
            </w:r>
            <w:r>
              <w:rPr>
                <w:rFonts w:ascii="Times New Roman" w:cs="Times New Roman"/>
                <w:color w:val="auto"/>
              </w:rPr>
              <w:t>引至15m高的</w:t>
            </w:r>
            <w:r>
              <w:rPr>
                <w:rFonts w:hint="eastAsia" w:ascii="Times New Roman" w:cs="Times New Roman"/>
                <w:color w:val="auto"/>
              </w:rPr>
              <w:t>3</w:t>
            </w:r>
            <w:r>
              <w:rPr>
                <w:rFonts w:ascii="Times New Roman" w:cs="Times New Roman"/>
                <w:color w:val="auto"/>
              </w:rPr>
              <w:t>#排气筒排放，其工艺流程见图4.1。</w:t>
            </w:r>
          </w:p>
          <w:p>
            <w:pPr>
              <w:pStyle w:val="2"/>
              <w:jc w:val="center"/>
              <w:rPr>
                <w:rFonts w:ascii="Times New Roman" w:cs="Times New Roman"/>
                <w:color w:val="auto"/>
              </w:rPr>
            </w:pPr>
            <w:r>
              <w:rPr>
                <w:rFonts w:ascii="Times New Roman" w:cs="Times New Roman"/>
                <w:color w:val="auto"/>
              </w:rPr>
              <w:object>
                <v:shape id="_x0000_i1029" o:spt="75" type="#_x0000_t75" style="height:27pt;width:285pt;" o:ole="t" filled="f" o:preferrelative="t" stroked="f" coordsize="21600,21600">
                  <v:path/>
                  <v:fill on="f" focussize="0,0"/>
                  <v:stroke on="f"/>
                  <v:imagedata r:id="rId17" o:title=""/>
                  <o:lock v:ext="edit" aspectratio="f"/>
                  <w10:wrap type="none"/>
                  <w10:anchorlock/>
                </v:shape>
                <o:OLEObject Type="Embed" ProgID="Visio.Drawing.11" ShapeID="_x0000_i1029" DrawAspect="Content" ObjectID="_1468075729" r:id="rId16">
                  <o:LockedField>false</o:LockedField>
                </o:OLEObject>
              </w:object>
            </w:r>
          </w:p>
          <w:p>
            <w:pPr>
              <w:pStyle w:val="2"/>
              <w:jc w:val="center"/>
              <w:rPr>
                <w:rFonts w:ascii="Times New Roman" w:hAnsi="Times New Roman" w:cs="Times New Roman"/>
                <w:color w:val="auto"/>
              </w:rPr>
            </w:pPr>
            <w:r>
              <w:rPr>
                <w:rFonts w:ascii="Times New Roman" w:hAnsi="Times New Roman" w:cs="Times New Roman"/>
                <w:color w:val="auto"/>
              </w:rPr>
              <w:t>图4.1 涂胶、烘干废气治理工艺流程</w:t>
            </w:r>
          </w:p>
          <w:p>
            <w:pPr>
              <w:widowControl/>
              <w:adjustRightInd w:val="0"/>
              <w:snapToGrid w:val="0"/>
              <w:spacing w:line="360" w:lineRule="auto"/>
              <w:ind w:firstLine="480" w:firstLineChars="200"/>
              <w:jc w:val="left"/>
              <w:rPr>
                <w:color w:val="auto"/>
                <w:sz w:val="24"/>
              </w:rPr>
            </w:pPr>
            <w:r>
              <w:rPr>
                <w:color w:val="auto"/>
                <w:sz w:val="24"/>
              </w:rPr>
              <w:t>参照《排污许可证申请与核发技术规范—纺织印染工业》（HJ861-2017）中表B.1废气治理可行技术参照表：涂层设施</w:t>
            </w:r>
            <w:r>
              <w:rPr>
                <w:rFonts w:hint="eastAsia"/>
                <w:color w:val="auto"/>
                <w:kern w:val="0"/>
                <w:sz w:val="24"/>
                <w:lang w:bidi="ar"/>
              </w:rPr>
              <w:t>—</w:t>
            </w:r>
            <w:r>
              <w:rPr>
                <w:color w:val="auto"/>
                <w:kern w:val="0"/>
                <w:sz w:val="24"/>
                <w:lang w:bidi="ar"/>
              </w:rPr>
              <w:t>非甲烷总烃</w:t>
            </w:r>
            <w:r>
              <w:rPr>
                <w:color w:val="auto"/>
                <w:sz w:val="24"/>
              </w:rPr>
              <w:t>的可行治理技术包括“</w:t>
            </w:r>
            <w:r>
              <w:rPr>
                <w:color w:val="auto"/>
                <w:kern w:val="0"/>
                <w:sz w:val="24"/>
                <w:lang w:bidi="ar"/>
              </w:rPr>
              <w:t>喷淋洗涤、</w:t>
            </w:r>
            <w:r>
              <w:rPr>
                <w:b/>
                <w:bCs/>
                <w:color w:val="auto"/>
                <w:kern w:val="0"/>
                <w:sz w:val="24"/>
                <w:lang w:bidi="ar"/>
              </w:rPr>
              <w:t>吸附</w:t>
            </w:r>
            <w:r>
              <w:rPr>
                <w:color w:val="auto"/>
                <w:kern w:val="0"/>
                <w:sz w:val="24"/>
                <w:lang w:bidi="ar"/>
              </w:rPr>
              <w:t>、吸附-冷凝回收、吸附-催化燃烧、蓄热式燃烧、蓄热式催化燃烧</w:t>
            </w:r>
            <w:r>
              <w:rPr>
                <w:color w:val="auto"/>
                <w:sz w:val="24"/>
              </w:rPr>
              <w:t>，因此本评价提出的废气治理措施属于可行性技术。</w:t>
            </w:r>
          </w:p>
          <w:p>
            <w:pPr>
              <w:pStyle w:val="2"/>
              <w:ind w:firstLine="480" w:firstLineChars="200"/>
              <w:rPr>
                <w:rFonts w:ascii="Times New Roman" w:cs="Times New Roman"/>
                <w:color w:val="auto"/>
              </w:rPr>
            </w:pPr>
            <w:r>
              <w:rPr>
                <w:rFonts w:hint="eastAsia"/>
                <w:color w:val="auto"/>
              </w:rPr>
              <w:t>②淋膜、冷却废气：淋膜、冷却</w:t>
            </w:r>
            <w:r>
              <w:rPr>
                <w:rFonts w:hint="eastAsia" w:ascii="Times New Roman" w:cs="Times New Roman"/>
                <w:color w:val="auto"/>
              </w:rPr>
              <w:t>工序产生的非甲烷总烃采用</w:t>
            </w:r>
            <w:r>
              <w:rPr>
                <w:rFonts w:ascii="Times New Roman" w:cs="Times New Roman"/>
                <w:color w:val="auto"/>
              </w:rPr>
              <w:t>“</w:t>
            </w:r>
            <w:r>
              <w:rPr>
                <w:rFonts w:hint="eastAsia" w:ascii="Times New Roman" w:cs="Times New Roman"/>
                <w:color w:val="auto"/>
                <w:lang w:val="en-US" w:eastAsia="zh-CN"/>
              </w:rPr>
              <w:t>UV光解+二级</w:t>
            </w:r>
            <w:r>
              <w:rPr>
                <w:rFonts w:hint="eastAsia" w:ascii="Times New Roman" w:cs="Times New Roman"/>
                <w:color w:val="auto"/>
              </w:rPr>
              <w:t>活性炭吸附”处理后</w:t>
            </w:r>
            <w:r>
              <w:rPr>
                <w:rFonts w:ascii="Times New Roman" w:cs="Times New Roman"/>
                <w:color w:val="auto"/>
              </w:rPr>
              <w:t>引至15m高的</w:t>
            </w:r>
            <w:r>
              <w:rPr>
                <w:rFonts w:hint="eastAsia" w:ascii="Times New Roman" w:cs="Times New Roman"/>
                <w:color w:val="auto"/>
              </w:rPr>
              <w:t>4</w:t>
            </w:r>
            <w:r>
              <w:rPr>
                <w:rFonts w:ascii="Times New Roman" w:cs="Times New Roman"/>
                <w:color w:val="auto"/>
              </w:rPr>
              <w:t>#排气筒排放，其工艺流程见图4.</w:t>
            </w:r>
            <w:r>
              <w:rPr>
                <w:rFonts w:hint="eastAsia" w:ascii="Times New Roman" w:cs="Times New Roman"/>
                <w:color w:val="auto"/>
              </w:rPr>
              <w:t>2</w:t>
            </w:r>
            <w:r>
              <w:rPr>
                <w:rFonts w:ascii="Times New Roman" w:cs="Times New Roman"/>
                <w:color w:val="auto"/>
              </w:rPr>
              <w:t>。</w:t>
            </w:r>
          </w:p>
          <w:p>
            <w:pPr>
              <w:pStyle w:val="2"/>
              <w:jc w:val="center"/>
              <w:rPr>
                <w:rFonts w:ascii="Times New Roman" w:cs="Times New Roman"/>
                <w:color w:val="auto"/>
              </w:rPr>
            </w:pPr>
            <w:r>
              <w:rPr>
                <w:rFonts w:ascii="Times New Roman" w:cs="Times New Roman"/>
                <w:color w:val="auto"/>
              </w:rPr>
              <w:object>
                <v:shape id="_x0000_i1030" o:spt="75" type="#_x0000_t75" style="height:27pt;width:285pt;" o:ole="t" filled="f" o:preferrelative="t" stroked="f" coordsize="21600,21600">
                  <v:path/>
                  <v:fill on="f" focussize="0,0"/>
                  <v:stroke on="f"/>
                  <v:imagedata r:id="rId17" o:title=""/>
                  <o:lock v:ext="edit" aspectratio="f"/>
                  <w10:wrap type="none"/>
                  <w10:anchorlock/>
                </v:shape>
                <o:OLEObject Type="Embed" ProgID="Visio.Drawing.11" ShapeID="_x0000_i1030" DrawAspect="Content" ObjectID="_1468075730" r:id="rId18">
                  <o:LockedField>false</o:LockedField>
                </o:OLEObject>
              </w:object>
            </w:r>
          </w:p>
          <w:p>
            <w:pPr>
              <w:pStyle w:val="2"/>
              <w:jc w:val="center"/>
              <w:rPr>
                <w:rFonts w:ascii="Times New Roman" w:cs="Times New Roman"/>
                <w:color w:val="auto"/>
              </w:rPr>
            </w:pPr>
            <w:r>
              <w:rPr>
                <w:rFonts w:hint="eastAsia" w:ascii="Times New Roman" w:cs="Times New Roman"/>
                <w:color w:val="auto"/>
              </w:rPr>
              <w:t xml:space="preserve">图4.2 </w:t>
            </w:r>
            <w:r>
              <w:rPr>
                <w:rFonts w:hint="eastAsia"/>
                <w:color w:val="auto"/>
              </w:rPr>
              <w:t>淋膜、冷却</w:t>
            </w:r>
            <w:r>
              <w:rPr>
                <w:rFonts w:hint="eastAsia" w:ascii="Times New Roman" w:cs="Times New Roman"/>
                <w:color w:val="auto"/>
              </w:rPr>
              <w:t>废气治理工艺流程</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outlineLvl w:val="9"/>
              <w:rPr>
                <w:color w:val="auto"/>
                <w:sz w:val="24"/>
              </w:rPr>
            </w:pPr>
            <w:r>
              <w:rPr>
                <w:rFonts w:hint="eastAsia"/>
                <w:color w:val="auto"/>
                <w:sz w:val="24"/>
              </w:rPr>
              <w:t>参照</w:t>
            </w:r>
            <w:r>
              <w:rPr>
                <w:color w:val="auto"/>
                <w:sz w:val="24"/>
              </w:rPr>
              <w:t>《排污许可证申请与核发技术规范</w:t>
            </w:r>
            <w:r>
              <w:rPr>
                <w:rFonts w:hint="eastAsia"/>
                <w:color w:val="auto"/>
                <w:sz w:val="24"/>
              </w:rPr>
              <w:t>—橡胶和塑料制品工业</w:t>
            </w:r>
            <w:r>
              <w:rPr>
                <w:color w:val="auto"/>
                <w:sz w:val="24"/>
              </w:rPr>
              <w:t>》（HJ1122-2020）中表A.2废气治理可行技术参照表</w:t>
            </w:r>
            <w:r>
              <w:rPr>
                <w:rFonts w:hint="eastAsia"/>
                <w:color w:val="auto"/>
                <w:sz w:val="24"/>
              </w:rPr>
              <w:t>：</w:t>
            </w:r>
            <w:r>
              <w:rPr>
                <w:color w:val="auto"/>
                <w:kern w:val="0"/>
                <w:sz w:val="24"/>
                <w:lang w:bidi="ar"/>
              </w:rPr>
              <w:t>塑料薄膜制造，塑料板、管、型材制造，塑料丝、绳及编制品制造，泡沫塑料制造，塑料包装箱及容器制造，日用塑料制品制造，人造草坪制造，塑料零件及其他塑料制品制造废气—非甲烷总烃</w:t>
            </w:r>
            <w:r>
              <w:rPr>
                <w:color w:val="auto"/>
                <w:sz w:val="24"/>
              </w:rPr>
              <w:t>的可行治理技术包括“</w:t>
            </w:r>
            <w:r>
              <w:rPr>
                <w:color w:val="auto"/>
                <w:kern w:val="0"/>
                <w:sz w:val="24"/>
                <w:lang w:bidi="ar"/>
              </w:rPr>
              <w:t>喷淋；</w:t>
            </w:r>
            <w:r>
              <w:rPr>
                <w:b/>
                <w:bCs/>
                <w:color w:val="auto"/>
                <w:kern w:val="0"/>
                <w:sz w:val="24"/>
                <w:lang w:bidi="ar"/>
              </w:rPr>
              <w:t>吸附</w:t>
            </w:r>
            <w:r>
              <w:rPr>
                <w:color w:val="auto"/>
                <w:kern w:val="0"/>
                <w:sz w:val="24"/>
                <w:lang w:bidi="ar"/>
              </w:rPr>
              <w:t>；吸附浓缩+热力燃烧/催化燃烧</w:t>
            </w:r>
            <w:r>
              <w:rPr>
                <w:color w:val="auto"/>
                <w:sz w:val="24"/>
              </w:rPr>
              <w:t>”，因此本评价提出的废气治理措施属于可行性技术。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eastAsia="zh-CN"/>
              </w:rPr>
              <w:t>根据《重庆市生态环境委员会办公室关于印发2023年重庆市夏秋季臭氧污染防治攻坚工作方案》的函》中附件2的相关要求，本项目设置的集气罩</w:t>
            </w:r>
            <w:r>
              <w:rPr>
                <w:rFonts w:hint="default" w:ascii="Times New Roman" w:hAnsi="Times New Roman" w:eastAsia="宋体" w:cs="Times New Roman"/>
                <w:color w:val="auto"/>
                <w:kern w:val="2"/>
                <w:sz w:val="24"/>
                <w:szCs w:val="24"/>
                <w:lang w:val="en-US" w:eastAsia="zh-CN" w:bidi="ar-SA"/>
              </w:rPr>
              <w:t>开口面最远处的VOCs无组织排放位置，控制风速不低于</w:t>
            </w:r>
            <w:r>
              <w:rPr>
                <w:rFonts w:hint="default" w:ascii="Times New Roman" w:hAnsi="Times New Roman" w:eastAsia="宋体" w:cs="Times New Roman"/>
                <w:color w:val="auto"/>
                <w:kern w:val="2"/>
                <w:sz w:val="24"/>
                <w:szCs w:val="24"/>
                <w:u w:val="none"/>
                <w:lang w:val="en-US" w:eastAsia="zh-CN" w:bidi="ar-SA"/>
              </w:rPr>
              <w:t>0.3m/s；活性炭应装填齐整，避免气流短路。采用颗粒活性炭时，气体流速宜低于0.60m/s；采用活性炭纤维时，气体流速宜低于0.15m/s；采用蜂窝活性炭时，气体流速宜低于1.20m/s。</w:t>
            </w:r>
            <w:r>
              <w:rPr>
                <w:rFonts w:hint="default" w:ascii="Times New Roman" w:hAnsi="Times New Roman" w:eastAsia="宋体" w:cs="Times New Roman"/>
                <w:color w:val="auto"/>
                <w:kern w:val="2"/>
                <w:sz w:val="24"/>
                <w:szCs w:val="24"/>
                <w:lang w:val="en-US" w:eastAsia="zh-CN" w:bidi="ar-SA"/>
              </w:rPr>
              <w:t>颗粒活性炭碘吸附值≥800mg/g；蜂窝活性炭碘吸附值≥650mg/g；活性炭纤维比表面积应不低于1100m</w:t>
            </w:r>
            <w:r>
              <w:rPr>
                <w:rFonts w:hint="default" w:ascii="Times New Roman" w:hAnsi="Times New Roman" w:eastAsia="宋体" w:cs="Times New Roman"/>
                <w:color w:val="auto"/>
                <w:kern w:val="2"/>
                <w:sz w:val="24"/>
                <w:szCs w:val="24"/>
                <w:vertAlign w:val="superscript"/>
                <w:lang w:val="en-US" w:eastAsia="zh-CN" w:bidi="ar-SA"/>
              </w:rPr>
              <w:t>2</w:t>
            </w:r>
            <w:r>
              <w:rPr>
                <w:rFonts w:hint="default" w:ascii="Times New Roman" w:hAnsi="Times New Roman" w:eastAsia="宋体" w:cs="Times New Roman"/>
                <w:color w:val="auto"/>
                <w:kern w:val="2"/>
                <w:sz w:val="24"/>
                <w:szCs w:val="24"/>
                <w:lang w:val="en-US" w:eastAsia="zh-CN" w:bidi="ar-SA"/>
              </w:rPr>
              <w:t>/g，活性炭更换周期宜不超过累计运行500小时或3个月，年活性炭使用量宜不应低于VOCs产生量的5倍</w:t>
            </w:r>
            <w:r>
              <w:rPr>
                <w:rFonts w:hint="eastAsia" w:ascii="Times New Roman" w:hAnsi="Times New Roman" w:eastAsia="宋体" w:cs="Times New Roman"/>
                <w:color w:val="auto"/>
                <w:kern w:val="2"/>
                <w:sz w:val="24"/>
                <w:szCs w:val="24"/>
                <w:lang w:val="en-US" w:eastAsia="zh-CN" w:bidi="ar-SA"/>
              </w:rPr>
              <w:t>。</w:t>
            </w:r>
          </w:p>
          <w:p>
            <w:pPr>
              <w:pStyle w:val="2"/>
              <w:keepNext w:val="0"/>
              <w:keepLines w:val="0"/>
              <w:pageBreakBefore w:val="0"/>
              <w:kinsoku/>
              <w:wordWrap/>
              <w:overflowPunct/>
              <w:topLinePunct w:val="0"/>
              <w:bidi w:val="0"/>
              <w:adjustRightInd w:val="0"/>
              <w:snapToGrid w:val="0"/>
              <w:spacing w:line="360" w:lineRule="auto"/>
              <w:ind w:firstLine="480" w:firstLineChars="200"/>
              <w:jc w:val="both"/>
              <w:textAlignment w:val="auto"/>
              <w:outlineLvl w:val="9"/>
              <w:rPr>
                <w:rFonts w:ascii="Times New Roman" w:cs="Times New Roman"/>
                <w:color w:val="auto"/>
              </w:rPr>
            </w:pPr>
            <w:r>
              <w:rPr>
                <w:rFonts w:ascii="Times New Roman" w:cs="Times New Roman"/>
                <w:color w:val="auto"/>
              </w:rPr>
              <w:t>（3）废气监测要求</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outlineLvl w:val="9"/>
              <w:rPr>
                <w:rFonts w:hint="eastAsia" w:eastAsia="宋体"/>
                <w:color w:val="auto"/>
                <w:sz w:val="24"/>
                <w:lang w:eastAsia="zh-CN"/>
              </w:rPr>
            </w:pPr>
            <w:r>
              <w:rPr>
                <w:color w:val="auto"/>
                <w:sz w:val="24"/>
              </w:rPr>
              <w:t>根据《排污单位自行监测</w:t>
            </w:r>
            <w:r>
              <w:rPr>
                <w:color w:val="auto"/>
                <w:sz w:val="24"/>
                <w:highlight w:val="none"/>
              </w:rPr>
              <w:t>技术指南—</w:t>
            </w:r>
            <w:r>
              <w:rPr>
                <w:rFonts w:hint="eastAsia"/>
                <w:color w:val="auto"/>
                <w:sz w:val="24"/>
                <w:highlight w:val="none"/>
              </w:rPr>
              <w:t>总则</w:t>
            </w:r>
            <w:r>
              <w:rPr>
                <w:color w:val="auto"/>
                <w:sz w:val="24"/>
              </w:rPr>
              <w:t>》(HJ</w:t>
            </w:r>
            <w:r>
              <w:rPr>
                <w:rFonts w:hint="eastAsia"/>
                <w:color w:val="auto"/>
                <w:sz w:val="24"/>
              </w:rPr>
              <w:t>819</w:t>
            </w:r>
            <w:r>
              <w:rPr>
                <w:color w:val="auto"/>
                <w:sz w:val="24"/>
              </w:rPr>
              <w:t>-20</w:t>
            </w:r>
            <w:r>
              <w:rPr>
                <w:rFonts w:hint="eastAsia"/>
                <w:color w:val="auto"/>
                <w:sz w:val="24"/>
              </w:rPr>
              <w:t>17</w:t>
            </w:r>
            <w:r>
              <w:rPr>
                <w:color w:val="auto"/>
                <w:sz w:val="24"/>
              </w:rPr>
              <w:t>)</w:t>
            </w:r>
            <w:r>
              <w:rPr>
                <w:rFonts w:hint="eastAsia"/>
                <w:color w:val="auto"/>
                <w:sz w:val="24"/>
              </w:rPr>
              <w:t>，结合</w:t>
            </w:r>
            <w:r>
              <w:rPr>
                <w:color w:val="auto"/>
                <w:sz w:val="24"/>
              </w:rPr>
              <w:t>《排污许可证申请与核发技术规范—</w:t>
            </w:r>
            <w:r>
              <w:rPr>
                <w:rFonts w:hint="eastAsia"/>
                <w:color w:val="auto"/>
                <w:sz w:val="24"/>
              </w:rPr>
              <w:t>汽车制造业</w:t>
            </w:r>
            <w:r>
              <w:rPr>
                <w:color w:val="auto"/>
                <w:sz w:val="24"/>
              </w:rPr>
              <w:t>》（HJ861-2017）</w:t>
            </w:r>
            <w:r>
              <w:rPr>
                <w:rFonts w:hint="eastAsia"/>
                <w:color w:val="auto"/>
                <w:sz w:val="24"/>
              </w:rPr>
              <w:t>，</w:t>
            </w:r>
            <w:r>
              <w:rPr>
                <w:color w:val="auto"/>
                <w:sz w:val="24"/>
              </w:rPr>
              <w:t>提出如下废气</w:t>
            </w:r>
            <w:r>
              <w:rPr>
                <w:rFonts w:hint="eastAsia"/>
                <w:color w:val="auto"/>
                <w:sz w:val="24"/>
              </w:rPr>
              <w:t>例行</w:t>
            </w:r>
            <w:r>
              <w:rPr>
                <w:color w:val="auto"/>
                <w:sz w:val="24"/>
              </w:rPr>
              <w:t>监测要求，详见表4.</w:t>
            </w:r>
            <w:r>
              <w:rPr>
                <w:rFonts w:hint="eastAsia"/>
                <w:color w:val="auto"/>
                <w:sz w:val="24"/>
              </w:rPr>
              <w:t>6</w:t>
            </w:r>
            <w:r>
              <w:rPr>
                <w:color w:val="auto"/>
                <w:sz w:val="24"/>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6</w:t>
            </w:r>
            <w:r>
              <w:rPr>
                <w:color w:val="auto"/>
                <w:sz w:val="21"/>
                <w:szCs w:val="21"/>
              </w:rPr>
              <w:t xml:space="preserve"> 废气</w:t>
            </w:r>
            <w:r>
              <w:rPr>
                <w:rFonts w:hint="eastAsia"/>
                <w:color w:val="auto"/>
                <w:sz w:val="21"/>
                <w:szCs w:val="21"/>
              </w:rPr>
              <w:t>例行</w:t>
            </w:r>
            <w:r>
              <w:rPr>
                <w:color w:val="auto"/>
                <w:sz w:val="21"/>
                <w:szCs w:val="21"/>
              </w:rPr>
              <w:t>监测要求一览表</w:t>
            </w:r>
          </w:p>
          <w:tbl>
            <w:tblPr>
              <w:tblStyle w:val="22"/>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51"/>
              <w:gridCol w:w="1354"/>
              <w:gridCol w:w="2476"/>
              <w:gridCol w:w="1129"/>
              <w:gridCol w:w="184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8" w:type="pct"/>
                  <w:tcBorders>
                    <w:top w:val="single" w:color="auto" w:sz="6" w:space="0"/>
                    <w:left w:val="nil"/>
                    <w:bottom w:val="single" w:color="auto" w:sz="6" w:space="0"/>
                    <w:right w:val="single" w:color="auto" w:sz="6" w:space="0"/>
                  </w:tcBorders>
                  <w:vAlign w:val="center"/>
                </w:tcPr>
                <w:p>
                  <w:pPr>
                    <w:adjustRightInd w:val="0"/>
                    <w:snapToGrid w:val="0"/>
                    <w:jc w:val="center"/>
                    <w:rPr>
                      <w:color w:val="auto"/>
                      <w:szCs w:val="21"/>
                    </w:rPr>
                  </w:pPr>
                  <w:r>
                    <w:rPr>
                      <w:color w:val="auto"/>
                      <w:szCs w:val="21"/>
                    </w:rPr>
                    <w:t>污染物类型</w:t>
                  </w:r>
                </w:p>
              </w:tc>
              <w:tc>
                <w:tcPr>
                  <w:tcW w:w="83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监测点位</w:t>
                  </w:r>
                </w:p>
              </w:tc>
              <w:tc>
                <w:tcPr>
                  <w:tcW w:w="151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监测指标</w:t>
                  </w:r>
                </w:p>
              </w:tc>
              <w:tc>
                <w:tcPr>
                  <w:tcW w:w="692"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监测频次</w:t>
                  </w:r>
                </w:p>
              </w:tc>
              <w:tc>
                <w:tcPr>
                  <w:tcW w:w="1130"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执行标准</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828" w:type="pct"/>
                  <w:vMerge w:val="restart"/>
                  <w:tcBorders>
                    <w:left w:val="nil"/>
                    <w:right w:val="single" w:color="auto" w:sz="6" w:space="0"/>
                  </w:tcBorders>
                  <w:vAlign w:val="center"/>
                </w:tcPr>
                <w:p>
                  <w:pPr>
                    <w:adjustRightInd w:val="0"/>
                    <w:snapToGrid w:val="0"/>
                    <w:jc w:val="center"/>
                    <w:rPr>
                      <w:color w:val="auto"/>
                      <w:szCs w:val="21"/>
                    </w:rPr>
                  </w:pPr>
                  <w:r>
                    <w:rPr>
                      <w:rFonts w:hint="eastAsia"/>
                      <w:color w:val="auto"/>
                      <w:szCs w:val="21"/>
                    </w:rPr>
                    <w:t>有组织废气</w:t>
                  </w:r>
                </w:p>
              </w:tc>
              <w:tc>
                <w:tcPr>
                  <w:tcW w:w="830" w:type="pct"/>
                  <w:tcBorders>
                    <w:top w:val="single" w:color="auto" w:sz="6" w:space="0"/>
                    <w:left w:val="single" w:color="auto" w:sz="6" w:space="0"/>
                    <w:right w:val="single" w:color="auto" w:sz="6" w:space="0"/>
                  </w:tcBorders>
                  <w:vAlign w:val="center"/>
                </w:tcPr>
                <w:p>
                  <w:pPr>
                    <w:adjustRightInd w:val="0"/>
                    <w:snapToGrid w:val="0"/>
                    <w:jc w:val="center"/>
                    <w:rPr>
                      <w:color w:val="auto"/>
                      <w:szCs w:val="21"/>
                    </w:rPr>
                  </w:pPr>
                  <w:r>
                    <w:rPr>
                      <w:rFonts w:hint="eastAsia"/>
                      <w:color w:val="auto"/>
                      <w:szCs w:val="21"/>
                    </w:rPr>
                    <w:t>3</w:t>
                  </w:r>
                  <w:r>
                    <w:rPr>
                      <w:color w:val="auto"/>
                      <w:szCs w:val="21"/>
                    </w:rPr>
                    <w:t>#排放口</w:t>
                  </w:r>
                </w:p>
              </w:tc>
              <w:tc>
                <w:tcPr>
                  <w:tcW w:w="1518" w:type="pct"/>
                  <w:tcBorders>
                    <w:top w:val="single" w:color="auto" w:sz="6" w:space="0"/>
                    <w:left w:val="single" w:color="auto" w:sz="6" w:space="0"/>
                    <w:right w:val="single" w:color="auto" w:sz="6" w:space="0"/>
                  </w:tcBorders>
                  <w:vAlign w:val="center"/>
                </w:tcPr>
                <w:p>
                  <w:pPr>
                    <w:adjustRightInd w:val="0"/>
                    <w:snapToGrid w:val="0"/>
                    <w:jc w:val="center"/>
                    <w:rPr>
                      <w:color w:val="auto"/>
                      <w:szCs w:val="21"/>
                    </w:rPr>
                  </w:pPr>
                  <w:r>
                    <w:rPr>
                      <w:rFonts w:hint="eastAsia"/>
                      <w:color w:val="auto"/>
                      <w:szCs w:val="21"/>
                    </w:rPr>
                    <w:t>非甲烷总烃、SO</w:t>
                  </w:r>
                  <w:r>
                    <w:rPr>
                      <w:rFonts w:hint="eastAsia"/>
                      <w:color w:val="auto"/>
                      <w:szCs w:val="21"/>
                      <w:vertAlign w:val="subscript"/>
                    </w:rPr>
                    <w:t>2</w:t>
                  </w:r>
                  <w:r>
                    <w:rPr>
                      <w:rFonts w:hint="eastAsia"/>
                      <w:color w:val="auto"/>
                      <w:szCs w:val="21"/>
                    </w:rPr>
                    <w:t>、NO</w:t>
                  </w:r>
                  <w:r>
                    <w:rPr>
                      <w:rFonts w:hint="eastAsia"/>
                      <w:color w:val="auto"/>
                      <w:szCs w:val="21"/>
                      <w:vertAlign w:val="subscript"/>
                    </w:rPr>
                    <w:t>X</w:t>
                  </w:r>
                  <w:r>
                    <w:rPr>
                      <w:rFonts w:hint="eastAsia"/>
                      <w:color w:val="auto"/>
                      <w:szCs w:val="21"/>
                    </w:rPr>
                    <w:t>、</w:t>
                  </w:r>
                  <w:r>
                    <w:rPr>
                      <w:color w:val="auto"/>
                      <w:szCs w:val="21"/>
                    </w:rPr>
                    <w:t>颗粒物</w:t>
                  </w:r>
                </w:p>
              </w:tc>
              <w:tc>
                <w:tcPr>
                  <w:tcW w:w="692" w:type="pct"/>
                  <w:tcBorders>
                    <w:top w:val="single" w:color="auto" w:sz="6" w:space="0"/>
                    <w:left w:val="single" w:color="auto" w:sz="6" w:space="0"/>
                    <w:bottom w:val="single" w:color="auto" w:sz="4" w:space="0"/>
                    <w:right w:val="nil"/>
                  </w:tcBorders>
                  <w:vAlign w:val="center"/>
                </w:tcPr>
                <w:p>
                  <w:pPr>
                    <w:adjustRightInd w:val="0"/>
                    <w:snapToGrid w:val="0"/>
                    <w:jc w:val="center"/>
                    <w:rPr>
                      <w:color w:val="auto"/>
                      <w:szCs w:val="21"/>
                    </w:rPr>
                  </w:pPr>
                  <w:r>
                    <w:rPr>
                      <w:rFonts w:hint="eastAsia"/>
                      <w:color w:val="auto"/>
                      <w:szCs w:val="21"/>
                    </w:rPr>
                    <w:t>1年</w:t>
                  </w:r>
                </w:p>
              </w:tc>
              <w:tc>
                <w:tcPr>
                  <w:tcW w:w="1844" w:type="dxa"/>
                  <w:tcBorders>
                    <w:left w:val="single" w:color="auto" w:sz="6" w:space="0"/>
                    <w:bottom w:val="single" w:color="auto" w:sz="4" w:space="0"/>
                    <w:right w:val="nil"/>
                  </w:tcBorders>
                  <w:vAlign w:val="center"/>
                </w:tcPr>
                <w:p>
                  <w:pPr>
                    <w:pStyle w:val="2"/>
                    <w:snapToGrid w:val="0"/>
                    <w:spacing w:line="240" w:lineRule="auto"/>
                    <w:jc w:val="center"/>
                    <w:rPr>
                      <w:color w:val="auto"/>
                      <w:szCs w:val="21"/>
                    </w:rPr>
                  </w:pPr>
                  <w:r>
                    <w:rPr>
                      <w:rFonts w:ascii="Times New Roman" w:cs="Times New Roman"/>
                      <w:color w:val="auto"/>
                      <w:sz w:val="21"/>
                      <w:szCs w:val="21"/>
                    </w:rPr>
                    <w:t>DB50/</w:t>
                  </w:r>
                  <w:r>
                    <w:rPr>
                      <w:rFonts w:hint="eastAsia" w:ascii="Times New Roman" w:cs="Times New Roman"/>
                      <w:color w:val="auto"/>
                      <w:sz w:val="21"/>
                      <w:szCs w:val="21"/>
                    </w:rPr>
                    <w:t>418</w:t>
                  </w:r>
                  <w:r>
                    <w:rPr>
                      <w:rFonts w:ascii="Times New Roman" w:cs="Times New Roman"/>
                      <w:color w:val="auto"/>
                      <w:sz w:val="21"/>
                      <w:szCs w:val="21"/>
                    </w:rPr>
                    <w:t>－2016</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8" w:type="pct"/>
                  <w:vMerge w:val="continue"/>
                  <w:tcBorders>
                    <w:left w:val="nil"/>
                    <w:right w:val="single" w:color="auto" w:sz="6" w:space="0"/>
                  </w:tcBorders>
                  <w:vAlign w:val="center"/>
                </w:tcPr>
                <w:p>
                  <w:pPr>
                    <w:adjustRightInd w:val="0"/>
                    <w:snapToGrid w:val="0"/>
                    <w:jc w:val="center"/>
                    <w:rPr>
                      <w:color w:val="auto"/>
                      <w:szCs w:val="21"/>
                    </w:rPr>
                  </w:pPr>
                </w:p>
              </w:tc>
              <w:tc>
                <w:tcPr>
                  <w:tcW w:w="830" w:type="pct"/>
                  <w:tcBorders>
                    <w:top w:val="single" w:color="auto" w:sz="6" w:space="0"/>
                    <w:left w:val="single" w:color="auto" w:sz="6" w:space="0"/>
                    <w:right w:val="single" w:color="auto" w:sz="6" w:space="0"/>
                  </w:tcBorders>
                  <w:vAlign w:val="center"/>
                </w:tcPr>
                <w:p>
                  <w:pPr>
                    <w:adjustRightInd w:val="0"/>
                    <w:snapToGrid w:val="0"/>
                    <w:jc w:val="center"/>
                    <w:rPr>
                      <w:color w:val="auto"/>
                      <w:szCs w:val="21"/>
                    </w:rPr>
                  </w:pPr>
                  <w:r>
                    <w:rPr>
                      <w:rFonts w:hint="eastAsia"/>
                      <w:color w:val="auto"/>
                      <w:szCs w:val="21"/>
                    </w:rPr>
                    <w:t>4</w:t>
                  </w:r>
                  <w:r>
                    <w:rPr>
                      <w:color w:val="auto"/>
                      <w:szCs w:val="21"/>
                    </w:rPr>
                    <w:t>#排放口</w:t>
                  </w:r>
                </w:p>
              </w:tc>
              <w:tc>
                <w:tcPr>
                  <w:tcW w:w="1518" w:type="pct"/>
                  <w:tcBorders>
                    <w:top w:val="single" w:color="auto" w:sz="6" w:space="0"/>
                    <w:left w:val="single" w:color="auto" w:sz="6" w:space="0"/>
                    <w:right w:val="single" w:color="auto" w:sz="6" w:space="0"/>
                  </w:tcBorders>
                  <w:vAlign w:val="center"/>
                </w:tcPr>
                <w:p>
                  <w:pPr>
                    <w:adjustRightInd w:val="0"/>
                    <w:snapToGrid w:val="0"/>
                    <w:jc w:val="center"/>
                    <w:rPr>
                      <w:color w:val="auto"/>
                      <w:szCs w:val="21"/>
                    </w:rPr>
                  </w:pPr>
                  <w:r>
                    <w:rPr>
                      <w:rFonts w:hint="eastAsia"/>
                      <w:color w:val="auto"/>
                      <w:szCs w:val="21"/>
                    </w:rPr>
                    <w:t>非甲烷总烃</w:t>
                  </w:r>
                </w:p>
              </w:tc>
              <w:tc>
                <w:tcPr>
                  <w:tcW w:w="692" w:type="pct"/>
                  <w:tcBorders>
                    <w:top w:val="single" w:color="auto" w:sz="4" w:space="0"/>
                    <w:left w:val="single" w:color="auto" w:sz="6" w:space="0"/>
                    <w:bottom w:val="single" w:color="auto" w:sz="4" w:space="0"/>
                    <w:right w:val="nil"/>
                  </w:tcBorders>
                  <w:vAlign w:val="center"/>
                </w:tcPr>
                <w:p>
                  <w:pPr>
                    <w:adjustRightInd w:val="0"/>
                    <w:snapToGrid w:val="0"/>
                    <w:jc w:val="center"/>
                    <w:rPr>
                      <w:color w:val="auto"/>
                      <w:szCs w:val="21"/>
                    </w:rPr>
                  </w:pPr>
                  <w:r>
                    <w:rPr>
                      <w:rFonts w:hint="eastAsia"/>
                      <w:color w:val="auto"/>
                      <w:szCs w:val="21"/>
                    </w:rPr>
                    <w:t>1年</w:t>
                  </w:r>
                </w:p>
              </w:tc>
              <w:tc>
                <w:tcPr>
                  <w:tcW w:w="1844" w:type="dxa"/>
                  <w:tcBorders>
                    <w:top w:val="single" w:color="auto" w:sz="4" w:space="0"/>
                    <w:left w:val="single" w:color="auto" w:sz="6" w:space="0"/>
                    <w:bottom w:val="single" w:color="auto" w:sz="4" w:space="0"/>
                    <w:right w:val="nil"/>
                  </w:tcBorders>
                  <w:vAlign w:val="center"/>
                </w:tcPr>
                <w:p>
                  <w:pPr>
                    <w:pStyle w:val="2"/>
                    <w:spacing w:line="240" w:lineRule="auto"/>
                    <w:jc w:val="center"/>
                    <w:rPr>
                      <w:color w:val="auto"/>
                      <w:szCs w:val="21"/>
                    </w:rPr>
                  </w:pPr>
                  <w:r>
                    <w:rPr>
                      <w:rFonts w:hint="eastAsia" w:ascii="Times New Roman" w:cs="Times New Roman"/>
                      <w:color w:val="auto"/>
                      <w:sz w:val="21"/>
                      <w:szCs w:val="21"/>
                    </w:rPr>
                    <w:t>GB31572</w:t>
                  </w:r>
                  <w:r>
                    <w:rPr>
                      <w:rFonts w:ascii="Times New Roman" w:cs="Times New Roman"/>
                      <w:color w:val="auto"/>
                      <w:sz w:val="21"/>
                      <w:szCs w:val="21"/>
                    </w:rPr>
                    <w:t>－201</w:t>
                  </w:r>
                  <w:r>
                    <w:rPr>
                      <w:rFonts w:hint="eastAsia" w:ascii="Times New Roman" w:cs="Times New Roman"/>
                      <w:color w:val="auto"/>
                      <w:sz w:val="21"/>
                      <w:szCs w:val="21"/>
                    </w:rPr>
                    <w:t>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8" w:type="pct"/>
                  <w:tcBorders>
                    <w:top w:val="single" w:color="auto" w:sz="4" w:space="0"/>
                    <w:left w:val="nil"/>
                    <w:right w:val="single" w:color="auto" w:sz="6" w:space="0"/>
                  </w:tcBorders>
                  <w:vAlign w:val="center"/>
                </w:tcPr>
                <w:p>
                  <w:pPr>
                    <w:jc w:val="center"/>
                    <w:rPr>
                      <w:color w:val="auto"/>
                      <w:szCs w:val="21"/>
                    </w:rPr>
                  </w:pPr>
                  <w:r>
                    <w:rPr>
                      <w:color w:val="auto"/>
                      <w:szCs w:val="21"/>
                    </w:rPr>
                    <w:t>无组织废气</w:t>
                  </w:r>
                </w:p>
              </w:tc>
              <w:tc>
                <w:tcPr>
                  <w:tcW w:w="830" w:type="pct"/>
                  <w:tcBorders>
                    <w:top w:val="single" w:color="auto" w:sz="4" w:space="0"/>
                    <w:left w:val="single" w:color="auto" w:sz="6" w:space="0"/>
                    <w:right w:val="single" w:color="auto" w:sz="6" w:space="0"/>
                  </w:tcBorders>
                  <w:vAlign w:val="center"/>
                </w:tcPr>
                <w:p>
                  <w:pPr>
                    <w:adjustRightInd w:val="0"/>
                    <w:snapToGrid w:val="0"/>
                    <w:jc w:val="center"/>
                    <w:rPr>
                      <w:color w:val="auto"/>
                      <w:szCs w:val="21"/>
                    </w:rPr>
                  </w:pPr>
                  <w:r>
                    <w:rPr>
                      <w:color w:val="auto"/>
                      <w:szCs w:val="21"/>
                    </w:rPr>
                    <w:t>场界下风向</w:t>
                  </w:r>
                </w:p>
              </w:tc>
              <w:tc>
                <w:tcPr>
                  <w:tcW w:w="1518" w:type="pct"/>
                  <w:tcBorders>
                    <w:top w:val="single" w:color="auto" w:sz="6" w:space="0"/>
                    <w:left w:val="single" w:color="auto" w:sz="6" w:space="0"/>
                    <w:right w:val="single" w:color="auto" w:sz="6" w:space="0"/>
                  </w:tcBorders>
                  <w:vAlign w:val="center"/>
                </w:tcPr>
                <w:p>
                  <w:pPr>
                    <w:adjustRightInd w:val="0"/>
                    <w:snapToGrid w:val="0"/>
                    <w:jc w:val="center"/>
                    <w:rPr>
                      <w:color w:val="auto"/>
                      <w:szCs w:val="21"/>
                    </w:rPr>
                  </w:pPr>
                  <w:r>
                    <w:rPr>
                      <w:color w:val="auto"/>
                      <w:szCs w:val="21"/>
                    </w:rPr>
                    <w:t>非甲烷总烃</w:t>
                  </w:r>
                </w:p>
              </w:tc>
              <w:tc>
                <w:tcPr>
                  <w:tcW w:w="692" w:type="pct"/>
                  <w:tcBorders>
                    <w:top w:val="single" w:color="auto" w:sz="4" w:space="0"/>
                    <w:left w:val="single" w:color="auto" w:sz="6" w:space="0"/>
                    <w:bottom w:val="single" w:color="auto" w:sz="6" w:space="0"/>
                    <w:right w:val="nil"/>
                  </w:tcBorders>
                  <w:vAlign w:val="center"/>
                </w:tcPr>
                <w:p>
                  <w:pPr>
                    <w:adjustRightInd w:val="0"/>
                    <w:snapToGrid w:val="0"/>
                    <w:jc w:val="center"/>
                    <w:rPr>
                      <w:color w:val="auto"/>
                      <w:szCs w:val="21"/>
                    </w:rPr>
                  </w:pPr>
                  <w:r>
                    <w:rPr>
                      <w:rFonts w:hint="eastAsia"/>
                      <w:color w:val="auto"/>
                      <w:szCs w:val="21"/>
                    </w:rPr>
                    <w:t>半年</w:t>
                  </w:r>
                </w:p>
              </w:tc>
              <w:tc>
                <w:tcPr>
                  <w:tcW w:w="1130" w:type="pct"/>
                  <w:tcBorders>
                    <w:top w:val="single" w:color="auto" w:sz="4" w:space="0"/>
                    <w:left w:val="single" w:color="auto" w:sz="6" w:space="0"/>
                    <w:right w:val="nil"/>
                  </w:tcBorders>
                  <w:vAlign w:val="center"/>
                </w:tcPr>
                <w:p>
                  <w:pPr>
                    <w:snapToGrid w:val="0"/>
                    <w:jc w:val="center"/>
                    <w:rPr>
                      <w:color w:val="auto"/>
                      <w:szCs w:val="21"/>
                    </w:rPr>
                  </w:pPr>
                  <w:r>
                    <w:rPr>
                      <w:color w:val="auto"/>
                      <w:szCs w:val="21"/>
                    </w:rPr>
                    <w:t>DB50/</w:t>
                  </w:r>
                  <w:r>
                    <w:rPr>
                      <w:rFonts w:hint="eastAsia"/>
                      <w:color w:val="auto"/>
                      <w:szCs w:val="21"/>
                    </w:rPr>
                    <w:t>418</w:t>
                  </w:r>
                  <w:r>
                    <w:rPr>
                      <w:color w:val="auto"/>
                      <w:szCs w:val="21"/>
                    </w:rPr>
                    <w:t>－2016</w:t>
                  </w:r>
                </w:p>
              </w:tc>
            </w:tr>
          </w:tbl>
          <w:p>
            <w:pPr>
              <w:pStyle w:val="2"/>
              <w:ind w:firstLine="480" w:firstLineChars="200"/>
              <w:rPr>
                <w:rFonts w:ascii="Times New Roman" w:cs="Times New Roman"/>
                <w:color w:val="auto"/>
              </w:rPr>
            </w:pPr>
            <w:r>
              <w:rPr>
                <w:rFonts w:ascii="Times New Roman" w:cs="Times New Roman"/>
                <w:color w:val="auto"/>
              </w:rPr>
              <w:t>（</w:t>
            </w:r>
            <w:r>
              <w:rPr>
                <w:rFonts w:hint="eastAsia" w:ascii="Times New Roman" w:cs="Times New Roman"/>
                <w:color w:val="auto"/>
              </w:rPr>
              <w:t>4</w:t>
            </w:r>
            <w:r>
              <w:rPr>
                <w:rFonts w:ascii="Times New Roman" w:cs="Times New Roman"/>
                <w:color w:val="auto"/>
              </w:rPr>
              <w:t>）环境影响分析</w:t>
            </w:r>
          </w:p>
          <w:p>
            <w:pPr>
              <w:pStyle w:val="2"/>
              <w:ind w:firstLine="480" w:firstLineChars="200"/>
              <w:rPr>
                <w:rFonts w:hint="eastAsia" w:ascii="Times New Roman" w:eastAsia="宋体" w:cs="Times New Roman"/>
                <w:color w:val="auto"/>
                <w:lang w:eastAsia="zh-CN"/>
              </w:rPr>
            </w:pPr>
            <w:r>
              <w:rPr>
                <w:rFonts w:ascii="Times New Roman" w:cs="Times New Roman"/>
                <w:color w:val="auto"/>
              </w:rPr>
              <w:t>由表3分析可知，项目所在地</w:t>
            </w:r>
            <w:r>
              <w:rPr>
                <w:rFonts w:hint="eastAsia" w:ascii="Times New Roman" w:cs="Times New Roman"/>
                <w:color w:val="auto"/>
                <w:szCs w:val="21"/>
              </w:rPr>
              <w:t>基本污染物</w:t>
            </w:r>
            <w:r>
              <w:rPr>
                <w:rFonts w:ascii="Times New Roman" w:cs="Times New Roman"/>
                <w:color w:val="auto"/>
                <w:szCs w:val="21"/>
              </w:rPr>
              <w:t>均满足《环境空气质量标准》（GB3095-2012）二级标准的要求</w:t>
            </w:r>
            <w:r>
              <w:rPr>
                <w:rFonts w:hint="eastAsia" w:ascii="Times New Roman" w:cs="Times New Roman"/>
                <w:color w:val="auto"/>
                <w:szCs w:val="21"/>
              </w:rPr>
              <w:t>；</w:t>
            </w:r>
            <w:r>
              <w:rPr>
                <w:rFonts w:ascii="Times New Roman" w:cs="Times New Roman"/>
                <w:color w:val="auto"/>
                <w:szCs w:val="21"/>
              </w:rPr>
              <w:t>非甲烷总烃</w:t>
            </w:r>
            <w:r>
              <w:rPr>
                <w:rFonts w:ascii="Times New Roman" w:cs="Times New Roman"/>
                <w:color w:val="auto"/>
              </w:rPr>
              <w:t>《环境空气质量非甲烷总烃限值》（DB13/1577-2012）</w:t>
            </w:r>
            <w:r>
              <w:rPr>
                <w:rFonts w:hint="eastAsia" w:ascii="Times New Roman" w:cs="Times New Roman"/>
                <w:color w:val="auto"/>
              </w:rPr>
              <w:t>；</w:t>
            </w:r>
            <w:r>
              <w:rPr>
                <w:rFonts w:ascii="Times New Roman" w:cs="Times New Roman"/>
                <w:color w:val="auto"/>
              </w:rPr>
              <w:t>本项目周边500m</w:t>
            </w:r>
            <w:r>
              <w:rPr>
                <w:rFonts w:hint="eastAsia" w:ascii="Times New Roman" w:cs="Times New Roman"/>
                <w:color w:val="auto"/>
              </w:rPr>
              <w:t>无大气环境保护目标，</w:t>
            </w:r>
            <w:r>
              <w:rPr>
                <w:rFonts w:ascii="Times New Roman" w:cs="Times New Roman"/>
                <w:color w:val="auto"/>
              </w:rPr>
              <w:t>其产生的废气经治理后能够做到达标排放</w:t>
            </w:r>
            <w:r>
              <w:rPr>
                <w:rFonts w:hint="eastAsia" w:ascii="Times New Roman" w:cs="Times New Roman"/>
                <w:color w:val="auto"/>
              </w:rPr>
              <w:t>，环境影响可接受</w:t>
            </w:r>
            <w:r>
              <w:rPr>
                <w:rFonts w:ascii="Times New Roman" w:cs="Times New Roman"/>
                <w:color w:val="auto"/>
              </w:rPr>
              <w:t>。</w:t>
            </w:r>
          </w:p>
          <w:p>
            <w:pPr>
              <w:spacing w:line="360" w:lineRule="auto"/>
              <w:ind w:firstLine="480" w:firstLineChars="200"/>
              <w:jc w:val="left"/>
              <w:rPr>
                <w:rFonts w:eastAsiaTheme="minorEastAsia"/>
                <w:bCs/>
                <w:color w:val="auto"/>
                <w:sz w:val="24"/>
              </w:rPr>
            </w:pPr>
            <w:r>
              <w:rPr>
                <w:rFonts w:eastAsiaTheme="minorEastAsia"/>
                <w:bCs/>
                <w:color w:val="auto"/>
                <w:sz w:val="24"/>
              </w:rPr>
              <w:t>（5）非正常情况</w:t>
            </w:r>
          </w:p>
          <w:p>
            <w:pPr>
              <w:spacing w:line="360" w:lineRule="auto"/>
              <w:ind w:firstLine="480" w:firstLineChars="200"/>
              <w:rPr>
                <w:rFonts w:eastAsiaTheme="minorEastAsia"/>
                <w:color w:val="auto"/>
                <w:sz w:val="24"/>
              </w:rPr>
            </w:pPr>
            <w:r>
              <w:rPr>
                <w:rFonts w:hint="eastAsia" w:eastAsiaTheme="minorEastAsia"/>
                <w:color w:val="auto"/>
                <w:sz w:val="24"/>
                <w:lang w:eastAsia="zh-CN"/>
              </w:rPr>
              <w:t>扩建项目</w:t>
            </w:r>
            <w:r>
              <w:rPr>
                <w:rFonts w:eastAsiaTheme="minorEastAsia"/>
                <w:color w:val="auto"/>
                <w:sz w:val="24"/>
              </w:rPr>
              <w:t>的非正常工况主要是工艺设备或环保设施达不到设计规定指标运行时的排污。废气非正常排放的源强按照最不利情况（考虑废气处理设施</w:t>
            </w:r>
            <w:r>
              <w:rPr>
                <w:rFonts w:hint="eastAsia" w:eastAsiaTheme="minorEastAsia"/>
                <w:color w:val="auto"/>
                <w:sz w:val="24"/>
              </w:rPr>
              <w:t>失效</w:t>
            </w:r>
            <w:r>
              <w:rPr>
                <w:rFonts w:eastAsiaTheme="minorEastAsia"/>
                <w:color w:val="auto"/>
                <w:sz w:val="24"/>
              </w:rPr>
              <w:t>，处理效率为零的情况）进行分析，非正常排放的源强详见表4.</w:t>
            </w:r>
            <w:r>
              <w:rPr>
                <w:rFonts w:hint="eastAsia" w:eastAsiaTheme="minorEastAsia"/>
                <w:color w:val="auto"/>
                <w:sz w:val="24"/>
              </w:rPr>
              <w:t>7。</w:t>
            </w:r>
          </w:p>
          <w:p>
            <w:pPr>
              <w:ind w:firstLine="420" w:firstLineChars="200"/>
              <w:jc w:val="center"/>
              <w:rPr>
                <w:rFonts w:eastAsiaTheme="minorEastAsia"/>
                <w:color w:val="auto"/>
                <w:sz w:val="21"/>
                <w:szCs w:val="21"/>
              </w:rPr>
            </w:pPr>
            <w:r>
              <w:rPr>
                <w:rFonts w:eastAsiaTheme="minorEastAsia"/>
                <w:color w:val="auto"/>
                <w:sz w:val="21"/>
                <w:szCs w:val="21"/>
              </w:rPr>
              <w:t>表4.</w:t>
            </w:r>
            <w:r>
              <w:rPr>
                <w:rFonts w:hint="eastAsia" w:eastAsiaTheme="minorEastAsia"/>
                <w:color w:val="auto"/>
                <w:sz w:val="21"/>
                <w:szCs w:val="21"/>
              </w:rPr>
              <w:t>7</w:t>
            </w:r>
            <w:r>
              <w:rPr>
                <w:rFonts w:eastAsiaTheme="minorEastAsia"/>
                <w:color w:val="auto"/>
                <w:sz w:val="21"/>
                <w:szCs w:val="21"/>
              </w:rPr>
              <w:t xml:space="preserve"> 废气非正常排放源强</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946"/>
              <w:gridCol w:w="1080"/>
              <w:gridCol w:w="1096"/>
              <w:gridCol w:w="958"/>
              <w:gridCol w:w="1080"/>
              <w:gridCol w:w="1096"/>
              <w:gridCol w:w="11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restar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污染源</w:t>
                  </w:r>
                </w:p>
              </w:tc>
              <w:tc>
                <w:tcPr>
                  <w:tcW w:w="580" w:type="pct"/>
                  <w:vMerge w:val="restar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污染物</w:t>
                  </w:r>
                </w:p>
              </w:tc>
              <w:tc>
                <w:tcPr>
                  <w:tcW w:w="1921" w:type="pct"/>
                  <w:gridSpan w:val="3"/>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产生情况</w:t>
                  </w:r>
                </w:p>
              </w:tc>
              <w:tc>
                <w:tcPr>
                  <w:tcW w:w="2038" w:type="pct"/>
                  <w:gridSpan w:val="3"/>
                  <w:tcBorders>
                    <w:tl2br w:val="nil"/>
                    <w:tr2bl w:val="nil"/>
                  </w:tcBorders>
                  <w:shd w:val="clear" w:color="auto" w:fill="auto"/>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排放情况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continue"/>
                  <w:tcBorders>
                    <w:tl2br w:val="nil"/>
                    <w:tr2bl w:val="nil"/>
                  </w:tcBorders>
                  <w:shd w:val="clear" w:color="auto" w:fill="auto"/>
                  <w:vAlign w:val="center"/>
                </w:tcPr>
                <w:p>
                  <w:pPr>
                    <w:adjustRightInd w:val="0"/>
                    <w:snapToGrid w:val="0"/>
                    <w:jc w:val="center"/>
                    <w:rPr>
                      <w:rFonts w:eastAsiaTheme="minorEastAsia"/>
                      <w:color w:val="auto"/>
                      <w:spacing w:val="1"/>
                      <w:szCs w:val="21"/>
                    </w:rPr>
                  </w:pPr>
                </w:p>
              </w:tc>
              <w:tc>
                <w:tcPr>
                  <w:tcW w:w="580" w:type="pct"/>
                  <w:vMerge w:val="continue"/>
                  <w:tcBorders>
                    <w:tl2br w:val="nil"/>
                    <w:tr2bl w:val="nil"/>
                  </w:tcBorders>
                  <w:shd w:val="clear" w:color="auto" w:fill="auto"/>
                  <w:vAlign w:val="center"/>
                </w:tcPr>
                <w:p>
                  <w:pPr>
                    <w:adjustRightInd w:val="0"/>
                    <w:snapToGrid w:val="0"/>
                    <w:jc w:val="center"/>
                    <w:rPr>
                      <w:rFonts w:eastAsiaTheme="minorEastAsia"/>
                      <w:color w:val="auto"/>
                      <w:spacing w:val="1"/>
                      <w:szCs w:val="21"/>
                    </w:rPr>
                  </w:pPr>
                </w:p>
              </w:tc>
              <w:tc>
                <w:tcPr>
                  <w:tcW w:w="662" w:type="pc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浓度mg/m</w:t>
                  </w:r>
                  <w:r>
                    <w:rPr>
                      <w:rFonts w:eastAsiaTheme="minorEastAsia"/>
                      <w:color w:val="auto"/>
                      <w:spacing w:val="1"/>
                      <w:sz w:val="21"/>
                      <w:szCs w:val="21"/>
                      <w:vertAlign w:val="superscript"/>
                    </w:rPr>
                    <w:t>3</w:t>
                  </w:r>
                </w:p>
              </w:tc>
              <w:tc>
                <w:tcPr>
                  <w:tcW w:w="672" w:type="pc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eastAsiaTheme="minorEastAsia"/>
                      <w:color w:val="auto"/>
                      <w:spacing w:val="1"/>
                      <w:sz w:val="21"/>
                      <w:szCs w:val="21"/>
                    </w:rPr>
                    <w:t>产生速率kg/h</w:t>
                  </w:r>
                </w:p>
              </w:tc>
              <w:tc>
                <w:tcPr>
                  <w:tcW w:w="587" w:type="pct"/>
                  <w:tcBorders>
                    <w:tl2br w:val="nil"/>
                    <w:tr2bl w:val="nil"/>
                  </w:tcBorders>
                  <w:shd w:val="clear" w:color="auto" w:fill="auto"/>
                  <w:vAlign w:val="center"/>
                </w:tcPr>
                <w:p>
                  <w:pPr>
                    <w:adjustRightInd w:val="0"/>
                    <w:snapToGrid w:val="0"/>
                    <w:jc w:val="center"/>
                    <w:rPr>
                      <w:rFonts w:eastAsiaTheme="minorEastAsia"/>
                      <w:color w:val="auto"/>
                      <w:spacing w:val="1"/>
                      <w:szCs w:val="21"/>
                    </w:rPr>
                  </w:pPr>
                  <w:r>
                    <w:rPr>
                      <w:rFonts w:hint="eastAsia" w:eastAsiaTheme="minorEastAsia"/>
                      <w:color w:val="auto"/>
                      <w:spacing w:val="1"/>
                      <w:szCs w:val="21"/>
                    </w:rPr>
                    <w:t>产生量t/a</w:t>
                  </w:r>
                </w:p>
              </w:tc>
              <w:tc>
                <w:tcPr>
                  <w:tcW w:w="662" w:type="pct"/>
                  <w:tcBorders>
                    <w:tl2br w:val="nil"/>
                    <w:tr2bl w:val="nil"/>
                  </w:tcBorders>
                  <w:shd w:val="clear" w:color="auto" w:fill="auto"/>
                  <w:vAlign w:val="center"/>
                </w:tcPr>
                <w:p>
                  <w:pPr>
                    <w:adjustRightInd w:val="0"/>
                    <w:snapToGrid w:val="0"/>
                    <w:jc w:val="center"/>
                    <w:rPr>
                      <w:rFonts w:eastAsiaTheme="minorEastAsia"/>
                      <w:color w:val="auto"/>
                      <w:spacing w:val="1"/>
                      <w:szCs w:val="21"/>
                    </w:rPr>
                  </w:pPr>
                  <w:r>
                    <w:rPr>
                      <w:rFonts w:eastAsiaTheme="minorEastAsia"/>
                      <w:color w:val="auto"/>
                      <w:spacing w:val="1"/>
                      <w:szCs w:val="21"/>
                    </w:rPr>
                    <w:t>浓度mg/m</w:t>
                  </w:r>
                  <w:r>
                    <w:rPr>
                      <w:rFonts w:eastAsiaTheme="minorEastAsia"/>
                      <w:color w:val="auto"/>
                      <w:spacing w:val="1"/>
                      <w:szCs w:val="21"/>
                      <w:vertAlign w:val="superscript"/>
                    </w:rPr>
                    <w:t>3</w:t>
                  </w:r>
                </w:p>
              </w:tc>
              <w:tc>
                <w:tcPr>
                  <w:tcW w:w="672" w:type="pct"/>
                  <w:tcBorders>
                    <w:tl2br w:val="nil"/>
                    <w:tr2bl w:val="nil"/>
                  </w:tcBorders>
                  <w:shd w:val="clear" w:color="auto" w:fill="auto"/>
                  <w:vAlign w:val="center"/>
                </w:tcPr>
                <w:p>
                  <w:pPr>
                    <w:adjustRightInd w:val="0"/>
                    <w:snapToGrid w:val="0"/>
                    <w:jc w:val="center"/>
                    <w:rPr>
                      <w:rFonts w:eastAsiaTheme="minorEastAsia"/>
                      <w:color w:val="auto"/>
                      <w:spacing w:val="1"/>
                      <w:szCs w:val="21"/>
                    </w:rPr>
                  </w:pPr>
                  <w:r>
                    <w:rPr>
                      <w:rFonts w:eastAsiaTheme="minorEastAsia"/>
                      <w:color w:val="auto"/>
                      <w:spacing w:val="1"/>
                      <w:szCs w:val="21"/>
                    </w:rPr>
                    <w:t>产生速率kg/h</w:t>
                  </w:r>
                </w:p>
              </w:tc>
              <w:tc>
                <w:tcPr>
                  <w:tcW w:w="704" w:type="pct"/>
                  <w:tcBorders>
                    <w:tl2br w:val="nil"/>
                    <w:tr2bl w:val="nil"/>
                  </w:tcBorders>
                  <w:shd w:val="clear" w:color="auto" w:fill="auto"/>
                  <w:vAlign w:val="center"/>
                </w:tcPr>
                <w:p>
                  <w:pPr>
                    <w:adjustRightInd w:val="0"/>
                    <w:snapToGrid w:val="0"/>
                    <w:jc w:val="center"/>
                    <w:rPr>
                      <w:rFonts w:eastAsiaTheme="minorEastAsia"/>
                      <w:color w:val="auto"/>
                      <w:spacing w:val="1"/>
                      <w:szCs w:val="21"/>
                    </w:rPr>
                  </w:pPr>
                  <w:r>
                    <w:rPr>
                      <w:rFonts w:eastAsiaTheme="minorEastAsia"/>
                      <w:color w:val="auto"/>
                      <w:spacing w:val="1"/>
                      <w:szCs w:val="21"/>
                    </w:rPr>
                    <w:t>产生速率kg/h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restar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hint="eastAsia" w:eastAsiaTheme="minorEastAsia"/>
                      <w:color w:val="auto"/>
                      <w:spacing w:val="1"/>
                      <w:sz w:val="21"/>
                      <w:szCs w:val="21"/>
                    </w:rPr>
                    <w:t>3</w:t>
                  </w:r>
                  <w:r>
                    <w:rPr>
                      <w:rFonts w:eastAsiaTheme="minorEastAsia"/>
                      <w:color w:val="auto"/>
                      <w:spacing w:val="1"/>
                      <w:sz w:val="21"/>
                      <w:szCs w:val="21"/>
                    </w:rPr>
                    <w:t>#排气筒</w:t>
                  </w:r>
                </w:p>
              </w:tc>
              <w:tc>
                <w:tcPr>
                  <w:tcW w:w="580" w:type="pct"/>
                  <w:tcBorders>
                    <w:tl2br w:val="nil"/>
                    <w:tr2bl w:val="nil"/>
                  </w:tcBorders>
                  <w:shd w:val="clear" w:color="auto" w:fill="auto"/>
                  <w:vAlign w:val="center"/>
                </w:tcPr>
                <w:p>
                  <w:pPr>
                    <w:adjustRightInd w:val="0"/>
                    <w:snapToGrid w:val="0"/>
                    <w:spacing w:line="216" w:lineRule="auto"/>
                    <w:jc w:val="center"/>
                    <w:rPr>
                      <w:color w:val="auto"/>
                      <w:kern w:val="0"/>
                      <w:szCs w:val="21"/>
                      <w:lang w:bidi="ar"/>
                    </w:rPr>
                  </w:pPr>
                  <w:r>
                    <w:rPr>
                      <w:color w:val="auto"/>
                      <w:kern w:val="0"/>
                      <w:szCs w:val="21"/>
                      <w:lang w:bidi="ar"/>
                    </w:rPr>
                    <w:t>非甲烷</w:t>
                  </w:r>
                </w:p>
                <w:p>
                  <w:pPr>
                    <w:adjustRightInd w:val="0"/>
                    <w:snapToGrid w:val="0"/>
                    <w:spacing w:line="216" w:lineRule="auto"/>
                    <w:jc w:val="center"/>
                    <w:rPr>
                      <w:color w:val="auto"/>
                      <w:kern w:val="0"/>
                      <w:szCs w:val="21"/>
                      <w:lang w:bidi="ar"/>
                    </w:rPr>
                  </w:pPr>
                  <w:r>
                    <w:rPr>
                      <w:color w:val="auto"/>
                      <w:kern w:val="0"/>
                      <w:szCs w:val="21"/>
                      <w:lang w:bidi="ar"/>
                    </w:rPr>
                    <w:t>总烃</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133.714</w:t>
                  </w:r>
                </w:p>
              </w:tc>
              <w:tc>
                <w:tcPr>
                  <w:tcW w:w="1096"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1.337</w:t>
                  </w:r>
                </w:p>
              </w:tc>
              <w:tc>
                <w:tcPr>
                  <w:tcW w:w="958"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2.808</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133.714</w:t>
                  </w:r>
                </w:p>
              </w:tc>
              <w:tc>
                <w:tcPr>
                  <w:tcW w:w="1096"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1.337</w:t>
                  </w:r>
                </w:p>
              </w:tc>
              <w:tc>
                <w:tcPr>
                  <w:tcW w:w="1149"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2.808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continue"/>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p>
              </w:tc>
              <w:tc>
                <w:tcPr>
                  <w:tcW w:w="580" w:type="pct"/>
                  <w:tcBorders>
                    <w:tl2br w:val="nil"/>
                    <w:tr2bl w:val="nil"/>
                  </w:tcBorders>
                  <w:shd w:val="clear" w:color="auto" w:fill="auto"/>
                  <w:vAlign w:val="center"/>
                </w:tcPr>
                <w:p>
                  <w:pPr>
                    <w:adjustRightInd w:val="0"/>
                    <w:snapToGrid w:val="0"/>
                    <w:spacing w:line="216" w:lineRule="auto"/>
                    <w:jc w:val="center"/>
                    <w:rPr>
                      <w:color w:val="auto"/>
                      <w:kern w:val="0"/>
                      <w:szCs w:val="21"/>
                      <w:lang w:bidi="ar"/>
                    </w:rPr>
                  </w:pPr>
                  <w:r>
                    <w:rPr>
                      <w:color w:val="auto"/>
                      <w:szCs w:val="21"/>
                    </w:rPr>
                    <w:t>SO</w:t>
                  </w:r>
                  <w:r>
                    <w:rPr>
                      <w:color w:val="auto"/>
                      <w:szCs w:val="21"/>
                      <w:vertAlign w:val="subscript"/>
                    </w:rPr>
                    <w:t>2</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2.080</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0.021</w:t>
                  </w:r>
                </w:p>
              </w:tc>
              <w:tc>
                <w:tcPr>
                  <w:tcW w:w="587"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0.044</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2.080</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0.021</w:t>
                  </w:r>
                </w:p>
              </w:tc>
              <w:tc>
                <w:tcPr>
                  <w:tcW w:w="704"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continue"/>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p>
              </w:tc>
              <w:tc>
                <w:tcPr>
                  <w:tcW w:w="580" w:type="pct"/>
                  <w:tcBorders>
                    <w:tl2br w:val="nil"/>
                    <w:tr2bl w:val="nil"/>
                  </w:tcBorders>
                  <w:shd w:val="clear" w:color="auto" w:fill="auto"/>
                  <w:vAlign w:val="center"/>
                </w:tcPr>
                <w:p>
                  <w:pPr>
                    <w:adjustRightInd w:val="0"/>
                    <w:snapToGrid w:val="0"/>
                    <w:spacing w:line="216" w:lineRule="auto"/>
                    <w:jc w:val="center"/>
                    <w:rPr>
                      <w:color w:val="auto"/>
                      <w:kern w:val="0"/>
                      <w:szCs w:val="21"/>
                      <w:lang w:bidi="ar"/>
                    </w:rPr>
                  </w:pPr>
                  <w:r>
                    <w:rPr>
                      <w:color w:val="auto"/>
                      <w:szCs w:val="21"/>
                    </w:rPr>
                    <w:t>NO</w:t>
                  </w:r>
                  <w:r>
                    <w:rPr>
                      <w:color w:val="auto"/>
                      <w:szCs w:val="21"/>
                      <w:vertAlign w:val="subscript"/>
                    </w:rPr>
                    <w:t>X</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19.448</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0.194</w:t>
                  </w:r>
                </w:p>
              </w:tc>
              <w:tc>
                <w:tcPr>
                  <w:tcW w:w="587"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0.408</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19.448</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0.194</w:t>
                  </w:r>
                </w:p>
              </w:tc>
              <w:tc>
                <w:tcPr>
                  <w:tcW w:w="704"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0.408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vMerge w:val="continue"/>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p>
              </w:tc>
              <w:tc>
                <w:tcPr>
                  <w:tcW w:w="580" w:type="pct"/>
                  <w:tcBorders>
                    <w:tl2br w:val="nil"/>
                    <w:tr2bl w:val="nil"/>
                  </w:tcBorders>
                  <w:shd w:val="clear" w:color="auto" w:fill="auto"/>
                  <w:vAlign w:val="center"/>
                </w:tcPr>
                <w:p>
                  <w:pPr>
                    <w:adjustRightInd w:val="0"/>
                    <w:snapToGrid w:val="0"/>
                    <w:spacing w:line="216" w:lineRule="auto"/>
                    <w:jc w:val="center"/>
                    <w:rPr>
                      <w:color w:val="auto"/>
                      <w:kern w:val="0"/>
                      <w:szCs w:val="21"/>
                      <w:lang w:bidi="ar"/>
                    </w:rPr>
                  </w:pPr>
                  <w:r>
                    <w:rPr>
                      <w:color w:val="auto"/>
                      <w:szCs w:val="21"/>
                    </w:rPr>
                    <w:t>颗粒物</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2.974</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0.030</w:t>
                  </w:r>
                </w:p>
              </w:tc>
              <w:tc>
                <w:tcPr>
                  <w:tcW w:w="587"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0.062</w:t>
                  </w:r>
                </w:p>
              </w:tc>
              <w:tc>
                <w:tcPr>
                  <w:tcW w:w="66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2.974</w:t>
                  </w:r>
                </w:p>
              </w:tc>
              <w:tc>
                <w:tcPr>
                  <w:tcW w:w="672"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0.030</w:t>
                  </w:r>
                </w:p>
              </w:tc>
              <w:tc>
                <w:tcPr>
                  <w:tcW w:w="704" w:type="pct"/>
                  <w:tcBorders>
                    <w:tl2br w:val="nil"/>
                    <w:tr2bl w:val="nil"/>
                  </w:tcBorders>
                  <w:shd w:val="clear" w:color="auto" w:fill="auto"/>
                  <w:vAlign w:val="center"/>
                </w:tcPr>
                <w:p>
                  <w:pPr>
                    <w:widowControl/>
                    <w:jc w:val="center"/>
                    <w:textAlignment w:val="center"/>
                    <w:rPr>
                      <w:color w:val="auto"/>
                      <w:kern w:val="0"/>
                      <w:szCs w:val="21"/>
                      <w:lang w:bidi="ar"/>
                    </w:rPr>
                  </w:pPr>
                  <w:r>
                    <w:rPr>
                      <w:color w:val="auto"/>
                      <w:kern w:val="0"/>
                      <w:szCs w:val="21"/>
                      <w:lang w:bidi="ar"/>
                    </w:rPr>
                    <w:t>0.062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 w:type="pct"/>
                  <w:tcBorders>
                    <w:tl2br w:val="nil"/>
                    <w:tr2bl w:val="nil"/>
                  </w:tcBorders>
                  <w:shd w:val="clear" w:color="auto" w:fill="auto"/>
                  <w:vAlign w:val="center"/>
                </w:tcPr>
                <w:p>
                  <w:pPr>
                    <w:pStyle w:val="49"/>
                    <w:autoSpaceDE/>
                    <w:autoSpaceDN/>
                    <w:snapToGrid w:val="0"/>
                    <w:spacing w:line="240" w:lineRule="auto"/>
                    <w:ind w:firstLine="0" w:firstLineChars="0"/>
                    <w:jc w:val="center"/>
                    <w:rPr>
                      <w:rFonts w:eastAsiaTheme="minorEastAsia"/>
                      <w:color w:val="auto"/>
                      <w:spacing w:val="1"/>
                      <w:sz w:val="21"/>
                      <w:szCs w:val="21"/>
                    </w:rPr>
                  </w:pPr>
                  <w:r>
                    <w:rPr>
                      <w:rFonts w:hint="eastAsia" w:eastAsiaTheme="minorEastAsia"/>
                      <w:color w:val="auto"/>
                      <w:spacing w:val="1"/>
                      <w:sz w:val="21"/>
                      <w:szCs w:val="21"/>
                    </w:rPr>
                    <w:t>4</w:t>
                  </w:r>
                  <w:r>
                    <w:rPr>
                      <w:rFonts w:eastAsiaTheme="minorEastAsia"/>
                      <w:color w:val="auto"/>
                      <w:spacing w:val="1"/>
                      <w:sz w:val="21"/>
                      <w:szCs w:val="21"/>
                    </w:rPr>
                    <w:t>#排气筒</w:t>
                  </w:r>
                </w:p>
              </w:tc>
              <w:tc>
                <w:tcPr>
                  <w:tcW w:w="580" w:type="pct"/>
                  <w:tcBorders>
                    <w:tl2br w:val="nil"/>
                    <w:tr2bl w:val="nil"/>
                  </w:tcBorders>
                  <w:shd w:val="clear" w:color="auto" w:fill="auto"/>
                  <w:vAlign w:val="center"/>
                </w:tcPr>
                <w:p>
                  <w:pPr>
                    <w:adjustRightInd w:val="0"/>
                    <w:snapToGrid w:val="0"/>
                    <w:spacing w:line="216" w:lineRule="auto"/>
                    <w:jc w:val="center"/>
                    <w:rPr>
                      <w:color w:val="auto"/>
                      <w:kern w:val="0"/>
                      <w:szCs w:val="21"/>
                      <w:lang w:bidi="ar"/>
                    </w:rPr>
                  </w:pPr>
                  <w:r>
                    <w:rPr>
                      <w:color w:val="auto"/>
                      <w:kern w:val="0"/>
                      <w:szCs w:val="21"/>
                      <w:lang w:bidi="ar"/>
                    </w:rPr>
                    <w:t>非甲烷</w:t>
                  </w:r>
                </w:p>
                <w:p>
                  <w:pPr>
                    <w:adjustRightInd w:val="0"/>
                    <w:snapToGrid w:val="0"/>
                    <w:jc w:val="center"/>
                    <w:rPr>
                      <w:rFonts w:eastAsiaTheme="minorEastAsia"/>
                      <w:color w:val="auto"/>
                      <w:kern w:val="0"/>
                      <w:szCs w:val="21"/>
                    </w:rPr>
                  </w:pPr>
                  <w:r>
                    <w:rPr>
                      <w:color w:val="auto"/>
                      <w:kern w:val="0"/>
                      <w:szCs w:val="21"/>
                      <w:lang w:bidi="ar"/>
                    </w:rPr>
                    <w:t>总烃</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eastAsia" w:cs="Times New Roman"/>
                      <w:i w:val="0"/>
                      <w:iCs w:val="0"/>
                      <w:color w:val="auto"/>
                      <w:kern w:val="0"/>
                      <w:sz w:val="21"/>
                      <w:szCs w:val="21"/>
                      <w:u w:val="none"/>
                      <w:lang w:val="en-US" w:eastAsia="zh-CN" w:bidi="ar"/>
                    </w:rPr>
                    <w:t>6.249</w:t>
                  </w:r>
                </w:p>
              </w:tc>
              <w:tc>
                <w:tcPr>
                  <w:tcW w:w="1096"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0.062</w:t>
                  </w:r>
                </w:p>
              </w:tc>
              <w:tc>
                <w:tcPr>
                  <w:tcW w:w="958"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0.131</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eastAsia" w:cs="Times New Roman"/>
                      <w:i w:val="0"/>
                      <w:iCs w:val="0"/>
                      <w:color w:val="auto"/>
                      <w:kern w:val="0"/>
                      <w:sz w:val="21"/>
                      <w:szCs w:val="21"/>
                      <w:u w:val="none"/>
                      <w:lang w:val="en-US" w:eastAsia="zh-CN" w:bidi="ar"/>
                    </w:rPr>
                    <w:t>6.249</w:t>
                  </w:r>
                </w:p>
              </w:tc>
              <w:tc>
                <w:tcPr>
                  <w:tcW w:w="1096"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0.062</w:t>
                  </w:r>
                </w:p>
              </w:tc>
              <w:tc>
                <w:tcPr>
                  <w:tcW w:w="1149" w:type="dxa"/>
                  <w:tcBorders>
                    <w:tl2br w:val="nil"/>
                    <w:tr2bl w:val="nil"/>
                  </w:tcBorders>
                  <w:shd w:val="clear" w:color="auto" w:fill="auto"/>
                  <w:vAlign w:val="center"/>
                </w:tcPr>
                <w:p>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0.131</w:t>
                  </w:r>
                </w:p>
              </w:tc>
            </w:tr>
          </w:tbl>
          <w:p>
            <w:pPr>
              <w:spacing w:line="360" w:lineRule="auto"/>
              <w:ind w:firstLine="480" w:firstLineChars="200"/>
              <w:rPr>
                <w:color w:val="auto"/>
              </w:rPr>
            </w:pPr>
            <w:r>
              <w:rPr>
                <w:rFonts w:hint="eastAsia" w:eastAsiaTheme="minorEastAsia"/>
                <w:color w:val="auto"/>
                <w:sz w:val="24"/>
              </w:rPr>
              <w:t>由表4.7分析</w:t>
            </w:r>
            <w:r>
              <w:rPr>
                <w:rFonts w:eastAsiaTheme="minorEastAsia"/>
                <w:color w:val="auto"/>
                <w:sz w:val="24"/>
              </w:rPr>
              <w:t>可知，</w:t>
            </w:r>
            <w:r>
              <w:rPr>
                <w:rFonts w:hint="eastAsia" w:eastAsiaTheme="minorEastAsia"/>
                <w:color w:val="auto"/>
                <w:sz w:val="24"/>
              </w:rPr>
              <w:t>当</w:t>
            </w:r>
            <w:r>
              <w:rPr>
                <w:rFonts w:eastAsiaTheme="minorEastAsia"/>
                <w:color w:val="auto"/>
                <w:sz w:val="24"/>
              </w:rPr>
              <w:t>废气处理设施</w:t>
            </w:r>
            <w:r>
              <w:rPr>
                <w:rFonts w:hint="eastAsia" w:eastAsiaTheme="minorEastAsia"/>
                <w:color w:val="auto"/>
                <w:sz w:val="24"/>
              </w:rPr>
              <w:t>失效时</w:t>
            </w:r>
            <w:r>
              <w:rPr>
                <w:rFonts w:eastAsiaTheme="minorEastAsia"/>
                <w:color w:val="auto"/>
                <w:sz w:val="24"/>
              </w:rPr>
              <w:t>，</w:t>
            </w:r>
            <w:r>
              <w:rPr>
                <w:rFonts w:hint="eastAsia" w:eastAsiaTheme="minorEastAsia"/>
                <w:color w:val="auto"/>
                <w:sz w:val="24"/>
              </w:rPr>
              <w:t>3</w:t>
            </w:r>
            <w:r>
              <w:rPr>
                <w:rFonts w:eastAsiaTheme="minorEastAsia"/>
                <w:color w:val="auto"/>
                <w:sz w:val="24"/>
              </w:rPr>
              <w:t>#排气筒</w:t>
            </w:r>
            <w:r>
              <w:rPr>
                <w:rFonts w:hint="eastAsia" w:eastAsiaTheme="minorEastAsia"/>
                <w:color w:val="auto"/>
                <w:sz w:val="24"/>
              </w:rPr>
              <w:t>非甲烷总烃</w:t>
            </w:r>
            <w:r>
              <w:rPr>
                <w:rFonts w:eastAsiaTheme="minorEastAsia"/>
                <w:color w:val="auto"/>
                <w:sz w:val="24"/>
              </w:rPr>
              <w:t>排放浓度</w:t>
            </w:r>
            <w:r>
              <w:rPr>
                <w:rFonts w:hint="eastAsia" w:eastAsiaTheme="minorEastAsia"/>
                <w:color w:val="auto"/>
                <w:sz w:val="24"/>
              </w:rPr>
              <w:t>较高，不满足</w:t>
            </w:r>
            <w:r>
              <w:rPr>
                <w:color w:val="auto"/>
                <w:sz w:val="24"/>
              </w:rPr>
              <w:t>《大气污染物综合排放标准》(DB50/418－2016)</w:t>
            </w:r>
            <w:r>
              <w:rPr>
                <w:rFonts w:eastAsiaTheme="minorEastAsia"/>
                <w:snapToGrid w:val="0"/>
                <w:color w:val="auto"/>
                <w:sz w:val="24"/>
              </w:rPr>
              <w:t>。因此</w:t>
            </w:r>
            <w:r>
              <w:rPr>
                <w:rFonts w:hint="eastAsia" w:eastAsiaTheme="minorEastAsia"/>
                <w:snapToGrid w:val="0"/>
                <w:color w:val="auto"/>
                <w:sz w:val="24"/>
              </w:rPr>
              <w:t>企业</w:t>
            </w:r>
            <w:r>
              <w:rPr>
                <w:rFonts w:eastAsiaTheme="minorEastAsia"/>
                <w:snapToGrid w:val="0"/>
                <w:color w:val="auto"/>
                <w:sz w:val="24"/>
              </w:rPr>
              <w:t>需加强</w:t>
            </w:r>
            <w:r>
              <w:rPr>
                <w:rFonts w:hint="eastAsia" w:eastAsiaTheme="minorEastAsia"/>
                <w:snapToGrid w:val="0"/>
                <w:color w:val="auto"/>
                <w:sz w:val="24"/>
              </w:rPr>
              <w:t>废气治理</w:t>
            </w:r>
            <w:r>
              <w:rPr>
                <w:rFonts w:eastAsiaTheme="minorEastAsia"/>
                <w:snapToGrid w:val="0"/>
                <w:color w:val="auto"/>
                <w:sz w:val="24"/>
              </w:rPr>
              <w:t>措施的运行管理，尽量避免非正常排放</w:t>
            </w:r>
            <w:r>
              <w:rPr>
                <w:rFonts w:hint="eastAsia" w:eastAsiaTheme="minorEastAsia"/>
                <w:snapToGrid w:val="0"/>
                <w:color w:val="auto"/>
                <w:sz w:val="24"/>
              </w:rPr>
              <w:t>。</w:t>
            </w:r>
          </w:p>
          <w:p>
            <w:pPr>
              <w:pStyle w:val="2"/>
              <w:rPr>
                <w:rFonts w:ascii="Times New Roman" w:cs="Times New Roman"/>
                <w:b/>
                <w:bCs/>
                <w:color w:val="auto"/>
              </w:rPr>
            </w:pPr>
            <w:r>
              <w:rPr>
                <w:rFonts w:ascii="Times New Roman" w:cs="Times New Roman"/>
                <w:b/>
                <w:bCs/>
                <w:color w:val="auto"/>
              </w:rPr>
              <w:t>2.废水</w:t>
            </w:r>
          </w:p>
          <w:p>
            <w:pPr>
              <w:pStyle w:val="2"/>
              <w:snapToGrid w:val="0"/>
              <w:ind w:firstLine="480" w:firstLineChars="200"/>
              <w:rPr>
                <w:rFonts w:ascii="Times New Roman" w:cs="Times New Roman"/>
                <w:color w:val="auto"/>
              </w:rPr>
            </w:pPr>
            <w:r>
              <w:rPr>
                <w:rFonts w:ascii="Times New Roman" w:cs="Times New Roman"/>
                <w:color w:val="auto"/>
              </w:rPr>
              <w:t>（</w:t>
            </w:r>
            <w:r>
              <w:rPr>
                <w:rFonts w:hint="eastAsia" w:ascii="Times New Roman" w:cs="Times New Roman"/>
                <w:color w:val="auto"/>
              </w:rPr>
              <w:t>1</w:t>
            </w:r>
            <w:r>
              <w:rPr>
                <w:rFonts w:ascii="Times New Roman" w:cs="Times New Roman"/>
                <w:color w:val="auto"/>
              </w:rPr>
              <w:t>）水污染物产排量核算</w:t>
            </w:r>
          </w:p>
          <w:p>
            <w:pPr>
              <w:pStyle w:val="2"/>
              <w:snapToGrid w:val="0"/>
              <w:ind w:firstLine="480" w:firstLineChars="200"/>
              <w:rPr>
                <w:color w:val="auto"/>
                <w:sz w:val="21"/>
                <w:szCs w:val="21"/>
              </w:rPr>
            </w:pPr>
            <w:r>
              <w:rPr>
                <w:rFonts w:hint="eastAsia" w:ascii="Times New Roman" w:cs="Times New Roman"/>
                <w:color w:val="auto"/>
                <w:lang w:eastAsia="zh-CN"/>
              </w:rPr>
              <w:t>扩建项目</w:t>
            </w:r>
            <w:r>
              <w:rPr>
                <w:rFonts w:ascii="Times New Roman" w:cs="Times New Roman"/>
                <w:color w:val="auto"/>
              </w:rPr>
              <w:t>废水主要为生活污水</w:t>
            </w:r>
            <w:r>
              <w:rPr>
                <w:rFonts w:hint="eastAsia" w:ascii="Times New Roman" w:cs="Times New Roman"/>
                <w:color w:val="auto"/>
              </w:rPr>
              <w:t>、食堂废水。</w:t>
            </w:r>
            <w:r>
              <w:rPr>
                <w:rFonts w:hint="eastAsia" w:cs="Times New Roman"/>
                <w:color w:val="auto"/>
              </w:rPr>
              <w:t>根据《排放源统计调查产排污核算方法和系数手册》</w:t>
            </w:r>
            <w:r>
              <w:rPr>
                <w:rFonts w:ascii="Times New Roman" w:cs="Times New Roman" w:eastAsiaTheme="minorEastAsia"/>
                <w:bCs/>
                <w:color w:val="auto"/>
              </w:rPr>
              <w:t>（生态环境部公告2021年第24号）</w:t>
            </w:r>
            <w:r>
              <w:rPr>
                <w:rFonts w:hint="eastAsia" w:ascii="Times New Roman" w:cs="Times New Roman"/>
                <w:color w:val="auto"/>
              </w:rPr>
              <w:t>及表2.3分析可知，</w:t>
            </w:r>
            <w:r>
              <w:rPr>
                <w:rFonts w:hint="eastAsia" w:ascii="Times New Roman" w:cs="Times New Roman"/>
                <w:color w:val="auto"/>
                <w:lang w:eastAsia="zh-CN"/>
              </w:rPr>
              <w:t>扩建项目</w:t>
            </w:r>
            <w:r>
              <w:rPr>
                <w:rFonts w:ascii="Times New Roman" w:cs="Times New Roman"/>
                <w:color w:val="auto"/>
              </w:rPr>
              <w:t>活污水产生量为</w:t>
            </w:r>
            <w:r>
              <w:rPr>
                <w:rFonts w:hint="eastAsia" w:ascii="Times New Roman" w:cs="Times New Roman"/>
                <w:color w:val="auto"/>
              </w:rPr>
              <w:t>0.594</w:t>
            </w:r>
            <w:r>
              <w:rPr>
                <w:rFonts w:ascii="Times New Roman" w:cs="Times New Roman"/>
                <w:color w:val="auto"/>
              </w:rPr>
              <w:t>m</w:t>
            </w:r>
            <w:r>
              <w:rPr>
                <w:rFonts w:ascii="Times New Roman" w:cs="Times New Roman"/>
                <w:color w:val="auto"/>
                <w:vertAlign w:val="superscript"/>
              </w:rPr>
              <w:t>3</w:t>
            </w:r>
            <w:r>
              <w:rPr>
                <w:rFonts w:ascii="Times New Roman" w:cs="Times New Roman"/>
                <w:color w:val="auto"/>
              </w:rPr>
              <w:t>/d，即</w:t>
            </w:r>
            <w:r>
              <w:rPr>
                <w:rFonts w:hint="eastAsia" w:ascii="Times New Roman" w:cs="Times New Roman"/>
                <w:color w:val="auto"/>
              </w:rPr>
              <w:t>178</w:t>
            </w:r>
            <w:r>
              <w:rPr>
                <w:rFonts w:ascii="Times New Roman" w:cs="Times New Roman"/>
                <w:color w:val="auto"/>
              </w:rPr>
              <w:t>m</w:t>
            </w:r>
            <w:r>
              <w:rPr>
                <w:rFonts w:ascii="Times New Roman" w:cs="Times New Roman"/>
                <w:color w:val="auto"/>
                <w:vertAlign w:val="superscript"/>
              </w:rPr>
              <w:t>3</w:t>
            </w:r>
            <w:r>
              <w:rPr>
                <w:rFonts w:ascii="Times New Roman" w:cs="Times New Roman"/>
                <w:color w:val="auto"/>
              </w:rPr>
              <w:t>/a</w:t>
            </w:r>
            <w:r>
              <w:rPr>
                <w:rFonts w:hint="eastAsia" w:ascii="Times New Roman" w:cs="Times New Roman"/>
                <w:color w:val="auto"/>
              </w:rPr>
              <w:t>；食堂废水产生量为0.1</w:t>
            </w:r>
            <w:r>
              <w:rPr>
                <w:rFonts w:hint="eastAsia" w:ascii="Times New Roman" w:cs="Times New Roman"/>
                <w:color w:val="auto"/>
                <w:lang w:val="en-US" w:eastAsia="zh-CN"/>
              </w:rPr>
              <w:t>66</w:t>
            </w:r>
            <w:r>
              <w:rPr>
                <w:rFonts w:hint="eastAsia" w:ascii="Times New Roman" w:cs="Times New Roman"/>
                <w:color w:val="auto"/>
              </w:rPr>
              <w:t>m</w:t>
            </w:r>
            <w:r>
              <w:rPr>
                <w:rFonts w:hint="eastAsia" w:ascii="Times New Roman" w:cs="Times New Roman"/>
                <w:color w:val="auto"/>
                <w:vertAlign w:val="superscript"/>
              </w:rPr>
              <w:t>3</w:t>
            </w:r>
            <w:r>
              <w:rPr>
                <w:rFonts w:hint="eastAsia" w:ascii="Times New Roman" w:cs="Times New Roman"/>
                <w:color w:val="auto"/>
              </w:rPr>
              <w:t>/d，即</w:t>
            </w:r>
            <w:r>
              <w:rPr>
                <w:rFonts w:hint="eastAsia" w:ascii="Times New Roman" w:cs="Times New Roman"/>
                <w:color w:val="auto"/>
                <w:lang w:val="en-US" w:eastAsia="zh-CN"/>
              </w:rPr>
              <w:t>50</w:t>
            </w:r>
            <w:r>
              <w:rPr>
                <w:rFonts w:hint="eastAsia" w:ascii="Times New Roman" w:cs="Times New Roman"/>
                <w:color w:val="auto"/>
              </w:rPr>
              <w:t>m</w:t>
            </w:r>
            <w:r>
              <w:rPr>
                <w:rFonts w:hint="eastAsia" w:ascii="Times New Roman" w:cs="Times New Roman"/>
                <w:color w:val="auto"/>
                <w:vertAlign w:val="superscript"/>
              </w:rPr>
              <w:t>3</w:t>
            </w:r>
            <w:r>
              <w:rPr>
                <w:rFonts w:hint="eastAsia" w:ascii="Times New Roman" w:cs="Times New Roman"/>
                <w:color w:val="auto"/>
              </w:rPr>
              <w:t>/a，</w:t>
            </w:r>
            <w:r>
              <w:rPr>
                <w:rFonts w:ascii="Times New Roman" w:cs="Times New Roman"/>
                <w:color w:val="auto"/>
              </w:rPr>
              <w:t>其主要污染物为COD、BOD</w:t>
            </w:r>
            <w:r>
              <w:rPr>
                <w:rFonts w:ascii="Times New Roman" w:cs="Times New Roman"/>
                <w:color w:val="auto"/>
                <w:vertAlign w:val="subscript"/>
              </w:rPr>
              <w:t>5</w:t>
            </w:r>
            <w:r>
              <w:rPr>
                <w:rFonts w:ascii="Times New Roman" w:cs="Times New Roman"/>
                <w:color w:val="auto"/>
              </w:rPr>
              <w:t>、SS、氨氮、</w:t>
            </w:r>
            <w:r>
              <w:rPr>
                <w:rFonts w:hint="eastAsia" w:ascii="Times New Roman" w:cs="Times New Roman"/>
                <w:color w:val="auto"/>
              </w:rPr>
              <w:t>动植物油</w:t>
            </w:r>
            <w:r>
              <w:rPr>
                <w:rFonts w:ascii="Times New Roman" w:cs="Times New Roman"/>
                <w:color w:val="auto"/>
              </w:rPr>
              <w:t>，其水污染物核算见表4.</w:t>
            </w:r>
            <w:r>
              <w:rPr>
                <w:rFonts w:hint="eastAsia" w:ascii="Times New Roman" w:cs="Times New Roman"/>
                <w:color w:val="auto"/>
              </w:rPr>
              <w:t>8</w:t>
            </w:r>
            <w:r>
              <w:rPr>
                <w:rFonts w:ascii="Times New Roman" w:cs="Times New Roman"/>
                <w:color w:val="auto"/>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8</w:t>
            </w:r>
            <w:r>
              <w:rPr>
                <w:color w:val="auto"/>
                <w:sz w:val="21"/>
                <w:szCs w:val="21"/>
              </w:rPr>
              <w:t xml:space="preserve"> 水污染物核算一览表</w:t>
            </w:r>
          </w:p>
          <w:tbl>
            <w:tblPr>
              <w:tblStyle w:val="22"/>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707"/>
              <w:gridCol w:w="977"/>
              <w:gridCol w:w="982"/>
              <w:gridCol w:w="1262"/>
              <w:gridCol w:w="980"/>
              <w:gridCol w:w="1262"/>
              <w:gridCol w:w="981"/>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47" w:type="pct"/>
                  <w:vMerge w:val="restart"/>
                  <w:tcBorders>
                    <w:tl2br w:val="nil"/>
                    <w:tr2bl w:val="nil"/>
                  </w:tcBorders>
                  <w:vAlign w:val="center"/>
                </w:tcPr>
                <w:p>
                  <w:pPr>
                    <w:widowControl/>
                    <w:spacing w:line="216" w:lineRule="auto"/>
                    <w:jc w:val="center"/>
                    <w:rPr>
                      <w:color w:val="auto"/>
                    </w:rPr>
                  </w:pPr>
                  <w:r>
                    <w:rPr>
                      <w:rFonts w:hint="eastAsia"/>
                      <w:color w:val="auto"/>
                    </w:rPr>
                    <w:t>污染物</w:t>
                  </w:r>
                </w:p>
              </w:tc>
              <w:tc>
                <w:tcPr>
                  <w:tcW w:w="1201" w:type="pct"/>
                  <w:gridSpan w:val="2"/>
                  <w:tcBorders>
                    <w:tl2br w:val="nil"/>
                    <w:tr2bl w:val="nil"/>
                  </w:tcBorders>
                  <w:vAlign w:val="center"/>
                </w:tcPr>
                <w:p>
                  <w:pPr>
                    <w:widowControl/>
                    <w:spacing w:line="216" w:lineRule="auto"/>
                    <w:jc w:val="center"/>
                    <w:rPr>
                      <w:color w:val="auto"/>
                    </w:rPr>
                  </w:pPr>
                  <w:r>
                    <w:rPr>
                      <w:rFonts w:hint="eastAsia"/>
                      <w:color w:val="auto"/>
                    </w:rPr>
                    <w:t>产生量</w:t>
                  </w:r>
                </w:p>
              </w:tc>
              <w:tc>
                <w:tcPr>
                  <w:tcW w:w="1375" w:type="pct"/>
                  <w:gridSpan w:val="2"/>
                  <w:tcBorders>
                    <w:tl2br w:val="nil"/>
                    <w:tr2bl w:val="nil"/>
                  </w:tcBorders>
                  <w:vAlign w:val="center"/>
                </w:tcPr>
                <w:p>
                  <w:pPr>
                    <w:spacing w:line="216" w:lineRule="auto"/>
                    <w:jc w:val="center"/>
                    <w:rPr>
                      <w:color w:val="auto"/>
                    </w:rPr>
                  </w:pPr>
                  <w:r>
                    <w:rPr>
                      <w:rFonts w:hint="eastAsia"/>
                      <w:color w:val="auto"/>
                    </w:rPr>
                    <w:t>三级标准</w:t>
                  </w:r>
                </w:p>
              </w:tc>
              <w:tc>
                <w:tcPr>
                  <w:tcW w:w="1375" w:type="pct"/>
                  <w:gridSpan w:val="2"/>
                  <w:tcBorders>
                    <w:tl2br w:val="nil"/>
                    <w:tr2bl w:val="nil"/>
                  </w:tcBorders>
                  <w:vAlign w:val="center"/>
                </w:tcPr>
                <w:p>
                  <w:pPr>
                    <w:spacing w:line="216" w:lineRule="auto"/>
                    <w:jc w:val="center"/>
                    <w:rPr>
                      <w:color w:val="auto"/>
                    </w:rPr>
                  </w:pPr>
                  <w:r>
                    <w:rPr>
                      <w:rFonts w:hint="eastAsia"/>
                      <w:color w:val="auto"/>
                    </w:rPr>
                    <w:t>一级B标</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047" w:type="pct"/>
                  <w:vMerge w:val="continue"/>
                  <w:tcBorders>
                    <w:tl2br w:val="nil"/>
                    <w:tr2bl w:val="nil"/>
                  </w:tcBorders>
                  <w:vAlign w:val="center"/>
                </w:tcPr>
                <w:p>
                  <w:pPr>
                    <w:widowControl/>
                    <w:jc w:val="left"/>
                    <w:rPr>
                      <w:color w:val="auto"/>
                    </w:rPr>
                  </w:pPr>
                </w:p>
              </w:tc>
              <w:tc>
                <w:tcPr>
                  <w:tcW w:w="599" w:type="pct"/>
                  <w:tcBorders>
                    <w:tl2br w:val="nil"/>
                    <w:tr2bl w:val="nil"/>
                  </w:tcBorders>
                  <w:vAlign w:val="center"/>
                </w:tcPr>
                <w:p>
                  <w:pPr>
                    <w:widowControl/>
                    <w:spacing w:line="216" w:lineRule="auto"/>
                    <w:jc w:val="center"/>
                    <w:rPr>
                      <w:color w:val="auto"/>
                      <w:szCs w:val="21"/>
                    </w:rPr>
                  </w:pPr>
                  <w:r>
                    <w:rPr>
                      <w:color w:val="auto"/>
                      <w:szCs w:val="21"/>
                    </w:rPr>
                    <w:t>产生浓</w:t>
                  </w:r>
                </w:p>
                <w:p>
                  <w:pPr>
                    <w:widowControl/>
                    <w:spacing w:line="216" w:lineRule="auto"/>
                    <w:jc w:val="center"/>
                    <w:rPr>
                      <w:color w:val="auto"/>
                      <w:szCs w:val="21"/>
                    </w:rPr>
                  </w:pPr>
                  <w:r>
                    <w:rPr>
                      <w:color w:val="auto"/>
                      <w:szCs w:val="21"/>
                    </w:rPr>
                    <w:t>(mg/L)</w:t>
                  </w:r>
                </w:p>
              </w:tc>
              <w:tc>
                <w:tcPr>
                  <w:tcW w:w="602" w:type="pct"/>
                  <w:tcBorders>
                    <w:tl2br w:val="nil"/>
                    <w:tr2bl w:val="nil"/>
                  </w:tcBorders>
                  <w:vAlign w:val="center"/>
                </w:tcPr>
                <w:p>
                  <w:pPr>
                    <w:widowControl/>
                    <w:spacing w:line="216" w:lineRule="auto"/>
                    <w:jc w:val="center"/>
                    <w:rPr>
                      <w:color w:val="auto"/>
                      <w:szCs w:val="21"/>
                    </w:rPr>
                  </w:pPr>
                  <w:r>
                    <w:rPr>
                      <w:color w:val="auto"/>
                      <w:szCs w:val="21"/>
                    </w:rPr>
                    <w:t>产生量</w:t>
                  </w:r>
                </w:p>
                <w:p>
                  <w:pPr>
                    <w:widowControl/>
                    <w:spacing w:line="216" w:lineRule="auto"/>
                    <w:jc w:val="center"/>
                    <w:rPr>
                      <w:color w:val="auto"/>
                      <w:szCs w:val="21"/>
                    </w:rPr>
                  </w:pPr>
                  <w:r>
                    <w:rPr>
                      <w:color w:val="auto"/>
                      <w:szCs w:val="21"/>
                    </w:rPr>
                    <w:t>（t/a）</w:t>
                  </w:r>
                </w:p>
              </w:tc>
              <w:tc>
                <w:tcPr>
                  <w:tcW w:w="774" w:type="pct"/>
                  <w:tcBorders>
                    <w:tl2br w:val="nil"/>
                    <w:tr2bl w:val="nil"/>
                  </w:tcBorders>
                  <w:vAlign w:val="center"/>
                </w:tcPr>
                <w:p>
                  <w:pPr>
                    <w:widowControl/>
                    <w:spacing w:line="216" w:lineRule="auto"/>
                    <w:jc w:val="center"/>
                    <w:rPr>
                      <w:color w:val="auto"/>
                      <w:szCs w:val="21"/>
                    </w:rPr>
                  </w:pPr>
                  <w:r>
                    <w:rPr>
                      <w:color w:val="auto"/>
                      <w:szCs w:val="21"/>
                    </w:rPr>
                    <w:t>排放浓</w:t>
                  </w:r>
                </w:p>
                <w:p>
                  <w:pPr>
                    <w:widowControl/>
                    <w:spacing w:line="216" w:lineRule="auto"/>
                    <w:jc w:val="center"/>
                    <w:rPr>
                      <w:color w:val="auto"/>
                      <w:szCs w:val="21"/>
                    </w:rPr>
                  </w:pPr>
                  <w:r>
                    <w:rPr>
                      <w:color w:val="auto"/>
                      <w:szCs w:val="21"/>
                    </w:rPr>
                    <w:t>（mg/L）</w:t>
                  </w:r>
                </w:p>
              </w:tc>
              <w:tc>
                <w:tcPr>
                  <w:tcW w:w="601" w:type="pct"/>
                  <w:tcBorders>
                    <w:tl2br w:val="nil"/>
                    <w:tr2bl w:val="nil"/>
                  </w:tcBorders>
                  <w:vAlign w:val="center"/>
                </w:tcPr>
                <w:p>
                  <w:pPr>
                    <w:widowControl/>
                    <w:spacing w:line="216" w:lineRule="auto"/>
                    <w:jc w:val="center"/>
                    <w:rPr>
                      <w:color w:val="auto"/>
                      <w:szCs w:val="21"/>
                    </w:rPr>
                  </w:pPr>
                  <w:r>
                    <w:rPr>
                      <w:color w:val="auto"/>
                      <w:szCs w:val="21"/>
                    </w:rPr>
                    <w:t>排放量</w:t>
                  </w:r>
                </w:p>
                <w:p>
                  <w:pPr>
                    <w:widowControl/>
                    <w:spacing w:line="216" w:lineRule="auto"/>
                    <w:jc w:val="center"/>
                    <w:rPr>
                      <w:color w:val="auto"/>
                      <w:szCs w:val="21"/>
                    </w:rPr>
                  </w:pPr>
                  <w:r>
                    <w:rPr>
                      <w:color w:val="auto"/>
                      <w:szCs w:val="21"/>
                    </w:rPr>
                    <w:t>（t/a）</w:t>
                  </w:r>
                </w:p>
              </w:tc>
              <w:tc>
                <w:tcPr>
                  <w:tcW w:w="774" w:type="pct"/>
                  <w:tcBorders>
                    <w:tl2br w:val="nil"/>
                    <w:tr2bl w:val="nil"/>
                  </w:tcBorders>
                  <w:vAlign w:val="center"/>
                </w:tcPr>
                <w:p>
                  <w:pPr>
                    <w:widowControl/>
                    <w:spacing w:line="216" w:lineRule="auto"/>
                    <w:jc w:val="center"/>
                    <w:rPr>
                      <w:color w:val="auto"/>
                      <w:szCs w:val="21"/>
                    </w:rPr>
                  </w:pPr>
                  <w:r>
                    <w:rPr>
                      <w:color w:val="auto"/>
                      <w:szCs w:val="21"/>
                    </w:rPr>
                    <w:t>排放浓</w:t>
                  </w:r>
                </w:p>
                <w:p>
                  <w:pPr>
                    <w:widowControl/>
                    <w:spacing w:line="216" w:lineRule="auto"/>
                    <w:jc w:val="center"/>
                    <w:rPr>
                      <w:color w:val="auto"/>
                      <w:szCs w:val="21"/>
                    </w:rPr>
                  </w:pPr>
                  <w:r>
                    <w:rPr>
                      <w:color w:val="auto"/>
                      <w:szCs w:val="21"/>
                    </w:rPr>
                    <w:t>（mg/L）</w:t>
                  </w:r>
                </w:p>
              </w:tc>
              <w:tc>
                <w:tcPr>
                  <w:tcW w:w="601" w:type="pct"/>
                  <w:tcBorders>
                    <w:tl2br w:val="nil"/>
                    <w:tr2bl w:val="nil"/>
                  </w:tcBorders>
                  <w:vAlign w:val="center"/>
                </w:tcPr>
                <w:p>
                  <w:pPr>
                    <w:widowControl/>
                    <w:spacing w:line="216" w:lineRule="auto"/>
                    <w:jc w:val="center"/>
                    <w:rPr>
                      <w:color w:val="auto"/>
                      <w:szCs w:val="21"/>
                    </w:rPr>
                  </w:pPr>
                  <w:r>
                    <w:rPr>
                      <w:color w:val="auto"/>
                      <w:szCs w:val="21"/>
                    </w:rPr>
                    <w:t>排放量</w:t>
                  </w:r>
                </w:p>
                <w:p>
                  <w:pPr>
                    <w:widowControl/>
                    <w:spacing w:line="216" w:lineRule="auto"/>
                    <w:jc w:val="center"/>
                    <w:rPr>
                      <w:color w:val="auto"/>
                      <w:szCs w:val="21"/>
                    </w:rPr>
                  </w:pPr>
                  <w:r>
                    <w:rPr>
                      <w:color w:val="auto"/>
                      <w:szCs w:val="21"/>
                    </w:rPr>
                    <w:t>（t/a）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生活污水</w:t>
                  </w:r>
                </w:p>
              </w:tc>
              <w:tc>
                <w:tcPr>
                  <w:tcW w:w="599" w:type="pct"/>
                  <w:tcBorders>
                    <w:tl2br w:val="nil"/>
                    <w:tr2bl w:val="nil"/>
                  </w:tcBorders>
                  <w:vAlign w:val="center"/>
                </w:tcPr>
                <w:p>
                  <w:pPr>
                    <w:adjustRightInd w:val="0"/>
                    <w:snapToGrid w:val="0"/>
                    <w:jc w:val="center"/>
                    <w:rPr>
                      <w:color w:val="auto"/>
                      <w:szCs w:val="21"/>
                    </w:rPr>
                  </w:pPr>
                  <w:r>
                    <w:rPr>
                      <w:color w:val="auto"/>
                      <w:szCs w:val="21"/>
                    </w:rPr>
                    <w:t>/</w:t>
                  </w:r>
                </w:p>
              </w:tc>
              <w:tc>
                <w:tcPr>
                  <w:tcW w:w="602" w:type="pct"/>
                  <w:tcBorders>
                    <w:tl2br w:val="nil"/>
                    <w:tr2bl w:val="nil"/>
                  </w:tcBorders>
                  <w:vAlign w:val="center"/>
                </w:tcPr>
                <w:p>
                  <w:pPr>
                    <w:adjustRightInd w:val="0"/>
                    <w:snapToGrid w:val="0"/>
                    <w:jc w:val="center"/>
                    <w:rPr>
                      <w:color w:val="auto"/>
                      <w:szCs w:val="21"/>
                    </w:rPr>
                  </w:pPr>
                  <w:r>
                    <w:rPr>
                      <w:color w:val="auto"/>
                      <w:szCs w:val="21"/>
                    </w:rPr>
                    <w:t>178</w:t>
                  </w:r>
                </w:p>
              </w:tc>
              <w:tc>
                <w:tcPr>
                  <w:tcW w:w="774" w:type="pct"/>
                  <w:tcBorders>
                    <w:tl2br w:val="nil"/>
                    <w:tr2bl w:val="nil"/>
                  </w:tcBorders>
                  <w:vAlign w:val="center"/>
                </w:tcPr>
                <w:p>
                  <w:pPr>
                    <w:adjustRightInd w:val="0"/>
                    <w:snapToGrid w:val="0"/>
                    <w:jc w:val="center"/>
                    <w:rPr>
                      <w:color w:val="auto"/>
                      <w:szCs w:val="21"/>
                    </w:rPr>
                  </w:pPr>
                  <w:r>
                    <w:rPr>
                      <w:color w:val="auto"/>
                      <w:szCs w:val="21"/>
                    </w:rPr>
                    <w:t>/</w:t>
                  </w:r>
                </w:p>
              </w:tc>
              <w:tc>
                <w:tcPr>
                  <w:tcW w:w="601" w:type="pct"/>
                  <w:tcBorders>
                    <w:tl2br w:val="nil"/>
                    <w:tr2bl w:val="nil"/>
                  </w:tcBorders>
                  <w:vAlign w:val="center"/>
                </w:tcPr>
                <w:p>
                  <w:pPr>
                    <w:adjustRightInd w:val="0"/>
                    <w:snapToGrid w:val="0"/>
                    <w:jc w:val="center"/>
                    <w:rPr>
                      <w:color w:val="auto"/>
                      <w:szCs w:val="21"/>
                    </w:rPr>
                  </w:pPr>
                  <w:r>
                    <w:rPr>
                      <w:color w:val="auto"/>
                      <w:szCs w:val="21"/>
                    </w:rPr>
                    <w:t>178</w:t>
                  </w:r>
                </w:p>
              </w:tc>
              <w:tc>
                <w:tcPr>
                  <w:tcW w:w="774" w:type="pct"/>
                  <w:tcBorders>
                    <w:tl2br w:val="nil"/>
                    <w:tr2bl w:val="nil"/>
                  </w:tcBorders>
                  <w:vAlign w:val="center"/>
                </w:tcPr>
                <w:p>
                  <w:pPr>
                    <w:adjustRightInd w:val="0"/>
                    <w:snapToGrid w:val="0"/>
                    <w:jc w:val="center"/>
                    <w:rPr>
                      <w:color w:val="auto"/>
                      <w:szCs w:val="21"/>
                    </w:rPr>
                  </w:pPr>
                  <w:r>
                    <w:rPr>
                      <w:color w:val="auto"/>
                      <w:szCs w:val="21"/>
                    </w:rPr>
                    <w:t>/</w:t>
                  </w:r>
                </w:p>
              </w:tc>
              <w:tc>
                <w:tcPr>
                  <w:tcW w:w="601" w:type="pct"/>
                  <w:tcBorders>
                    <w:tl2br w:val="nil"/>
                    <w:tr2bl w:val="nil"/>
                  </w:tcBorders>
                  <w:vAlign w:val="center"/>
                </w:tcPr>
                <w:p>
                  <w:pPr>
                    <w:adjustRightInd w:val="0"/>
                    <w:snapToGrid w:val="0"/>
                    <w:jc w:val="center"/>
                    <w:rPr>
                      <w:color w:val="auto"/>
                      <w:szCs w:val="21"/>
                    </w:rPr>
                  </w:pPr>
                  <w:r>
                    <w:rPr>
                      <w:color w:val="auto"/>
                      <w:szCs w:val="21"/>
                    </w:rPr>
                    <w:t>178</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COD</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325</w:t>
                  </w:r>
                </w:p>
              </w:tc>
              <w:tc>
                <w:tcPr>
                  <w:tcW w:w="982" w:type="dxa"/>
                  <w:tcBorders>
                    <w:tl2br w:val="nil"/>
                    <w:tr2bl w:val="nil"/>
                  </w:tcBorders>
                  <w:vAlign w:val="center"/>
                </w:tcPr>
                <w:p>
                  <w:pPr>
                    <w:widowControl/>
                    <w:jc w:val="center"/>
                    <w:textAlignment w:val="center"/>
                    <w:rPr>
                      <w:color w:val="auto"/>
                      <w:szCs w:val="21"/>
                    </w:rPr>
                  </w:pPr>
                  <w:r>
                    <w:rPr>
                      <w:color w:val="auto"/>
                      <w:kern w:val="0"/>
                      <w:szCs w:val="21"/>
                      <w:lang w:bidi="ar"/>
                    </w:rPr>
                    <w:t>0.058</w:t>
                  </w:r>
                </w:p>
              </w:tc>
              <w:tc>
                <w:tcPr>
                  <w:tcW w:w="774" w:type="pct"/>
                  <w:tcBorders>
                    <w:tl2br w:val="nil"/>
                    <w:tr2bl w:val="nil"/>
                  </w:tcBorders>
                  <w:vAlign w:val="center"/>
                </w:tcPr>
                <w:p>
                  <w:pPr>
                    <w:widowControl/>
                    <w:adjustRightInd w:val="0"/>
                    <w:snapToGrid w:val="0"/>
                    <w:jc w:val="center"/>
                    <w:textAlignment w:val="center"/>
                    <w:rPr>
                      <w:color w:val="auto"/>
                      <w:szCs w:val="21"/>
                    </w:rPr>
                  </w:pPr>
                  <w:r>
                    <w:rPr>
                      <w:color w:val="auto"/>
                      <w:szCs w:val="21"/>
                    </w:rPr>
                    <w:t>300</w:t>
                  </w:r>
                </w:p>
              </w:tc>
              <w:tc>
                <w:tcPr>
                  <w:tcW w:w="601" w:type="pct"/>
                  <w:tcBorders>
                    <w:tl2br w:val="nil"/>
                    <w:tr2bl w:val="nil"/>
                  </w:tcBorders>
                  <w:vAlign w:val="center"/>
                </w:tcPr>
                <w:p>
                  <w:pPr>
                    <w:widowControl/>
                    <w:adjustRightInd w:val="0"/>
                    <w:snapToGrid w:val="0"/>
                    <w:jc w:val="center"/>
                    <w:textAlignment w:val="center"/>
                    <w:rPr>
                      <w:color w:val="auto"/>
                      <w:szCs w:val="21"/>
                    </w:rPr>
                  </w:pPr>
                  <w:r>
                    <w:rPr>
                      <w:color w:val="auto"/>
                      <w:szCs w:val="21"/>
                    </w:rPr>
                    <w:t>/</w:t>
                  </w:r>
                </w:p>
              </w:tc>
              <w:tc>
                <w:tcPr>
                  <w:tcW w:w="774" w:type="pct"/>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60</w:t>
                  </w:r>
                </w:p>
              </w:tc>
              <w:tc>
                <w:tcPr>
                  <w:tcW w:w="601" w:type="pct"/>
                  <w:tcBorders>
                    <w:tl2br w:val="nil"/>
                    <w:tr2bl w:val="nil"/>
                  </w:tcBorders>
                  <w:vAlign w:val="center"/>
                </w:tcPr>
                <w:p>
                  <w:pPr>
                    <w:widowControl/>
                    <w:adjustRightInd w:val="0"/>
                    <w:snapToGrid w:val="0"/>
                    <w:jc w:val="center"/>
                    <w:textAlignment w:val="center"/>
                    <w:rPr>
                      <w:color w:val="auto"/>
                      <w:kern w:val="0"/>
                      <w:szCs w:val="21"/>
                      <w:lang w:bidi="ar"/>
                    </w:rPr>
                  </w:pPr>
                  <w:r>
                    <w:rPr>
                      <w:color w:val="auto"/>
                      <w:kern w:val="0"/>
                      <w:szCs w:val="21"/>
                      <w:lang w:bidi="ar"/>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BOD</w:t>
                  </w:r>
                  <w:r>
                    <w:rPr>
                      <w:color w:val="auto"/>
                      <w:szCs w:val="21"/>
                      <w:vertAlign w:val="subscript"/>
                    </w:rPr>
                    <w:t>5</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163</w:t>
                  </w:r>
                </w:p>
              </w:tc>
              <w:tc>
                <w:tcPr>
                  <w:tcW w:w="982" w:type="dxa"/>
                  <w:tcBorders>
                    <w:tl2br w:val="nil"/>
                    <w:tr2bl w:val="nil"/>
                  </w:tcBorders>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0.029</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20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SS</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300</w:t>
                  </w:r>
                </w:p>
              </w:tc>
              <w:tc>
                <w:tcPr>
                  <w:tcW w:w="982" w:type="dxa"/>
                  <w:tcBorders>
                    <w:tl2br w:val="nil"/>
                    <w:tr2bl w:val="nil"/>
                  </w:tcBorders>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0.053</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20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color w:val="auto"/>
                      <w:szCs w:val="21"/>
                    </w:rPr>
                    <w:t>氨氮</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38</w:t>
                  </w:r>
                </w:p>
              </w:tc>
              <w:tc>
                <w:tcPr>
                  <w:tcW w:w="982" w:type="dxa"/>
                  <w:tcBorders>
                    <w:tl2br w:val="nil"/>
                    <w:tr2bl w:val="nil"/>
                  </w:tcBorders>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0.007</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8</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rFonts w:hint="eastAsia"/>
                      <w:color w:val="auto"/>
                      <w:szCs w:val="21"/>
                    </w:rPr>
                    <w:t>食堂废水</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w:t>
                  </w:r>
                </w:p>
              </w:tc>
              <w:tc>
                <w:tcPr>
                  <w:tcW w:w="602" w:type="pct"/>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50</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50</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50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COD</w:t>
                  </w:r>
                </w:p>
              </w:tc>
              <w:tc>
                <w:tcPr>
                  <w:tcW w:w="977" w:type="dxa"/>
                  <w:tcBorders>
                    <w:tl2br w:val="nil"/>
                    <w:tr2bl w:val="nil"/>
                  </w:tcBorders>
                  <w:vAlign w:val="center"/>
                </w:tcPr>
                <w:p>
                  <w:pPr>
                    <w:widowControl/>
                    <w:jc w:val="center"/>
                    <w:textAlignment w:val="center"/>
                    <w:rPr>
                      <w:color w:val="auto"/>
                      <w:szCs w:val="21"/>
                    </w:rPr>
                  </w:pPr>
                  <w:r>
                    <w:rPr>
                      <w:color w:val="auto"/>
                      <w:kern w:val="0"/>
                      <w:szCs w:val="21"/>
                      <w:lang w:bidi="ar"/>
                    </w:rPr>
                    <w:t>1000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0.050</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300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60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BOD</w:t>
                  </w:r>
                  <w:r>
                    <w:rPr>
                      <w:color w:val="auto"/>
                      <w:szCs w:val="21"/>
                      <w:vertAlign w:val="subscript"/>
                    </w:rPr>
                    <w:t>5</w:t>
                  </w:r>
                </w:p>
              </w:tc>
              <w:tc>
                <w:tcPr>
                  <w:tcW w:w="977" w:type="dxa"/>
                  <w:tcBorders>
                    <w:tl2br w:val="nil"/>
                    <w:tr2bl w:val="nil"/>
                  </w:tcBorders>
                  <w:vAlign w:val="center"/>
                </w:tcPr>
                <w:p>
                  <w:pPr>
                    <w:widowControl/>
                    <w:jc w:val="center"/>
                    <w:textAlignment w:val="center"/>
                    <w:rPr>
                      <w:color w:val="auto"/>
                      <w:szCs w:val="21"/>
                    </w:rPr>
                  </w:pPr>
                  <w:r>
                    <w:rPr>
                      <w:color w:val="auto"/>
                      <w:kern w:val="0"/>
                      <w:szCs w:val="21"/>
                      <w:lang w:bidi="ar"/>
                    </w:rPr>
                    <w:t>600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0.030</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150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20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SS</w:t>
                  </w:r>
                </w:p>
              </w:tc>
              <w:tc>
                <w:tcPr>
                  <w:tcW w:w="977" w:type="dxa"/>
                  <w:tcBorders>
                    <w:tl2br w:val="nil"/>
                    <w:tr2bl w:val="nil"/>
                  </w:tcBorders>
                  <w:vAlign w:val="center"/>
                </w:tcPr>
                <w:p>
                  <w:pPr>
                    <w:widowControl/>
                    <w:jc w:val="center"/>
                    <w:textAlignment w:val="center"/>
                    <w:rPr>
                      <w:color w:val="auto"/>
                      <w:szCs w:val="21"/>
                    </w:rPr>
                  </w:pPr>
                  <w:r>
                    <w:rPr>
                      <w:color w:val="auto"/>
                      <w:kern w:val="0"/>
                      <w:szCs w:val="21"/>
                      <w:lang w:bidi="ar"/>
                    </w:rPr>
                    <w:t>400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0.020</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150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20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color w:val="auto"/>
                      <w:szCs w:val="21"/>
                    </w:rPr>
                    <w:t>氨氮</w:t>
                  </w:r>
                </w:p>
              </w:tc>
              <w:tc>
                <w:tcPr>
                  <w:tcW w:w="977" w:type="dxa"/>
                  <w:tcBorders>
                    <w:tl2br w:val="nil"/>
                    <w:tr2bl w:val="nil"/>
                  </w:tcBorders>
                  <w:vAlign w:val="center"/>
                </w:tcPr>
                <w:p>
                  <w:pPr>
                    <w:widowControl/>
                    <w:jc w:val="center"/>
                    <w:textAlignment w:val="center"/>
                    <w:rPr>
                      <w:color w:val="auto"/>
                      <w:szCs w:val="21"/>
                    </w:rPr>
                  </w:pPr>
                  <w:r>
                    <w:rPr>
                      <w:color w:val="auto"/>
                      <w:kern w:val="0"/>
                      <w:szCs w:val="21"/>
                      <w:lang w:bidi="ar"/>
                    </w:rPr>
                    <w:t>50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0.002</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8</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rFonts w:hint="eastAsia"/>
                      <w:color w:val="auto"/>
                      <w:szCs w:val="21"/>
                    </w:rPr>
                    <w:t>动植物油</w:t>
                  </w:r>
                </w:p>
              </w:tc>
              <w:tc>
                <w:tcPr>
                  <w:tcW w:w="977" w:type="dxa"/>
                  <w:tcBorders>
                    <w:tl2br w:val="nil"/>
                    <w:tr2bl w:val="nil"/>
                  </w:tcBorders>
                  <w:vAlign w:val="center"/>
                </w:tcPr>
                <w:p>
                  <w:pPr>
                    <w:widowControl/>
                    <w:jc w:val="center"/>
                    <w:textAlignment w:val="center"/>
                    <w:rPr>
                      <w:color w:val="auto"/>
                      <w:szCs w:val="21"/>
                    </w:rPr>
                  </w:pPr>
                  <w:r>
                    <w:rPr>
                      <w:color w:val="auto"/>
                      <w:kern w:val="0"/>
                      <w:szCs w:val="21"/>
                      <w:lang w:bidi="ar"/>
                    </w:rPr>
                    <w:t>150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0.007</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20</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3</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sz w:val="21"/>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rFonts w:hint="eastAsia"/>
                      <w:color w:val="auto"/>
                      <w:szCs w:val="21"/>
                    </w:rPr>
                    <w:t>综合废水</w:t>
                  </w:r>
                </w:p>
              </w:tc>
              <w:tc>
                <w:tcPr>
                  <w:tcW w:w="599" w:type="pct"/>
                  <w:tcBorders>
                    <w:tl2br w:val="nil"/>
                    <w:tr2bl w:val="nil"/>
                  </w:tcBorders>
                  <w:vAlign w:val="center"/>
                </w:tcPr>
                <w:p>
                  <w:pPr>
                    <w:widowControl/>
                    <w:adjustRightInd w:val="0"/>
                    <w:snapToGrid w:val="0"/>
                    <w:jc w:val="center"/>
                    <w:textAlignment w:val="center"/>
                    <w:rPr>
                      <w:color w:val="auto"/>
                      <w:szCs w:val="21"/>
                    </w:rPr>
                  </w:pPr>
                  <w:r>
                    <w:rPr>
                      <w:color w:val="auto"/>
                      <w:szCs w:val="21"/>
                    </w:rPr>
                    <w:t>/</w:t>
                  </w:r>
                </w:p>
              </w:tc>
              <w:tc>
                <w:tcPr>
                  <w:tcW w:w="985"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228</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228</w:t>
                  </w:r>
                </w:p>
              </w:tc>
              <w:tc>
                <w:tcPr>
                  <w:tcW w:w="77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w:t>
                  </w:r>
                </w:p>
              </w:tc>
              <w:tc>
                <w:tcPr>
                  <w:tcW w:w="601" w:type="pct"/>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228</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COD</w:t>
                  </w:r>
                </w:p>
              </w:tc>
              <w:tc>
                <w:tcPr>
                  <w:tcW w:w="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i w:val="0"/>
                      <w:iCs w:val="0"/>
                      <w:color w:val="auto"/>
                      <w:kern w:val="0"/>
                      <w:sz w:val="21"/>
                      <w:szCs w:val="21"/>
                      <w:u w:val="none"/>
                      <w:lang w:val="en-US" w:eastAsia="zh-CN" w:bidi="ar"/>
                    </w:rPr>
                    <w:t>472</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0.108</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300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0.068</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60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0.014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BOD</w:t>
                  </w:r>
                  <w:r>
                    <w:rPr>
                      <w:color w:val="auto"/>
                      <w:szCs w:val="21"/>
                      <w:vertAlign w:val="subscript"/>
                    </w:rPr>
                    <w:t>5</w:t>
                  </w:r>
                </w:p>
              </w:tc>
              <w:tc>
                <w:tcPr>
                  <w:tcW w:w="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i w:val="0"/>
                      <w:iCs w:val="0"/>
                      <w:color w:val="auto"/>
                      <w:kern w:val="0"/>
                      <w:sz w:val="21"/>
                      <w:szCs w:val="21"/>
                      <w:u w:val="none"/>
                      <w:lang w:val="en-US" w:eastAsia="zh-CN" w:bidi="ar"/>
                    </w:rPr>
                    <w:t>258</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0.059</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150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0.034</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20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widowControl/>
                    <w:spacing w:line="216" w:lineRule="auto"/>
                    <w:jc w:val="center"/>
                    <w:rPr>
                      <w:color w:val="auto"/>
                      <w:szCs w:val="21"/>
                    </w:rPr>
                  </w:pPr>
                  <w:r>
                    <w:rPr>
                      <w:color w:val="auto"/>
                      <w:szCs w:val="21"/>
                    </w:rPr>
                    <w:t>SS</w:t>
                  </w:r>
                </w:p>
              </w:tc>
              <w:tc>
                <w:tcPr>
                  <w:tcW w:w="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i w:val="0"/>
                      <w:iCs w:val="0"/>
                      <w:color w:val="auto"/>
                      <w:kern w:val="0"/>
                      <w:sz w:val="21"/>
                      <w:szCs w:val="21"/>
                      <w:u w:val="none"/>
                      <w:lang w:val="en-US" w:eastAsia="zh-CN" w:bidi="ar"/>
                    </w:rPr>
                    <w:t>322</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0.073</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150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0.034</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20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color w:val="auto"/>
                      <w:szCs w:val="21"/>
                    </w:rPr>
                    <w:t>氨氮</w:t>
                  </w:r>
                </w:p>
              </w:tc>
              <w:tc>
                <w:tcPr>
                  <w:tcW w:w="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i w:val="0"/>
                      <w:iCs w:val="0"/>
                      <w:color w:val="auto"/>
                      <w:kern w:val="0"/>
                      <w:sz w:val="21"/>
                      <w:szCs w:val="21"/>
                      <w:u w:val="none"/>
                      <w:lang w:val="en-US" w:eastAsia="zh-CN" w:bidi="ar"/>
                    </w:rPr>
                    <w:t>41</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0.009</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30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0.007</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8</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7" w:type="pct"/>
                  <w:tcBorders>
                    <w:tl2br w:val="nil"/>
                    <w:tr2bl w:val="nil"/>
                  </w:tcBorders>
                  <w:vAlign w:val="center"/>
                </w:tcPr>
                <w:p>
                  <w:pPr>
                    <w:spacing w:line="216" w:lineRule="auto"/>
                    <w:jc w:val="center"/>
                    <w:rPr>
                      <w:color w:val="auto"/>
                      <w:szCs w:val="21"/>
                    </w:rPr>
                  </w:pPr>
                  <w:r>
                    <w:rPr>
                      <w:rFonts w:hint="eastAsia"/>
                      <w:color w:val="auto"/>
                      <w:szCs w:val="21"/>
                    </w:rPr>
                    <w:t>动植物油</w:t>
                  </w:r>
                </w:p>
              </w:tc>
              <w:tc>
                <w:tcPr>
                  <w:tcW w:w="98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i w:val="0"/>
                      <w:iCs w:val="0"/>
                      <w:color w:val="auto"/>
                      <w:kern w:val="0"/>
                      <w:sz w:val="21"/>
                      <w:szCs w:val="21"/>
                      <w:u w:val="none"/>
                      <w:lang w:val="en-US" w:eastAsia="zh-CN" w:bidi="ar"/>
                    </w:rPr>
                    <w:t>50</w:t>
                  </w:r>
                </w:p>
              </w:tc>
              <w:tc>
                <w:tcPr>
                  <w:tcW w:w="98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0.007</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kern w:val="0"/>
                      <w:sz w:val="21"/>
                      <w:szCs w:val="21"/>
                      <w:lang w:bidi="ar"/>
                    </w:rPr>
                    <w:t>20</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0.001</w:t>
                  </w:r>
                </w:p>
              </w:tc>
              <w:tc>
                <w:tcPr>
                  <w:tcW w:w="1267" w:type="dxa"/>
                  <w:tcBorders>
                    <w:tl2br w:val="nil"/>
                    <w:tr2bl w:val="nil"/>
                  </w:tcBorders>
                  <w:vAlign w:val="center"/>
                </w:tcPr>
                <w:p>
                  <w:pPr>
                    <w:widowControl/>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color w:val="auto"/>
                      <w:kern w:val="0"/>
                      <w:sz w:val="21"/>
                      <w:szCs w:val="21"/>
                      <w:lang w:bidi="ar"/>
                    </w:rPr>
                    <w:t>3</w:t>
                  </w:r>
                </w:p>
              </w:tc>
              <w:tc>
                <w:tcPr>
                  <w:tcW w:w="98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lang w:bidi="ar"/>
                    </w:rPr>
                  </w:pPr>
                  <w:r>
                    <w:rPr>
                      <w:rFonts w:hint="default" w:ascii="Times New Roman" w:hAnsi="Times New Roman" w:cs="Times New Roman" w:eastAsiaTheme="minorEastAsia"/>
                      <w:i w:val="0"/>
                      <w:iCs w:val="0"/>
                      <w:color w:val="auto"/>
                      <w:kern w:val="0"/>
                      <w:sz w:val="21"/>
                      <w:szCs w:val="21"/>
                      <w:u w:val="none"/>
                      <w:lang w:val="en-US" w:eastAsia="zh-CN" w:bidi="ar"/>
                    </w:rPr>
                    <w:t>0.00015</w:t>
                  </w:r>
                </w:p>
              </w:tc>
            </w:tr>
          </w:tbl>
          <w:p>
            <w:pPr>
              <w:adjustRightInd w:val="0"/>
              <w:snapToGrid w:val="0"/>
              <w:spacing w:line="360" w:lineRule="auto"/>
              <w:ind w:firstLine="480" w:firstLineChars="200"/>
              <w:rPr>
                <w:color w:val="auto"/>
                <w:sz w:val="24"/>
              </w:rPr>
            </w:pPr>
            <w:r>
              <w:rPr>
                <w:color w:val="auto"/>
                <w:sz w:val="24"/>
              </w:rPr>
              <w:t>（</w:t>
            </w:r>
            <w:r>
              <w:rPr>
                <w:rFonts w:hint="eastAsia"/>
                <w:color w:val="auto"/>
                <w:sz w:val="24"/>
              </w:rPr>
              <w:t>2</w:t>
            </w:r>
            <w:r>
              <w:rPr>
                <w:color w:val="auto"/>
                <w:sz w:val="24"/>
              </w:rPr>
              <w:t>）</w:t>
            </w:r>
            <w:r>
              <w:rPr>
                <w:rFonts w:hint="eastAsia"/>
                <w:color w:val="auto"/>
                <w:sz w:val="24"/>
              </w:rPr>
              <w:t>治理措施可行性分析</w:t>
            </w:r>
          </w:p>
          <w:p>
            <w:pPr>
              <w:widowControl/>
              <w:spacing w:line="360" w:lineRule="auto"/>
              <w:ind w:firstLine="480" w:firstLineChars="200"/>
              <w:rPr>
                <w:color w:val="auto"/>
              </w:rPr>
            </w:pPr>
            <w:r>
              <w:rPr>
                <w:rFonts w:hint="eastAsia"/>
                <w:color w:val="auto"/>
                <w:sz w:val="24"/>
              </w:rPr>
              <w:t>通过调查，员工食堂现有1个处理能力为2.0m</w:t>
            </w:r>
            <w:r>
              <w:rPr>
                <w:rFonts w:hint="eastAsia"/>
                <w:color w:val="auto"/>
                <w:sz w:val="24"/>
                <w:vertAlign w:val="superscript"/>
              </w:rPr>
              <w:t>3</w:t>
            </w:r>
            <w:r>
              <w:rPr>
                <w:rFonts w:hint="eastAsia"/>
                <w:color w:val="auto"/>
                <w:sz w:val="24"/>
              </w:rPr>
              <w:t>/d的隔油池，食堂废水经隔油池预处理后与生活污水再依厂区现有生化池处理。通过调查，该生化池</w:t>
            </w:r>
            <w:r>
              <w:rPr>
                <w:color w:val="auto"/>
                <w:sz w:val="24"/>
              </w:rPr>
              <w:t>处理能力为</w:t>
            </w:r>
            <w:r>
              <w:rPr>
                <w:rFonts w:hint="eastAsia"/>
                <w:color w:val="auto"/>
                <w:sz w:val="24"/>
              </w:rPr>
              <w:t>2</w:t>
            </w:r>
            <w:r>
              <w:rPr>
                <w:color w:val="auto"/>
                <w:sz w:val="24"/>
              </w:rPr>
              <w:t>0m</w:t>
            </w:r>
            <w:r>
              <w:rPr>
                <w:color w:val="auto"/>
                <w:sz w:val="24"/>
                <w:vertAlign w:val="superscript"/>
              </w:rPr>
              <w:t>3</w:t>
            </w:r>
            <w:r>
              <w:rPr>
                <w:color w:val="auto"/>
                <w:sz w:val="24"/>
              </w:rPr>
              <w:t>/d的污水处理</w:t>
            </w:r>
            <w:r>
              <w:rPr>
                <w:rFonts w:hint="eastAsia"/>
                <w:color w:val="auto"/>
                <w:sz w:val="24"/>
              </w:rPr>
              <w:t>设施</w:t>
            </w:r>
            <w:r>
              <w:rPr>
                <w:color w:val="auto"/>
                <w:sz w:val="24"/>
              </w:rPr>
              <w:t>，</w:t>
            </w:r>
            <w:r>
              <w:rPr>
                <w:rFonts w:hint="eastAsia"/>
                <w:color w:val="auto"/>
                <w:sz w:val="24"/>
              </w:rPr>
              <w:t>污水处理设施剩余处理能力为1</w:t>
            </w:r>
            <w:r>
              <w:rPr>
                <w:rFonts w:hint="eastAsia"/>
                <w:color w:val="auto"/>
                <w:sz w:val="24"/>
                <w:lang w:val="en-US" w:eastAsia="zh-CN"/>
              </w:rPr>
              <w:t>1</w:t>
            </w:r>
            <w:r>
              <w:rPr>
                <w:color w:val="auto"/>
                <w:sz w:val="24"/>
              </w:rPr>
              <w:t>m</w:t>
            </w:r>
            <w:r>
              <w:rPr>
                <w:color w:val="auto"/>
                <w:sz w:val="24"/>
                <w:vertAlign w:val="superscript"/>
              </w:rPr>
              <w:t>3</w:t>
            </w:r>
            <w:r>
              <w:rPr>
                <w:color w:val="auto"/>
                <w:sz w:val="24"/>
              </w:rPr>
              <w:t>/d</w:t>
            </w:r>
            <w:r>
              <w:rPr>
                <w:rFonts w:hint="eastAsia"/>
                <w:color w:val="auto"/>
                <w:sz w:val="24"/>
              </w:rPr>
              <w:t>，</w:t>
            </w:r>
            <w:r>
              <w:rPr>
                <w:color w:val="auto"/>
                <w:sz w:val="24"/>
              </w:rPr>
              <w:t>能够满足</w:t>
            </w:r>
            <w:r>
              <w:rPr>
                <w:rFonts w:hint="eastAsia"/>
                <w:color w:val="auto"/>
                <w:sz w:val="24"/>
                <w:lang w:eastAsia="zh-CN"/>
              </w:rPr>
              <w:t>扩建项目的</w:t>
            </w:r>
            <w:r>
              <w:rPr>
                <w:color w:val="auto"/>
                <w:sz w:val="24"/>
              </w:rPr>
              <w:t>需求。该污水处理设施采用“隔油+厌氧生物法”的处理工艺</w:t>
            </w:r>
            <w:r>
              <w:rPr>
                <w:rFonts w:hint="eastAsia"/>
                <w:color w:val="auto"/>
                <w:sz w:val="24"/>
              </w:rPr>
              <w:t>，该</w:t>
            </w:r>
            <w:r>
              <w:rPr>
                <w:color w:val="auto"/>
                <w:sz w:val="24"/>
              </w:rPr>
              <w:t>处理工艺应用较为广泛、成熟，能够保证水质的排放浓度满足</w:t>
            </w:r>
            <w:r>
              <w:rPr>
                <w:rFonts w:hint="eastAsia" w:eastAsiaTheme="minorEastAsia"/>
                <w:color w:val="auto"/>
                <w:sz w:val="24"/>
              </w:rPr>
              <w:t>东城污水处理厂接管水质要求</w:t>
            </w:r>
            <w:r>
              <w:rPr>
                <w:bCs/>
                <w:snapToGrid w:val="0"/>
                <w:color w:val="auto"/>
                <w:kern w:val="0"/>
                <w:sz w:val="24"/>
              </w:rPr>
              <w:t>，</w:t>
            </w:r>
            <w:r>
              <w:rPr>
                <w:color w:val="auto"/>
                <w:sz w:val="24"/>
              </w:rPr>
              <w:t>其废水处理工艺见图4.3。</w:t>
            </w:r>
          </w:p>
          <w:p>
            <w:pPr>
              <w:pStyle w:val="2"/>
              <w:jc w:val="center"/>
              <w:rPr>
                <w:color w:val="auto"/>
              </w:rPr>
            </w:pPr>
            <w:r>
              <w:rPr>
                <w:color w:val="auto"/>
              </w:rPr>
              <w:object>
                <v:shape id="_x0000_i1031" o:spt="75" type="#_x0000_t75" style="height:87.75pt;width:264pt;" o:ole="t" filled="f" o:preferrelative="t" stroked="f" coordsize="21600,21600">
                  <v:path/>
                  <v:fill on="f" focussize="0,0"/>
                  <v:stroke on="f" joinstyle="miter"/>
                  <v:imagedata r:id="rId20" o:title=""/>
                  <o:lock v:ext="edit" aspectratio="f"/>
                  <w10:wrap type="none"/>
                  <w10:anchorlock/>
                </v:shape>
                <o:OLEObject Type="Embed" ProgID="Visio.Drawing.11" ShapeID="_x0000_i1031" DrawAspect="Content" ObjectID="_1468075731" r:id="rId19">
                  <o:LockedField>false</o:LockedField>
                </o:OLEObject>
              </w:object>
            </w:r>
          </w:p>
          <w:p>
            <w:pPr>
              <w:pStyle w:val="15"/>
              <w:snapToGrid w:val="0"/>
              <w:spacing w:after="0" w:line="360" w:lineRule="auto"/>
              <w:ind w:left="0" w:leftChars="0"/>
              <w:jc w:val="center"/>
              <w:rPr>
                <w:color w:val="auto"/>
                <w:sz w:val="24"/>
              </w:rPr>
            </w:pPr>
            <w:r>
              <w:rPr>
                <w:rFonts w:hint="eastAsia"/>
                <w:color w:val="auto"/>
                <w:sz w:val="24"/>
              </w:rPr>
              <w:t>图4.3 废水治理工艺流程图</w:t>
            </w:r>
          </w:p>
          <w:p>
            <w:pPr>
              <w:tabs>
                <w:tab w:val="left" w:pos="652"/>
              </w:tabs>
              <w:snapToGrid w:val="0"/>
              <w:spacing w:line="360" w:lineRule="auto"/>
              <w:ind w:firstLine="480" w:firstLineChars="200"/>
              <w:rPr>
                <w:color w:val="auto"/>
              </w:rPr>
            </w:pPr>
            <w:r>
              <w:rPr>
                <w:rFonts w:hint="eastAsia"/>
                <w:color w:val="auto"/>
                <w:sz w:val="24"/>
              </w:rPr>
              <w:t>本项目废水类别、污染物种类及污染治理设施情况</w:t>
            </w:r>
            <w:r>
              <w:rPr>
                <w:color w:val="auto"/>
                <w:sz w:val="24"/>
              </w:rPr>
              <w:t>见表4.</w:t>
            </w:r>
            <w:r>
              <w:rPr>
                <w:rFonts w:hint="eastAsia"/>
                <w:color w:val="auto"/>
                <w:sz w:val="24"/>
              </w:rPr>
              <w:t>9、废水排放口基本信息见表4.10。</w:t>
            </w:r>
          </w:p>
          <w:p>
            <w:pPr>
              <w:pStyle w:val="2"/>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rPr>
              <w:t>9</w:t>
            </w:r>
            <w:r>
              <w:rPr>
                <w:rFonts w:ascii="Times New Roman" w:cs="Times New Roman"/>
                <w:color w:val="auto"/>
                <w:sz w:val="21"/>
                <w:szCs w:val="21"/>
              </w:rPr>
              <w:t xml:space="preserve"> </w:t>
            </w:r>
            <w:r>
              <w:rPr>
                <w:rFonts w:hint="eastAsia"/>
                <w:color w:val="auto"/>
                <w:sz w:val="21"/>
                <w:szCs w:val="21"/>
              </w:rPr>
              <w:t>废水类别、污染物种类及污染治理设施</w:t>
            </w:r>
            <w:r>
              <w:rPr>
                <w:rFonts w:ascii="Times New Roman" w:cs="Times New Roman"/>
                <w:color w:val="auto"/>
                <w:sz w:val="21"/>
                <w:szCs w:val="21"/>
              </w:rPr>
              <w:t>一览表</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78"/>
              <w:gridCol w:w="1096"/>
              <w:gridCol w:w="1194"/>
              <w:gridCol w:w="1282"/>
              <w:gridCol w:w="1156"/>
              <w:gridCol w:w="13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废水</w:t>
                  </w:r>
                </w:p>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类别</w:t>
                  </w:r>
                </w:p>
              </w:tc>
              <w:tc>
                <w:tcPr>
                  <w:tcW w:w="845"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污染物</w:t>
                  </w:r>
                </w:p>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种类</w:t>
                  </w:r>
                </w:p>
              </w:tc>
              <w:tc>
                <w:tcPr>
                  <w:tcW w:w="2899" w:type="pct"/>
                  <w:gridSpan w:val="4"/>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污染治理设施</w:t>
                  </w:r>
                </w:p>
              </w:tc>
              <w:tc>
                <w:tcPr>
                  <w:tcW w:w="82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45"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67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设施名称</w:t>
                  </w:r>
                </w:p>
              </w:tc>
              <w:tc>
                <w:tcPr>
                  <w:tcW w:w="73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处理能力</w:t>
                  </w:r>
                </w:p>
              </w:tc>
              <w:tc>
                <w:tcPr>
                  <w:tcW w:w="786"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治理工艺</w:t>
                  </w:r>
                </w:p>
              </w:tc>
              <w:tc>
                <w:tcPr>
                  <w:tcW w:w="709"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是否为可行技术</w:t>
                  </w:r>
                </w:p>
              </w:tc>
              <w:tc>
                <w:tcPr>
                  <w:tcW w:w="82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27"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综合</w:t>
                  </w:r>
                </w:p>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废水</w:t>
                  </w:r>
                </w:p>
              </w:tc>
              <w:tc>
                <w:tcPr>
                  <w:tcW w:w="845"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pH、COD、BOD</w:t>
                  </w:r>
                  <w:r>
                    <w:rPr>
                      <w:rFonts w:ascii="Times New Roman" w:cs="Times New Roman"/>
                      <w:color w:val="auto"/>
                      <w:sz w:val="21"/>
                      <w:szCs w:val="21"/>
                      <w:vertAlign w:val="subscript"/>
                    </w:rPr>
                    <w:t>5</w:t>
                  </w:r>
                  <w:r>
                    <w:rPr>
                      <w:rFonts w:ascii="Times New Roman" w:cs="Times New Roman"/>
                      <w:color w:val="auto"/>
                      <w:sz w:val="21"/>
                      <w:szCs w:val="21"/>
                    </w:rPr>
                    <w:t>、SS、氨氮、</w:t>
                  </w:r>
                  <w:r>
                    <w:rPr>
                      <w:rFonts w:hint="eastAsia" w:ascii="Times New Roman" w:cs="Times New Roman"/>
                      <w:color w:val="auto"/>
                      <w:sz w:val="21"/>
                      <w:szCs w:val="21"/>
                    </w:rPr>
                    <w:t>动植物油</w:t>
                  </w:r>
                </w:p>
              </w:tc>
              <w:tc>
                <w:tcPr>
                  <w:tcW w:w="67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隔油池</w:t>
                  </w:r>
                </w:p>
              </w:tc>
              <w:tc>
                <w:tcPr>
                  <w:tcW w:w="73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2.0</w:t>
                  </w:r>
                  <w:r>
                    <w:rPr>
                      <w:rFonts w:ascii="Times New Roman" w:cs="Times New Roman"/>
                      <w:color w:val="auto"/>
                      <w:sz w:val="21"/>
                      <w:szCs w:val="21"/>
                    </w:rPr>
                    <w:t>m</w:t>
                  </w:r>
                  <w:r>
                    <w:rPr>
                      <w:rFonts w:ascii="Times New Roman" w:cs="Times New Roman"/>
                      <w:color w:val="auto"/>
                      <w:sz w:val="21"/>
                      <w:szCs w:val="21"/>
                      <w:vertAlign w:val="superscript"/>
                    </w:rPr>
                    <w:t>3</w:t>
                  </w:r>
                  <w:r>
                    <w:rPr>
                      <w:rFonts w:ascii="Times New Roman" w:cs="Times New Roman"/>
                      <w:color w:val="auto"/>
                      <w:sz w:val="21"/>
                      <w:szCs w:val="21"/>
                    </w:rPr>
                    <w:t>/d</w:t>
                  </w:r>
                </w:p>
              </w:tc>
              <w:tc>
                <w:tcPr>
                  <w:tcW w:w="786"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隔油</w:t>
                  </w:r>
                  <w:r>
                    <w:rPr>
                      <w:rFonts w:ascii="Times New Roman" w:cs="Times New Roman"/>
                      <w:color w:val="auto"/>
                      <w:sz w:val="21"/>
                      <w:szCs w:val="21"/>
                    </w:rPr>
                    <w:t>+</w:t>
                  </w:r>
                  <w:r>
                    <w:rPr>
                      <w:rFonts w:hint="eastAsia" w:ascii="Times New Roman" w:cs="Times New Roman"/>
                      <w:color w:val="auto"/>
                      <w:sz w:val="21"/>
                      <w:szCs w:val="21"/>
                    </w:rPr>
                    <w:t>厌氧生物法</w:t>
                  </w:r>
                </w:p>
              </w:tc>
              <w:tc>
                <w:tcPr>
                  <w:tcW w:w="709" w:type="pct"/>
                  <w:vMerge w:val="restar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ascii="Times New Roman" w:cs="Times New Roman"/>
                      <w:color w:val="auto"/>
                      <w:sz w:val="21"/>
                      <w:szCs w:val="21"/>
                    </w:rPr>
                    <w:t>是</w:t>
                  </w:r>
                </w:p>
              </w:tc>
              <w:tc>
                <w:tcPr>
                  <w:tcW w:w="827" w:type="pct"/>
                  <w:vMerge w:val="restart"/>
                  <w:tcBorders>
                    <w:tl2br w:val="nil"/>
                    <w:tr2bl w:val="nil"/>
                  </w:tcBorders>
                  <w:vAlign w:val="center"/>
                </w:tcPr>
                <w:p>
                  <w:pPr>
                    <w:pStyle w:val="2"/>
                    <w:snapToGrid w:val="0"/>
                    <w:spacing w:line="240" w:lineRule="auto"/>
                    <w:rPr>
                      <w:rFonts w:ascii="Times New Roman" w:cs="Times New Roman"/>
                      <w:color w:val="auto"/>
                      <w:sz w:val="21"/>
                      <w:szCs w:val="21"/>
                    </w:rPr>
                  </w:pPr>
                  <w:r>
                    <w:rPr>
                      <w:rFonts w:ascii="Times New Roman" w:cs="Times New Roman"/>
                      <w:color w:val="auto"/>
                      <w:sz w:val="21"/>
                      <w:szCs w:val="21"/>
                    </w:rPr>
                    <w:t>GB8979-199三级标准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27"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45"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67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生化池</w:t>
                  </w:r>
                </w:p>
              </w:tc>
              <w:tc>
                <w:tcPr>
                  <w:tcW w:w="732" w:type="pct"/>
                  <w:tcBorders>
                    <w:tl2br w:val="nil"/>
                    <w:tr2bl w:val="nil"/>
                  </w:tcBorders>
                  <w:vAlign w:val="center"/>
                </w:tcPr>
                <w:p>
                  <w:pPr>
                    <w:pStyle w:val="2"/>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20</w:t>
                  </w:r>
                  <w:r>
                    <w:rPr>
                      <w:rFonts w:ascii="Times New Roman" w:cs="Times New Roman"/>
                      <w:color w:val="auto"/>
                      <w:sz w:val="21"/>
                      <w:szCs w:val="21"/>
                    </w:rPr>
                    <w:t>m</w:t>
                  </w:r>
                  <w:r>
                    <w:rPr>
                      <w:rFonts w:ascii="Times New Roman" w:cs="Times New Roman"/>
                      <w:color w:val="auto"/>
                      <w:sz w:val="21"/>
                      <w:szCs w:val="21"/>
                      <w:vertAlign w:val="superscript"/>
                    </w:rPr>
                    <w:t>3</w:t>
                  </w:r>
                  <w:r>
                    <w:rPr>
                      <w:rFonts w:ascii="Times New Roman" w:cs="Times New Roman"/>
                      <w:color w:val="auto"/>
                      <w:sz w:val="21"/>
                      <w:szCs w:val="21"/>
                    </w:rPr>
                    <w:t>/d</w:t>
                  </w:r>
                </w:p>
              </w:tc>
              <w:tc>
                <w:tcPr>
                  <w:tcW w:w="786"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709" w:type="pct"/>
                  <w:vMerge w:val="continue"/>
                  <w:tcBorders>
                    <w:tl2br w:val="nil"/>
                    <w:tr2bl w:val="nil"/>
                  </w:tcBorders>
                  <w:vAlign w:val="center"/>
                </w:tcPr>
                <w:p>
                  <w:pPr>
                    <w:pStyle w:val="2"/>
                    <w:snapToGrid w:val="0"/>
                    <w:spacing w:line="240" w:lineRule="auto"/>
                    <w:jc w:val="center"/>
                    <w:rPr>
                      <w:rFonts w:ascii="Times New Roman" w:cs="Times New Roman"/>
                      <w:color w:val="auto"/>
                      <w:sz w:val="21"/>
                      <w:szCs w:val="21"/>
                    </w:rPr>
                  </w:pPr>
                </w:p>
              </w:tc>
              <w:tc>
                <w:tcPr>
                  <w:tcW w:w="827" w:type="pct"/>
                  <w:vMerge w:val="continue"/>
                  <w:tcBorders>
                    <w:tl2br w:val="nil"/>
                    <w:tr2bl w:val="nil"/>
                  </w:tcBorders>
                  <w:vAlign w:val="center"/>
                </w:tcPr>
                <w:p>
                  <w:pPr>
                    <w:pStyle w:val="2"/>
                    <w:snapToGrid w:val="0"/>
                    <w:spacing w:line="240" w:lineRule="auto"/>
                    <w:rPr>
                      <w:rFonts w:ascii="Times New Roman" w:cs="Times New Roman"/>
                      <w:color w:val="auto"/>
                      <w:sz w:val="21"/>
                      <w:szCs w:val="21"/>
                    </w:rPr>
                  </w:pPr>
                </w:p>
              </w:tc>
            </w:tr>
          </w:tbl>
          <w:p>
            <w:pPr>
              <w:pStyle w:val="2"/>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rPr>
              <w:t>10 废水排放口基本信息</w:t>
            </w:r>
            <w:r>
              <w:rPr>
                <w:rFonts w:ascii="Times New Roman" w:cs="Times New Roman"/>
                <w:color w:val="auto"/>
                <w:sz w:val="21"/>
                <w:szCs w:val="21"/>
              </w:rPr>
              <w:t>一览表</w:t>
            </w:r>
          </w:p>
          <w:tbl>
            <w:tblPr>
              <w:tblStyle w:val="23"/>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615"/>
              <w:gridCol w:w="949"/>
              <w:gridCol w:w="949"/>
              <w:gridCol w:w="949"/>
              <w:gridCol w:w="1421"/>
              <w:gridCol w:w="13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9"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排放口</w:t>
                  </w:r>
                </w:p>
                <w:p>
                  <w:pPr>
                    <w:pStyle w:val="2"/>
                    <w:spacing w:line="240" w:lineRule="auto"/>
                    <w:jc w:val="center"/>
                    <w:rPr>
                      <w:rFonts w:ascii="Times New Roman" w:cs="Times New Roman"/>
                      <w:color w:val="auto"/>
                      <w:sz w:val="21"/>
                      <w:szCs w:val="21"/>
                    </w:rPr>
                  </w:pPr>
                  <w:r>
                    <w:rPr>
                      <w:rFonts w:ascii="Times New Roman" w:cs="Times New Roman"/>
                      <w:color w:val="auto"/>
                      <w:sz w:val="21"/>
                      <w:szCs w:val="21"/>
                    </w:rPr>
                    <w:t>名称</w:t>
                  </w:r>
                </w:p>
              </w:tc>
              <w:tc>
                <w:tcPr>
                  <w:tcW w:w="1037"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污染物种类</w:t>
                  </w:r>
                </w:p>
              </w:tc>
              <w:tc>
                <w:tcPr>
                  <w:tcW w:w="629"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排放方式</w:t>
                  </w:r>
                </w:p>
              </w:tc>
              <w:tc>
                <w:tcPr>
                  <w:tcW w:w="629"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排放去向</w:t>
                  </w:r>
                </w:p>
              </w:tc>
              <w:tc>
                <w:tcPr>
                  <w:tcW w:w="629" w:type="pct"/>
                  <w:vMerge w:val="restar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排放规律</w:t>
                  </w:r>
                </w:p>
              </w:tc>
              <w:tc>
                <w:tcPr>
                  <w:tcW w:w="1446" w:type="pct"/>
                  <w:gridSpan w:val="2"/>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地理坐标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9"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1037"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629"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629"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629" w:type="pct"/>
                  <w:vMerge w:val="continue"/>
                  <w:tcBorders>
                    <w:tl2br w:val="nil"/>
                    <w:tr2bl w:val="nil"/>
                  </w:tcBorders>
                  <w:vAlign w:val="center"/>
                </w:tcPr>
                <w:p>
                  <w:pPr>
                    <w:pStyle w:val="2"/>
                    <w:spacing w:line="240" w:lineRule="auto"/>
                    <w:jc w:val="center"/>
                    <w:rPr>
                      <w:rFonts w:ascii="Times New Roman" w:cs="Times New Roman"/>
                      <w:color w:val="auto"/>
                      <w:sz w:val="21"/>
                      <w:szCs w:val="21"/>
                    </w:rPr>
                  </w:pPr>
                </w:p>
              </w:tc>
              <w:tc>
                <w:tcPr>
                  <w:tcW w:w="753"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经度</w:t>
                  </w:r>
                </w:p>
              </w:tc>
              <w:tc>
                <w:tcPr>
                  <w:tcW w:w="692"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纬度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9"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废水</w:t>
                  </w:r>
                </w:p>
                <w:p>
                  <w:pPr>
                    <w:pStyle w:val="2"/>
                    <w:spacing w:line="240" w:lineRule="auto"/>
                    <w:jc w:val="center"/>
                    <w:rPr>
                      <w:rFonts w:ascii="Times New Roman" w:cs="Times New Roman"/>
                      <w:color w:val="auto"/>
                      <w:sz w:val="21"/>
                      <w:szCs w:val="21"/>
                    </w:rPr>
                  </w:pPr>
                  <w:r>
                    <w:rPr>
                      <w:rFonts w:ascii="Times New Roman" w:cs="Times New Roman"/>
                      <w:color w:val="auto"/>
                      <w:sz w:val="21"/>
                      <w:szCs w:val="21"/>
                    </w:rPr>
                    <w:t>总排口</w:t>
                  </w:r>
                </w:p>
              </w:tc>
              <w:tc>
                <w:tcPr>
                  <w:tcW w:w="1037"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pH、COD、BOD</w:t>
                  </w:r>
                  <w:r>
                    <w:rPr>
                      <w:rFonts w:ascii="Times New Roman" w:cs="Times New Roman"/>
                      <w:color w:val="auto"/>
                      <w:sz w:val="21"/>
                      <w:szCs w:val="21"/>
                      <w:vertAlign w:val="subscript"/>
                    </w:rPr>
                    <w:t>5</w:t>
                  </w:r>
                  <w:r>
                    <w:rPr>
                      <w:rFonts w:ascii="Times New Roman" w:cs="Times New Roman"/>
                      <w:color w:val="auto"/>
                      <w:sz w:val="21"/>
                      <w:szCs w:val="21"/>
                    </w:rPr>
                    <w:t>、SS、氨氮、</w:t>
                  </w:r>
                  <w:r>
                    <w:rPr>
                      <w:rFonts w:hint="eastAsia" w:ascii="Times New Roman" w:cs="Times New Roman"/>
                      <w:color w:val="auto"/>
                      <w:sz w:val="21"/>
                      <w:szCs w:val="21"/>
                    </w:rPr>
                    <w:t>动植物油</w:t>
                  </w:r>
                </w:p>
              </w:tc>
              <w:tc>
                <w:tcPr>
                  <w:tcW w:w="629"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间接排放</w:t>
                  </w:r>
                </w:p>
              </w:tc>
              <w:tc>
                <w:tcPr>
                  <w:tcW w:w="629" w:type="pct"/>
                  <w:tcBorders>
                    <w:tl2br w:val="nil"/>
                    <w:tr2bl w:val="nil"/>
                  </w:tcBorders>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东城污水处理厂</w:t>
                  </w:r>
                </w:p>
              </w:tc>
              <w:tc>
                <w:tcPr>
                  <w:tcW w:w="629" w:type="pct"/>
                  <w:tcBorders>
                    <w:tl2br w:val="nil"/>
                    <w:tr2bl w:val="nil"/>
                  </w:tcBorders>
                  <w:vAlign w:val="center"/>
                </w:tcPr>
                <w:p>
                  <w:pPr>
                    <w:pStyle w:val="2"/>
                    <w:spacing w:line="240" w:lineRule="auto"/>
                    <w:jc w:val="center"/>
                    <w:rPr>
                      <w:rFonts w:ascii="Times New Roman" w:cs="Times New Roman"/>
                      <w:color w:val="auto"/>
                      <w:sz w:val="21"/>
                      <w:szCs w:val="21"/>
                    </w:rPr>
                  </w:pPr>
                  <w:r>
                    <w:rPr>
                      <w:rFonts w:ascii="Times New Roman" w:cs="Times New Roman"/>
                      <w:color w:val="auto"/>
                      <w:sz w:val="21"/>
                      <w:szCs w:val="21"/>
                    </w:rPr>
                    <w:t>连续排放，流量不稳定，但有规律</w:t>
                  </w:r>
                </w:p>
              </w:tc>
              <w:tc>
                <w:tcPr>
                  <w:tcW w:w="1275" w:type="dxa"/>
                  <w:tcBorders>
                    <w:tl2br w:val="nil"/>
                    <w:tr2bl w:val="nil"/>
                  </w:tcBorders>
                  <w:vAlign w:val="center"/>
                </w:tcPr>
                <w:p>
                  <w:pPr>
                    <w:tabs>
                      <w:tab w:val="left" w:pos="600"/>
                    </w:tabs>
                    <w:jc w:val="center"/>
                    <w:rPr>
                      <w:color w:val="auto"/>
                      <w:szCs w:val="21"/>
                    </w:rPr>
                  </w:pPr>
                  <w:r>
                    <w:rPr>
                      <w:color w:val="auto"/>
                      <w:szCs w:val="21"/>
                    </w:rPr>
                    <w:t>106°</w:t>
                  </w:r>
                  <w:r>
                    <w:rPr>
                      <w:rFonts w:hint="eastAsia"/>
                      <w:color w:val="auto"/>
                      <w:szCs w:val="21"/>
                    </w:rPr>
                    <w:t>7</w:t>
                  </w:r>
                  <w:r>
                    <w:rPr>
                      <w:color w:val="auto"/>
                      <w:szCs w:val="21"/>
                    </w:rPr>
                    <w:t>ʹ</w:t>
                  </w:r>
                  <w:r>
                    <w:rPr>
                      <w:rFonts w:hint="eastAsia"/>
                      <w:color w:val="auto"/>
                      <w:szCs w:val="21"/>
                    </w:rPr>
                    <w:t>32.820</w:t>
                  </w:r>
                  <w:r>
                    <w:rPr>
                      <w:color w:val="auto"/>
                      <w:szCs w:val="21"/>
                    </w:rPr>
                    <w:t>ʺ</w:t>
                  </w:r>
                </w:p>
              </w:tc>
              <w:tc>
                <w:tcPr>
                  <w:tcW w:w="1174" w:type="dxa"/>
                  <w:tcBorders>
                    <w:tl2br w:val="nil"/>
                    <w:tr2bl w:val="nil"/>
                  </w:tcBorders>
                  <w:vAlign w:val="center"/>
                </w:tcPr>
                <w:p>
                  <w:pPr>
                    <w:tabs>
                      <w:tab w:val="left" w:pos="600"/>
                    </w:tabs>
                    <w:jc w:val="center"/>
                    <w:rPr>
                      <w:color w:val="auto"/>
                      <w:szCs w:val="21"/>
                    </w:rPr>
                  </w:pPr>
                  <w:r>
                    <w:rPr>
                      <w:color w:val="auto"/>
                      <w:szCs w:val="21"/>
                    </w:rPr>
                    <w:t>29°</w:t>
                  </w:r>
                  <w:r>
                    <w:rPr>
                      <w:rFonts w:hint="eastAsia"/>
                      <w:color w:val="auto"/>
                      <w:szCs w:val="21"/>
                    </w:rPr>
                    <w:t>51</w:t>
                  </w:r>
                  <w:r>
                    <w:rPr>
                      <w:color w:val="auto"/>
                      <w:szCs w:val="21"/>
                    </w:rPr>
                    <w:t>ʹ</w:t>
                  </w:r>
                  <w:r>
                    <w:rPr>
                      <w:rFonts w:hint="eastAsia"/>
                      <w:color w:val="auto"/>
                      <w:szCs w:val="21"/>
                    </w:rPr>
                    <w:t>2.890</w:t>
                  </w:r>
                  <w:r>
                    <w:rPr>
                      <w:color w:val="auto"/>
                      <w:szCs w:val="21"/>
                    </w:rPr>
                    <w:t>ʺ</w:t>
                  </w:r>
                </w:p>
              </w:tc>
            </w:tr>
          </w:tbl>
          <w:p>
            <w:pPr>
              <w:pStyle w:val="2"/>
              <w:ind w:firstLine="480" w:firstLineChars="200"/>
              <w:rPr>
                <w:rFonts w:ascii="Times New Roman" w:cs="Times New Roman"/>
                <w:color w:val="auto"/>
              </w:rPr>
            </w:pPr>
            <w:r>
              <w:rPr>
                <w:rFonts w:hint="eastAsia" w:ascii="Times New Roman" w:cs="Times New Roman"/>
                <w:color w:val="auto"/>
              </w:rPr>
              <w:t>（4</w:t>
            </w:r>
            <w:r>
              <w:rPr>
                <w:rFonts w:ascii="Times New Roman" w:cs="Times New Roman"/>
                <w:color w:val="auto"/>
              </w:rPr>
              <w:t>）</w:t>
            </w:r>
            <w:r>
              <w:rPr>
                <w:rFonts w:hint="eastAsia" w:ascii="Times New Roman" w:cs="Times New Roman"/>
                <w:color w:val="auto"/>
              </w:rPr>
              <w:t>废水</w:t>
            </w:r>
            <w:r>
              <w:rPr>
                <w:rFonts w:ascii="Times New Roman" w:cs="Times New Roman"/>
                <w:color w:val="auto"/>
              </w:rPr>
              <w:t>例行监测要求</w:t>
            </w:r>
          </w:p>
          <w:p>
            <w:pPr>
              <w:widowControl/>
              <w:spacing w:line="360" w:lineRule="auto"/>
              <w:ind w:firstLine="480" w:firstLineChars="200"/>
              <w:jc w:val="left"/>
              <w:rPr>
                <w:color w:val="auto"/>
              </w:rPr>
            </w:pPr>
            <w:r>
              <w:rPr>
                <w:color w:val="auto"/>
                <w:sz w:val="24"/>
              </w:rPr>
              <w:t>根据《排污单位自行监测技术指南—</w:t>
            </w:r>
            <w:r>
              <w:rPr>
                <w:rFonts w:hint="eastAsia"/>
                <w:color w:val="auto"/>
                <w:sz w:val="24"/>
              </w:rPr>
              <w:t>总则</w:t>
            </w:r>
            <w:r>
              <w:rPr>
                <w:color w:val="auto"/>
                <w:sz w:val="24"/>
              </w:rPr>
              <w:t>》(HJ</w:t>
            </w:r>
            <w:r>
              <w:rPr>
                <w:rFonts w:hint="eastAsia"/>
                <w:color w:val="auto"/>
                <w:sz w:val="24"/>
              </w:rPr>
              <w:t>819</w:t>
            </w:r>
            <w:r>
              <w:rPr>
                <w:color w:val="auto"/>
                <w:sz w:val="24"/>
              </w:rPr>
              <w:t>-20</w:t>
            </w:r>
            <w:r>
              <w:rPr>
                <w:rFonts w:hint="eastAsia"/>
                <w:color w:val="auto"/>
                <w:sz w:val="24"/>
              </w:rPr>
              <w:t>17</w:t>
            </w:r>
            <w:r>
              <w:rPr>
                <w:color w:val="auto"/>
                <w:sz w:val="24"/>
              </w:rPr>
              <w:t>)</w:t>
            </w:r>
            <w:r>
              <w:rPr>
                <w:rFonts w:hint="eastAsia"/>
                <w:color w:val="auto"/>
                <w:sz w:val="24"/>
              </w:rPr>
              <w:t>，结合</w:t>
            </w:r>
            <w:r>
              <w:rPr>
                <w:color w:val="auto"/>
                <w:sz w:val="24"/>
              </w:rPr>
              <w:t>《排污许可证申请与核发技术规范—</w:t>
            </w:r>
            <w:r>
              <w:rPr>
                <w:rFonts w:hint="eastAsia"/>
                <w:color w:val="auto"/>
                <w:sz w:val="24"/>
              </w:rPr>
              <w:t>汽车制造业</w:t>
            </w:r>
            <w:r>
              <w:rPr>
                <w:color w:val="auto"/>
                <w:sz w:val="24"/>
              </w:rPr>
              <w:t>》（HJ861-2017），详见表4.</w:t>
            </w:r>
            <w:r>
              <w:rPr>
                <w:rFonts w:hint="eastAsia"/>
                <w:color w:val="auto"/>
                <w:sz w:val="24"/>
              </w:rPr>
              <w:t>11</w:t>
            </w:r>
            <w:r>
              <w:rPr>
                <w:color w:val="auto"/>
                <w:sz w:val="24"/>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11废水</w:t>
            </w:r>
            <w:r>
              <w:rPr>
                <w:color w:val="auto"/>
                <w:sz w:val="21"/>
                <w:szCs w:val="21"/>
              </w:rPr>
              <w:t>监</w:t>
            </w:r>
            <w:r>
              <w:rPr>
                <w:rFonts w:hint="eastAsia"/>
                <w:color w:val="auto"/>
                <w:sz w:val="21"/>
                <w:szCs w:val="21"/>
              </w:rPr>
              <w:t>例行监</w:t>
            </w:r>
            <w:r>
              <w:rPr>
                <w:color w:val="auto"/>
                <w:sz w:val="21"/>
                <w:szCs w:val="21"/>
              </w:rPr>
              <w:t>测要求一览表</w:t>
            </w:r>
          </w:p>
          <w:tbl>
            <w:tblPr>
              <w:tblStyle w:val="22"/>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47"/>
              <w:gridCol w:w="1026"/>
              <w:gridCol w:w="2352"/>
              <w:gridCol w:w="935"/>
              <w:gridCol w:w="309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58" w:type="pct"/>
                  <w:tcBorders>
                    <w:top w:val="single" w:color="auto" w:sz="6" w:space="0"/>
                    <w:left w:val="nil"/>
                    <w:bottom w:val="single" w:color="auto" w:sz="6" w:space="0"/>
                    <w:right w:val="single" w:color="auto" w:sz="6" w:space="0"/>
                  </w:tcBorders>
                  <w:vAlign w:val="center"/>
                </w:tcPr>
                <w:p>
                  <w:pPr>
                    <w:adjustRightInd w:val="0"/>
                    <w:snapToGrid w:val="0"/>
                    <w:jc w:val="center"/>
                    <w:rPr>
                      <w:color w:val="auto"/>
                      <w:szCs w:val="21"/>
                    </w:rPr>
                  </w:pPr>
                  <w:r>
                    <w:rPr>
                      <w:color w:val="auto"/>
                      <w:szCs w:val="21"/>
                    </w:rPr>
                    <w:t>污染物类型</w:t>
                  </w:r>
                </w:p>
              </w:tc>
              <w:tc>
                <w:tcPr>
                  <w:tcW w:w="62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w:t>
                  </w:r>
                </w:p>
                <w:p>
                  <w:pPr>
                    <w:adjustRightInd w:val="0"/>
                    <w:snapToGrid w:val="0"/>
                    <w:jc w:val="center"/>
                    <w:rPr>
                      <w:color w:val="auto"/>
                      <w:szCs w:val="21"/>
                    </w:rPr>
                  </w:pPr>
                  <w:r>
                    <w:rPr>
                      <w:color w:val="auto"/>
                      <w:szCs w:val="21"/>
                    </w:rPr>
                    <w:t>点位</w:t>
                  </w:r>
                </w:p>
              </w:tc>
              <w:tc>
                <w:tcPr>
                  <w:tcW w:w="144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监测指标</w:t>
                  </w:r>
                </w:p>
              </w:tc>
              <w:tc>
                <w:tcPr>
                  <w:tcW w:w="573"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监测</w:t>
                  </w:r>
                </w:p>
                <w:p>
                  <w:pPr>
                    <w:adjustRightInd w:val="0"/>
                    <w:snapToGrid w:val="0"/>
                    <w:jc w:val="center"/>
                    <w:rPr>
                      <w:color w:val="auto"/>
                      <w:szCs w:val="21"/>
                    </w:rPr>
                  </w:pPr>
                  <w:r>
                    <w:rPr>
                      <w:color w:val="auto"/>
                      <w:szCs w:val="21"/>
                    </w:rPr>
                    <w:t>频次</w:t>
                  </w:r>
                </w:p>
              </w:tc>
              <w:tc>
                <w:tcPr>
                  <w:tcW w:w="1896"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执行标准</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458" w:type="pct"/>
                  <w:tcBorders>
                    <w:top w:val="single" w:color="auto" w:sz="4" w:space="0"/>
                    <w:left w:val="nil"/>
                    <w:bottom w:val="single" w:color="auto" w:sz="4" w:space="0"/>
                    <w:right w:val="single" w:color="auto" w:sz="6" w:space="0"/>
                  </w:tcBorders>
                  <w:vAlign w:val="center"/>
                </w:tcPr>
                <w:p>
                  <w:pPr>
                    <w:adjustRightInd w:val="0"/>
                    <w:snapToGrid w:val="0"/>
                    <w:jc w:val="center"/>
                    <w:rPr>
                      <w:color w:val="auto"/>
                      <w:szCs w:val="21"/>
                    </w:rPr>
                  </w:pPr>
                  <w:r>
                    <w:rPr>
                      <w:color w:val="auto"/>
                      <w:szCs w:val="21"/>
                    </w:rPr>
                    <w:t>废水</w:t>
                  </w:r>
                </w:p>
              </w:tc>
              <w:tc>
                <w:tcPr>
                  <w:tcW w:w="629" w:type="pct"/>
                  <w:tcBorders>
                    <w:top w:val="single" w:color="auto" w:sz="4" w:space="0"/>
                    <w:left w:val="single" w:color="auto" w:sz="6" w:space="0"/>
                    <w:bottom w:val="single" w:color="auto" w:sz="4" w:space="0"/>
                    <w:right w:val="single" w:color="auto" w:sz="6" w:space="0"/>
                  </w:tcBorders>
                  <w:vAlign w:val="center"/>
                </w:tcPr>
                <w:p>
                  <w:pPr>
                    <w:adjustRightInd w:val="0"/>
                    <w:snapToGrid w:val="0"/>
                    <w:jc w:val="center"/>
                    <w:rPr>
                      <w:color w:val="auto"/>
                      <w:szCs w:val="21"/>
                    </w:rPr>
                  </w:pPr>
                  <w:r>
                    <w:rPr>
                      <w:rFonts w:hint="eastAsia"/>
                      <w:bCs/>
                      <w:color w:val="auto"/>
                      <w:szCs w:val="21"/>
                    </w:rPr>
                    <w:t>厂区总排口</w:t>
                  </w:r>
                </w:p>
              </w:tc>
              <w:tc>
                <w:tcPr>
                  <w:tcW w:w="2352" w:type="dxa"/>
                  <w:tcBorders>
                    <w:top w:val="single" w:color="auto" w:sz="6" w:space="0"/>
                    <w:left w:val="single" w:color="auto" w:sz="6" w:space="0"/>
                    <w:bottom w:val="single" w:color="auto" w:sz="6" w:space="0"/>
                    <w:right w:val="single" w:color="auto" w:sz="6" w:space="0"/>
                  </w:tcBorders>
                  <w:vAlign w:val="center"/>
                </w:tcPr>
                <w:p>
                  <w:pPr>
                    <w:jc w:val="center"/>
                    <w:rPr>
                      <w:color w:val="auto"/>
                      <w:szCs w:val="21"/>
                    </w:rPr>
                  </w:pPr>
                  <w:r>
                    <w:rPr>
                      <w:color w:val="auto"/>
                      <w:szCs w:val="21"/>
                    </w:rPr>
                    <w:t>pH、COD、BOD</w:t>
                  </w:r>
                  <w:r>
                    <w:rPr>
                      <w:color w:val="auto"/>
                      <w:szCs w:val="21"/>
                      <w:vertAlign w:val="subscript"/>
                    </w:rPr>
                    <w:t>5</w:t>
                  </w:r>
                  <w:r>
                    <w:rPr>
                      <w:color w:val="auto"/>
                      <w:szCs w:val="21"/>
                    </w:rPr>
                    <w:t>、SS、氨氮、</w:t>
                  </w:r>
                  <w:r>
                    <w:rPr>
                      <w:rFonts w:hint="eastAsia"/>
                      <w:color w:val="auto"/>
                      <w:szCs w:val="21"/>
                    </w:rPr>
                    <w:t>动植物油</w:t>
                  </w:r>
                </w:p>
              </w:tc>
              <w:tc>
                <w:tcPr>
                  <w:tcW w:w="935" w:type="dxa"/>
                  <w:tcBorders>
                    <w:top w:val="single" w:color="auto" w:sz="6" w:space="0"/>
                    <w:left w:val="single" w:color="auto" w:sz="6" w:space="0"/>
                    <w:bottom w:val="single" w:color="auto" w:sz="6" w:space="0"/>
                    <w:right w:val="nil"/>
                  </w:tcBorders>
                  <w:vAlign w:val="center"/>
                </w:tcPr>
                <w:p>
                  <w:pPr>
                    <w:jc w:val="center"/>
                    <w:rPr>
                      <w:color w:val="auto"/>
                      <w:szCs w:val="21"/>
                    </w:rPr>
                  </w:pPr>
                  <w:r>
                    <w:rPr>
                      <w:rFonts w:hint="eastAsia"/>
                      <w:color w:val="auto"/>
                      <w:szCs w:val="21"/>
                    </w:rPr>
                    <w:t>1年</w:t>
                  </w:r>
                </w:p>
              </w:tc>
              <w:tc>
                <w:tcPr>
                  <w:tcW w:w="3094" w:type="dxa"/>
                  <w:tcBorders>
                    <w:top w:val="single" w:color="auto" w:sz="6" w:space="0"/>
                    <w:left w:val="single" w:color="auto" w:sz="6" w:space="0"/>
                    <w:bottom w:val="single" w:color="auto" w:sz="6" w:space="0"/>
                    <w:right w:val="nil"/>
                  </w:tcBorders>
                  <w:vAlign w:val="center"/>
                </w:tcPr>
                <w:p>
                  <w:pPr>
                    <w:jc w:val="center"/>
                    <w:rPr>
                      <w:color w:val="auto"/>
                      <w:szCs w:val="21"/>
                    </w:rPr>
                  </w:pPr>
                  <w:r>
                    <w:rPr>
                      <w:bCs/>
                      <w:color w:val="auto"/>
                      <w:szCs w:val="21"/>
                    </w:rPr>
                    <w:t>GB8978-1996三级标准</w:t>
                  </w:r>
                </w:p>
              </w:tc>
            </w:tr>
          </w:tbl>
          <w:p>
            <w:pPr>
              <w:adjustRightInd w:val="0"/>
              <w:snapToGrid w:val="0"/>
              <w:spacing w:line="360" w:lineRule="auto"/>
              <w:rPr>
                <w:color w:val="auto"/>
                <w:sz w:val="24"/>
              </w:rPr>
            </w:pPr>
          </w:p>
          <w:p>
            <w:pPr>
              <w:adjustRightInd w:val="0"/>
              <w:snapToGrid w:val="0"/>
              <w:spacing w:line="360" w:lineRule="auto"/>
              <w:rPr>
                <w:color w:val="auto"/>
                <w:sz w:val="24"/>
              </w:rPr>
            </w:pPr>
          </w:p>
          <w:p>
            <w:pPr>
              <w:adjustRightInd w:val="0"/>
              <w:snapToGrid w:val="0"/>
              <w:spacing w:line="360" w:lineRule="auto"/>
              <w:rPr>
                <w:color w:val="auto"/>
                <w:sz w:val="24"/>
              </w:rPr>
            </w:pPr>
          </w:p>
          <w:p>
            <w:pPr>
              <w:adjustRightInd w:val="0"/>
              <w:snapToGrid w:val="0"/>
              <w:spacing w:line="360" w:lineRule="auto"/>
              <w:rPr>
                <w:color w:val="auto"/>
                <w:sz w:val="24"/>
              </w:rPr>
            </w:pPr>
          </w:p>
          <w:p>
            <w:pPr>
              <w:pStyle w:val="2"/>
              <w:rPr>
                <w:color w:val="auto"/>
              </w:rPr>
            </w:pPr>
          </w:p>
          <w:p>
            <w:pPr>
              <w:pStyle w:val="3"/>
              <w:rPr>
                <w:color w:val="auto"/>
              </w:rPr>
            </w:pPr>
          </w:p>
          <w:p>
            <w:pPr>
              <w:tabs>
                <w:tab w:val="left" w:pos="1535"/>
              </w:tabs>
              <w:snapToGrid w:val="0"/>
              <w:spacing w:line="360" w:lineRule="auto"/>
              <w:rPr>
                <w:color w:val="auto"/>
                <w:sz w:val="24"/>
              </w:rPr>
            </w:pPr>
          </w:p>
        </w:tc>
      </w:tr>
    </w:tbl>
    <w:p>
      <w:pPr>
        <w:pStyle w:val="19"/>
        <w:adjustRightInd w:val="0"/>
        <w:snapToGrid w:val="0"/>
        <w:spacing w:before="0" w:beforeAutospacing="0" w:after="0" w:afterAutospacing="0"/>
        <w:jc w:val="center"/>
        <w:rPr>
          <w:rFonts w:cs="宋体"/>
          <w:color w:val="auto"/>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2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 w:type="pct"/>
            <w:tcMar>
              <w:left w:w="28" w:type="dxa"/>
              <w:right w:w="28" w:type="dxa"/>
            </w:tcMar>
            <w:vAlign w:val="center"/>
          </w:tcPr>
          <w:p>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ascii="宋体" w:hAnsi="宋体" w:cs="宋体"/>
                <w:bCs/>
                <w:color w:val="auto"/>
                <w:szCs w:val="21"/>
              </w:rPr>
            </w:pPr>
            <w:r>
              <w:rPr>
                <w:rFonts w:hint="eastAsia" w:ascii="宋体" w:hAnsi="宋体" w:cs="宋体"/>
                <w:bCs/>
                <w:color w:val="auto"/>
                <w:szCs w:val="21"/>
              </w:rPr>
              <w:t>保护</w:t>
            </w:r>
          </w:p>
          <w:p>
            <w:pPr>
              <w:pStyle w:val="19"/>
              <w:adjustRightInd w:val="0"/>
              <w:snapToGrid w:val="0"/>
              <w:spacing w:before="0" w:beforeAutospacing="0" w:after="0" w:afterAutospacing="0"/>
              <w:jc w:val="center"/>
              <w:rPr>
                <w:rFonts w:cs="宋体"/>
                <w:color w:val="auto"/>
                <w:sz w:val="21"/>
                <w:szCs w:val="21"/>
              </w:rPr>
            </w:pPr>
            <w:r>
              <w:rPr>
                <w:rFonts w:hint="eastAsia" w:cs="宋体"/>
                <w:bCs/>
                <w:color w:val="auto"/>
                <w:szCs w:val="21"/>
              </w:rPr>
              <w:t>措施</w:t>
            </w:r>
          </w:p>
        </w:tc>
        <w:tc>
          <w:tcPr>
            <w:tcW w:w="4782" w:type="pct"/>
          </w:tcPr>
          <w:p>
            <w:pPr>
              <w:pStyle w:val="2"/>
              <w:rPr>
                <w:rFonts w:ascii="Times New Roman" w:cs="Times New Roman"/>
                <w:b/>
                <w:bCs/>
                <w:color w:val="auto"/>
              </w:rPr>
            </w:pPr>
            <w:r>
              <w:rPr>
                <w:rFonts w:ascii="Times New Roman" w:cs="Times New Roman"/>
                <w:b/>
                <w:bCs/>
                <w:color w:val="auto"/>
              </w:rPr>
              <w:t>3.噪声</w:t>
            </w:r>
          </w:p>
          <w:p>
            <w:pPr>
              <w:pStyle w:val="2"/>
              <w:ind w:firstLine="480" w:firstLineChars="200"/>
              <w:rPr>
                <w:rFonts w:ascii="Times New Roman" w:cs="Times New Roman"/>
                <w:color w:val="auto"/>
                <w:highlight w:val="none"/>
              </w:rPr>
            </w:pPr>
            <w:r>
              <w:rPr>
                <w:rFonts w:ascii="Times New Roman" w:cs="Times New Roman"/>
                <w:color w:val="auto"/>
              </w:rPr>
              <w:t>（</w:t>
            </w:r>
            <w:r>
              <w:rPr>
                <w:rFonts w:ascii="Times New Roman" w:cs="Times New Roman"/>
                <w:color w:val="auto"/>
                <w:highlight w:val="none"/>
              </w:rPr>
              <w:t>1）主要噪声源情况及降噪措施</w:t>
            </w:r>
          </w:p>
          <w:p>
            <w:pPr>
              <w:adjustRightInd w:val="0"/>
              <w:snapToGrid w:val="0"/>
              <w:spacing w:line="360" w:lineRule="auto"/>
              <w:ind w:firstLine="480" w:firstLineChars="200"/>
              <w:rPr>
                <w:color w:val="auto"/>
                <w:sz w:val="24"/>
              </w:rPr>
            </w:pPr>
            <w:r>
              <w:rPr>
                <w:rFonts w:hint="eastAsia"/>
                <w:color w:val="auto"/>
                <w:sz w:val="24"/>
                <w:highlight w:val="none"/>
              </w:rPr>
              <w:t>根据</w:t>
            </w:r>
            <w:r>
              <w:rPr>
                <w:snapToGrid w:val="0"/>
                <w:color w:val="auto"/>
                <w:sz w:val="24"/>
                <w:highlight w:val="none"/>
              </w:rPr>
              <w:t>《环境影响评价技术导则 声环境》（HJ2.4－2021）</w:t>
            </w:r>
            <w:r>
              <w:rPr>
                <w:rFonts w:hint="eastAsia"/>
                <w:snapToGrid w:val="0"/>
                <w:color w:val="auto"/>
                <w:sz w:val="24"/>
                <w:highlight w:val="none"/>
              </w:rPr>
              <w:t>，</w:t>
            </w:r>
            <w:r>
              <w:rPr>
                <w:color w:val="auto"/>
                <w:sz w:val="24"/>
                <w:highlight w:val="none"/>
              </w:rPr>
              <w:t>本项目</w:t>
            </w:r>
            <w:r>
              <w:rPr>
                <w:rFonts w:hint="eastAsia"/>
                <w:color w:val="auto"/>
                <w:sz w:val="24"/>
                <w:highlight w:val="none"/>
                <w:lang w:eastAsia="zh-CN"/>
              </w:rPr>
              <w:t>扩建完成后</w:t>
            </w:r>
            <w:r>
              <w:rPr>
                <w:rFonts w:hint="eastAsia"/>
                <w:color w:val="auto"/>
                <w:sz w:val="24"/>
                <w:highlight w:val="none"/>
              </w:rPr>
              <w:t>噪声源强调查清单见表4.12</w:t>
            </w:r>
            <w:r>
              <w:rPr>
                <w:rFonts w:hint="eastAsia"/>
                <w:color w:val="auto"/>
                <w:sz w:val="24"/>
                <w:highlight w:val="none"/>
                <w:lang w:eastAsia="zh-CN"/>
              </w:rPr>
              <w:t>、表</w:t>
            </w:r>
            <w:r>
              <w:rPr>
                <w:rFonts w:hint="eastAsia"/>
                <w:color w:val="auto"/>
                <w:sz w:val="24"/>
                <w:highlight w:val="none"/>
                <w:lang w:val="en-US" w:eastAsia="zh-CN"/>
              </w:rPr>
              <w:t>4.13</w:t>
            </w:r>
            <w:r>
              <w:rPr>
                <w:color w:val="auto"/>
                <w:sz w:val="24"/>
                <w:highlight w:val="none"/>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12噪声源强调查清单（室内声源）</w:t>
            </w:r>
          </w:p>
          <w:tbl>
            <w:tblPr>
              <w:tblStyle w:val="23"/>
              <w:tblW w:w="0" w:type="auto"/>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656"/>
              <w:gridCol w:w="1323"/>
              <w:gridCol w:w="684"/>
              <w:gridCol w:w="1395"/>
              <w:gridCol w:w="845"/>
              <w:gridCol w:w="606"/>
              <w:gridCol w:w="622"/>
              <w:gridCol w:w="579"/>
              <w:gridCol w:w="1377"/>
              <w:gridCol w:w="917"/>
              <w:gridCol w:w="899"/>
              <w:gridCol w:w="847"/>
              <w:gridCol w:w="9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55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序</w:t>
                  </w:r>
                </w:p>
                <w:p>
                  <w:pPr>
                    <w:adjustRightInd w:val="0"/>
                    <w:snapToGrid w:val="0"/>
                    <w:jc w:val="center"/>
                    <w:rPr>
                      <w:bCs/>
                      <w:color w:val="auto"/>
                      <w:szCs w:val="21"/>
                    </w:rPr>
                  </w:pPr>
                  <w:r>
                    <w:rPr>
                      <w:rFonts w:hint="eastAsia"/>
                      <w:bCs/>
                      <w:color w:val="auto"/>
                      <w:szCs w:val="21"/>
                    </w:rPr>
                    <w:t>号</w:t>
                  </w:r>
                </w:p>
              </w:tc>
              <w:tc>
                <w:tcPr>
                  <w:tcW w:w="65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建筑物名称</w:t>
                  </w:r>
                </w:p>
              </w:tc>
              <w:tc>
                <w:tcPr>
                  <w:tcW w:w="1323"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声源名称</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型号</w:t>
                  </w:r>
                </w:p>
              </w:tc>
              <w:tc>
                <w:tcPr>
                  <w:tcW w:w="1395"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声压级/距声源距离（dB(A)/m）</w:t>
                  </w:r>
                </w:p>
              </w:tc>
              <w:tc>
                <w:tcPr>
                  <w:tcW w:w="845"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声源控制措施</w:t>
                  </w:r>
                </w:p>
              </w:tc>
              <w:tc>
                <w:tcPr>
                  <w:tcW w:w="1807" w:type="dxa"/>
                  <w:gridSpan w:val="3"/>
                  <w:tcBorders>
                    <w:tl2br w:val="nil"/>
                    <w:tr2bl w:val="nil"/>
                  </w:tcBorders>
                  <w:vAlign w:val="center"/>
                </w:tcPr>
                <w:p>
                  <w:pPr>
                    <w:adjustRightInd w:val="0"/>
                    <w:snapToGrid w:val="0"/>
                    <w:jc w:val="center"/>
                    <w:rPr>
                      <w:bCs/>
                      <w:color w:val="auto"/>
                      <w:szCs w:val="21"/>
                    </w:rPr>
                  </w:pPr>
                  <w:r>
                    <w:rPr>
                      <w:rFonts w:hint="eastAsia"/>
                      <w:bCs/>
                      <w:color w:val="auto"/>
                      <w:szCs w:val="21"/>
                    </w:rPr>
                    <w:t>空间相对位置/m</w:t>
                  </w:r>
                </w:p>
              </w:tc>
              <w:tc>
                <w:tcPr>
                  <w:tcW w:w="137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距室内边界距离/m</w:t>
                  </w:r>
                </w:p>
              </w:tc>
              <w:tc>
                <w:tcPr>
                  <w:tcW w:w="91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室内边界声级/dB(A)</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运行</w:t>
                  </w:r>
                </w:p>
                <w:p>
                  <w:pPr>
                    <w:adjustRightInd w:val="0"/>
                    <w:snapToGrid w:val="0"/>
                    <w:jc w:val="center"/>
                    <w:rPr>
                      <w:bCs/>
                      <w:color w:val="auto"/>
                      <w:szCs w:val="21"/>
                    </w:rPr>
                  </w:pPr>
                  <w:r>
                    <w:rPr>
                      <w:rFonts w:hint="eastAsia"/>
                      <w:bCs/>
                      <w:color w:val="auto"/>
                      <w:szCs w:val="21"/>
                    </w:rPr>
                    <w:t>时段</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建筑物插入损失/dB(A)</w:t>
                  </w:r>
                </w:p>
              </w:tc>
              <w:tc>
                <w:tcPr>
                  <w:tcW w:w="997" w:type="dxa"/>
                  <w:tcBorders>
                    <w:tl2br w:val="nil"/>
                    <w:tr2bl w:val="nil"/>
                  </w:tcBorders>
                  <w:vAlign w:val="center"/>
                </w:tcPr>
                <w:p>
                  <w:pPr>
                    <w:adjustRightInd w:val="0"/>
                    <w:snapToGrid w:val="0"/>
                    <w:jc w:val="center"/>
                    <w:rPr>
                      <w:bCs/>
                      <w:color w:val="auto"/>
                      <w:szCs w:val="21"/>
                    </w:rPr>
                  </w:pPr>
                  <w:r>
                    <w:rPr>
                      <w:rFonts w:hint="eastAsia"/>
                      <w:bCs/>
                      <w:color w:val="auto"/>
                      <w:szCs w:val="21"/>
                    </w:rPr>
                    <w:t>建筑物外噪声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bCs/>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bCs/>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tcBorders>
                    <w:tl2br w:val="nil"/>
                    <w:tr2bl w:val="nil"/>
                  </w:tcBorders>
                  <w:vAlign w:val="center"/>
                </w:tcPr>
                <w:p>
                  <w:pPr>
                    <w:adjustRightInd w:val="0"/>
                    <w:snapToGrid w:val="0"/>
                    <w:jc w:val="center"/>
                    <w:rPr>
                      <w:bCs/>
                      <w:color w:val="auto"/>
                      <w:szCs w:val="21"/>
                    </w:rPr>
                  </w:pPr>
                  <w:r>
                    <w:rPr>
                      <w:rFonts w:hint="eastAsia"/>
                      <w:bCs/>
                      <w:color w:val="auto"/>
                      <w:szCs w:val="21"/>
                    </w:rPr>
                    <w:t>X</w:t>
                  </w:r>
                </w:p>
              </w:tc>
              <w:tc>
                <w:tcPr>
                  <w:tcW w:w="622" w:type="dxa"/>
                  <w:tcBorders>
                    <w:tl2br w:val="nil"/>
                    <w:tr2bl w:val="nil"/>
                  </w:tcBorders>
                  <w:vAlign w:val="center"/>
                </w:tcPr>
                <w:p>
                  <w:pPr>
                    <w:adjustRightInd w:val="0"/>
                    <w:snapToGrid w:val="0"/>
                    <w:jc w:val="center"/>
                    <w:rPr>
                      <w:bCs/>
                      <w:color w:val="auto"/>
                      <w:szCs w:val="21"/>
                    </w:rPr>
                  </w:pPr>
                  <w:r>
                    <w:rPr>
                      <w:rFonts w:hint="eastAsia"/>
                      <w:bCs/>
                      <w:color w:val="auto"/>
                      <w:szCs w:val="21"/>
                    </w:rPr>
                    <w:t>Y</w:t>
                  </w:r>
                </w:p>
              </w:tc>
              <w:tc>
                <w:tcPr>
                  <w:tcW w:w="579" w:type="dxa"/>
                  <w:tcBorders>
                    <w:tl2br w:val="nil"/>
                    <w:tr2bl w:val="nil"/>
                  </w:tcBorders>
                  <w:vAlign w:val="center"/>
                </w:tcPr>
                <w:p>
                  <w:pPr>
                    <w:adjustRightInd w:val="0"/>
                    <w:snapToGrid w:val="0"/>
                    <w:jc w:val="center"/>
                    <w:rPr>
                      <w:bCs/>
                      <w:color w:val="auto"/>
                      <w:szCs w:val="21"/>
                    </w:rPr>
                  </w:pPr>
                  <w:r>
                    <w:rPr>
                      <w:rFonts w:hint="eastAsia"/>
                      <w:bCs/>
                      <w:color w:val="auto"/>
                      <w:szCs w:val="21"/>
                    </w:rPr>
                    <w:t>Z</w:t>
                  </w:r>
                </w:p>
              </w:tc>
              <w:tc>
                <w:tcPr>
                  <w:tcW w:w="1377" w:type="dxa"/>
                  <w:vMerge w:val="continue"/>
                  <w:tcBorders>
                    <w:tl2br w:val="nil"/>
                    <w:tr2bl w:val="nil"/>
                  </w:tcBorders>
                  <w:vAlign w:val="center"/>
                </w:tcPr>
                <w:p>
                  <w:pPr>
                    <w:adjustRightInd w:val="0"/>
                    <w:snapToGrid w:val="0"/>
                    <w:jc w:val="center"/>
                    <w:rPr>
                      <w:bCs/>
                      <w:color w:val="auto"/>
                      <w:szCs w:val="21"/>
                    </w:rPr>
                  </w:pPr>
                </w:p>
              </w:tc>
              <w:tc>
                <w:tcPr>
                  <w:tcW w:w="917" w:type="dxa"/>
                  <w:vMerge w:val="continue"/>
                  <w:tcBorders>
                    <w:tl2br w:val="nil"/>
                    <w:tr2bl w:val="nil"/>
                  </w:tcBorders>
                  <w:vAlign w:val="center"/>
                </w:tcPr>
                <w:p>
                  <w:pPr>
                    <w:adjustRightInd w:val="0"/>
                    <w:snapToGrid w:val="0"/>
                    <w:jc w:val="center"/>
                    <w:rPr>
                      <w:bCs/>
                      <w:color w:val="auto"/>
                      <w:szCs w:val="21"/>
                    </w:rPr>
                  </w:pP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adjustRightInd w:val="0"/>
                    <w:snapToGrid w:val="0"/>
                    <w:jc w:val="center"/>
                    <w:rPr>
                      <w:bCs/>
                      <w:color w:val="auto"/>
                      <w:szCs w:val="21"/>
                    </w:rPr>
                  </w:pPr>
                  <w:r>
                    <w:rPr>
                      <w:rFonts w:hint="eastAsia"/>
                      <w:bCs/>
                      <w:color w:val="auto"/>
                      <w:szCs w:val="21"/>
                    </w:rPr>
                    <w:t>声压级/dB(A)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5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65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厂房</w:t>
                  </w:r>
                </w:p>
              </w:tc>
              <w:tc>
                <w:tcPr>
                  <w:tcW w:w="1323"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拉幅定型设备</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-22</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62（东）</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53.13</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8h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32.12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15（南）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65.46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44.46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20（西）</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62.96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41.96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15（北）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65.46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44.46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淋膜机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0</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16</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12（东）</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67.40</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8h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color w:val="auto"/>
                    </w:rPr>
                  </w:pPr>
                  <w:r>
                    <w:rPr>
                      <w:rFonts w:hint="eastAsia"/>
                      <w:color w:val="auto"/>
                    </w:rPr>
                    <w:t>46.40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46（南）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55.72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34.72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12（西）</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67.40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46.40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16（北）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64.90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43.90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3</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全密闭无纺布生产设备</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70/5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17</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-6</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25（东）</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56.02</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35.02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25（南）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56.02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35.02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59（西）</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48.56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47.56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37（北）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52.62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31.62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4</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冲切机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r>
                    <w:rPr>
                      <w:rFonts w:hint="eastAsia"/>
                      <w:color w:val="auto"/>
                      <w:szCs w:val="21"/>
                    </w:rPr>
                    <w:t>、减震垫</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-26</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-5</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57（东）</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53.86</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37（南）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57.62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36.63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5（西）</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75.00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54.00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47（北）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55.54</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34.54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5</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平切机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r>
                    <w:rPr>
                      <w:rFonts w:hint="eastAsia"/>
                      <w:color w:val="auto"/>
                      <w:szCs w:val="21"/>
                    </w:rPr>
                    <w:t>、减震垫</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-26</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-3</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57（东）</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53.86</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39（南）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57.16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35.16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5（西）</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75.00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bottom"/>
                </w:tcPr>
                <w:p>
                  <w:pPr>
                    <w:widowControl/>
                    <w:adjustRightInd w:val="0"/>
                    <w:snapToGrid w:val="0"/>
                    <w:jc w:val="center"/>
                    <w:textAlignment w:val="bottom"/>
                    <w:rPr>
                      <w:bCs/>
                      <w:color w:val="auto"/>
                      <w:szCs w:val="21"/>
                    </w:rPr>
                  </w:pPr>
                  <w:r>
                    <w:rPr>
                      <w:rFonts w:hint="eastAsia"/>
                      <w:bCs/>
                      <w:color w:val="auto"/>
                      <w:szCs w:val="21"/>
                    </w:rPr>
                    <w:t>54.00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45（北）</w:t>
                  </w:r>
                </w:p>
              </w:tc>
              <w:tc>
                <w:tcPr>
                  <w:tcW w:w="917" w:type="dxa"/>
                  <w:tcBorders>
                    <w:tl2br w:val="nil"/>
                    <w:tr2bl w:val="nil"/>
                  </w:tcBorders>
                  <w:vAlign w:val="bottom"/>
                </w:tcPr>
                <w:p>
                  <w:pPr>
                    <w:widowControl/>
                    <w:adjustRightInd w:val="0"/>
                    <w:snapToGrid w:val="0"/>
                    <w:jc w:val="center"/>
                    <w:textAlignment w:val="bottom"/>
                    <w:rPr>
                      <w:color w:val="auto"/>
                      <w:szCs w:val="21"/>
                    </w:rPr>
                  </w:pPr>
                  <w:r>
                    <w:rPr>
                      <w:color w:val="auto"/>
                      <w:kern w:val="0"/>
                      <w:szCs w:val="21"/>
                      <w:lang w:bidi="ar"/>
                    </w:rPr>
                    <w:t>55.92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34.92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6</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横切机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r>
                    <w:rPr>
                      <w:rFonts w:hint="eastAsia"/>
                      <w:color w:val="auto"/>
                      <w:szCs w:val="21"/>
                    </w:rPr>
                    <w:t>、减震垫</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-15</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-37</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46（东）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55.72</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34.72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75.00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54.00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15（西）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65.46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44.46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79（北）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51.03</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30.03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7</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开花机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70/5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-12</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20</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45（东）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50.92</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29.92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50.92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29.92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10（西）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63.98</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color w:val="auto"/>
                    </w:rPr>
                  </w:pPr>
                  <w:r>
                    <w:rPr>
                      <w:rFonts w:hint="eastAsia"/>
                      <w:color w:val="auto"/>
                    </w:rPr>
                    <w:t>42.98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70.00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49.00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8</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破碎机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80/5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r>
                    <w:rPr>
                      <w:rFonts w:hint="eastAsia"/>
                      <w:color w:val="auto"/>
                      <w:szCs w:val="21"/>
                    </w:rPr>
                    <w:t>、减震垫</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20</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42（东）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61.51</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40.51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35（南）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60.92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39.92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20（西）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67.96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46.96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15（北）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80.00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50.78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9</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打包机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65/5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-12</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20</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45（东）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45.92</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24.92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45（南）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45.92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24.92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10（西）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58.98</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37.98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65.00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default" w:eastAsia="宋体"/>
                      <w:bCs/>
                      <w:color w:val="auto"/>
                      <w:szCs w:val="21"/>
                      <w:lang w:val="en-US" w:eastAsia="zh-CN"/>
                    </w:rPr>
                  </w:pPr>
                  <w:r>
                    <w:rPr>
                      <w:rFonts w:hint="eastAsia"/>
                      <w:bCs/>
                      <w:color w:val="auto"/>
                      <w:szCs w:val="21"/>
                      <w:lang w:val="en-US" w:eastAsia="zh-CN"/>
                    </w:rPr>
                    <w:t>10</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pacing w:val="8"/>
                      <w:szCs w:val="21"/>
                      <w:shd w:val="clear" w:color="auto" w:fill="FFFFFF"/>
                    </w:rPr>
                    <w:t>撒粉、复合、收卷一体机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70/5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-26</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-37</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57（东）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48.86</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27.86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70.00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49.00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70.00</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49.00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79（北）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46.03</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25.03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restart"/>
                  <w:tcBorders>
                    <w:tl2br w:val="nil"/>
                    <w:tr2bl w:val="nil"/>
                  </w:tcBorders>
                  <w:vAlign w:val="center"/>
                </w:tcPr>
                <w:p>
                  <w:pPr>
                    <w:adjustRightInd w:val="0"/>
                    <w:snapToGrid w:val="0"/>
                    <w:jc w:val="center"/>
                    <w:rPr>
                      <w:rFonts w:hint="default" w:eastAsia="宋体"/>
                      <w:bCs/>
                      <w:color w:val="auto"/>
                      <w:szCs w:val="21"/>
                      <w:lang w:val="en-US" w:eastAsia="zh-CN"/>
                    </w:rPr>
                  </w:pPr>
                  <w:r>
                    <w:rPr>
                      <w:rFonts w:hint="eastAsia"/>
                      <w:bCs/>
                      <w:color w:val="auto"/>
                      <w:szCs w:val="21"/>
                      <w:lang w:val="en-US" w:eastAsia="zh-CN"/>
                    </w:rPr>
                    <w:t>11</w:t>
                  </w: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空压机</w:t>
                  </w:r>
                </w:p>
              </w:tc>
              <w:tc>
                <w:tcPr>
                  <w:tcW w:w="684"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395"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75/5</w:t>
                  </w:r>
                </w:p>
              </w:tc>
              <w:tc>
                <w:tcPr>
                  <w:tcW w:w="845" w:type="dxa"/>
                  <w:vMerge w:val="restart"/>
                  <w:tcBorders>
                    <w:tl2br w:val="nil"/>
                    <w:tr2bl w:val="nil"/>
                  </w:tcBorders>
                  <w:vAlign w:val="center"/>
                </w:tcPr>
                <w:p>
                  <w:pPr>
                    <w:adjustRightInd w:val="0"/>
                    <w:snapToGrid w:val="0"/>
                    <w:jc w:val="center"/>
                    <w:rPr>
                      <w:bCs/>
                      <w:color w:val="auto"/>
                      <w:szCs w:val="21"/>
                    </w:rPr>
                  </w:pPr>
                  <w:r>
                    <w:rPr>
                      <w:color w:val="auto"/>
                      <w:szCs w:val="21"/>
                    </w:rPr>
                    <w:t>建筑隔声</w:t>
                  </w:r>
                </w:p>
              </w:tc>
              <w:tc>
                <w:tcPr>
                  <w:tcW w:w="606"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17</w:t>
                  </w:r>
                </w:p>
              </w:tc>
              <w:tc>
                <w:tcPr>
                  <w:tcW w:w="622"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-6</w:t>
                  </w:r>
                </w:p>
              </w:tc>
              <w:tc>
                <w:tcPr>
                  <w:tcW w:w="579"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25（东）</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61.02</w:t>
                  </w:r>
                </w:p>
              </w:tc>
              <w:tc>
                <w:tcPr>
                  <w:tcW w:w="899" w:type="dxa"/>
                  <w:vMerge w:val="restart"/>
                  <w:tcBorders>
                    <w:tl2br w:val="nil"/>
                    <w:tr2bl w:val="nil"/>
                  </w:tcBorders>
                  <w:vAlign w:val="center"/>
                </w:tcPr>
                <w:p>
                  <w:pPr>
                    <w:adjustRightInd w:val="0"/>
                    <w:snapToGrid w:val="0"/>
                    <w:jc w:val="center"/>
                    <w:rPr>
                      <w:bCs/>
                      <w:color w:val="auto"/>
                      <w:szCs w:val="21"/>
                    </w:rPr>
                  </w:pPr>
                  <w:r>
                    <w:rPr>
                      <w:rFonts w:hint="eastAsia"/>
                      <w:color w:val="auto"/>
                      <w:szCs w:val="21"/>
                    </w:rPr>
                    <w:t>16h</w:t>
                  </w:r>
                </w:p>
              </w:tc>
              <w:tc>
                <w:tcPr>
                  <w:tcW w:w="847" w:type="dxa"/>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21</w:t>
                  </w: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25（南）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61.02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40.02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59（西）</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53.56</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32.56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2" w:type="dxa"/>
                  <w:vMerge w:val="continue"/>
                  <w:tcBorders>
                    <w:tl2br w:val="nil"/>
                    <w:tr2bl w:val="nil"/>
                  </w:tcBorders>
                  <w:vAlign w:val="center"/>
                </w:tcPr>
                <w:p>
                  <w:pPr>
                    <w:adjustRightInd w:val="0"/>
                    <w:snapToGrid w:val="0"/>
                    <w:jc w:val="center"/>
                    <w:rPr>
                      <w:bCs/>
                      <w:color w:val="auto"/>
                      <w:szCs w:val="21"/>
                    </w:rPr>
                  </w:pPr>
                </w:p>
              </w:tc>
              <w:tc>
                <w:tcPr>
                  <w:tcW w:w="656" w:type="dxa"/>
                  <w:vMerge w:val="continue"/>
                  <w:tcBorders>
                    <w:tl2br w:val="nil"/>
                    <w:tr2bl w:val="nil"/>
                  </w:tcBorders>
                  <w:vAlign w:val="center"/>
                </w:tcPr>
                <w:p>
                  <w:pPr>
                    <w:adjustRightInd w:val="0"/>
                    <w:snapToGrid w:val="0"/>
                    <w:jc w:val="center"/>
                    <w:rPr>
                      <w:bCs/>
                      <w:color w:val="auto"/>
                      <w:szCs w:val="21"/>
                    </w:rPr>
                  </w:pPr>
                </w:p>
              </w:tc>
              <w:tc>
                <w:tcPr>
                  <w:tcW w:w="1323" w:type="dxa"/>
                  <w:vMerge w:val="continue"/>
                  <w:tcBorders>
                    <w:tl2br w:val="nil"/>
                    <w:tr2bl w:val="nil"/>
                  </w:tcBorders>
                  <w:vAlign w:val="center"/>
                </w:tcPr>
                <w:p>
                  <w:pPr>
                    <w:adjustRightInd w:val="0"/>
                    <w:snapToGrid w:val="0"/>
                    <w:jc w:val="center"/>
                    <w:rPr>
                      <w:color w:val="auto"/>
                      <w:szCs w:val="21"/>
                    </w:rPr>
                  </w:pPr>
                </w:p>
              </w:tc>
              <w:tc>
                <w:tcPr>
                  <w:tcW w:w="684" w:type="dxa"/>
                  <w:vMerge w:val="continue"/>
                  <w:tcBorders>
                    <w:tl2br w:val="nil"/>
                    <w:tr2bl w:val="nil"/>
                  </w:tcBorders>
                  <w:vAlign w:val="center"/>
                </w:tcPr>
                <w:p>
                  <w:pPr>
                    <w:adjustRightInd w:val="0"/>
                    <w:snapToGrid w:val="0"/>
                    <w:jc w:val="center"/>
                    <w:rPr>
                      <w:bCs/>
                      <w:color w:val="auto"/>
                      <w:szCs w:val="21"/>
                    </w:rPr>
                  </w:pPr>
                </w:p>
              </w:tc>
              <w:tc>
                <w:tcPr>
                  <w:tcW w:w="1395" w:type="dxa"/>
                  <w:vMerge w:val="continue"/>
                  <w:tcBorders>
                    <w:tl2br w:val="nil"/>
                    <w:tr2bl w:val="nil"/>
                  </w:tcBorders>
                  <w:vAlign w:val="center"/>
                </w:tcPr>
                <w:p>
                  <w:pPr>
                    <w:adjustRightInd w:val="0"/>
                    <w:snapToGrid w:val="0"/>
                    <w:jc w:val="center"/>
                    <w:rPr>
                      <w:color w:val="auto"/>
                      <w:szCs w:val="21"/>
                    </w:rPr>
                  </w:pPr>
                </w:p>
              </w:tc>
              <w:tc>
                <w:tcPr>
                  <w:tcW w:w="845" w:type="dxa"/>
                  <w:vMerge w:val="continue"/>
                  <w:tcBorders>
                    <w:tl2br w:val="nil"/>
                    <w:tr2bl w:val="nil"/>
                  </w:tcBorders>
                  <w:vAlign w:val="center"/>
                </w:tcPr>
                <w:p>
                  <w:pPr>
                    <w:adjustRightInd w:val="0"/>
                    <w:snapToGrid w:val="0"/>
                    <w:jc w:val="center"/>
                    <w:rPr>
                      <w:bCs/>
                      <w:color w:val="auto"/>
                      <w:szCs w:val="21"/>
                    </w:rPr>
                  </w:pPr>
                </w:p>
              </w:tc>
              <w:tc>
                <w:tcPr>
                  <w:tcW w:w="606" w:type="dxa"/>
                  <w:vMerge w:val="continue"/>
                  <w:tcBorders>
                    <w:tl2br w:val="nil"/>
                    <w:tr2bl w:val="nil"/>
                  </w:tcBorders>
                  <w:vAlign w:val="center"/>
                </w:tcPr>
                <w:p>
                  <w:pPr>
                    <w:adjustRightInd w:val="0"/>
                    <w:snapToGrid w:val="0"/>
                    <w:jc w:val="center"/>
                    <w:rPr>
                      <w:bCs/>
                      <w:color w:val="auto"/>
                      <w:szCs w:val="21"/>
                    </w:rPr>
                  </w:pPr>
                </w:p>
              </w:tc>
              <w:tc>
                <w:tcPr>
                  <w:tcW w:w="622" w:type="dxa"/>
                  <w:vMerge w:val="continue"/>
                  <w:tcBorders>
                    <w:tl2br w:val="nil"/>
                    <w:tr2bl w:val="nil"/>
                  </w:tcBorders>
                  <w:vAlign w:val="center"/>
                </w:tcPr>
                <w:p>
                  <w:pPr>
                    <w:adjustRightInd w:val="0"/>
                    <w:snapToGrid w:val="0"/>
                    <w:jc w:val="center"/>
                    <w:rPr>
                      <w:bCs/>
                      <w:color w:val="auto"/>
                      <w:szCs w:val="21"/>
                    </w:rPr>
                  </w:pPr>
                </w:p>
              </w:tc>
              <w:tc>
                <w:tcPr>
                  <w:tcW w:w="579" w:type="dxa"/>
                  <w:vMerge w:val="continue"/>
                  <w:tcBorders>
                    <w:tl2br w:val="nil"/>
                    <w:tr2bl w:val="nil"/>
                  </w:tcBorders>
                  <w:vAlign w:val="center"/>
                </w:tcPr>
                <w:p>
                  <w:pPr>
                    <w:adjustRightInd w:val="0"/>
                    <w:snapToGrid w:val="0"/>
                    <w:jc w:val="center"/>
                    <w:rPr>
                      <w:bCs/>
                      <w:color w:val="auto"/>
                      <w:szCs w:val="21"/>
                    </w:rPr>
                  </w:pPr>
                </w:p>
              </w:tc>
              <w:tc>
                <w:tcPr>
                  <w:tcW w:w="1377" w:type="dxa"/>
                  <w:tcBorders>
                    <w:tl2br w:val="nil"/>
                    <w:tr2bl w:val="nil"/>
                  </w:tcBorders>
                  <w:vAlign w:val="center"/>
                </w:tcPr>
                <w:p>
                  <w:pPr>
                    <w:adjustRightInd w:val="0"/>
                    <w:snapToGrid w:val="0"/>
                    <w:jc w:val="center"/>
                    <w:rPr>
                      <w:bCs/>
                      <w:color w:val="auto"/>
                      <w:szCs w:val="21"/>
                    </w:rPr>
                  </w:pPr>
                  <w:r>
                    <w:rPr>
                      <w:rFonts w:hint="eastAsia"/>
                      <w:bCs/>
                      <w:color w:val="auto"/>
                      <w:szCs w:val="21"/>
                    </w:rPr>
                    <w:t>37（北）</w:t>
                  </w:r>
                </w:p>
              </w:tc>
              <w:tc>
                <w:tcPr>
                  <w:tcW w:w="917" w:type="dxa"/>
                  <w:tcBorders>
                    <w:tl2br w:val="nil"/>
                    <w:tr2bl w:val="nil"/>
                  </w:tcBorders>
                  <w:vAlign w:val="bottom"/>
                </w:tcPr>
                <w:p>
                  <w:pPr>
                    <w:widowControl/>
                    <w:adjustRightInd w:val="0"/>
                    <w:snapToGrid w:val="0"/>
                    <w:jc w:val="center"/>
                    <w:textAlignment w:val="bottom"/>
                    <w:rPr>
                      <w:color w:val="auto"/>
                      <w:kern w:val="0"/>
                      <w:szCs w:val="21"/>
                      <w:lang w:bidi="ar"/>
                    </w:rPr>
                  </w:pPr>
                  <w:r>
                    <w:rPr>
                      <w:color w:val="auto"/>
                      <w:kern w:val="0"/>
                      <w:szCs w:val="21"/>
                      <w:lang w:bidi="ar"/>
                    </w:rPr>
                    <w:t>57.62</w:t>
                  </w:r>
                </w:p>
              </w:tc>
              <w:tc>
                <w:tcPr>
                  <w:tcW w:w="899" w:type="dxa"/>
                  <w:vMerge w:val="continue"/>
                  <w:tcBorders>
                    <w:tl2br w:val="nil"/>
                    <w:tr2bl w:val="nil"/>
                  </w:tcBorders>
                  <w:vAlign w:val="center"/>
                </w:tcPr>
                <w:p>
                  <w:pPr>
                    <w:adjustRightInd w:val="0"/>
                    <w:snapToGrid w:val="0"/>
                    <w:jc w:val="center"/>
                    <w:rPr>
                      <w:bCs/>
                      <w:color w:val="auto"/>
                      <w:szCs w:val="21"/>
                    </w:rPr>
                  </w:pPr>
                </w:p>
              </w:tc>
              <w:tc>
                <w:tcPr>
                  <w:tcW w:w="847" w:type="dxa"/>
                  <w:vMerge w:val="continue"/>
                  <w:tcBorders>
                    <w:tl2br w:val="nil"/>
                    <w:tr2bl w:val="nil"/>
                  </w:tcBorders>
                  <w:vAlign w:val="center"/>
                </w:tcPr>
                <w:p>
                  <w:pPr>
                    <w:adjustRightInd w:val="0"/>
                    <w:snapToGrid w:val="0"/>
                    <w:jc w:val="center"/>
                    <w:rPr>
                      <w:bCs/>
                      <w:color w:val="auto"/>
                      <w:szCs w:val="21"/>
                    </w:rPr>
                  </w:pPr>
                </w:p>
              </w:tc>
              <w:tc>
                <w:tcPr>
                  <w:tcW w:w="997" w:type="dxa"/>
                  <w:tcBorders>
                    <w:tl2br w:val="nil"/>
                    <w:tr2bl w:val="nil"/>
                  </w:tcBorders>
                  <w:vAlign w:val="center"/>
                </w:tcPr>
                <w:p>
                  <w:pPr>
                    <w:widowControl/>
                    <w:adjustRightInd w:val="0"/>
                    <w:snapToGrid w:val="0"/>
                    <w:jc w:val="center"/>
                    <w:textAlignment w:val="bottom"/>
                    <w:rPr>
                      <w:bCs/>
                      <w:color w:val="auto"/>
                      <w:szCs w:val="21"/>
                    </w:rPr>
                  </w:pPr>
                  <w:r>
                    <w:rPr>
                      <w:rFonts w:hint="eastAsia"/>
                      <w:bCs/>
                      <w:color w:val="auto"/>
                      <w:szCs w:val="21"/>
                    </w:rPr>
                    <w:t>36.62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99" w:type="dxa"/>
                  <w:gridSpan w:val="14"/>
                  <w:tcBorders>
                    <w:tl2br w:val="nil"/>
                    <w:tr2bl w:val="nil"/>
                  </w:tcBorders>
                  <w:vAlign w:val="center"/>
                </w:tcPr>
                <w:p>
                  <w:pPr>
                    <w:adjustRightInd w:val="0"/>
                    <w:snapToGrid w:val="0"/>
                    <w:rPr>
                      <w:bCs/>
                      <w:color w:val="auto"/>
                      <w:szCs w:val="21"/>
                    </w:rPr>
                  </w:pPr>
                  <w:r>
                    <w:rPr>
                      <w:rFonts w:hint="eastAsia"/>
                      <w:bCs/>
                      <w:color w:val="auto"/>
                      <w:szCs w:val="21"/>
                    </w:rPr>
                    <w:t>备注：以生产厂房中心为空间相对位置坐标原点，南北走向为X轴,东西走向为Y轴，</w:t>
                  </w:r>
                </w:p>
              </w:tc>
            </w:tr>
          </w:tbl>
          <w:p>
            <w:pPr>
              <w:adjustRightInd w:val="0"/>
              <w:snapToGrid w:val="0"/>
              <w:spacing w:line="360" w:lineRule="auto"/>
              <w:jc w:val="center"/>
              <w:rPr>
                <w:color w:val="auto"/>
                <w:sz w:val="24"/>
              </w:rPr>
            </w:pPr>
            <w:r>
              <w:rPr>
                <w:color w:val="auto"/>
                <w:sz w:val="24"/>
              </w:rPr>
              <w:t>表4.</w:t>
            </w:r>
            <w:r>
              <w:rPr>
                <w:rFonts w:hint="eastAsia"/>
                <w:color w:val="auto"/>
                <w:sz w:val="24"/>
              </w:rPr>
              <w:t>1</w:t>
            </w:r>
            <w:r>
              <w:rPr>
                <w:rFonts w:hint="eastAsia"/>
                <w:color w:val="auto"/>
                <w:sz w:val="24"/>
                <w:lang w:val="en-US" w:eastAsia="zh-CN"/>
              </w:rPr>
              <w:t>3</w:t>
            </w:r>
            <w:r>
              <w:rPr>
                <w:rFonts w:hint="eastAsia"/>
                <w:color w:val="auto"/>
                <w:sz w:val="24"/>
              </w:rPr>
              <w:t>噪声源强调查清单（室外声源）</w:t>
            </w:r>
          </w:p>
          <w:tbl>
            <w:tblPr>
              <w:tblStyle w:val="23"/>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88"/>
              <w:gridCol w:w="958"/>
              <w:gridCol w:w="2946"/>
              <w:gridCol w:w="908"/>
              <w:gridCol w:w="910"/>
              <w:gridCol w:w="738"/>
              <w:gridCol w:w="2221"/>
              <w:gridCol w:w="15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序</w:t>
                  </w:r>
                </w:p>
                <w:p>
                  <w:pPr>
                    <w:adjustRightInd w:val="0"/>
                    <w:snapToGrid w:val="0"/>
                    <w:jc w:val="center"/>
                    <w:rPr>
                      <w:bCs/>
                      <w:color w:val="auto"/>
                      <w:szCs w:val="21"/>
                    </w:rPr>
                  </w:pPr>
                  <w:r>
                    <w:rPr>
                      <w:rFonts w:hint="eastAsia"/>
                      <w:bCs/>
                      <w:color w:val="auto"/>
                      <w:szCs w:val="21"/>
                    </w:rPr>
                    <w:t>号</w:t>
                  </w:r>
                </w:p>
              </w:tc>
              <w:tc>
                <w:tcPr>
                  <w:tcW w:w="635"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声源名称</w:t>
                  </w:r>
                </w:p>
              </w:tc>
              <w:tc>
                <w:tcPr>
                  <w:tcW w:w="383"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型号</w:t>
                  </w:r>
                </w:p>
              </w:tc>
              <w:tc>
                <w:tcPr>
                  <w:tcW w:w="1178"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声压级/距声源距离</w:t>
                  </w:r>
                </w:p>
                <w:p>
                  <w:pPr>
                    <w:adjustRightInd w:val="0"/>
                    <w:snapToGrid w:val="0"/>
                    <w:jc w:val="center"/>
                    <w:rPr>
                      <w:bCs/>
                      <w:color w:val="auto"/>
                      <w:szCs w:val="21"/>
                    </w:rPr>
                  </w:pPr>
                  <w:r>
                    <w:rPr>
                      <w:rFonts w:hint="eastAsia"/>
                      <w:bCs/>
                      <w:color w:val="auto"/>
                      <w:szCs w:val="21"/>
                    </w:rPr>
                    <w:t>（dB(A)/m）</w:t>
                  </w:r>
                </w:p>
              </w:tc>
              <w:tc>
                <w:tcPr>
                  <w:tcW w:w="1022" w:type="pct"/>
                  <w:gridSpan w:val="3"/>
                  <w:tcBorders>
                    <w:tl2br w:val="nil"/>
                    <w:tr2bl w:val="nil"/>
                  </w:tcBorders>
                  <w:vAlign w:val="center"/>
                </w:tcPr>
                <w:p>
                  <w:pPr>
                    <w:adjustRightInd w:val="0"/>
                    <w:snapToGrid w:val="0"/>
                    <w:jc w:val="center"/>
                    <w:rPr>
                      <w:bCs/>
                      <w:color w:val="auto"/>
                      <w:szCs w:val="21"/>
                    </w:rPr>
                  </w:pPr>
                  <w:r>
                    <w:rPr>
                      <w:rFonts w:hint="eastAsia"/>
                      <w:bCs/>
                      <w:color w:val="auto"/>
                      <w:szCs w:val="21"/>
                    </w:rPr>
                    <w:t>空间相对位置/m</w:t>
                  </w:r>
                </w:p>
              </w:tc>
              <w:tc>
                <w:tcPr>
                  <w:tcW w:w="888"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声源控制措施</w:t>
                  </w:r>
                </w:p>
              </w:tc>
              <w:tc>
                <w:tcPr>
                  <w:tcW w:w="635" w:type="pct"/>
                  <w:vMerge w:val="restart"/>
                  <w:tcBorders>
                    <w:tl2br w:val="nil"/>
                    <w:tr2bl w:val="nil"/>
                  </w:tcBorders>
                  <w:vAlign w:val="center"/>
                </w:tcPr>
                <w:p>
                  <w:pPr>
                    <w:adjustRightInd w:val="0"/>
                    <w:snapToGrid w:val="0"/>
                    <w:jc w:val="center"/>
                    <w:rPr>
                      <w:bCs/>
                      <w:color w:val="auto"/>
                      <w:szCs w:val="21"/>
                    </w:rPr>
                  </w:pPr>
                  <w:r>
                    <w:rPr>
                      <w:rFonts w:hint="eastAsia"/>
                      <w:bCs/>
                      <w:color w:val="auto"/>
                      <w:szCs w:val="21"/>
                    </w:rPr>
                    <w:t>运行时段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6" w:type="pct"/>
                  <w:vMerge w:val="continue"/>
                  <w:tcBorders>
                    <w:tl2br w:val="nil"/>
                    <w:tr2bl w:val="nil"/>
                  </w:tcBorders>
                  <w:vAlign w:val="center"/>
                </w:tcPr>
                <w:p>
                  <w:pPr>
                    <w:adjustRightInd w:val="0"/>
                    <w:snapToGrid w:val="0"/>
                    <w:jc w:val="center"/>
                    <w:rPr>
                      <w:bCs/>
                      <w:color w:val="auto"/>
                      <w:szCs w:val="21"/>
                    </w:rPr>
                  </w:pPr>
                </w:p>
              </w:tc>
              <w:tc>
                <w:tcPr>
                  <w:tcW w:w="635" w:type="pct"/>
                  <w:vMerge w:val="continue"/>
                  <w:tcBorders>
                    <w:tl2br w:val="nil"/>
                    <w:tr2bl w:val="nil"/>
                  </w:tcBorders>
                  <w:vAlign w:val="center"/>
                </w:tcPr>
                <w:p>
                  <w:pPr>
                    <w:adjustRightInd w:val="0"/>
                    <w:snapToGrid w:val="0"/>
                    <w:jc w:val="center"/>
                    <w:rPr>
                      <w:bCs/>
                      <w:color w:val="auto"/>
                      <w:szCs w:val="21"/>
                    </w:rPr>
                  </w:pPr>
                </w:p>
              </w:tc>
              <w:tc>
                <w:tcPr>
                  <w:tcW w:w="383" w:type="pct"/>
                  <w:vMerge w:val="continue"/>
                  <w:tcBorders>
                    <w:tl2br w:val="nil"/>
                    <w:tr2bl w:val="nil"/>
                  </w:tcBorders>
                  <w:vAlign w:val="center"/>
                </w:tcPr>
                <w:p>
                  <w:pPr>
                    <w:adjustRightInd w:val="0"/>
                    <w:snapToGrid w:val="0"/>
                    <w:jc w:val="center"/>
                    <w:rPr>
                      <w:bCs/>
                      <w:color w:val="auto"/>
                      <w:szCs w:val="21"/>
                    </w:rPr>
                  </w:pPr>
                </w:p>
              </w:tc>
              <w:tc>
                <w:tcPr>
                  <w:tcW w:w="1178" w:type="pct"/>
                  <w:vMerge w:val="continue"/>
                  <w:tcBorders>
                    <w:tl2br w:val="nil"/>
                    <w:tr2bl w:val="nil"/>
                  </w:tcBorders>
                  <w:vAlign w:val="center"/>
                </w:tcPr>
                <w:p>
                  <w:pPr>
                    <w:adjustRightInd w:val="0"/>
                    <w:snapToGrid w:val="0"/>
                    <w:jc w:val="center"/>
                    <w:rPr>
                      <w:bCs/>
                      <w:color w:val="auto"/>
                      <w:szCs w:val="21"/>
                    </w:rPr>
                  </w:pPr>
                </w:p>
              </w:tc>
              <w:tc>
                <w:tcPr>
                  <w:tcW w:w="363" w:type="pct"/>
                  <w:tcBorders>
                    <w:tl2br w:val="nil"/>
                    <w:tr2bl w:val="nil"/>
                  </w:tcBorders>
                  <w:vAlign w:val="center"/>
                </w:tcPr>
                <w:p>
                  <w:pPr>
                    <w:adjustRightInd w:val="0"/>
                    <w:snapToGrid w:val="0"/>
                    <w:jc w:val="center"/>
                    <w:rPr>
                      <w:bCs/>
                      <w:color w:val="auto"/>
                      <w:szCs w:val="21"/>
                    </w:rPr>
                  </w:pPr>
                  <w:r>
                    <w:rPr>
                      <w:rFonts w:hint="eastAsia"/>
                      <w:bCs/>
                      <w:color w:val="auto"/>
                      <w:szCs w:val="21"/>
                    </w:rPr>
                    <w:t>X</w:t>
                  </w:r>
                </w:p>
              </w:tc>
              <w:tc>
                <w:tcPr>
                  <w:tcW w:w="364" w:type="pct"/>
                  <w:tcBorders>
                    <w:tl2br w:val="nil"/>
                    <w:tr2bl w:val="nil"/>
                  </w:tcBorders>
                  <w:vAlign w:val="center"/>
                </w:tcPr>
                <w:p>
                  <w:pPr>
                    <w:adjustRightInd w:val="0"/>
                    <w:snapToGrid w:val="0"/>
                    <w:jc w:val="center"/>
                    <w:rPr>
                      <w:bCs/>
                      <w:color w:val="auto"/>
                      <w:szCs w:val="21"/>
                    </w:rPr>
                  </w:pPr>
                  <w:r>
                    <w:rPr>
                      <w:rFonts w:hint="eastAsia"/>
                      <w:bCs/>
                      <w:color w:val="auto"/>
                      <w:szCs w:val="21"/>
                    </w:rPr>
                    <w:t>Y</w:t>
                  </w:r>
                </w:p>
              </w:tc>
              <w:tc>
                <w:tcPr>
                  <w:tcW w:w="295" w:type="pct"/>
                  <w:tcBorders>
                    <w:tl2br w:val="nil"/>
                    <w:tr2bl w:val="nil"/>
                  </w:tcBorders>
                  <w:vAlign w:val="center"/>
                </w:tcPr>
                <w:p>
                  <w:pPr>
                    <w:adjustRightInd w:val="0"/>
                    <w:snapToGrid w:val="0"/>
                    <w:jc w:val="center"/>
                    <w:rPr>
                      <w:bCs/>
                      <w:color w:val="auto"/>
                      <w:szCs w:val="21"/>
                    </w:rPr>
                  </w:pPr>
                  <w:r>
                    <w:rPr>
                      <w:rFonts w:hint="eastAsia"/>
                      <w:bCs/>
                      <w:color w:val="auto"/>
                      <w:szCs w:val="21"/>
                    </w:rPr>
                    <w:t>Z</w:t>
                  </w:r>
                </w:p>
              </w:tc>
              <w:tc>
                <w:tcPr>
                  <w:tcW w:w="888" w:type="pct"/>
                  <w:vMerge w:val="continue"/>
                  <w:tcBorders>
                    <w:tl2br w:val="nil"/>
                    <w:tr2bl w:val="nil"/>
                  </w:tcBorders>
                  <w:vAlign w:val="center"/>
                </w:tcPr>
                <w:p>
                  <w:pPr>
                    <w:adjustRightInd w:val="0"/>
                    <w:snapToGrid w:val="0"/>
                    <w:jc w:val="center"/>
                    <w:rPr>
                      <w:bCs/>
                      <w:color w:val="auto"/>
                      <w:szCs w:val="21"/>
                    </w:rPr>
                  </w:pPr>
                </w:p>
              </w:tc>
              <w:tc>
                <w:tcPr>
                  <w:tcW w:w="635" w:type="pct"/>
                  <w:vMerge w:val="continue"/>
                  <w:tcBorders>
                    <w:tl2br w:val="nil"/>
                    <w:tr2bl w:val="nil"/>
                  </w:tcBorders>
                  <w:vAlign w:val="center"/>
                </w:tcPr>
                <w:p>
                  <w:pPr>
                    <w:adjustRightInd w:val="0"/>
                    <w:snapToGrid w:val="0"/>
                    <w:jc w:val="center"/>
                    <w:rPr>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6" w:type="pct"/>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635" w:type="pct"/>
                  <w:tcBorders>
                    <w:tl2br w:val="nil"/>
                    <w:tr2bl w:val="nil"/>
                  </w:tcBorders>
                  <w:vAlign w:val="center"/>
                </w:tcPr>
                <w:p>
                  <w:pPr>
                    <w:adjustRightInd w:val="0"/>
                    <w:snapToGrid w:val="0"/>
                    <w:jc w:val="center"/>
                    <w:rPr>
                      <w:bCs/>
                      <w:color w:val="auto"/>
                      <w:szCs w:val="21"/>
                    </w:rPr>
                  </w:pPr>
                  <w:r>
                    <w:rPr>
                      <w:rFonts w:hint="eastAsia"/>
                      <w:bCs/>
                      <w:color w:val="auto"/>
                      <w:szCs w:val="21"/>
                    </w:rPr>
                    <w:t>冷却塔</w:t>
                  </w:r>
                </w:p>
              </w:tc>
              <w:tc>
                <w:tcPr>
                  <w:tcW w:w="383" w:type="pct"/>
                  <w:tcBorders>
                    <w:tl2br w:val="nil"/>
                    <w:tr2bl w:val="nil"/>
                  </w:tcBorders>
                  <w:vAlign w:val="center"/>
                </w:tcPr>
                <w:p>
                  <w:pPr>
                    <w:adjustRightInd w:val="0"/>
                    <w:snapToGrid w:val="0"/>
                    <w:jc w:val="center"/>
                    <w:rPr>
                      <w:bCs/>
                      <w:color w:val="auto"/>
                      <w:szCs w:val="21"/>
                    </w:rPr>
                  </w:pPr>
                  <w:r>
                    <w:rPr>
                      <w:rFonts w:hint="eastAsia"/>
                      <w:bCs/>
                      <w:color w:val="auto"/>
                      <w:szCs w:val="21"/>
                    </w:rPr>
                    <w:t>/</w:t>
                  </w:r>
                </w:p>
              </w:tc>
              <w:tc>
                <w:tcPr>
                  <w:tcW w:w="1178" w:type="pct"/>
                  <w:tcBorders>
                    <w:tl2br w:val="nil"/>
                    <w:tr2bl w:val="nil"/>
                  </w:tcBorders>
                  <w:vAlign w:val="center"/>
                </w:tcPr>
                <w:p>
                  <w:pPr>
                    <w:adjustRightInd w:val="0"/>
                    <w:snapToGrid w:val="0"/>
                    <w:jc w:val="center"/>
                    <w:rPr>
                      <w:bCs/>
                      <w:color w:val="auto"/>
                      <w:szCs w:val="21"/>
                    </w:rPr>
                  </w:pPr>
                  <w:r>
                    <w:rPr>
                      <w:rFonts w:hint="eastAsia"/>
                      <w:color w:val="auto"/>
                      <w:szCs w:val="21"/>
                    </w:rPr>
                    <w:t>75/5</w:t>
                  </w:r>
                </w:p>
              </w:tc>
              <w:tc>
                <w:tcPr>
                  <w:tcW w:w="908" w:type="dxa"/>
                  <w:tcBorders>
                    <w:tl2br w:val="nil"/>
                    <w:tr2bl w:val="nil"/>
                  </w:tcBorders>
                  <w:vAlign w:val="center"/>
                </w:tcPr>
                <w:p>
                  <w:pPr>
                    <w:adjustRightInd w:val="0"/>
                    <w:snapToGrid w:val="0"/>
                    <w:jc w:val="center"/>
                    <w:rPr>
                      <w:bCs/>
                      <w:color w:val="auto"/>
                      <w:szCs w:val="21"/>
                    </w:rPr>
                  </w:pPr>
                  <w:r>
                    <w:rPr>
                      <w:rFonts w:hint="eastAsia"/>
                      <w:bCs/>
                      <w:color w:val="auto"/>
                      <w:szCs w:val="21"/>
                    </w:rPr>
                    <w:t>-42</w:t>
                  </w:r>
                </w:p>
              </w:tc>
              <w:tc>
                <w:tcPr>
                  <w:tcW w:w="910" w:type="dxa"/>
                  <w:tcBorders>
                    <w:tl2br w:val="nil"/>
                    <w:tr2bl w:val="nil"/>
                  </w:tcBorders>
                  <w:vAlign w:val="center"/>
                </w:tcPr>
                <w:p>
                  <w:pPr>
                    <w:adjustRightInd w:val="0"/>
                    <w:snapToGrid w:val="0"/>
                    <w:jc w:val="center"/>
                    <w:rPr>
                      <w:bCs/>
                      <w:color w:val="auto"/>
                      <w:szCs w:val="21"/>
                    </w:rPr>
                  </w:pPr>
                  <w:r>
                    <w:rPr>
                      <w:rFonts w:hint="eastAsia"/>
                      <w:bCs/>
                      <w:color w:val="auto"/>
                      <w:szCs w:val="21"/>
                    </w:rPr>
                    <w:t>-6</w:t>
                  </w:r>
                </w:p>
              </w:tc>
              <w:tc>
                <w:tcPr>
                  <w:tcW w:w="738" w:type="dxa"/>
                  <w:tcBorders>
                    <w:tl2br w:val="nil"/>
                    <w:tr2bl w:val="nil"/>
                  </w:tcBorders>
                  <w:vAlign w:val="center"/>
                </w:tcPr>
                <w:p>
                  <w:pPr>
                    <w:adjustRightInd w:val="0"/>
                    <w:snapToGrid w:val="0"/>
                    <w:jc w:val="center"/>
                    <w:rPr>
                      <w:bCs/>
                      <w:color w:val="auto"/>
                      <w:szCs w:val="21"/>
                    </w:rPr>
                  </w:pPr>
                  <w:r>
                    <w:rPr>
                      <w:rFonts w:hint="eastAsia"/>
                      <w:bCs/>
                      <w:color w:val="auto"/>
                      <w:szCs w:val="21"/>
                    </w:rPr>
                    <w:t>1</w:t>
                  </w:r>
                </w:p>
              </w:tc>
              <w:tc>
                <w:tcPr>
                  <w:tcW w:w="888" w:type="pct"/>
                  <w:tcBorders>
                    <w:tl2br w:val="nil"/>
                    <w:tr2bl w:val="nil"/>
                  </w:tcBorders>
                  <w:vAlign w:val="center"/>
                </w:tcPr>
                <w:p>
                  <w:pPr>
                    <w:adjustRightInd w:val="0"/>
                    <w:snapToGrid w:val="0"/>
                    <w:jc w:val="center"/>
                    <w:rPr>
                      <w:bCs/>
                      <w:color w:val="auto"/>
                      <w:szCs w:val="21"/>
                    </w:rPr>
                  </w:pPr>
                  <w:r>
                    <w:rPr>
                      <w:color w:val="auto"/>
                      <w:szCs w:val="21"/>
                    </w:rPr>
                    <w:t>建筑隔声</w:t>
                  </w:r>
                  <w:r>
                    <w:rPr>
                      <w:rFonts w:hint="eastAsia"/>
                      <w:color w:val="auto"/>
                      <w:szCs w:val="21"/>
                    </w:rPr>
                    <w:t>、减震垫</w:t>
                  </w:r>
                </w:p>
              </w:tc>
              <w:tc>
                <w:tcPr>
                  <w:tcW w:w="635" w:type="pct"/>
                  <w:tcBorders>
                    <w:tl2br w:val="nil"/>
                    <w:tr2bl w:val="nil"/>
                  </w:tcBorders>
                  <w:vAlign w:val="center"/>
                </w:tcPr>
                <w:p>
                  <w:pPr>
                    <w:adjustRightInd w:val="0"/>
                    <w:snapToGrid w:val="0"/>
                    <w:jc w:val="center"/>
                    <w:rPr>
                      <w:bCs/>
                      <w:color w:val="auto"/>
                      <w:szCs w:val="21"/>
                    </w:rPr>
                  </w:pPr>
                  <w:r>
                    <w:rPr>
                      <w:rFonts w:hint="eastAsia"/>
                      <w:bCs/>
                      <w:color w:val="auto"/>
                      <w:szCs w:val="21"/>
                    </w:rPr>
                    <w:t>8h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6" w:type="pc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2</w:t>
                  </w:r>
                </w:p>
              </w:tc>
              <w:tc>
                <w:tcPr>
                  <w:tcW w:w="635" w:type="pct"/>
                  <w:tcBorders>
                    <w:tl2br w:val="nil"/>
                    <w:tr2bl w:val="nil"/>
                  </w:tcBorders>
                  <w:vAlign w:val="center"/>
                </w:tcPr>
                <w:p>
                  <w:pPr>
                    <w:adjustRightInd w:val="0"/>
                    <w:snapToGrid w:val="0"/>
                    <w:jc w:val="center"/>
                    <w:rPr>
                      <w:rFonts w:hint="eastAsia" w:eastAsia="宋体"/>
                      <w:bCs/>
                      <w:color w:val="auto"/>
                      <w:szCs w:val="21"/>
                      <w:lang w:eastAsia="zh-CN"/>
                    </w:rPr>
                  </w:pPr>
                  <w:r>
                    <w:rPr>
                      <w:rFonts w:hint="eastAsia"/>
                      <w:bCs/>
                      <w:color w:val="auto"/>
                      <w:szCs w:val="21"/>
                      <w:lang w:eastAsia="zh-CN"/>
                    </w:rPr>
                    <w:t>风机</w:t>
                  </w:r>
                </w:p>
              </w:tc>
              <w:tc>
                <w:tcPr>
                  <w:tcW w:w="383" w:type="pct"/>
                  <w:tcBorders>
                    <w:tl2br w:val="nil"/>
                    <w:tr2bl w:val="nil"/>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w:t>
                  </w:r>
                </w:p>
              </w:tc>
              <w:tc>
                <w:tcPr>
                  <w:tcW w:w="1178" w:type="pct"/>
                  <w:tcBorders>
                    <w:tl2br w:val="nil"/>
                    <w:tr2bl w:val="nil"/>
                  </w:tcBorders>
                  <w:vAlign w:val="center"/>
                </w:tcPr>
                <w:p>
                  <w:pPr>
                    <w:adjustRightInd w:val="0"/>
                    <w:snapToGrid w:val="0"/>
                    <w:jc w:val="center"/>
                    <w:rPr>
                      <w:rFonts w:hint="eastAsia"/>
                      <w:color w:val="auto"/>
                      <w:szCs w:val="21"/>
                    </w:rPr>
                  </w:pPr>
                  <w:r>
                    <w:rPr>
                      <w:rFonts w:hint="eastAsia"/>
                      <w:color w:val="auto"/>
                      <w:szCs w:val="21"/>
                    </w:rPr>
                    <w:t>80/5</w:t>
                  </w:r>
                </w:p>
              </w:tc>
              <w:tc>
                <w:tcPr>
                  <w:tcW w:w="908" w:type="dxa"/>
                  <w:tcBorders>
                    <w:tl2br w:val="nil"/>
                    <w:tr2bl w:val="nil"/>
                  </w:tcBorders>
                  <w:vAlign w:val="center"/>
                </w:tcPr>
                <w:p>
                  <w:pPr>
                    <w:adjustRightInd w:val="0"/>
                    <w:snapToGrid w:val="0"/>
                    <w:jc w:val="center"/>
                    <w:rPr>
                      <w:color w:val="auto"/>
                      <w:szCs w:val="21"/>
                    </w:rPr>
                  </w:pPr>
                  <w:r>
                    <w:rPr>
                      <w:rFonts w:hint="eastAsia"/>
                      <w:bCs/>
                      <w:color w:val="auto"/>
                      <w:szCs w:val="21"/>
                    </w:rPr>
                    <w:t>-26</w:t>
                  </w:r>
                </w:p>
              </w:tc>
              <w:tc>
                <w:tcPr>
                  <w:tcW w:w="910" w:type="dxa"/>
                  <w:tcBorders>
                    <w:tl2br w:val="nil"/>
                    <w:tr2bl w:val="nil"/>
                  </w:tcBorders>
                  <w:vAlign w:val="center"/>
                </w:tcPr>
                <w:p>
                  <w:pPr>
                    <w:adjustRightInd w:val="0"/>
                    <w:snapToGrid w:val="0"/>
                    <w:jc w:val="center"/>
                    <w:rPr>
                      <w:rFonts w:hint="eastAsia"/>
                      <w:bCs/>
                      <w:color w:val="auto"/>
                      <w:szCs w:val="21"/>
                    </w:rPr>
                  </w:pPr>
                  <w:r>
                    <w:rPr>
                      <w:rFonts w:hint="eastAsia"/>
                      <w:bCs/>
                      <w:color w:val="auto"/>
                      <w:szCs w:val="21"/>
                    </w:rPr>
                    <w:t>-37</w:t>
                  </w:r>
                </w:p>
              </w:tc>
              <w:tc>
                <w:tcPr>
                  <w:tcW w:w="738" w:type="dxa"/>
                  <w:tcBorders>
                    <w:tl2br w:val="nil"/>
                    <w:tr2bl w:val="nil"/>
                  </w:tcBorders>
                  <w:vAlign w:val="center"/>
                </w:tcPr>
                <w:p>
                  <w:pPr>
                    <w:adjustRightInd w:val="0"/>
                    <w:snapToGrid w:val="0"/>
                    <w:jc w:val="center"/>
                    <w:rPr>
                      <w:rFonts w:hint="eastAsia"/>
                      <w:bCs/>
                      <w:color w:val="auto"/>
                      <w:szCs w:val="21"/>
                    </w:rPr>
                  </w:pPr>
                  <w:r>
                    <w:rPr>
                      <w:rFonts w:hint="eastAsia"/>
                      <w:bCs/>
                      <w:color w:val="auto"/>
                      <w:szCs w:val="21"/>
                    </w:rPr>
                    <w:t>1</w:t>
                  </w:r>
                </w:p>
              </w:tc>
              <w:tc>
                <w:tcPr>
                  <w:tcW w:w="888" w:type="pct"/>
                  <w:tcBorders>
                    <w:tl2br w:val="nil"/>
                    <w:tr2bl w:val="nil"/>
                  </w:tcBorders>
                  <w:vAlign w:val="center"/>
                </w:tcPr>
                <w:p>
                  <w:pPr>
                    <w:adjustRightInd w:val="0"/>
                    <w:snapToGrid w:val="0"/>
                    <w:jc w:val="center"/>
                    <w:rPr>
                      <w:rFonts w:hint="eastAsia"/>
                      <w:bCs/>
                      <w:color w:val="auto"/>
                      <w:szCs w:val="21"/>
                    </w:rPr>
                  </w:pPr>
                  <w:r>
                    <w:rPr>
                      <w:rFonts w:hint="eastAsia"/>
                      <w:color w:val="auto"/>
                      <w:szCs w:val="21"/>
                    </w:rPr>
                    <w:t>建筑隔声</w:t>
                  </w:r>
                  <w:r>
                    <w:rPr>
                      <w:color w:val="auto"/>
                      <w:szCs w:val="21"/>
                    </w:rPr>
                    <w:t>、减震垫、消声器</w:t>
                  </w:r>
                </w:p>
              </w:tc>
              <w:tc>
                <w:tcPr>
                  <w:tcW w:w="635" w:type="pct"/>
                  <w:tcBorders>
                    <w:tl2br w:val="nil"/>
                    <w:tr2bl w:val="nil"/>
                  </w:tcBorders>
                  <w:vAlign w:val="center"/>
                </w:tcPr>
                <w:p>
                  <w:pPr>
                    <w:adjustRightInd w:val="0"/>
                    <w:snapToGrid w:val="0"/>
                    <w:jc w:val="center"/>
                    <w:rPr>
                      <w:rFonts w:hint="eastAsia"/>
                      <w:bCs/>
                      <w:color w:val="auto"/>
                      <w:szCs w:val="21"/>
                    </w:rPr>
                  </w:pPr>
                  <w:r>
                    <w:rPr>
                      <w:rFonts w:hint="eastAsia"/>
                      <w:color w:val="auto"/>
                      <w:szCs w:val="21"/>
                    </w:rPr>
                    <w:t>16h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9"/>
                  <w:tcBorders>
                    <w:tl2br w:val="nil"/>
                    <w:tr2bl w:val="nil"/>
                  </w:tcBorders>
                  <w:vAlign w:val="center"/>
                </w:tcPr>
                <w:p>
                  <w:pPr>
                    <w:adjustRightInd w:val="0"/>
                    <w:snapToGrid w:val="0"/>
                    <w:rPr>
                      <w:bCs/>
                      <w:color w:val="auto"/>
                      <w:szCs w:val="21"/>
                    </w:rPr>
                  </w:pPr>
                  <w:r>
                    <w:rPr>
                      <w:rFonts w:hint="eastAsia"/>
                      <w:bCs/>
                      <w:color w:val="auto"/>
                      <w:szCs w:val="21"/>
                    </w:rPr>
                    <w:t>备注：本项目以生产厂房中心为空间相对位置坐标原点，南北走向为Y轴,东西走向为X轴，</w:t>
                  </w:r>
                </w:p>
              </w:tc>
            </w:tr>
          </w:tbl>
          <w:p>
            <w:pPr>
              <w:pStyle w:val="2"/>
              <w:snapToGrid w:val="0"/>
              <w:ind w:firstLine="480" w:firstLineChars="200"/>
              <w:rPr>
                <w:rFonts w:ascii="Times New Roman" w:cs="Times New Roman"/>
                <w:color w:val="auto"/>
              </w:rPr>
            </w:pPr>
          </w:p>
          <w:p>
            <w:pPr>
              <w:pStyle w:val="2"/>
              <w:snapToGrid w:val="0"/>
              <w:ind w:firstLine="480" w:firstLineChars="200"/>
              <w:rPr>
                <w:rFonts w:ascii="Times New Roman" w:cs="Times New Roman"/>
                <w:color w:val="auto"/>
              </w:rPr>
            </w:pPr>
            <w:r>
              <w:rPr>
                <w:rFonts w:ascii="Times New Roman" w:cs="Times New Roman"/>
                <w:color w:val="auto"/>
              </w:rPr>
              <w:t>（2）厂界及声环境保护目标达标情况</w:t>
            </w:r>
          </w:p>
          <w:p>
            <w:pPr>
              <w:adjustRightInd w:val="0"/>
              <w:snapToGrid w:val="0"/>
              <w:spacing w:line="360" w:lineRule="auto"/>
              <w:ind w:firstLine="480" w:firstLineChars="200"/>
              <w:rPr>
                <w:snapToGrid w:val="0"/>
                <w:color w:val="auto"/>
                <w:sz w:val="24"/>
              </w:rPr>
            </w:pPr>
            <w:r>
              <w:rPr>
                <w:color w:val="auto"/>
                <w:sz w:val="24"/>
              </w:rPr>
              <w:t>本评价</w:t>
            </w:r>
            <w:r>
              <w:rPr>
                <w:snapToGrid w:val="0"/>
                <w:color w:val="auto"/>
                <w:sz w:val="24"/>
              </w:rPr>
              <w:t>按照《环境影响评价技术导则 声环境》（HJ2.4－2021）中推荐的模式进行预测计算：</w:t>
            </w:r>
          </w:p>
          <w:p>
            <w:pPr>
              <w:tabs>
                <w:tab w:val="left" w:pos="3675"/>
              </w:tabs>
              <w:adjustRightInd w:val="0"/>
              <w:snapToGrid w:val="0"/>
              <w:spacing w:line="360" w:lineRule="auto"/>
              <w:ind w:firstLine="470" w:firstLineChars="196"/>
              <w:rPr>
                <w:color w:val="auto"/>
                <w:sz w:val="24"/>
              </w:rPr>
            </w:pPr>
            <w:r>
              <w:rPr>
                <w:color w:val="auto"/>
                <w:sz w:val="24"/>
              </w:rPr>
              <w:t>室内声源等效室外声源声功率级计算公式如下：</w:t>
            </w:r>
          </w:p>
          <w:p>
            <w:pPr>
              <w:pStyle w:val="2"/>
              <w:snapToGrid w:val="0"/>
              <w:ind w:firstLine="480"/>
              <w:jc w:val="center"/>
              <w:rPr>
                <w:rFonts w:ascii="Times New Roman" w:cs="Times New Roman"/>
                <w:color w:val="auto"/>
              </w:rPr>
            </w:pPr>
            <w:r>
              <w:rPr>
                <w:rFonts w:ascii="Times New Roman" w:cs="Times New Roman"/>
                <w:color w:val="auto"/>
              </w:rPr>
              <w:t>L</w:t>
            </w:r>
            <w:r>
              <w:rPr>
                <w:rFonts w:ascii="Times New Roman" w:cs="Times New Roman"/>
                <w:color w:val="auto"/>
                <w:vertAlign w:val="subscript"/>
              </w:rPr>
              <w:t>p2</w:t>
            </w:r>
            <w:r>
              <w:rPr>
                <w:rFonts w:ascii="Times New Roman" w:cs="Times New Roman"/>
                <w:color w:val="auto"/>
              </w:rPr>
              <w:t>=L</w:t>
            </w:r>
            <w:r>
              <w:rPr>
                <w:rFonts w:ascii="Times New Roman" w:cs="Times New Roman"/>
                <w:color w:val="auto"/>
                <w:vertAlign w:val="subscript"/>
              </w:rPr>
              <w:t>p1</w:t>
            </w:r>
            <w:r>
              <w:rPr>
                <w:rFonts w:ascii="Times New Roman" w:cs="Times New Roman"/>
                <w:color w:val="auto"/>
              </w:rPr>
              <w:t>-(TL+6)</w:t>
            </w:r>
          </w:p>
          <w:p>
            <w:pPr>
              <w:tabs>
                <w:tab w:val="left" w:pos="3675"/>
              </w:tabs>
              <w:adjustRightInd w:val="0"/>
              <w:snapToGrid w:val="0"/>
              <w:spacing w:line="360" w:lineRule="auto"/>
              <w:ind w:firstLine="470" w:firstLineChars="196"/>
              <w:rPr>
                <w:color w:val="auto"/>
                <w:sz w:val="24"/>
              </w:rPr>
            </w:pPr>
            <w:r>
              <w:rPr>
                <w:color w:val="auto"/>
                <w:sz w:val="24"/>
              </w:rPr>
              <w:t>式中：L</w:t>
            </w:r>
            <w:r>
              <w:rPr>
                <w:color w:val="auto"/>
                <w:sz w:val="24"/>
                <w:vertAlign w:val="subscript"/>
              </w:rPr>
              <w:t>p1</w:t>
            </w:r>
            <w:r>
              <w:rPr>
                <w:color w:val="auto"/>
                <w:sz w:val="24"/>
              </w:rPr>
              <w:t>——靠近开口处（或窗户）室内某倍频带的声压级或A声级，dB；</w:t>
            </w:r>
          </w:p>
          <w:p>
            <w:pPr>
              <w:tabs>
                <w:tab w:val="left" w:pos="3675"/>
              </w:tabs>
              <w:adjustRightInd w:val="0"/>
              <w:snapToGrid w:val="0"/>
              <w:spacing w:line="360" w:lineRule="auto"/>
              <w:ind w:firstLine="470" w:firstLineChars="196"/>
              <w:rPr>
                <w:color w:val="auto"/>
                <w:sz w:val="24"/>
              </w:rPr>
            </w:pPr>
            <w:r>
              <w:rPr>
                <w:color w:val="auto"/>
                <w:sz w:val="24"/>
              </w:rPr>
              <w:t>L</w:t>
            </w:r>
            <w:r>
              <w:rPr>
                <w:color w:val="auto"/>
                <w:sz w:val="24"/>
                <w:vertAlign w:val="subscript"/>
              </w:rPr>
              <w:t>p2</w:t>
            </w:r>
            <w:r>
              <w:rPr>
                <w:color w:val="auto"/>
                <w:sz w:val="24"/>
              </w:rPr>
              <w:t>——靠近开口处（或窗户）室外某倍频带的声压级或A声级，dB；</w:t>
            </w:r>
          </w:p>
          <w:p>
            <w:pPr>
              <w:tabs>
                <w:tab w:val="left" w:pos="3675"/>
              </w:tabs>
              <w:adjustRightInd w:val="0"/>
              <w:snapToGrid w:val="0"/>
              <w:spacing w:line="360" w:lineRule="auto"/>
              <w:ind w:firstLine="470" w:firstLineChars="196"/>
              <w:rPr>
                <w:color w:val="auto"/>
                <w:sz w:val="24"/>
              </w:rPr>
            </w:pPr>
            <w:r>
              <w:rPr>
                <w:color w:val="auto"/>
                <w:sz w:val="24"/>
              </w:rPr>
              <w:t>TL——隔墙（或窗户）倍频带或A声级的隔声量，dB，取10dB(A)。</w:t>
            </w:r>
          </w:p>
          <w:p>
            <w:pPr>
              <w:adjustRightInd w:val="0"/>
              <w:snapToGrid w:val="0"/>
              <w:spacing w:line="360" w:lineRule="auto"/>
              <w:ind w:firstLine="480" w:firstLineChars="200"/>
              <w:rPr>
                <w:snapToGrid w:val="0"/>
                <w:color w:val="auto"/>
                <w:sz w:val="24"/>
              </w:rPr>
            </w:pPr>
            <w:r>
              <w:rPr>
                <w:snapToGrid w:val="0"/>
                <w:color w:val="auto"/>
                <w:sz w:val="24"/>
              </w:rPr>
              <w:t>预测点的预测等效声级（L</w:t>
            </w:r>
            <w:r>
              <w:rPr>
                <w:snapToGrid w:val="0"/>
                <w:color w:val="auto"/>
                <w:sz w:val="24"/>
                <w:vertAlign w:val="subscript"/>
              </w:rPr>
              <w:t>eqg</w:t>
            </w:r>
            <w:r>
              <w:rPr>
                <w:snapToGrid w:val="0"/>
                <w:color w:val="auto"/>
                <w:sz w:val="24"/>
              </w:rPr>
              <w:t>）：</w:t>
            </w:r>
          </w:p>
          <w:p>
            <w:pPr>
              <w:pStyle w:val="13"/>
              <w:autoSpaceDE w:val="0"/>
              <w:autoSpaceDN w:val="0"/>
              <w:adjustRightInd w:val="0"/>
              <w:snapToGrid w:val="0"/>
              <w:spacing w:line="360" w:lineRule="auto"/>
              <w:ind w:firstLine="480"/>
              <w:jc w:val="center"/>
              <w:textAlignment w:val="baseline"/>
              <w:rPr>
                <w:rFonts w:ascii="Times New Roman" w:hAnsi="Times New Roman"/>
                <w:color w:val="auto"/>
                <w:kern w:val="0"/>
                <w:szCs w:val="24"/>
              </w:rPr>
            </w:pPr>
            <w:r>
              <w:rPr>
                <w:color w:val="auto"/>
              </w:rPr>
              <w:drawing>
                <wp:inline distT="0" distB="0" distL="0" distR="0">
                  <wp:extent cx="2593975" cy="560705"/>
                  <wp:effectExtent l="0" t="0" r="1587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594138" cy="560768"/>
                          </a:xfrm>
                          <a:prstGeom prst="rect">
                            <a:avLst/>
                          </a:prstGeom>
                        </pic:spPr>
                      </pic:pic>
                    </a:graphicData>
                  </a:graphic>
                </wp:inline>
              </w:drawing>
            </w:r>
          </w:p>
          <w:p>
            <w:pPr>
              <w:adjustRightInd w:val="0"/>
              <w:snapToGrid w:val="0"/>
              <w:spacing w:line="360" w:lineRule="auto"/>
              <w:ind w:firstLine="480" w:firstLineChars="200"/>
              <w:rPr>
                <w:snapToGrid w:val="0"/>
                <w:color w:val="auto"/>
                <w:sz w:val="24"/>
              </w:rPr>
            </w:pPr>
            <w:r>
              <w:rPr>
                <w:rFonts w:hint="eastAsia"/>
                <w:snapToGrid w:val="0"/>
                <w:color w:val="auto"/>
                <w:sz w:val="24"/>
              </w:rPr>
              <w:t>式中：L</w:t>
            </w:r>
            <w:r>
              <w:rPr>
                <w:rFonts w:hint="eastAsia"/>
                <w:snapToGrid w:val="0"/>
                <w:color w:val="auto"/>
                <w:sz w:val="24"/>
                <w:vertAlign w:val="subscript"/>
              </w:rPr>
              <w:t>eqg</w:t>
            </w:r>
            <w:r>
              <w:rPr>
                <w:rFonts w:hint="eastAsia"/>
                <w:snapToGrid w:val="0"/>
                <w:color w:val="auto"/>
                <w:sz w:val="24"/>
              </w:rPr>
              <w:t>——建设项目声源在预测点产生的噪声贡献值，dB（A）；</w:t>
            </w:r>
          </w:p>
          <w:p>
            <w:pPr>
              <w:adjustRightInd w:val="0"/>
              <w:snapToGrid w:val="0"/>
              <w:spacing w:line="360" w:lineRule="auto"/>
              <w:ind w:firstLine="480" w:firstLineChars="200"/>
              <w:rPr>
                <w:snapToGrid w:val="0"/>
                <w:color w:val="auto"/>
                <w:sz w:val="24"/>
              </w:rPr>
            </w:pPr>
            <w:r>
              <w:rPr>
                <w:rFonts w:hint="eastAsia"/>
                <w:snapToGrid w:val="0"/>
                <w:color w:val="auto"/>
                <w:sz w:val="24"/>
              </w:rPr>
              <w:t xml:space="preserve">      </w:t>
            </w:r>
            <w:r>
              <w:rPr>
                <w:snapToGrid w:val="0"/>
                <w:color w:val="auto"/>
                <w:sz w:val="24"/>
              </w:rPr>
              <w:t>T</w:t>
            </w:r>
            <w:r>
              <w:rPr>
                <w:rFonts w:hint="eastAsia"/>
                <w:snapToGrid w:val="0"/>
                <w:color w:val="auto"/>
                <w:sz w:val="24"/>
              </w:rPr>
              <w:t>——用于计算等效声级的时间，</w:t>
            </w:r>
            <w:r>
              <w:rPr>
                <w:snapToGrid w:val="0"/>
                <w:color w:val="auto"/>
                <w:sz w:val="24"/>
              </w:rPr>
              <w:t>s</w:t>
            </w:r>
            <w:r>
              <w:rPr>
                <w:rFonts w:hint="eastAsia"/>
                <w:snapToGrid w:val="0"/>
                <w:color w:val="auto"/>
                <w:sz w:val="24"/>
              </w:rPr>
              <w:t>；</w:t>
            </w:r>
          </w:p>
          <w:p>
            <w:pPr>
              <w:adjustRightInd w:val="0"/>
              <w:snapToGrid w:val="0"/>
              <w:spacing w:line="360" w:lineRule="auto"/>
              <w:ind w:firstLine="1200" w:firstLineChars="500"/>
              <w:rPr>
                <w:snapToGrid w:val="0"/>
                <w:color w:val="auto"/>
                <w:sz w:val="24"/>
              </w:rPr>
            </w:pPr>
            <w:r>
              <w:rPr>
                <w:snapToGrid w:val="0"/>
                <w:color w:val="auto"/>
                <w:sz w:val="24"/>
              </w:rPr>
              <w:t>N</w:t>
            </w:r>
            <w:r>
              <w:rPr>
                <w:rFonts w:hint="eastAsia"/>
                <w:snapToGrid w:val="0"/>
                <w:color w:val="auto"/>
                <w:sz w:val="24"/>
              </w:rPr>
              <w:t>——室外声源个数；</w:t>
            </w:r>
          </w:p>
          <w:p>
            <w:pPr>
              <w:adjustRightInd w:val="0"/>
              <w:snapToGrid w:val="0"/>
              <w:spacing w:line="360" w:lineRule="auto"/>
              <w:ind w:firstLine="1200" w:firstLineChars="500"/>
              <w:rPr>
                <w:snapToGrid w:val="0"/>
                <w:color w:val="auto"/>
                <w:sz w:val="24"/>
              </w:rPr>
            </w:pPr>
            <w:r>
              <w:rPr>
                <w:snapToGrid w:val="0"/>
                <w:color w:val="auto"/>
                <w:sz w:val="24"/>
              </w:rPr>
              <w:t>t</w:t>
            </w:r>
            <w:r>
              <w:rPr>
                <w:rFonts w:hint="eastAsia"/>
                <w:snapToGrid w:val="0"/>
                <w:color w:val="auto"/>
                <w:sz w:val="24"/>
                <w:vertAlign w:val="subscript"/>
              </w:rPr>
              <w:t>i</w:t>
            </w:r>
            <w:r>
              <w:rPr>
                <w:rFonts w:hint="eastAsia"/>
                <w:snapToGrid w:val="0"/>
                <w:color w:val="auto"/>
                <w:sz w:val="24"/>
              </w:rPr>
              <w:t>——在T时间</w:t>
            </w:r>
            <w:r>
              <w:rPr>
                <w:snapToGrid w:val="0"/>
                <w:color w:val="auto"/>
                <w:sz w:val="24"/>
              </w:rPr>
              <w:t>内i声源工作时间</w:t>
            </w:r>
            <w:r>
              <w:rPr>
                <w:rFonts w:hint="eastAsia"/>
                <w:snapToGrid w:val="0"/>
                <w:color w:val="auto"/>
                <w:sz w:val="24"/>
              </w:rPr>
              <w:t>；</w:t>
            </w:r>
          </w:p>
          <w:p>
            <w:pPr>
              <w:adjustRightInd w:val="0"/>
              <w:snapToGrid w:val="0"/>
              <w:spacing w:line="360" w:lineRule="auto"/>
              <w:ind w:firstLine="1200" w:firstLineChars="500"/>
              <w:rPr>
                <w:snapToGrid w:val="0"/>
                <w:color w:val="auto"/>
                <w:sz w:val="24"/>
              </w:rPr>
            </w:pPr>
            <w:r>
              <w:rPr>
                <w:snapToGrid w:val="0"/>
                <w:color w:val="auto"/>
                <w:sz w:val="24"/>
              </w:rPr>
              <w:t>M</w:t>
            </w:r>
            <w:r>
              <w:rPr>
                <w:rFonts w:hint="eastAsia"/>
                <w:snapToGrid w:val="0"/>
                <w:color w:val="auto"/>
                <w:sz w:val="24"/>
              </w:rPr>
              <w:t>——等效室外声源个数；</w:t>
            </w:r>
          </w:p>
          <w:p>
            <w:pPr>
              <w:adjustRightInd w:val="0"/>
              <w:snapToGrid w:val="0"/>
              <w:spacing w:line="360" w:lineRule="auto"/>
              <w:ind w:firstLine="1200" w:firstLineChars="500"/>
              <w:rPr>
                <w:snapToGrid w:val="0"/>
                <w:color w:val="auto"/>
                <w:sz w:val="24"/>
              </w:rPr>
            </w:pPr>
            <w:r>
              <w:rPr>
                <w:snapToGrid w:val="0"/>
                <w:color w:val="auto"/>
                <w:sz w:val="24"/>
              </w:rPr>
              <w:t>t</w:t>
            </w:r>
            <w:r>
              <w:rPr>
                <w:snapToGrid w:val="0"/>
                <w:color w:val="auto"/>
                <w:sz w:val="24"/>
                <w:vertAlign w:val="subscript"/>
              </w:rPr>
              <w:t>j</w:t>
            </w:r>
            <w:r>
              <w:rPr>
                <w:rFonts w:hint="eastAsia"/>
                <w:snapToGrid w:val="0"/>
                <w:color w:val="auto"/>
                <w:sz w:val="24"/>
              </w:rPr>
              <w:t>——在T时间</w:t>
            </w:r>
            <w:r>
              <w:rPr>
                <w:snapToGrid w:val="0"/>
                <w:color w:val="auto"/>
                <w:sz w:val="24"/>
              </w:rPr>
              <w:t>内j声源工作时间</w:t>
            </w:r>
            <w:r>
              <w:rPr>
                <w:rFonts w:hint="eastAsia"/>
                <w:snapToGrid w:val="0"/>
                <w:color w:val="auto"/>
                <w:sz w:val="24"/>
              </w:rPr>
              <w:t>。</w:t>
            </w:r>
          </w:p>
          <w:p>
            <w:pPr>
              <w:adjustRightInd w:val="0"/>
              <w:snapToGrid w:val="0"/>
              <w:spacing w:line="360" w:lineRule="auto"/>
              <w:ind w:firstLine="480" w:firstLineChars="200"/>
              <w:rPr>
                <w:snapToGrid w:val="0"/>
                <w:color w:val="auto"/>
                <w:sz w:val="24"/>
              </w:rPr>
            </w:pPr>
            <w:r>
              <w:rPr>
                <w:rFonts w:hint="eastAsia"/>
                <w:snapToGrid w:val="0"/>
                <w:color w:val="auto"/>
                <w:sz w:val="24"/>
              </w:rPr>
              <w:t>预测点的预测等效声级（L</w:t>
            </w:r>
            <w:r>
              <w:rPr>
                <w:rFonts w:hint="eastAsia"/>
                <w:snapToGrid w:val="0"/>
                <w:color w:val="auto"/>
                <w:sz w:val="24"/>
                <w:vertAlign w:val="subscript"/>
              </w:rPr>
              <w:t>eq</w:t>
            </w:r>
            <w:r>
              <w:rPr>
                <w:snapToGrid w:val="0"/>
                <w:color w:val="auto"/>
                <w:sz w:val="24"/>
                <w:vertAlign w:val="subscript"/>
              </w:rPr>
              <w:t>g</w:t>
            </w:r>
            <w:r>
              <w:rPr>
                <w:rFonts w:hint="eastAsia"/>
                <w:snapToGrid w:val="0"/>
                <w:color w:val="auto"/>
                <w:sz w:val="24"/>
              </w:rPr>
              <w:t>）：</w:t>
            </w:r>
          </w:p>
          <w:p>
            <w:pPr>
              <w:pStyle w:val="13"/>
              <w:autoSpaceDE w:val="0"/>
              <w:autoSpaceDN w:val="0"/>
              <w:adjustRightInd w:val="0"/>
              <w:snapToGrid w:val="0"/>
              <w:spacing w:line="360" w:lineRule="auto"/>
              <w:ind w:firstLine="480"/>
              <w:jc w:val="center"/>
              <w:textAlignment w:val="baseline"/>
              <w:rPr>
                <w:rFonts w:ascii="Times New Roman" w:hAnsi="Times New Roman"/>
                <w:color w:val="auto"/>
                <w:kern w:val="0"/>
                <w:szCs w:val="24"/>
              </w:rPr>
            </w:pPr>
            <w:r>
              <w:rPr>
                <w:rFonts w:ascii="Times New Roman" w:hAnsi="Times New Roman"/>
                <w:color w:val="auto"/>
                <w:kern w:val="0"/>
                <w:szCs w:val="24"/>
              </w:rPr>
              <w:object>
                <v:shape id="_x0000_i1032" o:spt="75" type="#_x0000_t75" style="height:26.25pt;width:199.9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p>
          <w:p>
            <w:pPr>
              <w:adjustRightInd w:val="0"/>
              <w:snapToGrid w:val="0"/>
              <w:spacing w:line="360" w:lineRule="auto"/>
              <w:ind w:firstLine="480" w:firstLineChars="200"/>
              <w:rPr>
                <w:snapToGrid w:val="0"/>
                <w:color w:val="auto"/>
                <w:sz w:val="24"/>
              </w:rPr>
            </w:pPr>
            <w:r>
              <w:rPr>
                <w:rFonts w:hint="eastAsia"/>
                <w:snapToGrid w:val="0"/>
                <w:color w:val="auto"/>
                <w:sz w:val="24"/>
              </w:rPr>
              <w:t>式中：L</w:t>
            </w:r>
            <w:r>
              <w:rPr>
                <w:rFonts w:hint="eastAsia"/>
                <w:snapToGrid w:val="0"/>
                <w:color w:val="auto"/>
                <w:sz w:val="24"/>
                <w:vertAlign w:val="subscript"/>
              </w:rPr>
              <w:t>eqg</w:t>
            </w:r>
            <w:r>
              <w:rPr>
                <w:rFonts w:hint="eastAsia"/>
                <w:snapToGrid w:val="0"/>
                <w:color w:val="auto"/>
                <w:sz w:val="24"/>
              </w:rPr>
              <w:t>——建设项目声源在预测点产生的噪声贡献值，dB（A）；</w:t>
            </w:r>
          </w:p>
          <w:p>
            <w:pPr>
              <w:adjustRightInd w:val="0"/>
              <w:snapToGrid w:val="0"/>
              <w:spacing w:line="360" w:lineRule="auto"/>
              <w:ind w:firstLine="480" w:firstLineChars="200"/>
              <w:rPr>
                <w:snapToGrid w:val="0"/>
                <w:color w:val="auto"/>
                <w:sz w:val="24"/>
              </w:rPr>
            </w:pPr>
            <w:r>
              <w:rPr>
                <w:rFonts w:hint="eastAsia"/>
                <w:snapToGrid w:val="0"/>
                <w:color w:val="auto"/>
                <w:sz w:val="24"/>
              </w:rPr>
              <w:t xml:space="preserve">      L</w:t>
            </w:r>
            <w:r>
              <w:rPr>
                <w:rFonts w:hint="eastAsia"/>
                <w:snapToGrid w:val="0"/>
                <w:color w:val="auto"/>
                <w:sz w:val="24"/>
                <w:vertAlign w:val="subscript"/>
              </w:rPr>
              <w:t>eqb</w:t>
            </w:r>
            <w:r>
              <w:rPr>
                <w:rFonts w:hint="eastAsia"/>
                <w:snapToGrid w:val="0"/>
                <w:color w:val="auto"/>
                <w:sz w:val="24"/>
              </w:rPr>
              <w:t>——预测点的背景噪声值，dB（A）。</w:t>
            </w:r>
          </w:p>
          <w:p>
            <w:pPr>
              <w:autoSpaceDE w:val="0"/>
              <w:autoSpaceDN w:val="0"/>
              <w:adjustRightInd w:val="0"/>
              <w:snapToGrid w:val="0"/>
              <w:spacing w:line="360" w:lineRule="auto"/>
              <w:ind w:firstLine="480" w:firstLineChars="200"/>
              <w:rPr>
                <w:color w:val="auto"/>
              </w:rPr>
            </w:pPr>
            <w:r>
              <w:rPr>
                <w:color w:val="auto"/>
                <w:sz w:val="24"/>
              </w:rPr>
              <w:t>本项</w:t>
            </w:r>
            <w:r>
              <w:rPr>
                <w:rFonts w:hint="eastAsia"/>
                <w:color w:val="auto"/>
                <w:sz w:val="24"/>
              </w:rPr>
              <w:t>主要</w:t>
            </w:r>
            <w:r>
              <w:rPr>
                <w:color w:val="auto"/>
                <w:sz w:val="24"/>
              </w:rPr>
              <w:t>生产设备均置于厂房内，未露天安置，其噪声源强降低，主要采用建筑隔声</w:t>
            </w:r>
            <w:r>
              <w:rPr>
                <w:rFonts w:hint="eastAsia"/>
                <w:color w:val="auto"/>
                <w:sz w:val="24"/>
              </w:rPr>
              <w:t>、设置减震垫</w:t>
            </w:r>
            <w:r>
              <w:rPr>
                <w:color w:val="auto"/>
                <w:sz w:val="24"/>
              </w:rPr>
              <w:t>措施降噪；废气处理设施的风机设置在生产厂房屋顶，</w:t>
            </w:r>
            <w:r>
              <w:rPr>
                <w:rFonts w:hint="eastAsia"/>
                <w:color w:val="auto"/>
                <w:sz w:val="24"/>
              </w:rPr>
              <w:t>制冷设备设置在西侧厂界</w:t>
            </w:r>
            <w:r>
              <w:rPr>
                <w:color w:val="auto"/>
                <w:sz w:val="24"/>
              </w:rPr>
              <w:t>主要通过设置隔声罩、设备安装减震垫</w:t>
            </w:r>
            <w:r>
              <w:rPr>
                <w:rFonts w:hint="eastAsia"/>
                <w:color w:val="auto"/>
                <w:sz w:val="24"/>
              </w:rPr>
              <w:t>等措施降噪</w:t>
            </w:r>
            <w:r>
              <w:rPr>
                <w:color w:val="auto"/>
                <w:sz w:val="24"/>
              </w:rPr>
              <w:t>，可使噪声在车间内得到有效控制，噪声值可降低15～20dB（A）。各侧厂界处的噪声值见表4.</w:t>
            </w:r>
            <w:r>
              <w:rPr>
                <w:rFonts w:hint="eastAsia"/>
                <w:color w:val="auto"/>
                <w:sz w:val="24"/>
              </w:rPr>
              <w:t>1</w:t>
            </w:r>
            <w:r>
              <w:rPr>
                <w:rFonts w:hint="eastAsia"/>
                <w:color w:val="auto"/>
                <w:sz w:val="24"/>
                <w:lang w:val="en-US" w:eastAsia="zh-CN"/>
              </w:rPr>
              <w:t>4</w:t>
            </w:r>
            <w:r>
              <w:rPr>
                <w:color w:val="auto"/>
                <w:sz w:val="24"/>
              </w:rPr>
              <w:t>。</w:t>
            </w:r>
          </w:p>
          <w:p>
            <w:pPr>
              <w:autoSpaceDE w:val="0"/>
              <w:autoSpaceDN w:val="0"/>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1</w:t>
            </w:r>
            <w:r>
              <w:rPr>
                <w:rFonts w:hint="eastAsia"/>
                <w:color w:val="auto"/>
                <w:sz w:val="21"/>
                <w:szCs w:val="21"/>
                <w:lang w:val="en-US" w:eastAsia="zh-CN"/>
              </w:rPr>
              <w:t>4</w:t>
            </w:r>
            <w:r>
              <w:rPr>
                <w:rFonts w:hint="eastAsia"/>
                <w:color w:val="auto"/>
                <w:sz w:val="21"/>
                <w:szCs w:val="21"/>
              </w:rPr>
              <w:t xml:space="preserve"> </w:t>
            </w:r>
            <w:r>
              <w:rPr>
                <w:color w:val="auto"/>
                <w:sz w:val="21"/>
                <w:szCs w:val="21"/>
              </w:rPr>
              <w:t>各侧昼间厂界噪声</w:t>
            </w:r>
            <w:r>
              <w:rPr>
                <w:rFonts w:hint="eastAsia"/>
                <w:color w:val="auto"/>
                <w:sz w:val="21"/>
                <w:szCs w:val="21"/>
              </w:rPr>
              <w:t>达标情况</w:t>
            </w:r>
            <w:r>
              <w:rPr>
                <w:color w:val="auto"/>
                <w:sz w:val="21"/>
                <w:szCs w:val="21"/>
              </w:rPr>
              <w:t xml:space="preserve"> 单位：dB（A）</w:t>
            </w:r>
          </w:p>
          <w:tbl>
            <w:tblPr>
              <w:tblStyle w:val="22"/>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95"/>
              <w:gridCol w:w="4268"/>
              <w:gridCol w:w="43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57"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厂界</w:t>
                  </w:r>
                </w:p>
              </w:tc>
              <w:tc>
                <w:tcPr>
                  <w:tcW w:w="170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厂界噪声</w:t>
                  </w:r>
                </w:p>
              </w:tc>
              <w:tc>
                <w:tcPr>
                  <w:tcW w:w="1737" w:type="pct"/>
                  <w:tcBorders>
                    <w:top w:val="single" w:color="auto" w:sz="4" w:space="0"/>
                    <w:left w:val="single" w:color="auto" w:sz="4" w:space="0"/>
                    <w:bottom w:val="single" w:color="auto" w:sz="4" w:space="0"/>
                    <w:right w:val="nil"/>
                  </w:tcBorders>
                  <w:vAlign w:val="center"/>
                </w:tcPr>
                <w:p>
                  <w:pPr>
                    <w:autoSpaceDE w:val="0"/>
                    <w:autoSpaceDN w:val="0"/>
                    <w:adjustRightInd w:val="0"/>
                    <w:snapToGrid w:val="0"/>
                    <w:jc w:val="center"/>
                    <w:rPr>
                      <w:color w:val="auto"/>
                      <w:szCs w:val="21"/>
                    </w:rPr>
                  </w:pPr>
                  <w:r>
                    <w:rPr>
                      <w:rFonts w:hint="eastAsia"/>
                      <w:color w:val="auto"/>
                      <w:szCs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57"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北面厂界</w:t>
                  </w:r>
                </w:p>
              </w:tc>
              <w:tc>
                <w:tcPr>
                  <w:tcW w:w="170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49.5</w:t>
                  </w:r>
                </w:p>
              </w:tc>
              <w:tc>
                <w:tcPr>
                  <w:tcW w:w="1737" w:type="pct"/>
                  <w:vMerge w:val="restart"/>
                  <w:tcBorders>
                    <w:top w:val="single" w:color="auto" w:sz="4" w:space="0"/>
                    <w:left w:val="single" w:color="auto" w:sz="4" w:space="0"/>
                    <w:bottom w:val="single" w:color="auto" w:sz="4" w:space="0"/>
                    <w:right w:val="nil"/>
                  </w:tcBorders>
                  <w:vAlign w:val="center"/>
                </w:tcPr>
                <w:p>
                  <w:pPr>
                    <w:autoSpaceDE w:val="0"/>
                    <w:autoSpaceDN w:val="0"/>
                    <w:adjustRightInd w:val="0"/>
                    <w:snapToGrid w:val="0"/>
                    <w:jc w:val="center"/>
                    <w:rPr>
                      <w:color w:val="auto"/>
                      <w:szCs w:val="21"/>
                    </w:rPr>
                  </w:pPr>
                  <w:r>
                    <w:rPr>
                      <w:rFonts w:hint="eastAsia"/>
                      <w:color w:val="auto"/>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557"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南面厂界</w:t>
                  </w:r>
                </w:p>
              </w:tc>
              <w:tc>
                <w:tcPr>
                  <w:tcW w:w="170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50.3</w:t>
                  </w: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57"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西面厂界</w:t>
                  </w:r>
                </w:p>
              </w:tc>
              <w:tc>
                <w:tcPr>
                  <w:tcW w:w="170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52.8</w:t>
                  </w: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57" w:type="pct"/>
                  <w:tcBorders>
                    <w:top w:val="single" w:color="auto" w:sz="4" w:space="0"/>
                    <w:left w:val="nil"/>
                    <w:bottom w:val="single" w:color="auto" w:sz="4" w:space="0"/>
                    <w:right w:val="single" w:color="auto" w:sz="4" w:space="0"/>
                  </w:tcBorders>
                  <w:vAlign w:val="center"/>
                </w:tcPr>
                <w:p>
                  <w:pPr>
                    <w:autoSpaceDE w:val="0"/>
                    <w:autoSpaceDN w:val="0"/>
                    <w:adjustRightInd w:val="0"/>
                    <w:snapToGrid w:val="0"/>
                    <w:jc w:val="center"/>
                    <w:rPr>
                      <w:color w:val="auto"/>
                      <w:szCs w:val="21"/>
                    </w:rPr>
                  </w:pPr>
                  <w:r>
                    <w:rPr>
                      <w:color w:val="auto"/>
                      <w:szCs w:val="21"/>
                    </w:rPr>
                    <w:t>东面厂界</w:t>
                  </w:r>
                </w:p>
              </w:tc>
              <w:tc>
                <w:tcPr>
                  <w:tcW w:w="170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color w:val="auto"/>
                      <w:szCs w:val="21"/>
                      <w:highlight w:val="none"/>
                    </w:rPr>
                  </w:pPr>
                  <w:r>
                    <w:rPr>
                      <w:rFonts w:hint="eastAsia"/>
                      <w:color w:val="auto"/>
                      <w:szCs w:val="21"/>
                      <w:highlight w:val="none"/>
                    </w:rPr>
                    <w:t>47.1</w:t>
                  </w: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color w:val="auto"/>
                      <w:szCs w:val="21"/>
                    </w:rPr>
                  </w:pPr>
                </w:p>
              </w:tc>
            </w:tr>
          </w:tbl>
          <w:p>
            <w:pPr>
              <w:adjustRightInd w:val="0"/>
              <w:snapToGrid w:val="0"/>
              <w:spacing w:line="360" w:lineRule="auto"/>
              <w:ind w:firstLine="480" w:firstLineChars="200"/>
              <w:rPr>
                <w:color w:val="auto"/>
                <w:sz w:val="24"/>
              </w:rPr>
            </w:pPr>
            <w:r>
              <w:rPr>
                <w:color w:val="auto"/>
                <w:sz w:val="24"/>
              </w:rPr>
              <w:t>由表4.</w:t>
            </w:r>
            <w:r>
              <w:rPr>
                <w:rFonts w:hint="eastAsia"/>
                <w:color w:val="auto"/>
                <w:sz w:val="24"/>
              </w:rPr>
              <w:t>13</w:t>
            </w:r>
            <w:r>
              <w:rPr>
                <w:color w:val="auto"/>
                <w:sz w:val="24"/>
              </w:rPr>
              <w:t>可知：本项目产生的设备噪声在采用隔声、减振等措施后，昼间厂界噪声满足《工业企业厂界环境噪声排放标准》（GB12348-2008）中3类标准的要求。</w:t>
            </w:r>
          </w:p>
          <w:p>
            <w:pPr>
              <w:pStyle w:val="2"/>
              <w:snapToGrid w:val="0"/>
              <w:ind w:firstLine="480" w:firstLineChars="200"/>
              <w:rPr>
                <w:rFonts w:ascii="Times New Roman" w:cs="Times New Roman"/>
                <w:color w:val="auto"/>
              </w:rPr>
            </w:pPr>
            <w:r>
              <w:rPr>
                <w:rFonts w:ascii="Times New Roman" w:cs="Times New Roman"/>
                <w:color w:val="auto"/>
              </w:rPr>
              <w:t>②声环境保护目标达标情况</w:t>
            </w:r>
          </w:p>
          <w:p>
            <w:pPr>
              <w:pStyle w:val="2"/>
              <w:ind w:firstLine="480" w:firstLineChars="200"/>
              <w:rPr>
                <w:rFonts w:ascii="Times New Roman" w:cs="Times New Roman"/>
                <w:color w:val="auto"/>
              </w:rPr>
            </w:pPr>
            <w:r>
              <w:rPr>
                <w:rFonts w:ascii="Times New Roman" w:cs="Times New Roman"/>
                <w:color w:val="auto"/>
              </w:rPr>
              <w:t>本项目周边50m范围内均为工业企业，无居民、医院、学校等声环境保护目标，因此本评价不开展声环境保护目标达标分析。</w:t>
            </w:r>
          </w:p>
          <w:p>
            <w:pPr>
              <w:pStyle w:val="2"/>
              <w:ind w:firstLine="480" w:firstLineChars="200"/>
              <w:rPr>
                <w:rFonts w:ascii="Times New Roman" w:cs="Times New Roman"/>
                <w:color w:val="auto"/>
              </w:rPr>
            </w:pPr>
            <w:r>
              <w:rPr>
                <w:rFonts w:ascii="Times New Roman" w:cs="Times New Roman"/>
                <w:color w:val="auto"/>
              </w:rPr>
              <w:t>（3）噪声监测要求</w:t>
            </w:r>
          </w:p>
          <w:p>
            <w:pPr>
              <w:widowControl/>
              <w:spacing w:line="360" w:lineRule="auto"/>
              <w:ind w:firstLine="480" w:firstLineChars="200"/>
              <w:jc w:val="left"/>
              <w:rPr>
                <w:color w:val="auto"/>
                <w:sz w:val="24"/>
              </w:rPr>
            </w:pPr>
            <w:r>
              <w:rPr>
                <w:color w:val="auto"/>
                <w:sz w:val="24"/>
              </w:rPr>
              <w:t>根据《排污单位自行监测技术指南—</w:t>
            </w:r>
            <w:r>
              <w:rPr>
                <w:rFonts w:hint="eastAsia"/>
                <w:color w:val="auto"/>
                <w:sz w:val="24"/>
              </w:rPr>
              <w:t>总则</w:t>
            </w:r>
            <w:r>
              <w:rPr>
                <w:color w:val="auto"/>
                <w:sz w:val="24"/>
              </w:rPr>
              <w:t>》(HJ</w:t>
            </w:r>
            <w:r>
              <w:rPr>
                <w:rFonts w:hint="eastAsia"/>
                <w:color w:val="auto"/>
                <w:sz w:val="24"/>
              </w:rPr>
              <w:t>819</w:t>
            </w:r>
            <w:r>
              <w:rPr>
                <w:color w:val="auto"/>
                <w:sz w:val="24"/>
              </w:rPr>
              <w:t>-20</w:t>
            </w:r>
            <w:r>
              <w:rPr>
                <w:rFonts w:hint="eastAsia"/>
                <w:color w:val="auto"/>
                <w:sz w:val="24"/>
              </w:rPr>
              <w:t>17</w:t>
            </w:r>
            <w:r>
              <w:rPr>
                <w:color w:val="auto"/>
                <w:sz w:val="24"/>
              </w:rPr>
              <w:t>)</w:t>
            </w:r>
            <w:r>
              <w:rPr>
                <w:rFonts w:hint="eastAsia"/>
                <w:color w:val="auto"/>
                <w:sz w:val="24"/>
              </w:rPr>
              <w:t>，结合</w:t>
            </w:r>
            <w:r>
              <w:rPr>
                <w:color w:val="auto"/>
                <w:sz w:val="24"/>
              </w:rPr>
              <w:t>《排污许可证申请与核发技术规范—</w:t>
            </w:r>
            <w:r>
              <w:rPr>
                <w:rFonts w:hint="eastAsia"/>
                <w:color w:val="auto"/>
                <w:sz w:val="24"/>
              </w:rPr>
              <w:t>汽车制造业</w:t>
            </w:r>
            <w:r>
              <w:rPr>
                <w:color w:val="auto"/>
                <w:sz w:val="24"/>
              </w:rPr>
              <w:t>》（HJ861-2017）提出如下噪声监测要求，详见表4.</w:t>
            </w:r>
            <w:r>
              <w:rPr>
                <w:rFonts w:hint="eastAsia"/>
                <w:color w:val="auto"/>
                <w:sz w:val="24"/>
              </w:rPr>
              <w:t>1</w:t>
            </w:r>
            <w:r>
              <w:rPr>
                <w:rFonts w:hint="eastAsia"/>
                <w:color w:val="auto"/>
                <w:sz w:val="24"/>
                <w:lang w:val="en-US" w:eastAsia="zh-CN"/>
              </w:rPr>
              <w:t>5</w:t>
            </w:r>
            <w:r>
              <w:rPr>
                <w:color w:val="auto"/>
                <w:sz w:val="24"/>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rPr>
              <w:t>1</w:t>
            </w:r>
            <w:r>
              <w:rPr>
                <w:rFonts w:hint="eastAsia"/>
                <w:color w:val="auto"/>
                <w:sz w:val="21"/>
                <w:szCs w:val="21"/>
                <w:lang w:val="en-US" w:eastAsia="zh-CN"/>
              </w:rPr>
              <w:t>5</w:t>
            </w:r>
            <w:r>
              <w:rPr>
                <w:color w:val="auto"/>
                <w:sz w:val="21"/>
                <w:szCs w:val="21"/>
              </w:rPr>
              <w:t xml:space="preserve"> </w:t>
            </w:r>
            <w:r>
              <w:rPr>
                <w:rFonts w:hint="eastAsia"/>
                <w:color w:val="auto"/>
                <w:sz w:val="21"/>
                <w:szCs w:val="21"/>
              </w:rPr>
              <w:t>噪声例行</w:t>
            </w:r>
            <w:r>
              <w:rPr>
                <w:color w:val="auto"/>
                <w:sz w:val="21"/>
                <w:szCs w:val="21"/>
              </w:rPr>
              <w:t>监测要求一览表</w:t>
            </w:r>
          </w:p>
          <w:tbl>
            <w:tblPr>
              <w:tblStyle w:val="22"/>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71"/>
              <w:gridCol w:w="1796"/>
              <w:gridCol w:w="2016"/>
              <w:gridCol w:w="1626"/>
              <w:gridCol w:w="5395"/>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8" w:type="pct"/>
                  <w:tcBorders>
                    <w:top w:val="single" w:color="auto" w:sz="6" w:space="0"/>
                    <w:left w:val="nil"/>
                    <w:bottom w:val="single" w:color="auto" w:sz="6" w:space="0"/>
                    <w:right w:val="single" w:color="auto" w:sz="6" w:space="0"/>
                  </w:tcBorders>
                  <w:vAlign w:val="center"/>
                </w:tcPr>
                <w:p>
                  <w:pPr>
                    <w:adjustRightInd w:val="0"/>
                    <w:snapToGrid w:val="0"/>
                    <w:jc w:val="center"/>
                    <w:rPr>
                      <w:color w:val="auto"/>
                      <w:szCs w:val="21"/>
                    </w:rPr>
                  </w:pPr>
                  <w:r>
                    <w:rPr>
                      <w:color w:val="auto"/>
                      <w:szCs w:val="21"/>
                    </w:rPr>
                    <w:t>污染物</w:t>
                  </w:r>
                </w:p>
                <w:p>
                  <w:pPr>
                    <w:adjustRightInd w:val="0"/>
                    <w:snapToGrid w:val="0"/>
                    <w:jc w:val="center"/>
                    <w:rPr>
                      <w:color w:val="auto"/>
                      <w:szCs w:val="21"/>
                    </w:rPr>
                  </w:pPr>
                  <w:r>
                    <w:rPr>
                      <w:color w:val="auto"/>
                      <w:szCs w:val="21"/>
                    </w:rPr>
                    <w:t>类型</w:t>
                  </w:r>
                </w:p>
              </w:tc>
              <w:tc>
                <w:tcPr>
                  <w:tcW w:w="71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监测点位</w:t>
                  </w:r>
                </w:p>
              </w:tc>
              <w:tc>
                <w:tcPr>
                  <w:tcW w:w="80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监测指标</w:t>
                  </w:r>
                </w:p>
              </w:tc>
              <w:tc>
                <w:tcPr>
                  <w:tcW w:w="650"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监测频次</w:t>
                  </w:r>
                </w:p>
              </w:tc>
              <w:tc>
                <w:tcPr>
                  <w:tcW w:w="2156"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执行标准</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668" w:type="pct"/>
                  <w:tcBorders>
                    <w:top w:val="single" w:color="auto" w:sz="4" w:space="0"/>
                    <w:left w:val="nil"/>
                    <w:bottom w:val="single" w:color="auto" w:sz="6" w:space="0"/>
                    <w:right w:val="single" w:color="auto" w:sz="6" w:space="0"/>
                  </w:tcBorders>
                  <w:vAlign w:val="center"/>
                </w:tcPr>
                <w:p>
                  <w:pPr>
                    <w:adjustRightInd w:val="0"/>
                    <w:snapToGrid w:val="0"/>
                    <w:jc w:val="center"/>
                    <w:rPr>
                      <w:color w:val="auto"/>
                      <w:szCs w:val="21"/>
                    </w:rPr>
                  </w:pPr>
                  <w:r>
                    <w:rPr>
                      <w:rFonts w:hint="eastAsia"/>
                      <w:color w:val="auto"/>
                      <w:szCs w:val="21"/>
                    </w:rPr>
                    <w:t>厂界</w:t>
                  </w:r>
                  <w:r>
                    <w:rPr>
                      <w:color w:val="auto"/>
                      <w:szCs w:val="21"/>
                    </w:rPr>
                    <w:t>噪声</w:t>
                  </w:r>
                </w:p>
              </w:tc>
              <w:tc>
                <w:tcPr>
                  <w:tcW w:w="718" w:type="pct"/>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厂界周围外1m</w:t>
                  </w:r>
                </w:p>
              </w:tc>
              <w:tc>
                <w:tcPr>
                  <w:tcW w:w="80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color w:val="auto"/>
                      <w:szCs w:val="21"/>
                    </w:rPr>
                    <w:t>等效连续</w:t>
                  </w:r>
                </w:p>
                <w:p>
                  <w:pPr>
                    <w:adjustRightInd w:val="0"/>
                    <w:snapToGrid w:val="0"/>
                    <w:jc w:val="center"/>
                    <w:rPr>
                      <w:color w:val="auto"/>
                      <w:szCs w:val="21"/>
                    </w:rPr>
                  </w:pPr>
                  <w:r>
                    <w:rPr>
                      <w:color w:val="auto"/>
                      <w:szCs w:val="21"/>
                    </w:rPr>
                    <w:t>A声级</w:t>
                  </w:r>
                </w:p>
              </w:tc>
              <w:tc>
                <w:tcPr>
                  <w:tcW w:w="650"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1季度</w:t>
                  </w:r>
                </w:p>
              </w:tc>
              <w:tc>
                <w:tcPr>
                  <w:tcW w:w="2156" w:type="pct"/>
                  <w:tcBorders>
                    <w:top w:val="single" w:color="auto" w:sz="6" w:space="0"/>
                    <w:left w:val="single" w:color="auto" w:sz="6" w:space="0"/>
                    <w:bottom w:val="single" w:color="auto" w:sz="6" w:space="0"/>
                    <w:right w:val="nil"/>
                  </w:tcBorders>
                  <w:vAlign w:val="center"/>
                </w:tcPr>
                <w:p>
                  <w:pPr>
                    <w:adjustRightInd w:val="0"/>
                    <w:snapToGrid w:val="0"/>
                    <w:jc w:val="center"/>
                    <w:rPr>
                      <w:color w:val="auto"/>
                      <w:szCs w:val="21"/>
                    </w:rPr>
                  </w:pPr>
                  <w:r>
                    <w:rPr>
                      <w:color w:val="auto"/>
                      <w:szCs w:val="21"/>
                    </w:rPr>
                    <w:t>《工业企业厂界环境噪声排放标准》（GB12348-2008）中的3类</w:t>
                  </w:r>
                </w:p>
              </w:tc>
            </w:tr>
          </w:tbl>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pStyle w:val="2"/>
              <w:rPr>
                <w:color w:val="auto"/>
              </w:rPr>
            </w:pPr>
          </w:p>
          <w:p>
            <w:pPr>
              <w:pStyle w:val="3"/>
              <w:rPr>
                <w:color w:val="auto"/>
              </w:rPr>
            </w:pPr>
          </w:p>
          <w:p>
            <w:pPr>
              <w:rPr>
                <w:color w:val="auto"/>
                <w:sz w:val="24"/>
              </w:rPr>
            </w:pPr>
          </w:p>
          <w:p>
            <w:pPr>
              <w:pStyle w:val="2"/>
              <w:rPr>
                <w:color w:val="auto"/>
              </w:rPr>
            </w:pPr>
          </w:p>
          <w:p>
            <w:pPr>
              <w:pStyle w:val="3"/>
              <w:rPr>
                <w:color w:val="auto"/>
              </w:rPr>
            </w:pPr>
          </w:p>
          <w:p>
            <w:pPr>
              <w:rPr>
                <w:color w:val="auto"/>
                <w:sz w:val="24"/>
              </w:rPr>
            </w:pPr>
          </w:p>
          <w:p>
            <w:pPr>
              <w:pStyle w:val="2"/>
              <w:rPr>
                <w:color w:val="auto"/>
              </w:rPr>
            </w:pPr>
          </w:p>
          <w:p>
            <w:pPr>
              <w:pStyle w:val="3"/>
              <w:rPr>
                <w:color w:val="auto"/>
              </w:rPr>
            </w:pPr>
          </w:p>
          <w:p>
            <w:pPr>
              <w:rPr>
                <w:color w:val="auto"/>
                <w:sz w:val="24"/>
              </w:rPr>
            </w:pPr>
          </w:p>
          <w:p>
            <w:pPr>
              <w:pStyle w:val="2"/>
              <w:rPr>
                <w:color w:val="auto"/>
              </w:rPr>
            </w:pPr>
          </w:p>
          <w:p>
            <w:pPr>
              <w:pStyle w:val="3"/>
              <w:rPr>
                <w:color w:val="auto"/>
              </w:rPr>
            </w:pPr>
          </w:p>
          <w:p>
            <w:pPr>
              <w:rPr>
                <w:color w:val="auto"/>
              </w:rPr>
            </w:pPr>
          </w:p>
          <w:p>
            <w:pPr>
              <w:tabs>
                <w:tab w:val="left" w:pos="1535"/>
              </w:tabs>
              <w:snapToGrid w:val="0"/>
              <w:spacing w:line="360" w:lineRule="auto"/>
              <w:ind w:firstLine="480"/>
              <w:rPr>
                <w:color w:val="auto"/>
                <w:sz w:val="24"/>
              </w:rPr>
            </w:pPr>
          </w:p>
        </w:tc>
      </w:tr>
    </w:tbl>
    <w:p>
      <w:pPr>
        <w:pStyle w:val="19"/>
        <w:adjustRightInd w:val="0"/>
        <w:snapToGrid w:val="0"/>
        <w:spacing w:before="0" w:beforeAutospacing="0" w:after="0" w:afterAutospacing="0"/>
        <w:jc w:val="both"/>
        <w:rPr>
          <w:rFonts w:cs="宋体"/>
          <w:color w:val="auto"/>
          <w:sz w:val="21"/>
          <w:szCs w:val="21"/>
        </w:rPr>
        <w:sectPr>
          <w:pgSz w:w="16838" w:h="11905" w:orient="landscape"/>
          <w:pgMar w:top="1531" w:right="1701" w:bottom="1531" w:left="2126" w:header="851" w:footer="850" w:gutter="0"/>
          <w:pgBorders>
            <w:top w:val="none" w:sz="0" w:space="0"/>
            <w:left w:val="none" w:sz="0" w:space="0"/>
            <w:bottom w:val="none" w:sz="0" w:space="0"/>
            <w:right w:val="none" w:sz="0" w:space="0"/>
          </w:pgBorders>
          <w:cols w:space="0" w:num="1"/>
          <w:docGrid w:linePitch="312" w:charSpace="0"/>
        </w:sectPr>
      </w:pPr>
    </w:p>
    <w:tbl>
      <w:tblPr>
        <w:tblStyle w:val="22"/>
        <w:tblW w:w="51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8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9" w:hRule="atLeast"/>
          <w:jc w:val="center"/>
        </w:trPr>
        <w:tc>
          <w:tcPr>
            <w:tcW w:w="324" w:type="pct"/>
            <w:tcMar>
              <w:left w:w="28" w:type="dxa"/>
              <w:right w:w="28" w:type="dxa"/>
            </w:tcMar>
            <w:vAlign w:val="center"/>
          </w:tcPr>
          <w:p>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4675" w:type="pct"/>
          </w:tcPr>
          <w:p>
            <w:pPr>
              <w:adjustRightInd w:val="0"/>
              <w:snapToGrid w:val="0"/>
              <w:spacing w:line="360" w:lineRule="auto"/>
              <w:rPr>
                <w:rFonts w:hint="default" w:eastAsia="宋体"/>
                <w:b/>
                <w:bCs/>
                <w:color w:val="auto"/>
                <w:sz w:val="24"/>
                <w:highlight w:val="yellow"/>
                <w:lang w:val="en-US" w:eastAsia="zh-CN"/>
              </w:rPr>
            </w:pPr>
            <w:r>
              <w:rPr>
                <w:b/>
                <w:bCs/>
                <w:color w:val="auto"/>
                <w:sz w:val="24"/>
              </w:rPr>
              <w:t>4.固体废物</w:t>
            </w:r>
          </w:p>
          <w:p>
            <w:pPr>
              <w:adjustRightInd w:val="0"/>
              <w:snapToGrid w:val="0"/>
              <w:spacing w:line="360" w:lineRule="auto"/>
              <w:ind w:firstLine="480" w:firstLineChars="200"/>
              <w:rPr>
                <w:color w:val="auto"/>
                <w:sz w:val="24"/>
              </w:rPr>
            </w:pPr>
            <w:r>
              <w:rPr>
                <w:color w:val="auto"/>
                <w:sz w:val="24"/>
              </w:rPr>
              <w:t>（1）固体</w:t>
            </w:r>
            <w:r>
              <w:rPr>
                <w:rFonts w:hint="eastAsia"/>
                <w:color w:val="auto"/>
                <w:sz w:val="24"/>
              </w:rPr>
              <w:t>废物</w:t>
            </w:r>
            <w:r>
              <w:rPr>
                <w:color w:val="auto"/>
                <w:sz w:val="24"/>
              </w:rPr>
              <w:t>产生及处置情况</w:t>
            </w:r>
          </w:p>
          <w:p>
            <w:pPr>
              <w:adjustRightInd w:val="0"/>
              <w:snapToGrid w:val="0"/>
              <w:spacing w:line="360" w:lineRule="auto"/>
              <w:ind w:firstLine="480" w:firstLineChars="200"/>
              <w:rPr>
                <w:color w:val="auto"/>
                <w:sz w:val="24"/>
              </w:rPr>
            </w:pPr>
            <w:r>
              <w:rPr>
                <w:rFonts w:hint="eastAsia"/>
                <w:color w:val="auto"/>
                <w:sz w:val="24"/>
                <w:lang w:eastAsia="zh-CN"/>
              </w:rPr>
              <w:t>扩建项目</w:t>
            </w:r>
            <w:r>
              <w:rPr>
                <w:color w:val="auto"/>
                <w:sz w:val="24"/>
              </w:rPr>
              <w:t>产生的固体废物主要为</w:t>
            </w:r>
            <w:r>
              <w:rPr>
                <w:rFonts w:hint="eastAsia"/>
                <w:color w:val="auto"/>
                <w:sz w:val="24"/>
              </w:rPr>
              <w:t>废胶粘剂桶、废机油、</w:t>
            </w:r>
            <w:r>
              <w:rPr>
                <w:rFonts w:hint="eastAsia"/>
                <w:color w:val="auto"/>
                <w:sz w:val="24"/>
                <w:lang w:eastAsia="zh-CN"/>
              </w:rPr>
              <w:t>废</w:t>
            </w:r>
            <w:r>
              <w:rPr>
                <w:rFonts w:hint="eastAsia"/>
                <w:color w:val="auto"/>
                <w:sz w:val="24"/>
                <w:lang w:val="en-US" w:eastAsia="zh-CN"/>
              </w:rPr>
              <w:t>UV灯管、</w:t>
            </w:r>
            <w:r>
              <w:rPr>
                <w:rFonts w:hint="eastAsia"/>
                <w:color w:val="auto"/>
                <w:sz w:val="24"/>
              </w:rPr>
              <w:t>废活性炭、废弃的</w:t>
            </w:r>
            <w:r>
              <w:rPr>
                <w:color w:val="auto"/>
                <w:sz w:val="24"/>
              </w:rPr>
              <w:t>含油抹布、劳保用品</w:t>
            </w:r>
            <w:r>
              <w:rPr>
                <w:rFonts w:hint="eastAsia"/>
                <w:color w:val="auto"/>
                <w:sz w:val="24"/>
              </w:rPr>
              <w:t>、</w:t>
            </w:r>
            <w:r>
              <w:rPr>
                <w:rFonts w:hint="eastAsia"/>
                <w:color w:val="auto"/>
                <w:sz w:val="24"/>
                <w:lang w:eastAsia="zh-CN"/>
              </w:rPr>
              <w:t>废包装、</w:t>
            </w:r>
            <w:r>
              <w:rPr>
                <w:rFonts w:hint="eastAsia"/>
                <w:color w:val="auto"/>
                <w:sz w:val="24"/>
              </w:rPr>
              <w:t>生活垃圾以及餐厨垃圾，其中废胶粘剂桶、废机油、</w:t>
            </w:r>
            <w:r>
              <w:rPr>
                <w:rFonts w:hint="eastAsia"/>
                <w:color w:val="auto"/>
                <w:sz w:val="24"/>
                <w:lang w:eastAsia="zh-CN"/>
              </w:rPr>
              <w:t>废</w:t>
            </w:r>
            <w:r>
              <w:rPr>
                <w:rFonts w:hint="eastAsia"/>
                <w:color w:val="auto"/>
                <w:sz w:val="24"/>
                <w:lang w:val="en-US" w:eastAsia="zh-CN"/>
              </w:rPr>
              <w:t>UV灯管、</w:t>
            </w:r>
            <w:r>
              <w:rPr>
                <w:rFonts w:hint="eastAsia"/>
                <w:color w:val="auto"/>
                <w:sz w:val="24"/>
              </w:rPr>
              <w:t>废活性炭、废弃的</w:t>
            </w:r>
            <w:r>
              <w:rPr>
                <w:color w:val="auto"/>
                <w:sz w:val="24"/>
              </w:rPr>
              <w:t>含油抹布、劳保用品</w:t>
            </w:r>
            <w:r>
              <w:rPr>
                <w:rFonts w:hint="eastAsia"/>
                <w:color w:val="auto"/>
                <w:sz w:val="24"/>
              </w:rPr>
              <w:t>属于危险废物。</w:t>
            </w:r>
          </w:p>
          <w:p>
            <w:pPr>
              <w:adjustRightInd w:val="0"/>
              <w:snapToGrid w:val="0"/>
              <w:spacing w:line="360" w:lineRule="auto"/>
              <w:ind w:firstLine="480" w:firstLineChars="200"/>
              <w:rPr>
                <w:rFonts w:hint="eastAsia" w:eastAsia="宋体"/>
                <w:color w:val="auto"/>
                <w:sz w:val="24"/>
                <w:highlight w:val="none"/>
                <w:lang w:eastAsia="zh-CN"/>
              </w:rPr>
            </w:pPr>
            <w:r>
              <w:rPr>
                <w:rFonts w:hint="eastAsia"/>
                <w:color w:val="auto"/>
                <w:sz w:val="24"/>
                <w:lang w:eastAsia="zh-CN"/>
              </w:rPr>
              <w:t>废包装：</w:t>
            </w:r>
            <w:r>
              <w:rPr>
                <w:rFonts w:hint="eastAsia" w:ascii="Times New Roman" w:hAnsi="Times New Roman" w:cs="Times New Roman"/>
                <w:color w:val="auto"/>
                <w:sz w:val="24"/>
                <w:szCs w:val="24"/>
                <w:lang w:eastAsia="zh-CN"/>
              </w:rPr>
              <w:t>扩建项目</w:t>
            </w:r>
            <w:r>
              <w:rPr>
                <w:rFonts w:hint="eastAsia" w:cs="宋体"/>
                <w:color w:val="auto"/>
                <w:sz w:val="24"/>
                <w:highlight w:val="none"/>
              </w:rPr>
              <w:t>塑料颗粒使用量约</w:t>
            </w:r>
            <w:r>
              <w:rPr>
                <w:rFonts w:hint="eastAsia" w:cs="宋体"/>
                <w:color w:val="auto"/>
                <w:sz w:val="24"/>
                <w:highlight w:val="none"/>
                <w:lang w:val="en-US" w:eastAsia="zh-CN"/>
              </w:rPr>
              <w:t>2430</w:t>
            </w:r>
            <w:r>
              <w:rPr>
                <w:rFonts w:hint="eastAsia" w:cs="宋体"/>
                <w:color w:val="auto"/>
                <w:sz w:val="24"/>
                <w:highlight w:val="none"/>
              </w:rPr>
              <w:t>袋/a，每个包装袋重量按100g计，则废包装产生量为</w:t>
            </w:r>
            <w:r>
              <w:rPr>
                <w:rFonts w:hint="eastAsia" w:cs="宋体"/>
                <w:color w:val="auto"/>
                <w:sz w:val="24"/>
                <w:highlight w:val="none"/>
                <w:lang w:val="en-US" w:eastAsia="zh-CN"/>
              </w:rPr>
              <w:t>0.24</w:t>
            </w:r>
            <w:r>
              <w:rPr>
                <w:rFonts w:hint="eastAsia" w:cs="宋体"/>
                <w:color w:val="auto"/>
                <w:sz w:val="24"/>
                <w:highlight w:val="none"/>
              </w:rPr>
              <w:t>t/a</w:t>
            </w:r>
            <w:r>
              <w:rPr>
                <w:rFonts w:hint="eastAsia"/>
                <w:color w:val="auto"/>
                <w:kern w:val="0"/>
                <w:sz w:val="24"/>
                <w:highlight w:val="none"/>
              </w:rPr>
              <w:t>。</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color w:val="auto"/>
                <w:sz w:val="24"/>
              </w:rPr>
              <w:t>废胶</w:t>
            </w:r>
            <w:r>
              <w:rPr>
                <w:rFonts w:hint="default" w:ascii="Times New Roman" w:hAnsi="Times New Roman" w:cs="Times New Roman"/>
                <w:color w:val="auto"/>
                <w:sz w:val="24"/>
              </w:rPr>
              <w:t>粘剂桶：由表2.7分析可知，</w:t>
            </w:r>
            <w:r>
              <w:rPr>
                <w:rFonts w:hint="default" w:ascii="Times New Roman" w:hAnsi="Times New Roman" w:cs="Times New Roman"/>
                <w:color w:val="auto"/>
                <w:sz w:val="24"/>
                <w:szCs w:val="24"/>
                <w:lang w:eastAsia="zh-CN"/>
              </w:rPr>
              <w:t>扩建项目</w:t>
            </w:r>
            <w:r>
              <w:rPr>
                <w:rFonts w:hint="default" w:ascii="Times New Roman" w:hAnsi="Times New Roman" w:cs="Times New Roman"/>
                <w:color w:val="auto"/>
                <w:sz w:val="24"/>
              </w:rPr>
              <w:t>胶粘剂用量为</w:t>
            </w:r>
            <w:r>
              <w:rPr>
                <w:rFonts w:hint="default" w:ascii="Times New Roman" w:hAnsi="Times New Roman" w:cs="Times New Roman"/>
                <w:color w:val="auto"/>
                <w:sz w:val="24"/>
                <w:lang w:val="en-US" w:eastAsia="zh-CN"/>
              </w:rPr>
              <w:t>59</w:t>
            </w:r>
            <w:r>
              <w:rPr>
                <w:rFonts w:hint="default" w:ascii="Times New Roman" w:hAnsi="Times New Roman" w:cs="Times New Roman"/>
                <w:color w:val="auto"/>
                <w:sz w:val="24"/>
              </w:rPr>
              <w:t>桶/a，空桶重量按15kg/个计，则废空桶产生量为0.</w:t>
            </w:r>
            <w:r>
              <w:rPr>
                <w:rFonts w:hint="default" w:ascii="Times New Roman" w:hAnsi="Times New Roman" w:cs="Times New Roman"/>
                <w:color w:val="auto"/>
                <w:sz w:val="24"/>
                <w:lang w:val="en-US" w:eastAsia="zh-CN"/>
              </w:rPr>
              <w:t>88</w:t>
            </w:r>
            <w:r>
              <w:rPr>
                <w:rFonts w:hint="default" w:ascii="Times New Roman" w:hAnsi="Times New Roman" w:cs="Times New Roman"/>
                <w:color w:val="auto"/>
                <w:sz w:val="24"/>
              </w:rPr>
              <w:t>t/a。</w:t>
            </w:r>
          </w:p>
          <w:p>
            <w:pPr>
              <w:pStyle w:val="2"/>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废</w:t>
            </w:r>
            <w:r>
              <w:rPr>
                <w:rFonts w:hint="default" w:ascii="Times New Roman" w:hAnsi="Times New Roman" w:cs="Times New Roman"/>
                <w:color w:val="auto"/>
                <w:lang w:val="en-US" w:eastAsia="zh-CN"/>
              </w:rPr>
              <w:t>UV灯管：</w:t>
            </w:r>
            <w:r>
              <w:rPr>
                <w:rFonts w:hint="default" w:ascii="Times New Roman" w:hAnsi="Times New Roman" w:cs="Times New Roman"/>
                <w:color w:val="auto"/>
                <w:sz w:val="24"/>
                <w:szCs w:val="24"/>
                <w:lang w:eastAsia="zh-CN"/>
              </w:rPr>
              <w:t>根</w:t>
            </w:r>
            <w:r>
              <w:rPr>
                <w:rFonts w:hint="default" w:ascii="Times New Roman" w:hAnsi="Times New Roman" w:eastAsia="宋体" w:cs="Times New Roman"/>
                <w:color w:val="auto"/>
                <w:kern w:val="0"/>
                <w:sz w:val="24"/>
                <w:szCs w:val="24"/>
                <w:lang w:val="en-US" w:eastAsia="zh-CN" w:bidi="ar"/>
              </w:rPr>
              <w:t>据UV光解废气处理装置使用规范，UV灯管更换周期为1次/1-2年，产生量约为5-10个/a，约0.03t/a。</w:t>
            </w:r>
          </w:p>
          <w:p>
            <w:pPr>
              <w:pStyle w:val="2"/>
              <w:ind w:firstLine="480" w:firstLineChars="200"/>
              <w:rPr>
                <w:rFonts w:hint="default" w:ascii="Times New Roman" w:hAnsi="Times New Roman" w:eastAsia="宋体" w:cs="Times New Roman"/>
                <w:color w:val="auto"/>
              </w:rPr>
            </w:pPr>
            <w:r>
              <w:rPr>
                <w:rFonts w:hint="default" w:ascii="Times New Roman" w:hAnsi="Times New Roman" w:cs="Times New Roman"/>
                <w:color w:val="auto"/>
              </w:rPr>
              <w:t>废</w:t>
            </w:r>
            <w:r>
              <w:rPr>
                <w:rFonts w:hint="default" w:ascii="Times New Roman" w:hAnsi="Times New Roman" w:eastAsia="宋体" w:cs="Times New Roman"/>
                <w:color w:val="auto"/>
              </w:rPr>
              <w:t>活性炭：</w:t>
            </w:r>
            <w:r>
              <w:rPr>
                <w:rFonts w:hint="default" w:ascii="Times New Roman" w:hAnsi="Times New Roman" w:eastAsia="宋体" w:cs="Times New Roman"/>
                <w:color w:val="auto"/>
                <w:lang w:eastAsia="zh-CN"/>
              </w:rPr>
              <w:t>扩建项目</w:t>
            </w:r>
            <w:r>
              <w:rPr>
                <w:rFonts w:hint="default" w:ascii="Times New Roman" w:hAnsi="Times New Roman" w:eastAsia="宋体" w:cs="Times New Roman"/>
                <w:color w:val="auto"/>
              </w:rPr>
              <w:t>使用活性炭处理废甲烷总烃，活性炭吸附达到饱和后须定期更换，由表4.5分析</w:t>
            </w:r>
            <w:r>
              <w:rPr>
                <w:rFonts w:hint="default" w:ascii="Times New Roman" w:hAnsi="Times New Roman" w:eastAsia="宋体" w:cs="Times New Roman"/>
                <w:color w:val="auto"/>
                <w:highlight w:val="none"/>
              </w:rPr>
              <w:t>可知，</w:t>
            </w:r>
            <w:r>
              <w:rPr>
                <w:rFonts w:hint="default" w:ascii="Times New Roman" w:hAnsi="Times New Roman" w:eastAsia="宋体" w:cs="Times New Roman"/>
                <w:color w:val="auto"/>
                <w:sz w:val="24"/>
                <w:szCs w:val="24"/>
                <w:highlight w:val="none"/>
              </w:rPr>
              <w:t>非甲烷总烃</w:t>
            </w:r>
            <w:r>
              <w:rPr>
                <w:rFonts w:hint="default" w:ascii="Times New Roman" w:hAnsi="Times New Roman" w:eastAsia="宋体" w:cs="Times New Roman"/>
                <w:color w:val="auto"/>
                <w:sz w:val="24"/>
                <w:szCs w:val="24"/>
                <w:highlight w:val="none"/>
                <w:lang w:eastAsia="zh-CN"/>
              </w:rPr>
              <w:t>经</w:t>
            </w:r>
            <w:r>
              <w:rPr>
                <w:rFonts w:hint="default" w:ascii="Times New Roman" w:hAnsi="Times New Roman" w:eastAsia="宋体" w:cs="Times New Roman"/>
                <w:color w:val="auto"/>
                <w:sz w:val="24"/>
                <w:szCs w:val="24"/>
                <w:highlight w:val="none"/>
                <w:lang w:val="en-US" w:eastAsia="zh-CN"/>
              </w:rPr>
              <w:t>UV光解处理后的</w:t>
            </w:r>
            <w:r>
              <w:rPr>
                <w:rFonts w:hint="default" w:ascii="Times New Roman" w:hAnsi="Times New Roman" w:eastAsia="宋体" w:cs="Times New Roman"/>
                <w:color w:val="auto"/>
                <w:sz w:val="24"/>
                <w:szCs w:val="24"/>
                <w:highlight w:val="none"/>
                <w:lang w:eastAsia="zh-CN"/>
              </w:rPr>
              <w:t>吸附</w:t>
            </w:r>
            <w:r>
              <w:rPr>
                <w:rFonts w:hint="default" w:ascii="Times New Roman" w:hAnsi="Times New Roman" w:eastAsia="宋体" w:cs="Times New Roman"/>
                <w:color w:val="auto"/>
                <w:sz w:val="24"/>
                <w:szCs w:val="24"/>
                <w:highlight w:val="none"/>
              </w:rPr>
              <w:t>量为</w:t>
            </w:r>
            <w:r>
              <w:rPr>
                <w:rFonts w:hint="eastAsia" w:ascii="Times New Roman" w:hAnsi="Times New Roman" w:eastAsia="宋体" w:cs="Times New Roman"/>
                <w:color w:val="auto"/>
                <w:sz w:val="24"/>
                <w:szCs w:val="24"/>
                <w:highlight w:val="none"/>
                <w:lang w:val="en-US" w:eastAsia="zh-CN"/>
              </w:rPr>
              <w:t>0.154</w:t>
            </w: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color w:val="auto"/>
                <w:highlight w:val="none"/>
                <w:shd w:val="clear" w:color="auto" w:fill="FFFFFF"/>
              </w:rPr>
              <w:t>。根据《简明通风设计手册》，活性炭有效吸</w:t>
            </w:r>
            <w:r>
              <w:rPr>
                <w:rFonts w:hint="default" w:ascii="Times New Roman" w:hAnsi="Times New Roman" w:eastAsia="宋体" w:cs="Times New Roman"/>
                <w:color w:val="auto"/>
                <w:shd w:val="clear" w:color="auto" w:fill="FFFFFF"/>
              </w:rPr>
              <w:t>附量为0.24kg/kg炭，则理论上需要消耗活性炭的量约为</w:t>
            </w:r>
            <w:r>
              <w:rPr>
                <w:rFonts w:hint="eastAsia" w:ascii="Times New Roman" w:hAnsi="Times New Roman" w:eastAsia="宋体" w:cs="Times New Roman"/>
                <w:color w:val="auto"/>
                <w:shd w:val="clear" w:color="auto" w:fill="FFFFFF"/>
                <w:lang w:val="en-US" w:eastAsia="zh-CN"/>
              </w:rPr>
              <w:t>0.64</w:t>
            </w:r>
            <w:r>
              <w:rPr>
                <w:rFonts w:hint="default" w:ascii="Times New Roman" w:hAnsi="Times New Roman" w:eastAsia="宋体" w:cs="Times New Roman"/>
                <w:color w:val="auto"/>
                <w:shd w:val="clear" w:color="auto" w:fill="FFFFFF"/>
              </w:rPr>
              <w:t>t/a。</w:t>
            </w:r>
            <w:r>
              <w:rPr>
                <w:rFonts w:hint="default" w:ascii="Times New Roman" w:hAnsi="Times New Roman" w:eastAsia="宋体" w:cs="Times New Roman"/>
                <w:color w:val="auto"/>
              </w:rPr>
              <w:t>建议活性炭吸附装置装填量不低于</w:t>
            </w:r>
            <w:r>
              <w:rPr>
                <w:rFonts w:hint="eastAsia" w:ascii="Times New Roman" w:hAnsi="Times New Roman" w:eastAsia="宋体" w:cs="Times New Roman"/>
                <w:color w:val="auto"/>
                <w:lang w:val="en-US" w:eastAsia="zh-CN"/>
              </w:rPr>
              <w:t>0.16</w:t>
            </w:r>
            <w:r>
              <w:rPr>
                <w:rFonts w:hint="default" w:ascii="Times New Roman" w:hAnsi="Times New Roman" w:eastAsia="宋体" w:cs="Times New Roman"/>
                <w:color w:val="auto"/>
              </w:rPr>
              <w:t>t，活性炭3个月更换1次。则废活性炭产生量为</w:t>
            </w:r>
            <w:r>
              <w:rPr>
                <w:rFonts w:hint="eastAsia" w:ascii="Times New Roman" w:hAnsi="Times New Roman" w:eastAsia="宋体" w:cs="Times New Roman"/>
                <w:color w:val="auto"/>
                <w:lang w:val="en-US" w:eastAsia="zh-CN"/>
              </w:rPr>
              <w:t>0.793</w:t>
            </w:r>
            <w:r>
              <w:rPr>
                <w:rFonts w:hint="default" w:ascii="Times New Roman" w:hAnsi="Times New Roman" w:eastAsia="宋体" w:cs="Times New Roman"/>
                <w:color w:val="auto"/>
              </w:rPr>
              <w:t>t/a。</w:t>
            </w:r>
          </w:p>
          <w:p>
            <w:pPr>
              <w:pStyle w:val="2"/>
              <w:ind w:firstLine="480" w:firstLineChars="200"/>
              <w:rPr>
                <w:rFonts w:ascii="Times New Roman" w:hAnsi="Times New Roman" w:cs="Times New Roman"/>
                <w:color w:val="auto"/>
              </w:rPr>
            </w:pPr>
            <w:r>
              <w:rPr>
                <w:rFonts w:ascii="Times New Roman" w:hAnsi="Times New Roman" w:cs="Times New Roman"/>
                <w:color w:val="auto"/>
              </w:rPr>
              <w:t>废机油：</w:t>
            </w:r>
            <w:r>
              <w:rPr>
                <w:rFonts w:hint="eastAsia" w:ascii="Times New Roman" w:hAnsi="Times New Roman" w:cs="Times New Roman"/>
                <w:color w:val="auto"/>
                <w:lang w:eastAsia="zh-CN"/>
              </w:rPr>
              <w:t>扩建项目</w:t>
            </w:r>
            <w:r>
              <w:rPr>
                <w:rFonts w:ascii="Times New Roman" w:hAnsi="Times New Roman" w:cs="Times New Roman"/>
                <w:color w:val="auto"/>
              </w:rPr>
              <w:t>废机油使用量为0.0</w:t>
            </w:r>
            <w:r>
              <w:rPr>
                <w:rFonts w:hint="eastAsia" w:ascii="Times New Roman" w:hAnsi="Times New Roman" w:cs="Times New Roman"/>
                <w:color w:val="auto"/>
              </w:rPr>
              <w:t>3</w:t>
            </w:r>
            <w:r>
              <w:rPr>
                <w:rFonts w:ascii="Times New Roman" w:hAnsi="Times New Roman" w:cs="Times New Roman"/>
                <w:color w:val="auto"/>
              </w:rPr>
              <w:t>t/a，则废机油产生量为0.0</w:t>
            </w:r>
            <w:r>
              <w:rPr>
                <w:rFonts w:hint="eastAsia" w:ascii="Times New Roman" w:hAnsi="Times New Roman" w:cs="Times New Roman"/>
                <w:color w:val="auto"/>
              </w:rPr>
              <w:t>3t</w:t>
            </w:r>
            <w:r>
              <w:rPr>
                <w:rFonts w:ascii="Times New Roman" w:hAnsi="Times New Roman" w:cs="Times New Roman"/>
                <w:color w:val="auto"/>
              </w:rPr>
              <w:t>/a。</w:t>
            </w:r>
          </w:p>
          <w:p>
            <w:pPr>
              <w:pStyle w:val="2"/>
              <w:ind w:firstLine="480" w:firstLineChars="200"/>
              <w:rPr>
                <w:rFonts w:ascii="Times New Roman" w:hAnsi="Times New Roman" w:cs="Times New Roman"/>
                <w:color w:val="auto"/>
              </w:rPr>
            </w:pPr>
            <w:r>
              <w:rPr>
                <w:rFonts w:hint="eastAsia" w:ascii="Times New Roman" w:hAnsi="Times New Roman" w:cs="Times New Roman"/>
                <w:color w:val="auto"/>
              </w:rPr>
              <w:t>废弃的</w:t>
            </w:r>
            <w:r>
              <w:rPr>
                <w:rFonts w:ascii="Times New Roman" w:hAnsi="Times New Roman" w:cs="Times New Roman"/>
                <w:color w:val="auto"/>
              </w:rPr>
              <w:t>含油抹布、劳保用品：</w:t>
            </w:r>
            <w:r>
              <w:rPr>
                <w:rFonts w:hint="eastAsia" w:ascii="Times New Roman" w:hAnsi="Times New Roman" w:cs="Times New Roman"/>
                <w:color w:val="auto"/>
                <w:sz w:val="24"/>
                <w:szCs w:val="24"/>
                <w:lang w:eastAsia="zh-CN"/>
              </w:rPr>
              <w:t>扩建项目</w:t>
            </w:r>
            <w:r>
              <w:rPr>
                <w:rFonts w:ascii="Times New Roman" w:hAnsi="Times New Roman" w:cs="Times New Roman"/>
                <w:color w:val="auto"/>
              </w:rPr>
              <w:t>抹布、劳保用品使用量为0.03t/a,则废含油抹布、劳保用品产生量为0.0</w:t>
            </w:r>
            <w:r>
              <w:rPr>
                <w:rFonts w:hint="eastAsia" w:ascii="Times New Roman" w:hAnsi="Times New Roman" w:cs="Times New Roman"/>
                <w:color w:val="auto"/>
              </w:rPr>
              <w:t>3</w:t>
            </w:r>
            <w:r>
              <w:rPr>
                <w:rFonts w:ascii="Times New Roman" w:hAnsi="Times New Roman" w:cs="Times New Roman"/>
                <w:color w:val="auto"/>
              </w:rPr>
              <w:t>t/a。</w:t>
            </w:r>
          </w:p>
          <w:p>
            <w:pPr>
              <w:adjustRightInd w:val="0"/>
              <w:snapToGrid w:val="0"/>
              <w:spacing w:line="360" w:lineRule="auto"/>
              <w:ind w:firstLine="480" w:firstLineChars="200"/>
              <w:rPr>
                <w:color w:val="auto"/>
                <w:sz w:val="24"/>
              </w:rPr>
            </w:pPr>
            <w:r>
              <w:rPr>
                <w:color w:val="auto"/>
                <w:sz w:val="24"/>
              </w:rPr>
              <w:t>生活垃圾：</w:t>
            </w:r>
            <w:r>
              <w:rPr>
                <w:rFonts w:hint="eastAsia" w:ascii="Times New Roman" w:hAnsi="Times New Roman" w:cs="Times New Roman"/>
                <w:color w:val="auto"/>
                <w:sz w:val="24"/>
                <w:szCs w:val="24"/>
                <w:lang w:eastAsia="zh-CN"/>
              </w:rPr>
              <w:t>扩建项目</w:t>
            </w:r>
            <w:r>
              <w:rPr>
                <w:color w:val="auto"/>
                <w:sz w:val="24"/>
                <w:szCs w:val="24"/>
              </w:rPr>
              <w:t>生活垃</w:t>
            </w:r>
            <w:r>
              <w:rPr>
                <w:color w:val="auto"/>
                <w:sz w:val="24"/>
              </w:rPr>
              <w:t>圾产生量按0.5kg/d·人计算，员工人数为</w:t>
            </w:r>
            <w:r>
              <w:rPr>
                <w:rFonts w:hint="eastAsia"/>
                <w:color w:val="auto"/>
                <w:sz w:val="24"/>
              </w:rPr>
              <w:t>4</w:t>
            </w:r>
            <w:r>
              <w:rPr>
                <w:color w:val="auto"/>
                <w:sz w:val="24"/>
              </w:rPr>
              <w:t>人，则生活垃圾产生量</w:t>
            </w:r>
            <w:r>
              <w:rPr>
                <w:rFonts w:hint="eastAsia"/>
                <w:color w:val="auto"/>
                <w:sz w:val="24"/>
              </w:rPr>
              <w:t>0.6t</w:t>
            </w:r>
            <w:r>
              <w:rPr>
                <w:color w:val="auto"/>
                <w:sz w:val="24"/>
              </w:rPr>
              <w:t>/a。</w:t>
            </w:r>
          </w:p>
          <w:p>
            <w:pPr>
              <w:adjustRightInd w:val="0"/>
              <w:snapToGrid w:val="0"/>
              <w:spacing w:line="360" w:lineRule="auto"/>
              <w:ind w:firstLine="480" w:firstLineChars="200"/>
              <w:rPr>
                <w:color w:val="auto"/>
              </w:rPr>
            </w:pPr>
            <w:r>
              <w:rPr>
                <w:rFonts w:hint="eastAsia"/>
                <w:color w:val="auto"/>
                <w:sz w:val="24"/>
              </w:rPr>
              <w:t>餐厨垃圾</w:t>
            </w:r>
            <w:r>
              <w:rPr>
                <w:color w:val="auto"/>
                <w:sz w:val="24"/>
              </w:rPr>
              <w:t>：</w:t>
            </w:r>
            <w:r>
              <w:rPr>
                <w:rFonts w:hint="eastAsia" w:ascii="Times New Roman" w:hAnsi="Times New Roman" w:cs="Times New Roman"/>
                <w:color w:val="auto"/>
                <w:sz w:val="24"/>
                <w:szCs w:val="24"/>
                <w:lang w:eastAsia="zh-CN"/>
              </w:rPr>
              <w:t>扩建项目</w:t>
            </w:r>
            <w:r>
              <w:rPr>
                <w:color w:val="auto"/>
                <w:sz w:val="24"/>
              </w:rPr>
              <w:t>生活垃圾产生量按0.</w:t>
            </w:r>
            <w:r>
              <w:rPr>
                <w:rFonts w:hint="eastAsia"/>
                <w:color w:val="auto"/>
                <w:sz w:val="24"/>
              </w:rPr>
              <w:t>3</w:t>
            </w:r>
            <w:r>
              <w:rPr>
                <w:color w:val="auto"/>
                <w:sz w:val="24"/>
              </w:rPr>
              <w:t>kg/d·人计算，员工人数为</w:t>
            </w:r>
            <w:r>
              <w:rPr>
                <w:rFonts w:hint="eastAsia"/>
                <w:color w:val="auto"/>
                <w:sz w:val="24"/>
              </w:rPr>
              <w:t>4</w:t>
            </w:r>
            <w:r>
              <w:rPr>
                <w:color w:val="auto"/>
                <w:sz w:val="24"/>
              </w:rPr>
              <w:t>人，则生活垃圾产生量</w:t>
            </w:r>
            <w:r>
              <w:rPr>
                <w:rFonts w:hint="eastAsia"/>
                <w:color w:val="auto"/>
                <w:sz w:val="24"/>
              </w:rPr>
              <w:t>0.36t</w:t>
            </w:r>
            <w:r>
              <w:rPr>
                <w:color w:val="auto"/>
                <w:sz w:val="24"/>
              </w:rPr>
              <w:t>/a。</w:t>
            </w:r>
          </w:p>
          <w:p>
            <w:pPr>
              <w:adjustRightInd w:val="0"/>
              <w:snapToGrid w:val="0"/>
              <w:spacing w:line="360" w:lineRule="auto"/>
              <w:jc w:val="center"/>
              <w:rPr>
                <w:bCs/>
                <w:color w:val="auto"/>
                <w:sz w:val="21"/>
                <w:szCs w:val="21"/>
              </w:rPr>
            </w:pPr>
            <w:r>
              <w:rPr>
                <w:bCs/>
                <w:color w:val="auto"/>
                <w:sz w:val="21"/>
                <w:szCs w:val="21"/>
              </w:rPr>
              <w:t>表</w:t>
            </w:r>
            <w:r>
              <w:rPr>
                <w:rFonts w:hint="eastAsia"/>
                <w:bCs/>
                <w:color w:val="auto"/>
                <w:sz w:val="21"/>
                <w:szCs w:val="21"/>
              </w:rPr>
              <w:t>4.1</w:t>
            </w:r>
            <w:r>
              <w:rPr>
                <w:rFonts w:hint="eastAsia"/>
                <w:bCs/>
                <w:color w:val="auto"/>
                <w:sz w:val="21"/>
                <w:szCs w:val="21"/>
                <w:lang w:val="en-US" w:eastAsia="zh-CN"/>
              </w:rPr>
              <w:t>6</w:t>
            </w:r>
            <w:r>
              <w:rPr>
                <w:bCs/>
                <w:color w:val="auto"/>
                <w:sz w:val="21"/>
                <w:szCs w:val="21"/>
              </w:rPr>
              <w:t xml:space="preserve"> 危险废物产生情况汇总表</w:t>
            </w:r>
          </w:p>
          <w:tbl>
            <w:tblPr>
              <w:tblStyle w:val="22"/>
              <w:tblW w:w="4997" w:type="pct"/>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831"/>
              <w:gridCol w:w="1420"/>
              <w:gridCol w:w="831"/>
              <w:gridCol w:w="734"/>
              <w:gridCol w:w="1013"/>
              <w:gridCol w:w="633"/>
              <w:gridCol w:w="696"/>
              <w:gridCol w:w="1107"/>
              <w:gridCol w:w="775"/>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tcBorders>
                    <w:top w:val="single" w:color="auto" w:sz="6" w:space="0"/>
                    <w:left w:val="nil"/>
                    <w:bottom w:val="single" w:color="auto" w:sz="4" w:space="0"/>
                    <w:right w:val="single" w:color="auto" w:sz="4" w:space="0"/>
                  </w:tcBorders>
                  <w:vAlign w:val="center"/>
                </w:tcPr>
                <w:p>
                  <w:pPr>
                    <w:snapToGrid w:val="0"/>
                    <w:jc w:val="center"/>
                    <w:rPr>
                      <w:bCs/>
                      <w:color w:val="auto"/>
                      <w:szCs w:val="21"/>
                    </w:rPr>
                  </w:pPr>
                  <w:r>
                    <w:rPr>
                      <w:bCs/>
                      <w:color w:val="auto"/>
                      <w:szCs w:val="21"/>
                    </w:rPr>
                    <w:t>序号</w:t>
                  </w:r>
                </w:p>
              </w:tc>
              <w:tc>
                <w:tcPr>
                  <w:tcW w:w="488"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bCs/>
                      <w:color w:val="auto"/>
                      <w:szCs w:val="21"/>
                    </w:rPr>
                    <w:t>危废</w:t>
                  </w:r>
                </w:p>
                <w:p>
                  <w:pPr>
                    <w:snapToGrid w:val="0"/>
                    <w:jc w:val="center"/>
                    <w:rPr>
                      <w:bCs/>
                      <w:color w:val="auto"/>
                      <w:szCs w:val="21"/>
                    </w:rPr>
                  </w:pPr>
                  <w:r>
                    <w:rPr>
                      <w:bCs/>
                      <w:color w:val="auto"/>
                      <w:szCs w:val="21"/>
                    </w:rPr>
                    <w:t>名称</w:t>
                  </w:r>
                </w:p>
              </w:tc>
              <w:tc>
                <w:tcPr>
                  <w:tcW w:w="834"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bCs/>
                      <w:color w:val="auto"/>
                      <w:szCs w:val="21"/>
                    </w:rPr>
                    <w:t>危废类别、代码及危险特性</w:t>
                  </w:r>
                </w:p>
              </w:tc>
              <w:tc>
                <w:tcPr>
                  <w:tcW w:w="488"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rFonts w:hint="eastAsia"/>
                      <w:bCs/>
                      <w:color w:val="auto"/>
                      <w:szCs w:val="21"/>
                    </w:rPr>
                    <w:t>产生</w:t>
                  </w:r>
                </w:p>
                <w:p>
                  <w:pPr>
                    <w:snapToGrid w:val="0"/>
                    <w:jc w:val="center"/>
                    <w:rPr>
                      <w:bCs/>
                      <w:color w:val="auto"/>
                      <w:szCs w:val="21"/>
                    </w:rPr>
                  </w:pPr>
                  <w:r>
                    <w:rPr>
                      <w:rFonts w:hint="eastAsia"/>
                      <w:bCs/>
                      <w:color w:val="auto"/>
                      <w:szCs w:val="21"/>
                    </w:rPr>
                    <w:t>环节</w:t>
                  </w:r>
                </w:p>
              </w:tc>
              <w:tc>
                <w:tcPr>
                  <w:tcW w:w="431"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bCs/>
                      <w:color w:val="auto"/>
                      <w:szCs w:val="21"/>
                    </w:rPr>
                    <w:t>产生量</w:t>
                  </w:r>
                </w:p>
                <w:p>
                  <w:pPr>
                    <w:snapToGrid w:val="0"/>
                    <w:jc w:val="center"/>
                    <w:rPr>
                      <w:bCs/>
                      <w:color w:val="auto"/>
                      <w:szCs w:val="21"/>
                    </w:rPr>
                  </w:pPr>
                  <w:r>
                    <w:rPr>
                      <w:bCs/>
                      <w:color w:val="auto"/>
                      <w:szCs w:val="21"/>
                    </w:rPr>
                    <w:t>(t/a)</w:t>
                  </w:r>
                </w:p>
              </w:tc>
              <w:tc>
                <w:tcPr>
                  <w:tcW w:w="595"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bCs/>
                      <w:color w:val="auto"/>
                      <w:szCs w:val="21"/>
                    </w:rPr>
                    <w:t>有害</w:t>
                  </w:r>
                </w:p>
                <w:p>
                  <w:pPr>
                    <w:snapToGrid w:val="0"/>
                    <w:jc w:val="center"/>
                    <w:rPr>
                      <w:bCs/>
                      <w:color w:val="auto"/>
                      <w:szCs w:val="21"/>
                    </w:rPr>
                  </w:pPr>
                  <w:r>
                    <w:rPr>
                      <w:bCs/>
                      <w:color w:val="auto"/>
                      <w:szCs w:val="21"/>
                    </w:rPr>
                    <w:t>物质</w:t>
                  </w:r>
                </w:p>
              </w:tc>
              <w:tc>
                <w:tcPr>
                  <w:tcW w:w="372"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rFonts w:hint="eastAsia"/>
                      <w:bCs/>
                      <w:color w:val="auto"/>
                      <w:szCs w:val="21"/>
                    </w:rPr>
                    <w:t>物理形状</w:t>
                  </w:r>
                </w:p>
              </w:tc>
              <w:tc>
                <w:tcPr>
                  <w:tcW w:w="409"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bCs/>
                      <w:color w:val="auto"/>
                      <w:szCs w:val="21"/>
                    </w:rPr>
                    <w:t>产生</w:t>
                  </w:r>
                </w:p>
                <w:p>
                  <w:pPr>
                    <w:snapToGrid w:val="0"/>
                    <w:jc w:val="center"/>
                    <w:rPr>
                      <w:bCs/>
                      <w:color w:val="auto"/>
                      <w:szCs w:val="21"/>
                    </w:rPr>
                  </w:pPr>
                  <w:r>
                    <w:rPr>
                      <w:bCs/>
                      <w:color w:val="auto"/>
                      <w:szCs w:val="21"/>
                    </w:rPr>
                    <w:t>频次</w:t>
                  </w:r>
                </w:p>
              </w:tc>
              <w:tc>
                <w:tcPr>
                  <w:tcW w:w="650" w:type="pct"/>
                  <w:tcBorders>
                    <w:top w:val="single" w:color="auto" w:sz="6" w:space="0"/>
                    <w:left w:val="single" w:color="auto" w:sz="4" w:space="0"/>
                    <w:bottom w:val="single" w:color="auto" w:sz="4" w:space="0"/>
                    <w:right w:val="single" w:color="auto" w:sz="4" w:space="0"/>
                  </w:tcBorders>
                  <w:vAlign w:val="center"/>
                </w:tcPr>
                <w:p>
                  <w:pPr>
                    <w:snapToGrid w:val="0"/>
                    <w:jc w:val="center"/>
                    <w:rPr>
                      <w:bCs/>
                      <w:color w:val="auto"/>
                      <w:szCs w:val="21"/>
                    </w:rPr>
                  </w:pPr>
                  <w:r>
                    <w:rPr>
                      <w:rFonts w:hint="eastAsia"/>
                      <w:bCs/>
                      <w:color w:val="auto"/>
                      <w:szCs w:val="21"/>
                    </w:rPr>
                    <w:t>贮存方</w:t>
                  </w:r>
                </w:p>
                <w:p>
                  <w:pPr>
                    <w:snapToGrid w:val="0"/>
                    <w:jc w:val="center"/>
                    <w:rPr>
                      <w:bCs/>
                      <w:color w:val="auto"/>
                      <w:szCs w:val="21"/>
                    </w:rPr>
                  </w:pPr>
                  <w:r>
                    <w:rPr>
                      <w:rFonts w:hint="eastAsia"/>
                      <w:bCs/>
                      <w:color w:val="auto"/>
                      <w:szCs w:val="21"/>
                    </w:rPr>
                    <w:t>式及去向</w:t>
                  </w:r>
                </w:p>
              </w:tc>
              <w:tc>
                <w:tcPr>
                  <w:tcW w:w="455" w:type="pct"/>
                  <w:tcBorders>
                    <w:top w:val="single" w:color="auto" w:sz="6" w:space="0"/>
                    <w:left w:val="single" w:color="auto" w:sz="4" w:space="0"/>
                    <w:bottom w:val="single" w:color="auto" w:sz="4" w:space="0"/>
                    <w:right w:val="nil"/>
                  </w:tcBorders>
                  <w:vAlign w:val="center"/>
                </w:tcPr>
                <w:p>
                  <w:pPr>
                    <w:snapToGrid w:val="0"/>
                    <w:jc w:val="center"/>
                    <w:rPr>
                      <w:bCs/>
                      <w:color w:val="auto"/>
                      <w:szCs w:val="21"/>
                    </w:rPr>
                  </w:pPr>
                  <w:r>
                    <w:rPr>
                      <w:rFonts w:hint="eastAsia"/>
                      <w:bCs/>
                      <w:color w:val="auto"/>
                      <w:szCs w:val="21"/>
                    </w:rPr>
                    <w:t>处置量</w:t>
                  </w:r>
                  <w:r>
                    <w:rPr>
                      <w:bCs/>
                      <w:color w:val="auto"/>
                      <w:szCs w:val="21"/>
                    </w:rPr>
                    <w:t>(t/a)</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73" w:type="pct"/>
                  <w:tcBorders>
                    <w:top w:val="single" w:color="auto" w:sz="6" w:space="0"/>
                    <w:left w:val="nil"/>
                    <w:right w:val="single" w:color="auto" w:sz="4" w:space="0"/>
                  </w:tcBorders>
                  <w:vAlign w:val="center"/>
                </w:tcPr>
                <w:p>
                  <w:pPr>
                    <w:adjustRightInd w:val="0"/>
                    <w:snapToGrid w:val="0"/>
                    <w:spacing w:line="228" w:lineRule="auto"/>
                    <w:jc w:val="center"/>
                    <w:rPr>
                      <w:bCs/>
                      <w:color w:val="auto"/>
                      <w:szCs w:val="21"/>
                    </w:rPr>
                  </w:pPr>
                  <w:r>
                    <w:rPr>
                      <w:rFonts w:hint="eastAsia"/>
                      <w:bCs/>
                      <w:color w:val="auto"/>
                      <w:szCs w:val="21"/>
                    </w:rPr>
                    <w:t>1</w:t>
                  </w:r>
                </w:p>
              </w:tc>
              <w:tc>
                <w:tcPr>
                  <w:tcW w:w="488"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bCs/>
                      <w:color w:val="auto"/>
                      <w:szCs w:val="21"/>
                    </w:rPr>
                  </w:pPr>
                  <w:r>
                    <w:rPr>
                      <w:rFonts w:hint="eastAsia"/>
                      <w:bCs/>
                      <w:color w:val="auto"/>
                      <w:szCs w:val="21"/>
                    </w:rPr>
                    <w:t>废胶粘剂桶</w:t>
                  </w:r>
                </w:p>
              </w:tc>
              <w:tc>
                <w:tcPr>
                  <w:tcW w:w="834" w:type="pct"/>
                  <w:tcBorders>
                    <w:top w:val="single" w:color="auto" w:sz="6" w:space="0"/>
                    <w:left w:val="single" w:color="auto" w:sz="4" w:space="0"/>
                    <w:right w:val="single" w:color="auto" w:sz="4" w:space="0"/>
                  </w:tcBorders>
                  <w:vAlign w:val="center"/>
                </w:tcPr>
                <w:p>
                  <w:pPr>
                    <w:adjustRightInd w:val="0"/>
                    <w:snapToGrid w:val="0"/>
                    <w:jc w:val="center"/>
                    <w:rPr>
                      <w:bCs/>
                      <w:color w:val="auto"/>
                      <w:szCs w:val="21"/>
                    </w:rPr>
                  </w:pPr>
                  <w:r>
                    <w:rPr>
                      <w:bCs/>
                      <w:color w:val="auto"/>
                      <w:szCs w:val="21"/>
                    </w:rPr>
                    <w:t>HW</w:t>
                  </w:r>
                  <w:r>
                    <w:rPr>
                      <w:rFonts w:hint="eastAsia"/>
                      <w:bCs/>
                      <w:color w:val="auto"/>
                      <w:szCs w:val="21"/>
                    </w:rPr>
                    <w:t>49</w:t>
                  </w:r>
                </w:p>
                <w:p>
                  <w:pPr>
                    <w:adjustRightInd w:val="0"/>
                    <w:snapToGrid w:val="0"/>
                    <w:spacing w:line="228" w:lineRule="auto"/>
                    <w:jc w:val="center"/>
                    <w:rPr>
                      <w:bCs/>
                      <w:color w:val="auto"/>
                      <w:szCs w:val="21"/>
                    </w:rPr>
                  </w:pPr>
                  <w:r>
                    <w:rPr>
                      <w:bCs/>
                      <w:color w:val="auto"/>
                      <w:szCs w:val="21"/>
                    </w:rPr>
                    <w:t>900-</w:t>
                  </w:r>
                  <w:r>
                    <w:rPr>
                      <w:rFonts w:hint="eastAsia"/>
                      <w:bCs/>
                      <w:color w:val="auto"/>
                      <w:szCs w:val="21"/>
                    </w:rPr>
                    <w:t>041</w:t>
                  </w:r>
                  <w:r>
                    <w:rPr>
                      <w:bCs/>
                      <w:color w:val="auto"/>
                      <w:szCs w:val="21"/>
                    </w:rPr>
                    <w:t>-</w:t>
                  </w:r>
                  <w:r>
                    <w:rPr>
                      <w:rFonts w:hint="eastAsia"/>
                      <w:bCs/>
                      <w:color w:val="auto"/>
                      <w:szCs w:val="21"/>
                    </w:rPr>
                    <w:t>49</w:t>
                  </w:r>
                </w:p>
              </w:tc>
              <w:tc>
                <w:tcPr>
                  <w:tcW w:w="488"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bCs/>
                      <w:color w:val="auto"/>
                      <w:szCs w:val="21"/>
                    </w:rPr>
                  </w:pPr>
                  <w:r>
                    <w:rPr>
                      <w:rFonts w:hint="eastAsia"/>
                      <w:bCs/>
                      <w:color w:val="auto"/>
                      <w:szCs w:val="21"/>
                    </w:rPr>
                    <w:t>涂胶</w:t>
                  </w:r>
                </w:p>
              </w:tc>
              <w:tc>
                <w:tcPr>
                  <w:tcW w:w="431"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rFonts w:hint="default" w:eastAsia="宋体"/>
                      <w:bCs/>
                      <w:color w:val="auto"/>
                      <w:szCs w:val="21"/>
                      <w:lang w:val="en-US" w:eastAsia="zh-CN"/>
                    </w:rPr>
                  </w:pPr>
                  <w:r>
                    <w:rPr>
                      <w:rFonts w:hint="eastAsia"/>
                      <w:bCs/>
                      <w:color w:val="auto"/>
                      <w:szCs w:val="21"/>
                    </w:rPr>
                    <w:t>0.</w:t>
                  </w:r>
                  <w:r>
                    <w:rPr>
                      <w:rFonts w:hint="eastAsia"/>
                      <w:bCs/>
                      <w:color w:val="auto"/>
                      <w:szCs w:val="21"/>
                      <w:lang w:val="en-US" w:eastAsia="zh-CN"/>
                    </w:rPr>
                    <w:t>88</w:t>
                  </w:r>
                </w:p>
              </w:tc>
              <w:tc>
                <w:tcPr>
                  <w:tcW w:w="595"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bCs/>
                      <w:color w:val="auto"/>
                      <w:szCs w:val="21"/>
                    </w:rPr>
                  </w:pPr>
                  <w:r>
                    <w:rPr>
                      <w:rFonts w:hint="eastAsia"/>
                      <w:bCs/>
                      <w:color w:val="auto"/>
                      <w:szCs w:val="21"/>
                    </w:rPr>
                    <w:t>胶粘剂</w:t>
                  </w:r>
                </w:p>
              </w:tc>
              <w:tc>
                <w:tcPr>
                  <w:tcW w:w="372"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bCs/>
                      <w:color w:val="auto"/>
                      <w:szCs w:val="21"/>
                    </w:rPr>
                  </w:pPr>
                  <w:r>
                    <w:rPr>
                      <w:bCs/>
                      <w:color w:val="auto"/>
                      <w:szCs w:val="21"/>
                    </w:rPr>
                    <w:t>固体</w:t>
                  </w:r>
                </w:p>
              </w:tc>
              <w:tc>
                <w:tcPr>
                  <w:tcW w:w="409" w:type="pct"/>
                  <w:tcBorders>
                    <w:top w:val="single" w:color="auto" w:sz="6" w:space="0"/>
                    <w:left w:val="single" w:color="auto" w:sz="4" w:space="0"/>
                    <w:right w:val="single" w:color="auto" w:sz="4" w:space="0"/>
                  </w:tcBorders>
                  <w:vAlign w:val="center"/>
                </w:tcPr>
                <w:p>
                  <w:pPr>
                    <w:adjustRightInd w:val="0"/>
                    <w:snapToGrid w:val="0"/>
                    <w:spacing w:line="228" w:lineRule="auto"/>
                    <w:jc w:val="center"/>
                    <w:rPr>
                      <w:bCs/>
                      <w:color w:val="auto"/>
                      <w:szCs w:val="21"/>
                    </w:rPr>
                  </w:pPr>
                  <w:r>
                    <w:rPr>
                      <w:bCs/>
                      <w:color w:val="auto"/>
                      <w:szCs w:val="21"/>
                    </w:rPr>
                    <w:t>间歇</w:t>
                  </w:r>
                </w:p>
              </w:tc>
              <w:tc>
                <w:tcPr>
                  <w:tcW w:w="650" w:type="pct"/>
                  <w:vMerge w:val="restart"/>
                  <w:tcBorders>
                    <w:top w:val="single" w:color="auto" w:sz="6" w:space="0"/>
                    <w:left w:val="single" w:color="auto" w:sz="4" w:space="0"/>
                    <w:right w:val="single" w:color="auto" w:sz="4" w:space="0"/>
                  </w:tcBorders>
                  <w:vAlign w:val="center"/>
                </w:tcPr>
                <w:p>
                  <w:pPr>
                    <w:adjustRightInd w:val="0"/>
                    <w:snapToGrid w:val="0"/>
                    <w:jc w:val="center"/>
                    <w:rPr>
                      <w:bCs/>
                      <w:color w:val="auto"/>
                      <w:szCs w:val="21"/>
                    </w:rPr>
                  </w:pPr>
                  <w:r>
                    <w:rPr>
                      <w:color w:val="auto"/>
                      <w:szCs w:val="21"/>
                    </w:rPr>
                    <w:t>经危险废物暂存间暂存后交有危废资质单位处置</w:t>
                  </w:r>
                </w:p>
              </w:tc>
              <w:tc>
                <w:tcPr>
                  <w:tcW w:w="455" w:type="pct"/>
                  <w:tcBorders>
                    <w:top w:val="single" w:color="auto" w:sz="6" w:space="0"/>
                    <w:left w:val="single" w:color="auto" w:sz="4" w:space="0"/>
                    <w:bottom w:val="single" w:color="auto" w:sz="4" w:space="0"/>
                    <w:right w:val="nil"/>
                  </w:tcBorders>
                  <w:vAlign w:val="center"/>
                </w:tcPr>
                <w:p>
                  <w:pPr>
                    <w:adjustRightInd w:val="0"/>
                    <w:snapToGrid w:val="0"/>
                    <w:spacing w:line="228" w:lineRule="auto"/>
                    <w:jc w:val="center"/>
                    <w:rPr>
                      <w:rFonts w:hint="default" w:eastAsia="宋体"/>
                      <w:color w:val="auto"/>
                      <w:szCs w:val="21"/>
                      <w:lang w:val="en-US" w:eastAsia="zh-CN"/>
                    </w:rPr>
                  </w:pPr>
                  <w:r>
                    <w:rPr>
                      <w:rFonts w:hint="eastAsia"/>
                      <w:color w:val="auto"/>
                      <w:szCs w:val="21"/>
                    </w:rPr>
                    <w:t>0.</w:t>
                  </w:r>
                  <w:r>
                    <w:rPr>
                      <w:rFonts w:hint="eastAsia"/>
                      <w:color w:val="auto"/>
                      <w:szCs w:val="21"/>
                      <w:lang w:val="en-US" w:eastAsia="zh-CN"/>
                    </w:rPr>
                    <w:t>88</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2</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废活</w:t>
                  </w:r>
                </w:p>
                <w:p>
                  <w:pPr>
                    <w:adjustRightInd w:val="0"/>
                    <w:snapToGrid w:val="0"/>
                    <w:jc w:val="center"/>
                    <w:rPr>
                      <w:bCs/>
                      <w:color w:val="auto"/>
                      <w:szCs w:val="21"/>
                    </w:rPr>
                  </w:pPr>
                  <w:r>
                    <w:rPr>
                      <w:bCs/>
                      <w:color w:val="auto"/>
                      <w:szCs w:val="21"/>
                    </w:rPr>
                    <w:t>性炭</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HW</w:t>
                  </w:r>
                  <w:r>
                    <w:rPr>
                      <w:rFonts w:hint="eastAsia"/>
                      <w:bCs/>
                      <w:color w:val="auto"/>
                      <w:szCs w:val="21"/>
                    </w:rPr>
                    <w:t>49</w:t>
                  </w:r>
                </w:p>
                <w:p>
                  <w:pPr>
                    <w:adjustRightInd w:val="0"/>
                    <w:snapToGrid w:val="0"/>
                    <w:jc w:val="center"/>
                    <w:rPr>
                      <w:bCs/>
                      <w:color w:val="auto"/>
                      <w:szCs w:val="21"/>
                    </w:rPr>
                  </w:pPr>
                  <w:r>
                    <w:rPr>
                      <w:bCs/>
                      <w:color w:val="auto"/>
                      <w:szCs w:val="21"/>
                    </w:rPr>
                    <w:t>900-</w:t>
                  </w:r>
                  <w:r>
                    <w:rPr>
                      <w:rFonts w:hint="eastAsia"/>
                      <w:bCs/>
                      <w:color w:val="auto"/>
                      <w:szCs w:val="21"/>
                    </w:rPr>
                    <w:t>039</w:t>
                  </w:r>
                  <w:r>
                    <w:rPr>
                      <w:bCs/>
                      <w:color w:val="auto"/>
                      <w:szCs w:val="21"/>
                    </w:rPr>
                    <w:t>-</w:t>
                  </w:r>
                  <w:r>
                    <w:rPr>
                      <w:rFonts w:hint="eastAsia"/>
                      <w:bCs/>
                      <w:color w:val="auto"/>
                      <w:szCs w:val="21"/>
                    </w:rPr>
                    <w:t>49</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废气</w:t>
                  </w:r>
                </w:p>
                <w:p>
                  <w:pPr>
                    <w:adjustRightInd w:val="0"/>
                    <w:snapToGrid w:val="0"/>
                    <w:jc w:val="center"/>
                    <w:rPr>
                      <w:bCs/>
                      <w:color w:val="auto"/>
                      <w:szCs w:val="21"/>
                    </w:rPr>
                  </w:pPr>
                  <w:r>
                    <w:rPr>
                      <w:bCs/>
                      <w:color w:val="auto"/>
                      <w:szCs w:val="21"/>
                    </w:rPr>
                    <w:t>处理</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bCs/>
                      <w:color w:val="auto"/>
                      <w:szCs w:val="21"/>
                      <w:lang w:val="en-US" w:eastAsia="zh-CN"/>
                    </w:rPr>
                  </w:pPr>
                  <w:r>
                    <w:rPr>
                      <w:rFonts w:hint="eastAsia"/>
                      <w:color w:val="auto"/>
                      <w:szCs w:val="21"/>
                      <w:lang w:val="en-US" w:eastAsia="zh-CN"/>
                    </w:rPr>
                    <w:t>0.793</w:t>
                  </w:r>
                </w:p>
              </w:tc>
              <w:tc>
                <w:tcPr>
                  <w:tcW w:w="5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color w:val="auto"/>
                      <w:szCs w:val="21"/>
                    </w:rPr>
                    <w:t>有机物质</w:t>
                  </w:r>
                </w:p>
              </w:tc>
              <w:tc>
                <w:tcPr>
                  <w:tcW w:w="3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固体</w:t>
                  </w:r>
                </w:p>
              </w:tc>
              <w:tc>
                <w:tcPr>
                  <w:tcW w:w="4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间歇</w:t>
                  </w:r>
                </w:p>
              </w:tc>
              <w:tc>
                <w:tcPr>
                  <w:tcW w:w="650" w:type="pct"/>
                  <w:vMerge w:val="continue"/>
                  <w:tcBorders>
                    <w:left w:val="single" w:color="auto" w:sz="4" w:space="0"/>
                    <w:right w:val="single" w:color="auto" w:sz="4" w:space="0"/>
                  </w:tcBorders>
                  <w:vAlign w:val="center"/>
                </w:tcPr>
                <w:p>
                  <w:pPr>
                    <w:adjustRightInd w:val="0"/>
                    <w:snapToGrid w:val="0"/>
                    <w:jc w:val="center"/>
                    <w:rPr>
                      <w:bCs/>
                      <w:color w:val="auto"/>
                      <w:szCs w:val="21"/>
                    </w:rPr>
                  </w:pPr>
                </w:p>
              </w:tc>
              <w:tc>
                <w:tcPr>
                  <w:tcW w:w="455" w:type="pct"/>
                  <w:tcBorders>
                    <w:top w:val="single" w:color="auto" w:sz="4" w:space="0"/>
                    <w:left w:val="single" w:color="auto" w:sz="4" w:space="0"/>
                    <w:bottom w:val="single" w:color="auto" w:sz="4" w:space="0"/>
                    <w:right w:val="nil"/>
                  </w:tcBorders>
                  <w:vAlign w:val="center"/>
                </w:tcPr>
                <w:p>
                  <w:pPr>
                    <w:adjustRightInd w:val="0"/>
                    <w:snapToGrid w:val="0"/>
                    <w:jc w:val="center"/>
                    <w:rPr>
                      <w:rFonts w:hint="default" w:eastAsia="宋体"/>
                      <w:bCs/>
                      <w:color w:val="auto"/>
                      <w:szCs w:val="21"/>
                      <w:lang w:val="en-US" w:eastAsia="zh-CN"/>
                    </w:rPr>
                  </w:pPr>
                  <w:r>
                    <w:rPr>
                      <w:rFonts w:hint="eastAsia"/>
                      <w:bCs/>
                      <w:color w:val="auto"/>
                      <w:szCs w:val="21"/>
                      <w:lang w:val="en-US" w:eastAsia="zh-CN"/>
                    </w:rPr>
                    <w:t>0.793</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3"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3</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废机油</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28" w:lineRule="auto"/>
                    <w:jc w:val="center"/>
                    <w:rPr>
                      <w:bCs/>
                      <w:color w:val="auto"/>
                      <w:szCs w:val="21"/>
                    </w:rPr>
                  </w:pPr>
                  <w:r>
                    <w:rPr>
                      <w:bCs/>
                      <w:color w:val="auto"/>
                      <w:szCs w:val="21"/>
                    </w:rPr>
                    <w:t>HW</w:t>
                  </w:r>
                  <w:r>
                    <w:rPr>
                      <w:rFonts w:hint="eastAsia"/>
                      <w:bCs/>
                      <w:color w:val="auto"/>
                      <w:szCs w:val="21"/>
                    </w:rPr>
                    <w:t>08</w:t>
                  </w:r>
                </w:p>
                <w:p>
                  <w:pPr>
                    <w:adjustRightInd w:val="0"/>
                    <w:snapToGrid w:val="0"/>
                    <w:jc w:val="center"/>
                    <w:rPr>
                      <w:bCs/>
                      <w:color w:val="auto"/>
                      <w:szCs w:val="21"/>
                    </w:rPr>
                  </w:pPr>
                  <w:r>
                    <w:rPr>
                      <w:bCs/>
                      <w:color w:val="auto"/>
                      <w:szCs w:val="21"/>
                    </w:rPr>
                    <w:t>900-</w:t>
                  </w:r>
                  <w:r>
                    <w:rPr>
                      <w:rFonts w:hint="eastAsia"/>
                      <w:bCs/>
                      <w:color w:val="auto"/>
                      <w:szCs w:val="21"/>
                    </w:rPr>
                    <w:t>249</w:t>
                  </w:r>
                  <w:r>
                    <w:rPr>
                      <w:bCs/>
                      <w:color w:val="auto"/>
                      <w:szCs w:val="21"/>
                    </w:rPr>
                    <w:t>-</w:t>
                  </w:r>
                  <w:r>
                    <w:rPr>
                      <w:rFonts w:hint="eastAsia"/>
                      <w:bCs/>
                      <w:color w:val="auto"/>
                      <w:szCs w:val="21"/>
                    </w:rPr>
                    <w:t>08</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设备润滑</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rFonts w:hint="eastAsia"/>
                      <w:bCs/>
                      <w:color w:val="auto"/>
                      <w:szCs w:val="21"/>
                    </w:rPr>
                    <w:t>0.03</w:t>
                  </w:r>
                </w:p>
              </w:tc>
              <w:tc>
                <w:tcPr>
                  <w:tcW w:w="5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Cs w:val="21"/>
                    </w:rPr>
                  </w:pPr>
                  <w:r>
                    <w:rPr>
                      <w:color w:val="auto"/>
                      <w:szCs w:val="21"/>
                    </w:rPr>
                    <w:t>矿物油</w:t>
                  </w:r>
                </w:p>
              </w:tc>
              <w:tc>
                <w:tcPr>
                  <w:tcW w:w="3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液体</w:t>
                  </w:r>
                </w:p>
              </w:tc>
              <w:tc>
                <w:tcPr>
                  <w:tcW w:w="4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间歇</w:t>
                  </w:r>
                </w:p>
              </w:tc>
              <w:tc>
                <w:tcPr>
                  <w:tcW w:w="650" w:type="pct"/>
                  <w:vMerge w:val="continue"/>
                  <w:tcBorders>
                    <w:left w:val="single" w:color="auto" w:sz="4" w:space="0"/>
                    <w:right w:val="single" w:color="auto" w:sz="4" w:space="0"/>
                  </w:tcBorders>
                  <w:vAlign w:val="center"/>
                </w:tcPr>
                <w:p>
                  <w:pPr>
                    <w:adjustRightInd w:val="0"/>
                    <w:snapToGrid w:val="0"/>
                    <w:jc w:val="center"/>
                    <w:rPr>
                      <w:bCs/>
                      <w:color w:val="auto"/>
                      <w:szCs w:val="21"/>
                    </w:rPr>
                  </w:pPr>
                </w:p>
              </w:tc>
              <w:tc>
                <w:tcPr>
                  <w:tcW w:w="455"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szCs w:val="21"/>
                    </w:rPr>
                  </w:pPr>
                  <w:r>
                    <w:rPr>
                      <w:rFonts w:hint="eastAsia"/>
                      <w:bCs/>
                      <w:color w:val="auto"/>
                      <w:szCs w:val="21"/>
                    </w:rPr>
                    <w:t>0.03</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73"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szCs w:val="21"/>
                    </w:rPr>
                  </w:pPr>
                  <w:r>
                    <w:rPr>
                      <w:rFonts w:hint="eastAsia"/>
                      <w:bCs/>
                      <w:color w:val="auto"/>
                      <w:szCs w:val="21"/>
                    </w:rPr>
                    <w:t>4</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rPr>
                      <w:color w:val="auto"/>
                      <w:szCs w:val="21"/>
                    </w:rPr>
                  </w:pPr>
                  <w:r>
                    <w:rPr>
                      <w:rFonts w:hint="eastAsia"/>
                      <w:color w:val="auto"/>
                      <w:szCs w:val="21"/>
                      <w:lang w:bidi="ar"/>
                    </w:rPr>
                    <w:t>含油抹布、劳保用品</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HW49</w:t>
                  </w:r>
                </w:p>
                <w:p>
                  <w:pPr>
                    <w:adjustRightInd w:val="0"/>
                    <w:snapToGrid w:val="0"/>
                    <w:jc w:val="center"/>
                    <w:rPr>
                      <w:bCs/>
                      <w:color w:val="auto"/>
                      <w:szCs w:val="21"/>
                    </w:rPr>
                  </w:pPr>
                  <w:r>
                    <w:rPr>
                      <w:bCs/>
                      <w:color w:val="auto"/>
                      <w:szCs w:val="21"/>
                    </w:rPr>
                    <w:t>900-041-49</w:t>
                  </w:r>
                </w:p>
              </w:tc>
              <w:tc>
                <w:tcPr>
                  <w:tcW w:w="4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零部件、设备擦拭等</w:t>
                  </w:r>
                </w:p>
              </w:tc>
              <w:tc>
                <w:tcPr>
                  <w:tcW w:w="4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color w:val="auto"/>
                      <w:szCs w:val="21"/>
                    </w:rPr>
                    <w:t>0.0</w:t>
                  </w:r>
                  <w:r>
                    <w:rPr>
                      <w:rFonts w:hint="eastAsia"/>
                      <w:color w:val="auto"/>
                      <w:szCs w:val="21"/>
                    </w:rPr>
                    <w:t>3</w:t>
                  </w:r>
                </w:p>
              </w:tc>
              <w:tc>
                <w:tcPr>
                  <w:tcW w:w="5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color w:val="auto"/>
                      <w:szCs w:val="21"/>
                    </w:rPr>
                    <w:t>矿物油</w:t>
                  </w:r>
                </w:p>
              </w:tc>
              <w:tc>
                <w:tcPr>
                  <w:tcW w:w="37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固体</w:t>
                  </w:r>
                </w:p>
              </w:tc>
              <w:tc>
                <w:tcPr>
                  <w:tcW w:w="4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auto"/>
                      <w:szCs w:val="21"/>
                    </w:rPr>
                  </w:pPr>
                  <w:r>
                    <w:rPr>
                      <w:bCs/>
                      <w:color w:val="auto"/>
                      <w:szCs w:val="21"/>
                    </w:rPr>
                    <w:t>间歇</w:t>
                  </w:r>
                </w:p>
              </w:tc>
              <w:tc>
                <w:tcPr>
                  <w:tcW w:w="650" w:type="pct"/>
                  <w:vMerge w:val="continue"/>
                  <w:tcBorders>
                    <w:left w:val="single" w:color="auto" w:sz="4" w:space="0"/>
                    <w:right w:val="single" w:color="auto" w:sz="4" w:space="0"/>
                  </w:tcBorders>
                  <w:vAlign w:val="center"/>
                </w:tcPr>
                <w:p>
                  <w:pPr>
                    <w:adjustRightInd w:val="0"/>
                    <w:snapToGrid w:val="0"/>
                    <w:jc w:val="center"/>
                    <w:rPr>
                      <w:bCs/>
                      <w:color w:val="auto"/>
                      <w:szCs w:val="21"/>
                    </w:rPr>
                  </w:pPr>
                </w:p>
              </w:tc>
              <w:tc>
                <w:tcPr>
                  <w:tcW w:w="455" w:type="pct"/>
                  <w:tcBorders>
                    <w:top w:val="single" w:color="auto" w:sz="4" w:space="0"/>
                    <w:left w:val="single" w:color="auto" w:sz="4" w:space="0"/>
                    <w:bottom w:val="single" w:color="auto" w:sz="4" w:space="0"/>
                    <w:right w:val="nil"/>
                  </w:tcBorders>
                  <w:vAlign w:val="center"/>
                </w:tcPr>
                <w:p>
                  <w:pPr>
                    <w:adjustRightInd w:val="0"/>
                    <w:snapToGrid w:val="0"/>
                    <w:jc w:val="center"/>
                    <w:rPr>
                      <w:bCs/>
                      <w:color w:val="auto"/>
                      <w:szCs w:val="21"/>
                    </w:rPr>
                  </w:pPr>
                  <w:r>
                    <w:rPr>
                      <w:color w:val="auto"/>
                      <w:szCs w:val="21"/>
                    </w:rPr>
                    <w:t>0.0</w:t>
                  </w:r>
                  <w:r>
                    <w:rPr>
                      <w:rFonts w:hint="eastAsia"/>
                      <w:color w:val="auto"/>
                      <w:szCs w:val="21"/>
                    </w:rPr>
                    <w:t>3</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73" w:type="pct"/>
                  <w:tcBorders>
                    <w:top w:val="single" w:color="auto" w:sz="4" w:space="0"/>
                    <w:left w:val="nil"/>
                    <w:bottom w:val="single" w:color="auto" w:sz="6" w:space="0"/>
                    <w:right w:val="single" w:color="auto" w:sz="4" w:space="0"/>
                  </w:tcBorders>
                  <w:vAlign w:val="center"/>
                </w:tcPr>
                <w:p>
                  <w:pPr>
                    <w:adjustRightInd w:val="0"/>
                    <w:snapToGrid w:val="0"/>
                    <w:jc w:val="center"/>
                    <w:rPr>
                      <w:rFonts w:hint="eastAsia" w:eastAsia="宋体"/>
                      <w:bCs/>
                      <w:color w:val="auto"/>
                      <w:szCs w:val="21"/>
                      <w:lang w:val="en-US" w:eastAsia="zh-CN"/>
                    </w:rPr>
                  </w:pPr>
                  <w:r>
                    <w:rPr>
                      <w:rFonts w:hint="eastAsia"/>
                      <w:bCs/>
                      <w:color w:val="auto"/>
                      <w:szCs w:val="21"/>
                      <w:lang w:val="en-US" w:eastAsia="zh-CN"/>
                    </w:rPr>
                    <w:t>5</w:t>
                  </w:r>
                </w:p>
              </w:tc>
              <w:tc>
                <w:tcPr>
                  <w:tcW w:w="488" w:type="pct"/>
                  <w:tcBorders>
                    <w:top w:val="single" w:color="auto" w:sz="4" w:space="0"/>
                    <w:left w:val="single" w:color="auto" w:sz="4" w:space="0"/>
                    <w:bottom w:val="single" w:color="auto" w:sz="6" w:space="0"/>
                    <w:right w:val="single" w:color="auto" w:sz="4" w:space="0"/>
                  </w:tcBorders>
                  <w:vAlign w:val="center"/>
                </w:tcPr>
                <w:p>
                  <w:pPr>
                    <w:adjustRightInd w:val="0"/>
                    <w:snapToGrid w:val="0"/>
                    <w:jc w:val="center"/>
                    <w:rPr>
                      <w:rFonts w:hint="default" w:eastAsia="宋体"/>
                      <w:color w:val="auto"/>
                      <w:szCs w:val="21"/>
                      <w:lang w:val="en-US" w:eastAsia="zh-CN" w:bidi="ar"/>
                    </w:rPr>
                  </w:pPr>
                  <w:r>
                    <w:rPr>
                      <w:rFonts w:hint="eastAsia"/>
                      <w:bCs/>
                      <w:color w:val="auto"/>
                      <w:sz w:val="21"/>
                      <w:szCs w:val="21"/>
                      <w:lang w:eastAsia="zh-CN"/>
                    </w:rPr>
                    <w:t>废</w:t>
                  </w:r>
                  <w:r>
                    <w:rPr>
                      <w:rFonts w:hint="eastAsia"/>
                      <w:bCs/>
                      <w:color w:val="auto"/>
                      <w:sz w:val="21"/>
                      <w:szCs w:val="21"/>
                      <w:lang w:val="en-US" w:eastAsia="zh-CN"/>
                    </w:rPr>
                    <w:t>UV灯管</w:t>
                  </w:r>
                </w:p>
              </w:tc>
              <w:tc>
                <w:tcPr>
                  <w:tcW w:w="834"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HW29</w:t>
                  </w:r>
                </w:p>
                <w:p>
                  <w:pPr>
                    <w:adjustRightInd w:val="0"/>
                    <w:snapToGrid w:val="0"/>
                    <w:spacing w:line="228" w:lineRule="auto"/>
                    <w:jc w:val="center"/>
                    <w:rPr>
                      <w:bCs/>
                      <w:color w:val="auto"/>
                      <w:szCs w:val="21"/>
                    </w:rPr>
                  </w:pPr>
                  <w:r>
                    <w:rPr>
                      <w:rFonts w:hint="default" w:ascii="Times New Roman" w:hAnsi="Times New Roman" w:cs="Times New Roman"/>
                      <w:color w:val="auto"/>
                      <w:sz w:val="21"/>
                      <w:szCs w:val="21"/>
                    </w:rPr>
                    <w:t>900-023-29</w:t>
                  </w:r>
                </w:p>
              </w:tc>
              <w:tc>
                <w:tcPr>
                  <w:tcW w:w="488"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p>
                  <w:pPr>
                    <w:adjustRightInd w:val="0"/>
                    <w:snapToGrid w:val="0"/>
                    <w:spacing w:line="228" w:lineRule="auto"/>
                    <w:jc w:val="center"/>
                    <w:rPr>
                      <w:bCs/>
                      <w:color w:val="auto"/>
                      <w:szCs w:val="21"/>
                    </w:rPr>
                  </w:pPr>
                  <w:r>
                    <w:rPr>
                      <w:rFonts w:hint="default" w:ascii="Times New Roman" w:hAnsi="Times New Roman" w:cs="Times New Roman"/>
                      <w:color w:val="auto"/>
                      <w:sz w:val="21"/>
                      <w:szCs w:val="21"/>
                    </w:rPr>
                    <w:t>处理</w:t>
                  </w:r>
                </w:p>
              </w:tc>
              <w:tc>
                <w:tcPr>
                  <w:tcW w:w="431"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color w:val="auto"/>
                      <w:szCs w:val="21"/>
                    </w:rPr>
                  </w:pPr>
                  <w:r>
                    <w:rPr>
                      <w:rFonts w:hint="eastAsia"/>
                      <w:bCs/>
                      <w:color w:val="auto"/>
                      <w:sz w:val="21"/>
                      <w:szCs w:val="21"/>
                      <w:lang w:val="en-US" w:eastAsia="zh-CN"/>
                    </w:rPr>
                    <w:t>0.03</w:t>
                  </w:r>
                </w:p>
              </w:tc>
              <w:tc>
                <w:tcPr>
                  <w:tcW w:w="595"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color w:val="auto"/>
                      <w:szCs w:val="21"/>
                    </w:rPr>
                  </w:pPr>
                  <w:r>
                    <w:rPr>
                      <w:rFonts w:hint="default" w:ascii="Times New Roman" w:hAnsi="Times New Roman" w:cs="Times New Roman"/>
                      <w:color w:val="auto"/>
                      <w:sz w:val="21"/>
                      <w:szCs w:val="21"/>
                    </w:rPr>
                    <w:t>含汞</w:t>
                  </w:r>
                </w:p>
              </w:tc>
              <w:tc>
                <w:tcPr>
                  <w:tcW w:w="372"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bCs/>
                      <w:color w:val="auto"/>
                      <w:szCs w:val="21"/>
                    </w:rPr>
                  </w:pPr>
                  <w:r>
                    <w:rPr>
                      <w:bCs/>
                      <w:color w:val="auto"/>
                      <w:sz w:val="21"/>
                      <w:szCs w:val="21"/>
                    </w:rPr>
                    <w:t>固体</w:t>
                  </w:r>
                </w:p>
              </w:tc>
              <w:tc>
                <w:tcPr>
                  <w:tcW w:w="409" w:type="pct"/>
                  <w:tcBorders>
                    <w:top w:val="single" w:color="auto" w:sz="4" w:space="0"/>
                    <w:left w:val="single" w:color="auto" w:sz="4" w:space="0"/>
                    <w:bottom w:val="single" w:color="auto" w:sz="6" w:space="0"/>
                    <w:right w:val="single" w:color="auto" w:sz="4" w:space="0"/>
                  </w:tcBorders>
                  <w:vAlign w:val="center"/>
                </w:tcPr>
                <w:p>
                  <w:pPr>
                    <w:adjustRightInd w:val="0"/>
                    <w:snapToGrid w:val="0"/>
                    <w:spacing w:line="228" w:lineRule="auto"/>
                    <w:jc w:val="center"/>
                    <w:rPr>
                      <w:bCs/>
                      <w:color w:val="auto"/>
                      <w:szCs w:val="21"/>
                    </w:rPr>
                  </w:pPr>
                  <w:r>
                    <w:rPr>
                      <w:bCs/>
                      <w:color w:val="auto"/>
                      <w:sz w:val="21"/>
                      <w:szCs w:val="21"/>
                    </w:rPr>
                    <w:t>间歇</w:t>
                  </w:r>
                </w:p>
              </w:tc>
              <w:tc>
                <w:tcPr>
                  <w:tcW w:w="650" w:type="pct"/>
                  <w:vMerge w:val="continue"/>
                  <w:tcBorders>
                    <w:left w:val="single" w:color="auto" w:sz="4" w:space="0"/>
                    <w:bottom w:val="single" w:color="auto" w:sz="6" w:space="0"/>
                    <w:right w:val="single" w:color="auto" w:sz="4" w:space="0"/>
                  </w:tcBorders>
                  <w:vAlign w:val="center"/>
                </w:tcPr>
                <w:p>
                  <w:pPr>
                    <w:adjustRightInd w:val="0"/>
                    <w:snapToGrid w:val="0"/>
                    <w:jc w:val="center"/>
                    <w:rPr>
                      <w:bCs/>
                      <w:color w:val="auto"/>
                      <w:szCs w:val="21"/>
                    </w:rPr>
                  </w:pPr>
                </w:p>
              </w:tc>
              <w:tc>
                <w:tcPr>
                  <w:tcW w:w="455" w:type="pct"/>
                  <w:tcBorders>
                    <w:top w:val="single" w:color="auto" w:sz="4" w:space="0"/>
                    <w:left w:val="single" w:color="auto" w:sz="4" w:space="0"/>
                    <w:bottom w:val="single" w:color="auto" w:sz="6" w:space="0"/>
                    <w:right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0.03</w:t>
                  </w:r>
                </w:p>
              </w:tc>
            </w:tr>
          </w:tbl>
          <w:p>
            <w:pPr>
              <w:pStyle w:val="2"/>
              <w:spacing w:line="360" w:lineRule="auto"/>
              <w:jc w:val="center"/>
              <w:rPr>
                <w:rFonts w:ascii="Times New Roman" w:cs="Times New Roman"/>
                <w:color w:val="auto"/>
                <w:sz w:val="21"/>
                <w:szCs w:val="21"/>
                <w:highlight w:val="none"/>
              </w:rPr>
            </w:pPr>
            <w:r>
              <w:rPr>
                <w:rFonts w:ascii="Times New Roman" w:cs="Times New Roman"/>
                <w:color w:val="auto"/>
                <w:sz w:val="21"/>
                <w:szCs w:val="21"/>
                <w:highlight w:val="none"/>
              </w:rPr>
              <w:t>表4.</w:t>
            </w:r>
            <w:r>
              <w:rPr>
                <w:rFonts w:hint="eastAsia" w:ascii="Times New Roman" w:cs="Times New Roman"/>
                <w:color w:val="auto"/>
                <w:sz w:val="21"/>
                <w:szCs w:val="21"/>
                <w:highlight w:val="none"/>
              </w:rPr>
              <w:t>1</w:t>
            </w:r>
            <w:r>
              <w:rPr>
                <w:rFonts w:hint="eastAsia" w:ascii="Times New Roman" w:cs="Times New Roman"/>
                <w:color w:val="auto"/>
                <w:sz w:val="21"/>
                <w:szCs w:val="21"/>
                <w:highlight w:val="none"/>
                <w:lang w:val="en-US" w:eastAsia="zh-CN"/>
              </w:rPr>
              <w:t>7</w:t>
            </w:r>
            <w:r>
              <w:rPr>
                <w:rFonts w:ascii="Times New Roman" w:cs="Times New Roman"/>
                <w:color w:val="auto"/>
                <w:sz w:val="21"/>
                <w:szCs w:val="21"/>
                <w:highlight w:val="none"/>
              </w:rPr>
              <w:t xml:space="preserve"> </w:t>
            </w:r>
            <w:r>
              <w:rPr>
                <w:rFonts w:hint="eastAsia" w:ascii="Times New Roman" w:cs="Times New Roman"/>
                <w:color w:val="auto"/>
                <w:sz w:val="21"/>
                <w:szCs w:val="21"/>
                <w:highlight w:val="none"/>
              </w:rPr>
              <w:t>一般</w:t>
            </w:r>
            <w:r>
              <w:rPr>
                <w:rFonts w:ascii="Times New Roman" w:cs="Times New Roman"/>
                <w:color w:val="auto"/>
                <w:sz w:val="21"/>
                <w:szCs w:val="21"/>
                <w:highlight w:val="none"/>
              </w:rPr>
              <w:t>固体废物产生处置情况汇总表</w:t>
            </w:r>
          </w:p>
          <w:tbl>
            <w:tblPr>
              <w:tblStyle w:val="22"/>
              <w:tblW w:w="4995" w:type="pct"/>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04"/>
              <w:gridCol w:w="1365"/>
              <w:gridCol w:w="1060"/>
              <w:gridCol w:w="907"/>
              <w:gridCol w:w="757"/>
              <w:gridCol w:w="909"/>
              <w:gridCol w:w="1218"/>
              <w:gridCol w:w="914"/>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6" w:space="0"/>
                    <w:left w:val="nil"/>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序号</w:t>
                  </w:r>
                </w:p>
              </w:tc>
              <w:tc>
                <w:tcPr>
                  <w:tcW w:w="531"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固废</w:t>
                  </w:r>
                </w:p>
                <w:p>
                  <w:pPr>
                    <w:spacing w:line="228" w:lineRule="auto"/>
                    <w:jc w:val="center"/>
                    <w:rPr>
                      <w:color w:val="auto"/>
                      <w:szCs w:val="21"/>
                      <w:highlight w:val="none"/>
                    </w:rPr>
                  </w:pPr>
                  <w:r>
                    <w:rPr>
                      <w:color w:val="auto"/>
                      <w:szCs w:val="21"/>
                      <w:highlight w:val="none"/>
                    </w:rPr>
                    <w:t>名称</w:t>
                  </w:r>
                </w:p>
              </w:tc>
              <w:tc>
                <w:tcPr>
                  <w:tcW w:w="802"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rFonts w:hint="eastAsia"/>
                      <w:color w:val="auto"/>
                      <w:szCs w:val="21"/>
                      <w:highlight w:val="none"/>
                    </w:rPr>
                    <w:t>一般固体废物代码</w:t>
                  </w:r>
                </w:p>
              </w:tc>
              <w:tc>
                <w:tcPr>
                  <w:tcW w:w="623"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产生</w:t>
                  </w:r>
                </w:p>
                <w:p>
                  <w:pPr>
                    <w:spacing w:line="228" w:lineRule="auto"/>
                    <w:jc w:val="center"/>
                    <w:rPr>
                      <w:color w:val="auto"/>
                      <w:szCs w:val="21"/>
                      <w:highlight w:val="none"/>
                    </w:rPr>
                  </w:pPr>
                  <w:r>
                    <w:rPr>
                      <w:color w:val="auto"/>
                      <w:szCs w:val="21"/>
                      <w:highlight w:val="none"/>
                    </w:rPr>
                    <w:t>环节</w:t>
                  </w:r>
                </w:p>
              </w:tc>
              <w:tc>
                <w:tcPr>
                  <w:tcW w:w="533"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产生量</w:t>
                  </w:r>
                </w:p>
                <w:p>
                  <w:pPr>
                    <w:spacing w:line="228" w:lineRule="auto"/>
                    <w:jc w:val="center"/>
                    <w:rPr>
                      <w:color w:val="auto"/>
                      <w:szCs w:val="21"/>
                      <w:highlight w:val="none"/>
                    </w:rPr>
                  </w:pPr>
                  <w:r>
                    <w:rPr>
                      <w:color w:val="auto"/>
                      <w:szCs w:val="21"/>
                      <w:highlight w:val="none"/>
                    </w:rPr>
                    <w:t>(t/a)</w:t>
                  </w:r>
                </w:p>
              </w:tc>
              <w:tc>
                <w:tcPr>
                  <w:tcW w:w="445"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有害</w:t>
                  </w:r>
                </w:p>
                <w:p>
                  <w:pPr>
                    <w:spacing w:line="228" w:lineRule="auto"/>
                    <w:jc w:val="center"/>
                    <w:rPr>
                      <w:color w:val="auto"/>
                      <w:szCs w:val="21"/>
                      <w:highlight w:val="none"/>
                    </w:rPr>
                  </w:pPr>
                  <w:r>
                    <w:rPr>
                      <w:color w:val="auto"/>
                      <w:szCs w:val="21"/>
                      <w:highlight w:val="none"/>
                    </w:rPr>
                    <w:t>物质</w:t>
                  </w:r>
                </w:p>
              </w:tc>
              <w:tc>
                <w:tcPr>
                  <w:tcW w:w="534"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物理</w:t>
                  </w:r>
                </w:p>
                <w:p>
                  <w:pPr>
                    <w:spacing w:line="228" w:lineRule="auto"/>
                    <w:jc w:val="center"/>
                    <w:rPr>
                      <w:color w:val="auto"/>
                      <w:szCs w:val="21"/>
                      <w:highlight w:val="none"/>
                    </w:rPr>
                  </w:pPr>
                  <w:r>
                    <w:rPr>
                      <w:color w:val="auto"/>
                      <w:szCs w:val="21"/>
                      <w:highlight w:val="none"/>
                    </w:rPr>
                    <w:t>性状</w:t>
                  </w:r>
                </w:p>
              </w:tc>
              <w:tc>
                <w:tcPr>
                  <w:tcW w:w="716" w:type="pct"/>
                  <w:tcBorders>
                    <w:top w:val="single" w:color="auto" w:sz="6" w:space="0"/>
                    <w:left w:val="single" w:color="auto" w:sz="4" w:space="0"/>
                    <w:bottom w:val="single" w:color="auto" w:sz="4" w:space="0"/>
                    <w:right w:val="single" w:color="auto" w:sz="4" w:space="0"/>
                  </w:tcBorders>
                  <w:vAlign w:val="center"/>
                </w:tcPr>
                <w:p>
                  <w:pPr>
                    <w:spacing w:line="228" w:lineRule="auto"/>
                    <w:jc w:val="center"/>
                    <w:rPr>
                      <w:color w:val="auto"/>
                      <w:szCs w:val="21"/>
                      <w:highlight w:val="none"/>
                    </w:rPr>
                  </w:pPr>
                  <w:r>
                    <w:rPr>
                      <w:color w:val="auto"/>
                      <w:szCs w:val="21"/>
                      <w:highlight w:val="none"/>
                    </w:rPr>
                    <w:t>贮存场所及去向</w:t>
                  </w:r>
                </w:p>
              </w:tc>
              <w:tc>
                <w:tcPr>
                  <w:tcW w:w="537" w:type="pct"/>
                  <w:tcBorders>
                    <w:top w:val="single" w:color="auto" w:sz="6" w:space="0"/>
                    <w:left w:val="single" w:color="auto" w:sz="4" w:space="0"/>
                    <w:bottom w:val="single" w:color="auto" w:sz="4" w:space="0"/>
                    <w:right w:val="nil"/>
                  </w:tcBorders>
                  <w:vAlign w:val="center"/>
                </w:tcPr>
                <w:p>
                  <w:pPr>
                    <w:spacing w:line="228" w:lineRule="auto"/>
                    <w:jc w:val="center"/>
                    <w:rPr>
                      <w:color w:val="auto"/>
                      <w:szCs w:val="21"/>
                      <w:highlight w:val="none"/>
                    </w:rPr>
                  </w:pPr>
                  <w:r>
                    <w:rPr>
                      <w:color w:val="auto"/>
                      <w:szCs w:val="21"/>
                      <w:highlight w:val="none"/>
                    </w:rPr>
                    <w:t>处置量(t/a)</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5" w:type="pct"/>
                  <w:tcBorders>
                    <w:top w:val="single" w:color="auto" w:sz="4" w:space="0"/>
                    <w:left w:val="nil"/>
                    <w:bottom w:val="single" w:color="auto" w:sz="4" w:space="0"/>
                    <w:right w:val="single" w:color="auto" w:sz="4" w:space="0"/>
                  </w:tcBorders>
                  <w:vAlign w:val="center"/>
                </w:tcPr>
                <w:p>
                  <w:pPr>
                    <w:spacing w:line="228"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废包装</w:t>
                  </w:r>
                </w:p>
              </w:tc>
              <w:tc>
                <w:tcPr>
                  <w:tcW w:w="802" w:type="pct"/>
                  <w:tcBorders>
                    <w:top w:val="single" w:color="auto" w:sz="4" w:space="0"/>
                    <w:left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367-001-05</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eastAsia="zh-CN"/>
                    </w:rPr>
                    <w:t>淋膜</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0.24</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固态</w:t>
                  </w:r>
                </w:p>
              </w:tc>
              <w:tc>
                <w:tcPr>
                  <w:tcW w:w="716" w:type="pct"/>
                  <w:tcBorders>
                    <w:left w:val="single" w:color="auto" w:sz="4" w:space="0"/>
                    <w:right w:val="single" w:color="auto" w:sz="4" w:space="0"/>
                  </w:tcBorders>
                  <w:vAlign w:val="center"/>
                </w:tcPr>
                <w:p>
                  <w:pPr>
                    <w:spacing w:line="228" w:lineRule="auto"/>
                    <w:jc w:val="center"/>
                    <w:rPr>
                      <w:rFonts w:hint="eastAsia" w:eastAsia="宋体"/>
                      <w:color w:val="auto"/>
                      <w:szCs w:val="21"/>
                      <w:highlight w:val="none"/>
                      <w:lang w:eastAsia="zh-CN"/>
                    </w:rPr>
                  </w:pPr>
                  <w:r>
                    <w:rPr>
                      <w:rFonts w:hint="eastAsia"/>
                      <w:color w:val="auto"/>
                      <w:szCs w:val="21"/>
                      <w:highlight w:val="none"/>
                      <w:lang w:eastAsia="zh-CN"/>
                    </w:rPr>
                    <w:t>交废品回收公司处置</w:t>
                  </w:r>
                </w:p>
              </w:tc>
              <w:tc>
                <w:tcPr>
                  <w:tcW w:w="537" w:type="pct"/>
                  <w:tcBorders>
                    <w:top w:val="single" w:color="auto" w:sz="4" w:space="0"/>
                    <w:left w:val="single" w:color="auto" w:sz="4" w:space="0"/>
                    <w:bottom w:val="single" w:color="auto" w:sz="4" w:space="0"/>
                    <w:right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0.24</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5" w:type="pct"/>
                  <w:tcBorders>
                    <w:top w:val="single" w:color="auto" w:sz="4" w:space="0"/>
                    <w:left w:val="nil"/>
                    <w:bottom w:val="single" w:color="auto" w:sz="4" w:space="0"/>
                    <w:right w:val="single" w:color="auto" w:sz="4" w:space="0"/>
                  </w:tcBorders>
                  <w:vAlign w:val="center"/>
                </w:tcPr>
                <w:p>
                  <w:pPr>
                    <w:spacing w:line="228" w:lineRule="auto"/>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生活</w:t>
                  </w:r>
                </w:p>
                <w:p>
                  <w:pPr>
                    <w:jc w:val="center"/>
                    <w:rPr>
                      <w:color w:val="auto"/>
                      <w:szCs w:val="21"/>
                      <w:highlight w:val="none"/>
                    </w:rPr>
                  </w:pPr>
                  <w:r>
                    <w:rPr>
                      <w:color w:val="auto"/>
                      <w:szCs w:val="21"/>
                      <w:highlight w:val="none"/>
                    </w:rPr>
                    <w:t>垃圾</w:t>
                  </w:r>
                </w:p>
              </w:tc>
              <w:tc>
                <w:tcPr>
                  <w:tcW w:w="80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员工</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0.6</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color w:val="auto"/>
                      <w:szCs w:val="21"/>
                      <w:highlight w:val="none"/>
                    </w:rPr>
                    <w:t>固态</w:t>
                  </w:r>
                </w:p>
              </w:tc>
              <w:tc>
                <w:tcPr>
                  <w:tcW w:w="716" w:type="pct"/>
                  <w:tcBorders>
                    <w:left w:val="single" w:color="auto" w:sz="4" w:space="0"/>
                    <w:right w:val="single" w:color="auto" w:sz="4" w:space="0"/>
                  </w:tcBorders>
                  <w:vAlign w:val="center"/>
                </w:tcPr>
                <w:p>
                  <w:pPr>
                    <w:spacing w:line="228" w:lineRule="auto"/>
                    <w:rPr>
                      <w:color w:val="auto"/>
                      <w:szCs w:val="21"/>
                      <w:highlight w:val="none"/>
                    </w:rPr>
                  </w:pPr>
                  <w:r>
                    <w:rPr>
                      <w:color w:val="auto"/>
                      <w:szCs w:val="21"/>
                      <w:highlight w:val="none"/>
                    </w:rPr>
                    <w:t>分类收集后交当地环卫部门处置</w:t>
                  </w:r>
                </w:p>
              </w:tc>
              <w:tc>
                <w:tcPr>
                  <w:tcW w:w="537" w:type="pct"/>
                  <w:tcBorders>
                    <w:top w:val="single" w:color="auto" w:sz="4" w:space="0"/>
                    <w:left w:val="single" w:color="auto" w:sz="4" w:space="0"/>
                    <w:bottom w:val="single" w:color="auto" w:sz="4" w:space="0"/>
                    <w:right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0.6</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5" w:type="pct"/>
                  <w:tcBorders>
                    <w:top w:val="single" w:color="auto" w:sz="4" w:space="0"/>
                    <w:left w:val="nil"/>
                    <w:right w:val="single" w:color="auto" w:sz="4" w:space="0"/>
                  </w:tcBorders>
                  <w:vAlign w:val="center"/>
                </w:tcPr>
                <w:p>
                  <w:pPr>
                    <w:spacing w:line="228" w:lineRule="auto"/>
                    <w:jc w:val="center"/>
                    <w:rPr>
                      <w:rFonts w:hint="default"/>
                      <w:color w:val="auto"/>
                      <w:szCs w:val="21"/>
                      <w:highlight w:val="none"/>
                      <w:lang w:val="en-US" w:eastAsia="zh-CN"/>
                    </w:rPr>
                  </w:pPr>
                  <w:r>
                    <w:rPr>
                      <w:rFonts w:hint="eastAsia"/>
                      <w:color w:val="auto"/>
                      <w:szCs w:val="21"/>
                      <w:highlight w:val="none"/>
                      <w:lang w:val="en-US" w:eastAsia="zh-CN"/>
                    </w:rPr>
                    <w:t>3</w:t>
                  </w:r>
                </w:p>
              </w:tc>
              <w:tc>
                <w:tcPr>
                  <w:tcW w:w="531" w:type="pct"/>
                  <w:tcBorders>
                    <w:top w:val="single" w:color="auto" w:sz="4" w:space="0"/>
                    <w:left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eastAsia="zh-CN"/>
                    </w:rPr>
                    <w:t>餐厨垃圾</w:t>
                  </w:r>
                </w:p>
              </w:tc>
              <w:tc>
                <w:tcPr>
                  <w:tcW w:w="802" w:type="pct"/>
                  <w:tcBorders>
                    <w:top w:val="single" w:color="auto" w:sz="4" w:space="0"/>
                    <w:left w:val="single" w:color="auto" w:sz="4" w:space="0"/>
                    <w:right w:val="single" w:color="auto" w:sz="4" w:space="0"/>
                  </w:tcBorders>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623" w:type="pct"/>
                  <w:tcBorders>
                    <w:top w:val="single" w:color="auto" w:sz="4" w:space="0"/>
                    <w:left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eastAsia="zh-CN"/>
                    </w:rPr>
                    <w:t>食堂</w:t>
                  </w:r>
                </w:p>
              </w:tc>
              <w:tc>
                <w:tcPr>
                  <w:tcW w:w="533" w:type="pct"/>
                  <w:tcBorders>
                    <w:top w:val="single" w:color="auto" w:sz="4" w:space="0"/>
                    <w:left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0.36</w:t>
                  </w:r>
                </w:p>
              </w:tc>
              <w:tc>
                <w:tcPr>
                  <w:tcW w:w="445" w:type="pct"/>
                  <w:tcBorders>
                    <w:top w:val="single" w:color="auto" w:sz="4" w:space="0"/>
                    <w:left w:val="single" w:color="auto" w:sz="4" w:space="0"/>
                    <w:right w:val="single" w:color="auto" w:sz="4" w:space="0"/>
                  </w:tcBorders>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534" w:type="pct"/>
                  <w:tcBorders>
                    <w:top w:val="single" w:color="auto" w:sz="4" w:space="0"/>
                    <w:left w:val="single" w:color="auto" w:sz="4" w:space="0"/>
                    <w:right w:val="single" w:color="auto" w:sz="4" w:space="0"/>
                  </w:tcBorders>
                  <w:vAlign w:val="center"/>
                </w:tcPr>
                <w:p>
                  <w:pPr>
                    <w:jc w:val="center"/>
                    <w:rPr>
                      <w:color w:val="auto"/>
                      <w:szCs w:val="21"/>
                      <w:highlight w:val="none"/>
                    </w:rPr>
                  </w:pPr>
                  <w:r>
                    <w:rPr>
                      <w:color w:val="auto"/>
                      <w:szCs w:val="21"/>
                      <w:highlight w:val="none"/>
                    </w:rPr>
                    <w:t>固态</w:t>
                  </w:r>
                </w:p>
              </w:tc>
              <w:tc>
                <w:tcPr>
                  <w:tcW w:w="716" w:type="pct"/>
                  <w:tcBorders>
                    <w:left w:val="single" w:color="auto" w:sz="4" w:space="0"/>
                    <w:right w:val="single" w:color="auto" w:sz="4" w:space="0"/>
                  </w:tcBorders>
                  <w:vAlign w:val="center"/>
                </w:tcPr>
                <w:p>
                  <w:pPr>
                    <w:spacing w:line="228" w:lineRule="auto"/>
                    <w:rPr>
                      <w:rFonts w:hint="eastAsia" w:eastAsia="宋体"/>
                      <w:color w:val="auto"/>
                      <w:szCs w:val="21"/>
                      <w:highlight w:val="none"/>
                      <w:lang w:eastAsia="zh-CN"/>
                    </w:rPr>
                  </w:pPr>
                  <w:r>
                    <w:rPr>
                      <w:rFonts w:hint="eastAsia"/>
                      <w:color w:val="auto"/>
                      <w:szCs w:val="21"/>
                      <w:highlight w:val="none"/>
                      <w:lang w:eastAsia="zh-CN"/>
                    </w:rPr>
                    <w:t>交餐厨垃圾处理单位处置</w:t>
                  </w:r>
                </w:p>
              </w:tc>
              <w:tc>
                <w:tcPr>
                  <w:tcW w:w="537" w:type="pct"/>
                  <w:tcBorders>
                    <w:top w:val="single" w:color="auto" w:sz="4" w:space="0"/>
                    <w:left w:val="single" w:color="auto" w:sz="4" w:space="0"/>
                    <w:bottom w:val="single" w:color="auto" w:sz="4" w:space="0"/>
                    <w:right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0.36</w:t>
                  </w:r>
                </w:p>
              </w:tc>
            </w:tr>
          </w:tbl>
          <w:p>
            <w:pPr>
              <w:pStyle w:val="2"/>
              <w:ind w:firstLine="480" w:firstLineChars="200"/>
              <w:rPr>
                <w:rFonts w:ascii="Times New Roman" w:cs="Times New Roman"/>
                <w:color w:val="auto"/>
              </w:rPr>
            </w:pPr>
            <w:r>
              <w:rPr>
                <w:rFonts w:ascii="Times New Roman" w:cs="Times New Roman"/>
                <w:color w:val="auto"/>
              </w:rPr>
              <w:t>（2）环境管理要求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①危险废物</w:t>
            </w:r>
          </w:p>
          <w:p>
            <w:pPr>
              <w:adjustRightInd w:val="0"/>
              <w:snapToGrid w:val="0"/>
              <w:spacing w:line="360" w:lineRule="auto"/>
              <w:ind w:firstLine="480" w:firstLineChars="200"/>
              <w:rPr>
                <w:bCs/>
                <w:color w:val="auto"/>
                <w:sz w:val="24"/>
              </w:rPr>
            </w:pPr>
            <w:r>
              <w:rPr>
                <w:rFonts w:hint="eastAsia"/>
                <w:color w:val="auto"/>
                <w:sz w:val="24"/>
              </w:rPr>
              <w:t>2#厂房东北侧建有1</w:t>
            </w:r>
            <w:r>
              <w:rPr>
                <w:color w:val="auto"/>
                <w:sz w:val="24"/>
              </w:rPr>
              <w:t>个危险废物暂存间，</w:t>
            </w:r>
            <w:r>
              <w:rPr>
                <w:rFonts w:hint="eastAsia"/>
                <w:color w:val="auto"/>
                <w:sz w:val="24"/>
              </w:rPr>
              <w:t>危险废物暂存</w:t>
            </w:r>
            <w:r>
              <w:rPr>
                <w:color w:val="auto"/>
                <w:sz w:val="24"/>
              </w:rPr>
              <w:t>建筑面积约</w:t>
            </w:r>
            <w:r>
              <w:rPr>
                <w:rFonts w:hint="eastAsia"/>
                <w:color w:val="auto"/>
                <w:sz w:val="24"/>
              </w:rPr>
              <w:t>10</w:t>
            </w:r>
            <w:r>
              <w:rPr>
                <w:color w:val="auto"/>
                <w:sz w:val="24"/>
              </w:rPr>
              <w:t>m</w:t>
            </w:r>
            <w:r>
              <w:rPr>
                <w:color w:val="auto"/>
                <w:sz w:val="24"/>
                <w:vertAlign w:val="superscript"/>
              </w:rPr>
              <w:t>2</w:t>
            </w:r>
            <w:r>
              <w:rPr>
                <w:color w:val="auto"/>
                <w:sz w:val="24"/>
              </w:rPr>
              <w:t>,主要用于暂存</w:t>
            </w:r>
            <w:r>
              <w:rPr>
                <w:rFonts w:hint="eastAsia"/>
                <w:color w:val="auto"/>
                <w:sz w:val="24"/>
              </w:rPr>
              <w:t>危险废物</w:t>
            </w:r>
            <w:r>
              <w:rPr>
                <w:color w:val="auto"/>
                <w:sz w:val="24"/>
              </w:rPr>
              <w:t>,</w:t>
            </w:r>
            <w:r>
              <w:rPr>
                <w:rFonts w:hint="eastAsia" w:ascii="Times New Roman" w:hAnsi="Times New Roman" w:cs="Times New Roman"/>
                <w:color w:val="auto"/>
                <w:sz w:val="24"/>
                <w:szCs w:val="24"/>
                <w:lang w:eastAsia="zh-CN"/>
              </w:rPr>
              <w:t>扩建项目</w:t>
            </w:r>
            <w:r>
              <w:rPr>
                <w:rFonts w:hint="eastAsia"/>
                <w:color w:val="auto"/>
                <w:sz w:val="24"/>
              </w:rPr>
              <w:t>产生的危险废物依托该危险废物暂存间暂存，</w:t>
            </w:r>
            <w:r>
              <w:rPr>
                <w:color w:val="auto"/>
                <w:sz w:val="24"/>
              </w:rPr>
              <w:t>危险废物暂存点设置情况见表</w:t>
            </w:r>
            <w:r>
              <w:rPr>
                <w:rFonts w:hint="eastAsia"/>
                <w:color w:val="auto"/>
                <w:sz w:val="24"/>
              </w:rPr>
              <w:t>4.1</w:t>
            </w:r>
            <w:r>
              <w:rPr>
                <w:rFonts w:hint="eastAsia"/>
                <w:color w:val="auto"/>
                <w:sz w:val="24"/>
                <w:lang w:val="en-US" w:eastAsia="zh-CN"/>
              </w:rPr>
              <w:t>8</w:t>
            </w:r>
            <w:r>
              <w:rPr>
                <w:rFonts w:hint="eastAsia"/>
                <w:color w:val="auto"/>
                <w:sz w:val="24"/>
              </w:rPr>
              <w:t>。</w:t>
            </w:r>
          </w:p>
          <w:p>
            <w:pPr>
              <w:topLinePunct/>
              <w:adjustRightInd w:val="0"/>
              <w:snapToGrid w:val="0"/>
              <w:spacing w:line="360" w:lineRule="auto"/>
              <w:jc w:val="center"/>
              <w:rPr>
                <w:bCs/>
                <w:color w:val="auto"/>
                <w:sz w:val="24"/>
              </w:rPr>
            </w:pPr>
            <w:r>
              <w:rPr>
                <w:bCs/>
                <w:color w:val="auto"/>
                <w:sz w:val="21"/>
                <w:szCs w:val="21"/>
              </w:rPr>
              <w:t>表</w:t>
            </w:r>
            <w:r>
              <w:rPr>
                <w:rFonts w:hint="eastAsia"/>
                <w:bCs/>
                <w:color w:val="auto"/>
                <w:sz w:val="21"/>
                <w:szCs w:val="21"/>
              </w:rPr>
              <w:t>4.1</w:t>
            </w:r>
            <w:r>
              <w:rPr>
                <w:rFonts w:hint="eastAsia"/>
                <w:bCs/>
                <w:color w:val="auto"/>
                <w:sz w:val="21"/>
                <w:szCs w:val="21"/>
                <w:lang w:val="en-US" w:eastAsia="zh-CN"/>
              </w:rPr>
              <w:t>8</w:t>
            </w:r>
            <w:r>
              <w:rPr>
                <w:bCs/>
                <w:color w:val="auto"/>
                <w:sz w:val="21"/>
                <w:szCs w:val="21"/>
              </w:rPr>
              <w:t xml:space="preserve"> 危险废物贮存场所（设施）基本情况表</w:t>
            </w:r>
          </w:p>
          <w:tbl>
            <w:tblPr>
              <w:tblStyle w:val="22"/>
              <w:tblW w:w="4994"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61"/>
              <w:gridCol w:w="847"/>
              <w:gridCol w:w="1288"/>
              <w:gridCol w:w="1196"/>
              <w:gridCol w:w="1215"/>
              <w:gridCol w:w="671"/>
              <w:gridCol w:w="960"/>
              <w:gridCol w:w="960"/>
              <w:gridCol w:w="902"/>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271" w:type="pct"/>
                  <w:tcBorders>
                    <w:top w:val="single" w:color="auto" w:sz="6" w:space="0"/>
                    <w:left w:val="nil"/>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序号</w:t>
                  </w:r>
                </w:p>
              </w:tc>
              <w:tc>
                <w:tcPr>
                  <w:tcW w:w="498"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贮存场所（设施）名称</w:t>
                  </w:r>
                </w:p>
              </w:tc>
              <w:tc>
                <w:tcPr>
                  <w:tcW w:w="757"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危险废</w:t>
                  </w:r>
                </w:p>
                <w:p>
                  <w:pPr>
                    <w:topLinePunct/>
                    <w:adjustRightInd w:val="0"/>
                    <w:snapToGrid w:val="0"/>
                    <w:spacing w:line="216" w:lineRule="auto"/>
                    <w:jc w:val="center"/>
                    <w:rPr>
                      <w:color w:val="auto"/>
                      <w:kern w:val="0"/>
                      <w:szCs w:val="21"/>
                    </w:rPr>
                  </w:pPr>
                  <w:r>
                    <w:rPr>
                      <w:color w:val="auto"/>
                      <w:kern w:val="0"/>
                      <w:szCs w:val="21"/>
                    </w:rPr>
                    <w:t>物名称</w:t>
                  </w:r>
                </w:p>
              </w:tc>
              <w:tc>
                <w:tcPr>
                  <w:tcW w:w="703"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危险废物类别</w:t>
                  </w:r>
                </w:p>
              </w:tc>
              <w:tc>
                <w:tcPr>
                  <w:tcW w:w="71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危险废</w:t>
                  </w:r>
                </w:p>
                <w:p>
                  <w:pPr>
                    <w:topLinePunct/>
                    <w:adjustRightInd w:val="0"/>
                    <w:snapToGrid w:val="0"/>
                    <w:spacing w:line="216" w:lineRule="auto"/>
                    <w:jc w:val="center"/>
                    <w:rPr>
                      <w:color w:val="auto"/>
                      <w:kern w:val="0"/>
                      <w:szCs w:val="21"/>
                    </w:rPr>
                  </w:pPr>
                  <w:r>
                    <w:rPr>
                      <w:color w:val="auto"/>
                      <w:kern w:val="0"/>
                      <w:szCs w:val="21"/>
                    </w:rPr>
                    <w:t>物代码</w:t>
                  </w:r>
                </w:p>
              </w:tc>
              <w:tc>
                <w:tcPr>
                  <w:tcW w:w="39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位置</w:t>
                  </w: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储存</w:t>
                  </w:r>
                </w:p>
                <w:p>
                  <w:pPr>
                    <w:topLinePunct/>
                    <w:adjustRightInd w:val="0"/>
                    <w:snapToGrid w:val="0"/>
                    <w:spacing w:line="216" w:lineRule="auto"/>
                    <w:jc w:val="center"/>
                    <w:rPr>
                      <w:color w:val="auto"/>
                      <w:kern w:val="0"/>
                      <w:szCs w:val="21"/>
                    </w:rPr>
                  </w:pPr>
                  <w:r>
                    <w:rPr>
                      <w:color w:val="auto"/>
                      <w:kern w:val="0"/>
                      <w:szCs w:val="21"/>
                    </w:rPr>
                    <w:t>面积</w:t>
                  </w: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贮存</w:t>
                  </w:r>
                </w:p>
                <w:p>
                  <w:pPr>
                    <w:topLinePunct/>
                    <w:adjustRightInd w:val="0"/>
                    <w:snapToGrid w:val="0"/>
                    <w:spacing w:line="216" w:lineRule="auto"/>
                    <w:jc w:val="center"/>
                    <w:rPr>
                      <w:color w:val="auto"/>
                      <w:kern w:val="0"/>
                      <w:szCs w:val="21"/>
                    </w:rPr>
                  </w:pPr>
                  <w:r>
                    <w:rPr>
                      <w:color w:val="auto"/>
                      <w:kern w:val="0"/>
                      <w:szCs w:val="21"/>
                    </w:rPr>
                    <w:t>方式</w:t>
                  </w:r>
                </w:p>
              </w:tc>
              <w:tc>
                <w:tcPr>
                  <w:tcW w:w="530" w:type="pct"/>
                  <w:tcBorders>
                    <w:top w:val="single" w:color="auto" w:sz="6" w:space="0"/>
                    <w:left w:val="single" w:color="auto" w:sz="6" w:space="0"/>
                    <w:bottom w:val="single" w:color="auto" w:sz="6" w:space="0"/>
                    <w:right w:val="nil"/>
                  </w:tcBorders>
                  <w:vAlign w:val="center"/>
                </w:tcPr>
                <w:p>
                  <w:pPr>
                    <w:topLinePunct/>
                    <w:adjustRightInd w:val="0"/>
                    <w:snapToGrid w:val="0"/>
                    <w:spacing w:line="216" w:lineRule="auto"/>
                    <w:jc w:val="center"/>
                    <w:rPr>
                      <w:color w:val="auto"/>
                      <w:kern w:val="0"/>
                      <w:szCs w:val="21"/>
                    </w:rPr>
                  </w:pPr>
                  <w:r>
                    <w:rPr>
                      <w:color w:val="auto"/>
                      <w:kern w:val="0"/>
                      <w:szCs w:val="21"/>
                    </w:rPr>
                    <w:t>贮存</w:t>
                  </w:r>
                </w:p>
                <w:p>
                  <w:pPr>
                    <w:topLinePunct/>
                    <w:adjustRightInd w:val="0"/>
                    <w:snapToGrid w:val="0"/>
                    <w:spacing w:line="216" w:lineRule="auto"/>
                    <w:jc w:val="center"/>
                    <w:rPr>
                      <w:color w:val="auto"/>
                      <w:kern w:val="0"/>
                      <w:szCs w:val="21"/>
                    </w:rPr>
                  </w:pPr>
                  <w:r>
                    <w:rPr>
                      <w:bCs/>
                      <w:color w:val="auto"/>
                      <w:kern w:val="0"/>
                      <w:szCs w:val="21"/>
                    </w:rPr>
                    <w:t>周期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71" w:type="pct"/>
                  <w:tcBorders>
                    <w:top w:val="single" w:color="auto" w:sz="6" w:space="0"/>
                    <w:left w:val="nil"/>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1</w:t>
                  </w:r>
                </w:p>
              </w:tc>
              <w:tc>
                <w:tcPr>
                  <w:tcW w:w="498" w:type="pct"/>
                  <w:vMerge w:val="restart"/>
                  <w:tcBorders>
                    <w:top w:val="single" w:color="auto" w:sz="6" w:space="0"/>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危险废物暂存</w:t>
                  </w:r>
                  <w:r>
                    <w:rPr>
                      <w:rFonts w:hint="eastAsia"/>
                      <w:color w:val="auto"/>
                      <w:kern w:val="0"/>
                      <w:szCs w:val="21"/>
                    </w:rPr>
                    <w:t>间</w:t>
                  </w:r>
                </w:p>
              </w:tc>
              <w:tc>
                <w:tcPr>
                  <w:tcW w:w="7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8" w:lineRule="auto"/>
                    <w:jc w:val="center"/>
                    <w:rPr>
                      <w:rFonts w:ascii="宋体" w:hAnsi="宋体" w:cs="宋体"/>
                      <w:bCs/>
                      <w:color w:val="auto"/>
                      <w:szCs w:val="21"/>
                    </w:rPr>
                  </w:pPr>
                  <w:r>
                    <w:rPr>
                      <w:rFonts w:hint="eastAsia"/>
                      <w:bCs/>
                      <w:color w:val="auto"/>
                      <w:szCs w:val="21"/>
                    </w:rPr>
                    <w:t>废胶粘剂桶</w:t>
                  </w:r>
                </w:p>
              </w:tc>
              <w:tc>
                <w:tcPr>
                  <w:tcW w:w="70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bCs/>
                      <w:color w:val="auto"/>
                      <w:szCs w:val="21"/>
                    </w:rPr>
                  </w:pPr>
                  <w:r>
                    <w:rPr>
                      <w:bCs/>
                      <w:color w:val="auto"/>
                      <w:szCs w:val="21"/>
                    </w:rPr>
                    <w:t>HW</w:t>
                  </w:r>
                  <w:r>
                    <w:rPr>
                      <w:rFonts w:hint="eastAsia"/>
                      <w:bCs/>
                      <w:color w:val="auto"/>
                      <w:szCs w:val="21"/>
                    </w:rPr>
                    <w:t>49</w:t>
                  </w:r>
                </w:p>
              </w:tc>
              <w:tc>
                <w:tcPr>
                  <w:tcW w:w="71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bCs/>
                      <w:color w:val="auto"/>
                      <w:szCs w:val="21"/>
                    </w:rPr>
                    <w:t>900-</w:t>
                  </w:r>
                  <w:r>
                    <w:rPr>
                      <w:rFonts w:hint="eastAsia"/>
                      <w:bCs/>
                      <w:color w:val="auto"/>
                      <w:szCs w:val="21"/>
                    </w:rPr>
                    <w:t>041</w:t>
                  </w:r>
                  <w:r>
                    <w:rPr>
                      <w:bCs/>
                      <w:color w:val="auto"/>
                      <w:szCs w:val="21"/>
                    </w:rPr>
                    <w:t>-</w:t>
                  </w:r>
                  <w:r>
                    <w:rPr>
                      <w:rFonts w:hint="eastAsia"/>
                      <w:bCs/>
                      <w:color w:val="auto"/>
                      <w:szCs w:val="21"/>
                    </w:rPr>
                    <w:t>49</w:t>
                  </w:r>
                </w:p>
              </w:tc>
              <w:tc>
                <w:tcPr>
                  <w:tcW w:w="394" w:type="pct"/>
                  <w:vMerge w:val="restart"/>
                  <w:tcBorders>
                    <w:top w:val="single" w:color="auto" w:sz="6" w:space="0"/>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2#厂房东北侧</w:t>
                  </w:r>
                </w:p>
              </w:tc>
              <w:tc>
                <w:tcPr>
                  <w:tcW w:w="564" w:type="pct"/>
                  <w:vMerge w:val="restart"/>
                  <w:tcBorders>
                    <w:top w:val="single" w:color="auto" w:sz="6" w:space="0"/>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10</w:t>
                  </w:r>
                  <w:r>
                    <w:rPr>
                      <w:color w:val="auto"/>
                      <w:kern w:val="0"/>
                      <w:szCs w:val="21"/>
                    </w:rPr>
                    <w:t>m</w:t>
                  </w:r>
                  <w:r>
                    <w:rPr>
                      <w:color w:val="auto"/>
                      <w:kern w:val="0"/>
                      <w:szCs w:val="21"/>
                      <w:vertAlign w:val="superscript"/>
                    </w:rPr>
                    <w:t>2</w:t>
                  </w: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桶装</w:t>
                  </w:r>
                </w:p>
              </w:tc>
              <w:tc>
                <w:tcPr>
                  <w:tcW w:w="530" w:type="pct"/>
                  <w:vMerge w:val="restart"/>
                  <w:tcBorders>
                    <w:top w:val="single" w:color="auto" w:sz="6" w:space="0"/>
                    <w:left w:val="single" w:color="auto" w:sz="6" w:space="0"/>
                    <w:right w:val="nil"/>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半年</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71" w:type="pct"/>
                  <w:tcBorders>
                    <w:top w:val="single" w:color="auto" w:sz="6" w:space="0"/>
                    <w:left w:val="nil"/>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2</w:t>
                  </w:r>
                </w:p>
              </w:tc>
              <w:tc>
                <w:tcPr>
                  <w:tcW w:w="498"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75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bCs/>
                      <w:color w:val="auto"/>
                      <w:szCs w:val="21"/>
                    </w:rPr>
                    <w:t>废活性炭</w:t>
                  </w:r>
                </w:p>
              </w:tc>
              <w:tc>
                <w:tcPr>
                  <w:tcW w:w="70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rPr>
                  </w:pPr>
                  <w:r>
                    <w:rPr>
                      <w:bCs/>
                      <w:color w:val="auto"/>
                      <w:szCs w:val="21"/>
                    </w:rPr>
                    <w:t>HW</w:t>
                  </w:r>
                  <w:r>
                    <w:rPr>
                      <w:rFonts w:hint="eastAsia"/>
                      <w:bCs/>
                      <w:color w:val="auto"/>
                      <w:szCs w:val="21"/>
                    </w:rPr>
                    <w:t>49</w:t>
                  </w:r>
                </w:p>
              </w:tc>
              <w:tc>
                <w:tcPr>
                  <w:tcW w:w="71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jc w:val="center"/>
                    <w:rPr>
                      <w:color w:val="auto"/>
                      <w:szCs w:val="21"/>
                    </w:rPr>
                  </w:pPr>
                  <w:r>
                    <w:rPr>
                      <w:bCs/>
                      <w:color w:val="auto"/>
                      <w:szCs w:val="21"/>
                    </w:rPr>
                    <w:t>900-</w:t>
                  </w:r>
                  <w:r>
                    <w:rPr>
                      <w:rFonts w:hint="eastAsia"/>
                      <w:bCs/>
                      <w:color w:val="auto"/>
                      <w:szCs w:val="21"/>
                    </w:rPr>
                    <w:t>039</w:t>
                  </w:r>
                  <w:r>
                    <w:rPr>
                      <w:bCs/>
                      <w:color w:val="auto"/>
                      <w:szCs w:val="21"/>
                    </w:rPr>
                    <w:t>-</w:t>
                  </w:r>
                  <w:r>
                    <w:rPr>
                      <w:rFonts w:hint="eastAsia"/>
                      <w:bCs/>
                      <w:color w:val="auto"/>
                      <w:szCs w:val="21"/>
                    </w:rPr>
                    <w:t>49</w:t>
                  </w:r>
                </w:p>
              </w:tc>
              <w:tc>
                <w:tcPr>
                  <w:tcW w:w="39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桶装</w:t>
                  </w:r>
                </w:p>
              </w:tc>
              <w:tc>
                <w:tcPr>
                  <w:tcW w:w="530" w:type="pct"/>
                  <w:vMerge w:val="continue"/>
                  <w:tcBorders>
                    <w:left w:val="single" w:color="auto" w:sz="6" w:space="0"/>
                    <w:right w:val="nil"/>
                  </w:tcBorders>
                  <w:vAlign w:val="center"/>
                </w:tcPr>
                <w:p>
                  <w:pPr>
                    <w:topLinePunct/>
                    <w:adjustRightInd w:val="0"/>
                    <w:snapToGrid w:val="0"/>
                    <w:spacing w:line="216" w:lineRule="auto"/>
                    <w:jc w:val="center"/>
                    <w:rPr>
                      <w:color w:val="auto"/>
                      <w:kern w:val="0"/>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71" w:type="pct"/>
                  <w:tcBorders>
                    <w:top w:val="single" w:color="auto" w:sz="6" w:space="0"/>
                    <w:left w:val="nil"/>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3</w:t>
                  </w:r>
                </w:p>
              </w:tc>
              <w:tc>
                <w:tcPr>
                  <w:tcW w:w="498"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757" w:type="pct"/>
                  <w:tcBorders>
                    <w:top w:val="single" w:color="auto" w:sz="6" w:space="0"/>
                    <w:left w:val="single" w:color="auto" w:sz="6" w:space="0"/>
                    <w:bottom w:val="single" w:color="auto" w:sz="6" w:space="0"/>
                    <w:right w:val="single" w:color="auto" w:sz="6" w:space="0"/>
                  </w:tcBorders>
                  <w:vAlign w:val="center"/>
                </w:tcPr>
                <w:p>
                  <w:pPr>
                    <w:adjustRightInd w:val="0"/>
                    <w:snapToGrid w:val="0"/>
                    <w:rPr>
                      <w:bCs/>
                      <w:color w:val="auto"/>
                      <w:szCs w:val="21"/>
                    </w:rPr>
                  </w:pPr>
                  <w:r>
                    <w:rPr>
                      <w:rFonts w:hint="eastAsia"/>
                      <w:color w:val="auto"/>
                      <w:szCs w:val="21"/>
                      <w:lang w:bidi="ar"/>
                    </w:rPr>
                    <w:t>含油抹布、劳保用品</w:t>
                  </w:r>
                </w:p>
              </w:tc>
              <w:tc>
                <w:tcPr>
                  <w:tcW w:w="70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bCs/>
                      <w:color w:val="auto"/>
                      <w:szCs w:val="21"/>
                    </w:rPr>
                  </w:pPr>
                  <w:r>
                    <w:rPr>
                      <w:bCs/>
                      <w:color w:val="auto"/>
                      <w:szCs w:val="21"/>
                    </w:rPr>
                    <w:t>HW49</w:t>
                  </w:r>
                </w:p>
              </w:tc>
              <w:tc>
                <w:tcPr>
                  <w:tcW w:w="71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jc w:val="center"/>
                    <w:rPr>
                      <w:bCs/>
                      <w:color w:val="auto"/>
                      <w:szCs w:val="21"/>
                    </w:rPr>
                  </w:pPr>
                  <w:r>
                    <w:rPr>
                      <w:bCs/>
                      <w:color w:val="auto"/>
                      <w:szCs w:val="21"/>
                    </w:rPr>
                    <w:t>900-041-49</w:t>
                  </w:r>
                </w:p>
              </w:tc>
              <w:tc>
                <w:tcPr>
                  <w:tcW w:w="39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桶装</w:t>
                  </w:r>
                </w:p>
              </w:tc>
              <w:tc>
                <w:tcPr>
                  <w:tcW w:w="530" w:type="pct"/>
                  <w:vMerge w:val="continue"/>
                  <w:tcBorders>
                    <w:left w:val="single" w:color="auto" w:sz="6" w:space="0"/>
                    <w:right w:val="nil"/>
                  </w:tcBorders>
                  <w:vAlign w:val="center"/>
                </w:tcPr>
                <w:p>
                  <w:pPr>
                    <w:topLinePunct/>
                    <w:adjustRightInd w:val="0"/>
                    <w:snapToGrid w:val="0"/>
                    <w:spacing w:line="216" w:lineRule="auto"/>
                    <w:jc w:val="center"/>
                    <w:rPr>
                      <w:color w:val="auto"/>
                      <w:kern w:val="0"/>
                      <w:szCs w:val="21"/>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trHeight w:val="267" w:hRule="atLeast"/>
              </w:trPr>
              <w:tc>
                <w:tcPr>
                  <w:tcW w:w="271" w:type="pct"/>
                  <w:tcBorders>
                    <w:top w:val="single" w:color="auto" w:sz="6" w:space="0"/>
                    <w:left w:val="nil"/>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rFonts w:hint="eastAsia"/>
                      <w:color w:val="auto"/>
                      <w:kern w:val="0"/>
                      <w:szCs w:val="21"/>
                    </w:rPr>
                    <w:t>4</w:t>
                  </w:r>
                </w:p>
              </w:tc>
              <w:tc>
                <w:tcPr>
                  <w:tcW w:w="498"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75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color w:val="auto"/>
                      <w:szCs w:val="21"/>
                      <w:lang w:bidi="ar"/>
                    </w:rPr>
                  </w:pPr>
                  <w:r>
                    <w:rPr>
                      <w:rFonts w:hint="eastAsia"/>
                      <w:color w:val="auto"/>
                      <w:szCs w:val="21"/>
                      <w:lang w:bidi="ar"/>
                    </w:rPr>
                    <w:t>废机油</w:t>
                  </w:r>
                </w:p>
              </w:tc>
              <w:tc>
                <w:tcPr>
                  <w:tcW w:w="70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bCs/>
                      <w:color w:val="auto"/>
                      <w:szCs w:val="21"/>
                    </w:rPr>
                  </w:pPr>
                  <w:r>
                    <w:rPr>
                      <w:bCs/>
                      <w:color w:val="auto"/>
                      <w:szCs w:val="21"/>
                    </w:rPr>
                    <w:t>HW</w:t>
                  </w:r>
                  <w:r>
                    <w:rPr>
                      <w:rFonts w:hint="eastAsia"/>
                      <w:bCs/>
                      <w:color w:val="auto"/>
                      <w:szCs w:val="21"/>
                    </w:rPr>
                    <w:t>08</w:t>
                  </w:r>
                </w:p>
              </w:tc>
              <w:tc>
                <w:tcPr>
                  <w:tcW w:w="71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jc w:val="center"/>
                    <w:rPr>
                      <w:bCs/>
                      <w:color w:val="auto"/>
                      <w:szCs w:val="21"/>
                    </w:rPr>
                  </w:pPr>
                  <w:r>
                    <w:rPr>
                      <w:bCs/>
                      <w:color w:val="auto"/>
                      <w:szCs w:val="21"/>
                    </w:rPr>
                    <w:t>900-</w:t>
                  </w:r>
                  <w:r>
                    <w:rPr>
                      <w:rFonts w:hint="eastAsia"/>
                      <w:bCs/>
                      <w:color w:val="auto"/>
                      <w:szCs w:val="21"/>
                    </w:rPr>
                    <w:t>249</w:t>
                  </w:r>
                  <w:r>
                    <w:rPr>
                      <w:bCs/>
                      <w:color w:val="auto"/>
                      <w:szCs w:val="21"/>
                    </w:rPr>
                    <w:t>-</w:t>
                  </w:r>
                  <w:r>
                    <w:rPr>
                      <w:rFonts w:hint="eastAsia"/>
                      <w:bCs/>
                      <w:color w:val="auto"/>
                      <w:szCs w:val="21"/>
                    </w:rPr>
                    <w:t>08</w:t>
                  </w:r>
                </w:p>
              </w:tc>
              <w:tc>
                <w:tcPr>
                  <w:tcW w:w="39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vMerge w:val="continue"/>
                  <w:tcBorders>
                    <w:left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p>
              </w:tc>
              <w:tc>
                <w:tcPr>
                  <w:tcW w:w="564" w:type="pct"/>
                  <w:tcBorders>
                    <w:top w:val="single" w:color="auto" w:sz="6" w:space="0"/>
                    <w:left w:val="single" w:color="auto" w:sz="6" w:space="0"/>
                    <w:bottom w:val="single" w:color="auto" w:sz="6" w:space="0"/>
                    <w:right w:val="single" w:color="auto" w:sz="6" w:space="0"/>
                  </w:tcBorders>
                  <w:vAlign w:val="center"/>
                </w:tcPr>
                <w:p>
                  <w:pPr>
                    <w:topLinePunct/>
                    <w:adjustRightInd w:val="0"/>
                    <w:snapToGrid w:val="0"/>
                    <w:spacing w:line="216" w:lineRule="auto"/>
                    <w:jc w:val="center"/>
                    <w:rPr>
                      <w:color w:val="auto"/>
                      <w:kern w:val="0"/>
                      <w:szCs w:val="21"/>
                    </w:rPr>
                  </w:pPr>
                  <w:r>
                    <w:rPr>
                      <w:color w:val="auto"/>
                      <w:kern w:val="0"/>
                      <w:szCs w:val="21"/>
                    </w:rPr>
                    <w:t>桶装</w:t>
                  </w:r>
                </w:p>
              </w:tc>
              <w:tc>
                <w:tcPr>
                  <w:tcW w:w="530" w:type="pct"/>
                  <w:vMerge w:val="continue"/>
                  <w:tcBorders>
                    <w:left w:val="single" w:color="auto" w:sz="6" w:space="0"/>
                    <w:right w:val="nil"/>
                  </w:tcBorders>
                  <w:vAlign w:val="center"/>
                </w:tcPr>
                <w:p>
                  <w:pPr>
                    <w:topLinePunct/>
                    <w:adjustRightInd w:val="0"/>
                    <w:snapToGrid w:val="0"/>
                    <w:spacing w:line="216" w:lineRule="auto"/>
                    <w:jc w:val="center"/>
                    <w:rPr>
                      <w:color w:val="auto"/>
                      <w:kern w:val="0"/>
                      <w:szCs w:val="21"/>
                    </w:rPr>
                  </w:pPr>
                </w:p>
              </w:tc>
            </w:tr>
          </w:tbl>
          <w:p>
            <w:pPr>
              <w:pStyle w:val="2"/>
              <w:ind w:firstLine="480" w:firstLineChars="200"/>
              <w:rPr>
                <w:rFonts w:ascii="Times New Roman" w:cs="Times New Roman"/>
                <w:color w:val="auto"/>
              </w:rPr>
            </w:pPr>
            <w:r>
              <w:rPr>
                <w:rFonts w:ascii="Times New Roman" w:cs="Times New Roman"/>
                <w:color w:val="auto"/>
              </w:rPr>
              <w:t>本项目危废存放场所的设置必须严格按照《危险废物污染防治技术政策》和《危险废物贮存污染控制标准》（GB18597-20</w:t>
            </w:r>
            <w:r>
              <w:rPr>
                <w:rFonts w:hint="eastAsia" w:ascii="Times New Roman" w:cs="Times New Roman"/>
                <w:color w:val="auto"/>
                <w:lang w:val="en-US" w:eastAsia="zh-CN"/>
              </w:rPr>
              <w:t>23</w:t>
            </w:r>
            <w:r>
              <w:rPr>
                <w:rFonts w:ascii="Times New Roman" w:cs="Times New Roman"/>
                <w:color w:val="auto"/>
              </w:rPr>
              <w:t>）要求设置，危废转运按照《危险废物转移联单管理办法》进行，最终得到安全处置。危险废物存储和转运过程需满足以下要求：</w:t>
            </w:r>
          </w:p>
          <w:p>
            <w:pPr>
              <w:adjustRightInd w:val="0"/>
              <w:snapToGrid w:val="0"/>
              <w:spacing w:line="360" w:lineRule="auto"/>
              <w:ind w:firstLine="480" w:firstLineChars="200"/>
              <w:rPr>
                <w:color w:val="auto"/>
                <w:sz w:val="24"/>
              </w:rPr>
            </w:pPr>
            <w:r>
              <w:rPr>
                <w:rFonts w:hint="eastAsia"/>
                <w:color w:val="auto"/>
                <w:sz w:val="24"/>
              </w:rPr>
              <w:t>a.</w:t>
            </w:r>
            <w:r>
              <w:rPr>
                <w:color w:val="auto"/>
                <w:sz w:val="24"/>
              </w:rPr>
              <w:t>分类收集：危险废物应及时收集，并按照类别分别置于防渗漏、防锐器穿透的专用包装物或者密闭的容器内（包装桶）。分类收集危废的塑料袋或容器的材质、规格均应符合国家有关规定的要求。</w:t>
            </w:r>
          </w:p>
          <w:p>
            <w:pPr>
              <w:adjustRightInd w:val="0"/>
              <w:snapToGrid w:val="0"/>
              <w:spacing w:line="360" w:lineRule="auto"/>
              <w:ind w:firstLine="482"/>
              <w:rPr>
                <w:color w:val="auto"/>
                <w:sz w:val="24"/>
              </w:rPr>
            </w:pPr>
            <w:r>
              <w:rPr>
                <w:rFonts w:hint="eastAsia"/>
                <w:color w:val="auto"/>
                <w:sz w:val="24"/>
              </w:rPr>
              <w:t>b.</w:t>
            </w:r>
            <w:r>
              <w:rPr>
                <w:color w:val="auto"/>
                <w:sz w:val="24"/>
              </w:rPr>
              <w:t>暂存：暂存间应符合《危险废物贮存污染控制标准》(GB18597</w:t>
            </w:r>
            <w:r>
              <w:rPr>
                <w:rFonts w:hint="eastAsia"/>
                <w:color w:val="auto"/>
                <w:sz w:val="24"/>
                <w:lang w:val="en-US" w:eastAsia="zh-CN"/>
              </w:rPr>
              <w:t>-</w:t>
            </w:r>
            <w:r>
              <w:rPr>
                <w:color w:val="auto"/>
                <w:sz w:val="24"/>
              </w:rPr>
              <w:t>20</w:t>
            </w:r>
            <w:r>
              <w:rPr>
                <w:rFonts w:hint="eastAsia"/>
                <w:color w:val="auto"/>
                <w:sz w:val="24"/>
                <w:lang w:val="en-US" w:eastAsia="zh-CN"/>
              </w:rPr>
              <w:t>23</w:t>
            </w:r>
            <w:r>
              <w:rPr>
                <w:color w:val="auto"/>
                <w:sz w:val="24"/>
              </w:rPr>
              <w:t>)提出的环保要求：暂存间地面与裙脚要用坚固、防渗的材料建造，建筑材料必须与危险废物相容；危险废物暂存地面及内墙采取防渗措施，地面作防渗、防漏、防酸碱腐蚀处理，危险废物暂存间周边设置</w:t>
            </w:r>
            <w:r>
              <w:rPr>
                <w:rFonts w:hint="eastAsia"/>
                <w:color w:val="auto"/>
                <w:sz w:val="24"/>
                <w:lang w:eastAsia="zh-CN"/>
              </w:rPr>
              <w:t>围挡</w:t>
            </w:r>
            <w:r>
              <w:rPr>
                <w:color w:val="auto"/>
                <w:sz w:val="24"/>
              </w:rPr>
              <w:t>。不相容的危险废物必须分开存放，并设有隔离间隔断。</w:t>
            </w:r>
          </w:p>
          <w:p>
            <w:pPr>
              <w:adjustRightInd w:val="0"/>
              <w:snapToGrid w:val="0"/>
              <w:spacing w:line="360" w:lineRule="auto"/>
              <w:ind w:firstLine="482"/>
              <w:rPr>
                <w:color w:val="auto"/>
                <w:sz w:val="24"/>
              </w:rPr>
            </w:pPr>
            <w:r>
              <w:rPr>
                <w:rFonts w:hint="eastAsia"/>
                <w:color w:val="auto"/>
                <w:sz w:val="24"/>
              </w:rPr>
              <w:t>c.</w:t>
            </w:r>
            <w:r>
              <w:rPr>
                <w:color w:val="auto"/>
                <w:sz w:val="24"/>
              </w:rPr>
              <w:t>转运：内部转运应当使用防渗漏、防遗撒的专用运送工具。转运尽量选择人少的时间转运，转运过程中正确装卸，避免遗撒。转运工作人员做好个人保护措施。</w:t>
            </w:r>
          </w:p>
          <w:p>
            <w:pPr>
              <w:adjustRightInd w:val="0"/>
              <w:snapToGrid w:val="0"/>
              <w:spacing w:line="360" w:lineRule="auto"/>
              <w:ind w:firstLine="482"/>
              <w:rPr>
                <w:color w:val="auto"/>
                <w:sz w:val="24"/>
              </w:rPr>
            </w:pPr>
            <w:r>
              <w:rPr>
                <w:rFonts w:hint="eastAsia"/>
                <w:color w:val="auto"/>
                <w:sz w:val="24"/>
              </w:rPr>
              <w:t>d.</w:t>
            </w:r>
            <w:r>
              <w:rPr>
                <w:color w:val="auto"/>
                <w:sz w:val="24"/>
              </w:rPr>
              <w:t>做好危废转移记录及相关转移联单，制定环保管理制度。</w:t>
            </w:r>
          </w:p>
          <w:p>
            <w:pPr>
              <w:pStyle w:val="2"/>
              <w:ind w:firstLine="480" w:firstLineChars="200"/>
              <w:rPr>
                <w:rFonts w:hint="eastAsia" w:eastAsia="宋体"/>
                <w:color w:val="auto"/>
                <w:lang w:val="en-US" w:eastAsia="zh-CN"/>
              </w:rPr>
            </w:pPr>
            <w:r>
              <w:rPr>
                <w:rFonts w:hint="eastAsia"/>
                <w:color w:val="auto"/>
              </w:rPr>
              <w:t>②</w:t>
            </w:r>
            <w:r>
              <w:rPr>
                <w:rFonts w:hint="eastAsia"/>
                <w:color w:val="auto"/>
                <w:lang w:eastAsia="zh-CN"/>
              </w:rPr>
              <w:t>一般工业固废</w:t>
            </w:r>
          </w:p>
          <w:p>
            <w:pPr>
              <w:spacing w:line="360" w:lineRule="auto"/>
              <w:ind w:firstLine="480" w:firstLineChars="200"/>
              <w:rPr>
                <w:rFonts w:hint="eastAsia" w:eastAsia="宋体"/>
                <w:color w:val="auto"/>
                <w:sz w:val="24"/>
                <w:lang w:eastAsia="zh-CN"/>
              </w:rPr>
            </w:pPr>
            <w:r>
              <w:rPr>
                <w:rFonts w:hint="eastAsia" w:ascii="Times New Roman" w:hAnsi="Times New Roman" w:cs="Times New Roman"/>
                <w:color w:val="auto"/>
                <w:sz w:val="24"/>
                <w:szCs w:val="24"/>
                <w:lang w:eastAsia="zh-CN"/>
              </w:rPr>
              <w:t>扩建项目</w:t>
            </w:r>
            <w:r>
              <w:rPr>
                <w:color w:val="auto"/>
                <w:sz w:val="24"/>
              </w:rPr>
              <w:t>一般工业固废主要</w:t>
            </w:r>
            <w:r>
              <w:rPr>
                <w:rFonts w:hint="eastAsia"/>
                <w:color w:val="auto"/>
                <w:sz w:val="24"/>
              </w:rPr>
              <w:t>为</w:t>
            </w:r>
            <w:r>
              <w:rPr>
                <w:rFonts w:hint="eastAsia"/>
                <w:color w:val="auto"/>
                <w:sz w:val="24"/>
                <w:lang w:val="en-US" w:eastAsia="zh-CN"/>
              </w:rPr>
              <w:t>PE塑料粒产生的废包装</w:t>
            </w:r>
            <w:r>
              <w:rPr>
                <w:color w:val="auto"/>
                <w:sz w:val="24"/>
              </w:rPr>
              <w:t>，</w:t>
            </w:r>
            <w:r>
              <w:rPr>
                <w:rFonts w:hint="eastAsia"/>
                <w:color w:val="auto"/>
                <w:sz w:val="24"/>
                <w:lang w:val="en-US" w:eastAsia="zh-CN"/>
              </w:rPr>
              <w:t>2#</w:t>
            </w:r>
            <w:r>
              <w:rPr>
                <w:rFonts w:hint="eastAsia"/>
                <w:color w:val="auto"/>
                <w:sz w:val="24"/>
              </w:rPr>
              <w:t>厂房东</w:t>
            </w:r>
            <w:r>
              <w:rPr>
                <w:rFonts w:hint="eastAsia"/>
                <w:color w:val="auto"/>
                <w:sz w:val="24"/>
                <w:lang w:eastAsia="zh-CN"/>
              </w:rPr>
              <w:t>南</w:t>
            </w:r>
            <w:r>
              <w:rPr>
                <w:rFonts w:hint="eastAsia"/>
                <w:color w:val="auto"/>
                <w:sz w:val="24"/>
              </w:rPr>
              <w:t>角</w:t>
            </w:r>
            <w:r>
              <w:rPr>
                <w:rFonts w:hint="eastAsia"/>
                <w:color w:val="auto"/>
                <w:sz w:val="24"/>
                <w:lang w:eastAsia="zh-CN"/>
              </w:rPr>
              <w:t>建有</w:t>
            </w:r>
            <w:r>
              <w:rPr>
                <w:rFonts w:hint="eastAsia"/>
                <w:color w:val="auto"/>
                <w:sz w:val="24"/>
              </w:rPr>
              <w:t>1个面积为</w:t>
            </w:r>
            <w:r>
              <w:rPr>
                <w:rFonts w:hint="eastAsia"/>
                <w:color w:val="auto"/>
                <w:sz w:val="24"/>
                <w:lang w:val="en-US" w:eastAsia="zh-CN"/>
              </w:rPr>
              <w:t>10</w:t>
            </w:r>
            <w:r>
              <w:rPr>
                <w:rFonts w:hint="eastAsia"/>
                <w:color w:val="auto"/>
                <w:sz w:val="24"/>
              </w:rPr>
              <w:t>m</w:t>
            </w:r>
            <w:r>
              <w:rPr>
                <w:rFonts w:hint="eastAsia"/>
                <w:color w:val="auto"/>
                <w:sz w:val="24"/>
                <w:vertAlign w:val="superscript"/>
              </w:rPr>
              <w:t>2</w:t>
            </w:r>
            <w:r>
              <w:rPr>
                <w:rFonts w:hint="eastAsia"/>
                <w:color w:val="auto"/>
                <w:sz w:val="24"/>
              </w:rPr>
              <w:t>的一般工业固废</w:t>
            </w:r>
            <w:r>
              <w:rPr>
                <w:rFonts w:hint="eastAsia"/>
                <w:color w:val="auto"/>
                <w:sz w:val="24"/>
                <w:lang w:eastAsia="zh-CN"/>
              </w:rPr>
              <w:t>暂存点</w:t>
            </w:r>
            <w:r>
              <w:rPr>
                <w:rFonts w:hint="eastAsia"/>
                <w:color w:val="auto"/>
                <w:sz w:val="24"/>
              </w:rPr>
              <w:t>，</w:t>
            </w:r>
            <w:r>
              <w:rPr>
                <w:rFonts w:hint="eastAsia"/>
                <w:color w:val="auto"/>
                <w:kern w:val="0"/>
                <w:sz w:val="24"/>
                <w:lang w:eastAsia="zh-CN"/>
              </w:rPr>
              <w:t>废包装经暂存后交废品回收公司处置。</w:t>
            </w:r>
          </w:p>
          <w:p>
            <w:pPr>
              <w:adjustRightInd w:val="0"/>
              <w:snapToGrid w:val="0"/>
              <w:spacing w:line="360" w:lineRule="auto"/>
              <w:ind w:firstLine="480" w:firstLineChars="200"/>
              <w:rPr>
                <w:bCs/>
                <w:color w:val="auto"/>
              </w:rPr>
            </w:pPr>
            <w:r>
              <w:rPr>
                <w:rFonts w:hint="eastAsia"/>
                <w:color w:val="auto"/>
                <w:sz w:val="24"/>
                <w:szCs w:val="24"/>
              </w:rPr>
              <w:t>③餐厨垃圾</w:t>
            </w:r>
            <w:r>
              <w:rPr>
                <w:rFonts w:hint="eastAsia"/>
                <w:color w:val="auto"/>
                <w:sz w:val="24"/>
                <w:szCs w:val="24"/>
                <w:lang w:eastAsia="zh-CN"/>
              </w:rPr>
              <w:t>、</w:t>
            </w:r>
            <w:r>
              <w:rPr>
                <w:bCs/>
                <w:color w:val="auto"/>
              </w:rPr>
              <w:t>生活垃圾</w:t>
            </w:r>
          </w:p>
          <w:p>
            <w:pPr>
              <w:adjustRightInd w:val="0"/>
              <w:snapToGrid w:val="0"/>
              <w:spacing w:line="360" w:lineRule="auto"/>
              <w:ind w:firstLine="470" w:firstLineChars="196"/>
              <w:rPr>
                <w:color w:val="auto"/>
              </w:rPr>
            </w:pPr>
            <w:r>
              <w:rPr>
                <w:color w:val="auto"/>
                <w:sz w:val="24"/>
              </w:rPr>
              <w:t>生活垃圾由垃圾桶分类收集后交由环卫部门</w:t>
            </w:r>
            <w:r>
              <w:rPr>
                <w:rFonts w:hint="eastAsia"/>
                <w:color w:val="auto"/>
                <w:sz w:val="24"/>
              </w:rPr>
              <w:t>处置</w:t>
            </w:r>
            <w:r>
              <w:rPr>
                <w:rFonts w:hint="eastAsia"/>
                <w:color w:val="auto"/>
                <w:sz w:val="24"/>
                <w:lang w:eastAsia="zh-CN"/>
              </w:rPr>
              <w:t>；</w:t>
            </w:r>
            <w:r>
              <w:rPr>
                <w:rFonts w:hint="eastAsia"/>
                <w:color w:val="auto"/>
                <w:sz w:val="24"/>
              </w:rPr>
              <w:t>餐厨垃圾经餐厨垃圾收集桶收集后交餐厨垃圾处理单位处置</w:t>
            </w:r>
            <w:r>
              <w:rPr>
                <w:color w:val="auto"/>
                <w:sz w:val="24"/>
              </w:rPr>
              <w:t>。</w:t>
            </w:r>
          </w:p>
          <w:p>
            <w:pPr>
              <w:pStyle w:val="8"/>
              <w:spacing w:line="360" w:lineRule="auto"/>
              <w:ind w:firstLine="0"/>
              <w:rPr>
                <w:b/>
                <w:bCs/>
                <w:color w:val="auto"/>
                <w:sz w:val="24"/>
              </w:rPr>
            </w:pPr>
            <w:r>
              <w:rPr>
                <w:rFonts w:hint="eastAsia"/>
                <w:b/>
                <w:bCs/>
                <w:color w:val="auto"/>
                <w:sz w:val="24"/>
              </w:rPr>
              <w:t>5.环境风险</w:t>
            </w:r>
          </w:p>
          <w:p>
            <w:pPr>
              <w:adjustRightInd w:val="0"/>
              <w:snapToGrid w:val="0"/>
              <w:spacing w:line="360" w:lineRule="auto"/>
              <w:ind w:firstLine="482"/>
              <w:rPr>
                <w:color w:val="auto"/>
                <w:sz w:val="24"/>
              </w:rPr>
            </w:pPr>
            <w:r>
              <w:rPr>
                <w:color w:val="auto"/>
                <w:sz w:val="24"/>
              </w:rPr>
              <w:t>根据《建设项目环境风险评价技术导则》（HJ169-2018）附录B，本项目</w:t>
            </w:r>
            <w:r>
              <w:rPr>
                <w:rFonts w:hint="eastAsia"/>
                <w:color w:val="auto"/>
                <w:sz w:val="24"/>
                <w:lang w:eastAsia="zh-CN"/>
              </w:rPr>
              <w:t>扩建完成后</w:t>
            </w:r>
            <w:r>
              <w:rPr>
                <w:color w:val="auto"/>
                <w:sz w:val="24"/>
              </w:rPr>
              <w:t>涉及的风险物质为</w:t>
            </w:r>
            <w:r>
              <w:rPr>
                <w:rFonts w:hint="eastAsia"/>
                <w:color w:val="auto"/>
                <w:sz w:val="24"/>
              </w:rPr>
              <w:t>机油</w:t>
            </w:r>
            <w:r>
              <w:rPr>
                <w:rFonts w:hint="eastAsia"/>
                <w:color w:val="auto"/>
                <w:sz w:val="24"/>
                <w:lang w:eastAsia="zh-CN"/>
              </w:rPr>
              <w:t>、液压油。扩建项目</w:t>
            </w:r>
            <w:r>
              <w:rPr>
                <w:rFonts w:hint="eastAsia"/>
                <w:color w:val="auto"/>
                <w:sz w:val="24"/>
              </w:rPr>
              <w:t>使用的水性</w:t>
            </w:r>
            <w:r>
              <w:rPr>
                <w:rFonts w:hint="eastAsia"/>
                <w:color w:val="auto"/>
                <w:sz w:val="24"/>
                <w:lang w:eastAsia="zh-CN"/>
              </w:rPr>
              <w:t>胶粘剂</w:t>
            </w:r>
            <w:r>
              <w:rPr>
                <w:rFonts w:hint="eastAsia"/>
                <w:color w:val="auto"/>
                <w:sz w:val="24"/>
              </w:rPr>
              <w:t>化学成分不属于附录B中的风险物质，但水性</w:t>
            </w:r>
            <w:r>
              <w:rPr>
                <w:rFonts w:hint="eastAsia"/>
                <w:color w:val="auto"/>
                <w:sz w:val="24"/>
                <w:lang w:eastAsia="zh-CN"/>
              </w:rPr>
              <w:t>胶粘剂</w:t>
            </w:r>
            <w:r>
              <w:rPr>
                <w:rFonts w:hint="eastAsia"/>
                <w:color w:val="auto"/>
                <w:sz w:val="24"/>
              </w:rPr>
              <w:t>存在泄漏风险应提出相应风险防范措施。</w:t>
            </w:r>
            <w:r>
              <w:rPr>
                <w:color w:val="auto"/>
                <w:sz w:val="24"/>
              </w:rPr>
              <w:t>本项目涉及的风险物质及储存情况见表4.</w:t>
            </w:r>
            <w:r>
              <w:rPr>
                <w:rFonts w:hint="eastAsia"/>
                <w:color w:val="auto"/>
                <w:sz w:val="24"/>
              </w:rPr>
              <w:t>1</w:t>
            </w:r>
            <w:r>
              <w:rPr>
                <w:rFonts w:hint="eastAsia"/>
                <w:color w:val="auto"/>
                <w:sz w:val="24"/>
                <w:lang w:val="en-US" w:eastAsia="zh-CN"/>
              </w:rPr>
              <w:t>9</w:t>
            </w:r>
            <w:r>
              <w:rPr>
                <w:color w:val="auto"/>
                <w:sz w:val="24"/>
              </w:rPr>
              <w:t>。</w:t>
            </w:r>
          </w:p>
          <w:p>
            <w:pPr>
              <w:adjustRightInd w:val="0"/>
              <w:snapToGrid w:val="0"/>
              <w:spacing w:line="360" w:lineRule="auto"/>
              <w:jc w:val="center"/>
              <w:rPr>
                <w:color w:val="auto"/>
                <w:sz w:val="24"/>
                <w:highlight w:val="none"/>
              </w:rPr>
            </w:pPr>
            <w:r>
              <w:rPr>
                <w:color w:val="auto"/>
                <w:sz w:val="21"/>
                <w:szCs w:val="21"/>
              </w:rPr>
              <w:t>表4.</w:t>
            </w:r>
            <w:r>
              <w:rPr>
                <w:rFonts w:hint="eastAsia"/>
                <w:color w:val="auto"/>
                <w:sz w:val="21"/>
                <w:szCs w:val="21"/>
              </w:rPr>
              <w:t>1</w:t>
            </w:r>
            <w:r>
              <w:rPr>
                <w:rFonts w:hint="eastAsia"/>
                <w:color w:val="auto"/>
                <w:sz w:val="21"/>
                <w:szCs w:val="21"/>
                <w:lang w:val="en-US" w:eastAsia="zh-CN"/>
              </w:rPr>
              <w:t>9</w:t>
            </w:r>
            <w:r>
              <w:rPr>
                <w:color w:val="auto"/>
                <w:sz w:val="21"/>
                <w:szCs w:val="21"/>
              </w:rPr>
              <w:t xml:space="preserve"> </w:t>
            </w:r>
            <w:r>
              <w:rPr>
                <w:color w:val="auto"/>
                <w:sz w:val="21"/>
                <w:szCs w:val="21"/>
                <w:highlight w:val="none"/>
              </w:rPr>
              <w:t>本项目涉及的风险物质及储存情况一览表</w:t>
            </w:r>
          </w:p>
          <w:tbl>
            <w:tblPr>
              <w:tblStyle w:val="2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72"/>
              <w:gridCol w:w="1372"/>
              <w:gridCol w:w="1066"/>
              <w:gridCol w:w="1212"/>
              <w:gridCol w:w="1253"/>
              <w:gridCol w:w="15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color w:val="auto"/>
                    </w:rPr>
                    <w:t>序号</w:t>
                  </w:r>
                </w:p>
              </w:tc>
              <w:tc>
                <w:tcPr>
                  <w:tcW w:w="7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危险物质</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最大储存量</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临界量</w:t>
                  </w:r>
                </w:p>
              </w:tc>
              <w:tc>
                <w:tcPr>
                  <w:tcW w:w="7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Q值</w:t>
                  </w:r>
                </w:p>
              </w:tc>
              <w:tc>
                <w:tcPr>
                  <w:tcW w:w="7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储存方式</w:t>
                  </w:r>
                </w:p>
              </w:tc>
              <w:tc>
                <w:tcPr>
                  <w:tcW w:w="918" w:type="pct"/>
                  <w:tcBorders>
                    <w:top w:val="single" w:color="auto" w:sz="4" w:space="0"/>
                    <w:left w:val="single" w:color="auto" w:sz="4" w:space="0"/>
                    <w:bottom w:val="single" w:color="auto" w:sz="4" w:space="0"/>
                    <w:right w:val="nil"/>
                  </w:tcBorders>
                  <w:vAlign w:val="center"/>
                </w:tcPr>
                <w:p>
                  <w:pPr>
                    <w:adjustRightInd w:val="0"/>
                    <w:snapToGrid w:val="0"/>
                    <w:jc w:val="center"/>
                    <w:rPr>
                      <w:color w:val="auto"/>
                    </w:rPr>
                  </w:pPr>
                  <w:r>
                    <w:rPr>
                      <w:rFonts w:hint="eastAsia"/>
                      <w:color w:val="auto"/>
                    </w:rPr>
                    <w:t>风险源分布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3"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color w:val="auto"/>
                    </w:rPr>
                    <w:t>1</w:t>
                  </w:r>
                </w:p>
              </w:tc>
              <w:tc>
                <w:tcPr>
                  <w:tcW w:w="7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机油</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0.03t</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color w:val="auto"/>
                    </w:rPr>
                    <w:t>2500t</w:t>
                  </w:r>
                </w:p>
              </w:tc>
              <w:tc>
                <w:tcPr>
                  <w:tcW w:w="7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0.00001</w:t>
                  </w:r>
                </w:p>
              </w:tc>
              <w:tc>
                <w:tcPr>
                  <w:tcW w:w="7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铁</w:t>
                  </w:r>
                  <w:r>
                    <w:rPr>
                      <w:color w:val="auto"/>
                    </w:rPr>
                    <w:t>桶装</w:t>
                  </w:r>
                </w:p>
              </w:tc>
              <w:tc>
                <w:tcPr>
                  <w:tcW w:w="918" w:type="pct"/>
                  <w:vMerge w:val="restart"/>
                  <w:tcBorders>
                    <w:left w:val="single" w:color="auto" w:sz="4" w:space="0"/>
                    <w:right w:val="nil"/>
                  </w:tcBorders>
                  <w:vAlign w:val="center"/>
                </w:tcPr>
                <w:p>
                  <w:pPr>
                    <w:adjustRightInd w:val="0"/>
                    <w:snapToGrid w:val="0"/>
                    <w:jc w:val="center"/>
                    <w:rPr>
                      <w:color w:val="auto"/>
                    </w:rPr>
                  </w:pPr>
                  <w:r>
                    <w:rPr>
                      <w:rFonts w:hint="eastAsia"/>
                      <w:color w:val="auto"/>
                    </w:rPr>
                    <w:t>油料堆放区危废暂存间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3" w:type="pct"/>
                  <w:tcBorders>
                    <w:top w:val="single" w:color="auto" w:sz="4" w:space="0"/>
                    <w:left w:val="nil"/>
                    <w:bottom w:val="single" w:color="auto" w:sz="4" w:space="0"/>
                    <w:right w:val="single" w:color="auto" w:sz="4" w:space="0"/>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2</w:t>
                  </w:r>
                </w:p>
              </w:tc>
              <w:tc>
                <w:tcPr>
                  <w:tcW w:w="7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lang w:eastAsia="zh-CN"/>
                    </w:rPr>
                  </w:pPr>
                  <w:r>
                    <w:rPr>
                      <w:rFonts w:hint="eastAsia"/>
                      <w:color w:val="auto"/>
                      <w:lang w:eastAsia="zh-CN"/>
                    </w:rPr>
                    <w:t>液压油</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lang w:val="en-US" w:eastAsia="zh-CN"/>
                    </w:rPr>
                  </w:pPr>
                  <w:r>
                    <w:rPr>
                      <w:rFonts w:hint="eastAsia"/>
                      <w:color w:val="auto"/>
                      <w:lang w:val="en-US" w:eastAsia="zh-CN"/>
                    </w:rPr>
                    <w:t>0.5t</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lang w:val="en-US" w:eastAsia="zh-CN"/>
                    </w:rPr>
                  </w:pPr>
                  <w:r>
                    <w:rPr>
                      <w:rFonts w:hint="eastAsia"/>
                      <w:color w:val="auto"/>
                      <w:lang w:val="en-US" w:eastAsia="zh-CN"/>
                    </w:rPr>
                    <w:t>2500t</w:t>
                  </w:r>
                </w:p>
              </w:tc>
              <w:tc>
                <w:tcPr>
                  <w:tcW w:w="7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lang w:val="en-US" w:eastAsia="zh-CN"/>
                    </w:rPr>
                  </w:pPr>
                  <w:r>
                    <w:rPr>
                      <w:rFonts w:hint="eastAsia"/>
                      <w:color w:val="auto"/>
                      <w:lang w:val="en-US" w:eastAsia="zh-CN"/>
                    </w:rPr>
                    <w:t>0.0002</w:t>
                  </w:r>
                </w:p>
              </w:tc>
              <w:tc>
                <w:tcPr>
                  <w:tcW w:w="7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olor w:val="auto"/>
                    </w:rPr>
                  </w:pPr>
                  <w:r>
                    <w:rPr>
                      <w:rFonts w:hint="eastAsia"/>
                      <w:color w:val="auto"/>
                    </w:rPr>
                    <w:t>铁</w:t>
                  </w:r>
                  <w:r>
                    <w:rPr>
                      <w:color w:val="auto"/>
                    </w:rPr>
                    <w:t>桶装</w:t>
                  </w:r>
                </w:p>
              </w:tc>
              <w:tc>
                <w:tcPr>
                  <w:tcW w:w="918" w:type="pct"/>
                  <w:vMerge w:val="continue"/>
                  <w:tcBorders>
                    <w:left w:val="single" w:color="auto" w:sz="4" w:space="0"/>
                    <w:right w:val="nil"/>
                  </w:tcBorders>
                  <w:vAlign w:val="center"/>
                </w:tcPr>
                <w:p>
                  <w:pPr>
                    <w:adjustRightInd w:val="0"/>
                    <w:snapToGrid w:val="0"/>
                    <w:jc w:val="center"/>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3" w:type="pct"/>
                  <w:tcBorders>
                    <w:top w:val="single" w:color="auto" w:sz="4" w:space="0"/>
                    <w:left w:val="nil"/>
                    <w:bottom w:val="single" w:color="auto" w:sz="4" w:space="0"/>
                    <w:right w:val="single" w:color="auto" w:sz="4" w:space="0"/>
                  </w:tcBorders>
                  <w:vAlign w:val="center"/>
                </w:tcPr>
                <w:p>
                  <w:pPr>
                    <w:adjustRightInd w:val="0"/>
                    <w:snapToGrid w:val="0"/>
                    <w:jc w:val="center"/>
                    <w:rPr>
                      <w:rFonts w:hint="default"/>
                      <w:color w:val="auto"/>
                      <w:lang w:val="en-US" w:eastAsia="zh-CN"/>
                    </w:rPr>
                  </w:pPr>
                  <w:r>
                    <w:rPr>
                      <w:rFonts w:hint="eastAsia"/>
                      <w:color w:val="auto"/>
                      <w:lang w:val="en-US" w:eastAsia="zh-CN"/>
                    </w:rPr>
                    <w:t>3</w:t>
                  </w:r>
                </w:p>
              </w:tc>
              <w:tc>
                <w:tcPr>
                  <w:tcW w:w="7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olor w:val="auto"/>
                      <w:lang w:eastAsia="zh-CN"/>
                    </w:rPr>
                  </w:pPr>
                  <w:r>
                    <w:rPr>
                      <w:rFonts w:hint="eastAsia"/>
                      <w:color w:val="auto"/>
                      <w:lang w:eastAsia="zh-CN"/>
                    </w:rPr>
                    <w:t>胶粘剂</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olor w:val="auto"/>
                      <w:lang w:val="en-US" w:eastAsia="zh-CN"/>
                    </w:rPr>
                  </w:pPr>
                  <w:r>
                    <w:rPr>
                      <w:rFonts w:hint="eastAsia"/>
                      <w:color w:val="auto"/>
                      <w:lang w:val="en-US" w:eastAsia="zh-CN"/>
                    </w:rPr>
                    <w:t>2t</w:t>
                  </w:r>
                </w:p>
              </w:tc>
              <w:tc>
                <w:tcPr>
                  <w:tcW w:w="62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olor w:val="auto"/>
                      <w:lang w:val="en-US" w:eastAsia="zh-CN"/>
                    </w:rPr>
                  </w:pPr>
                  <w:r>
                    <w:rPr>
                      <w:rFonts w:hint="eastAsia"/>
                      <w:color w:val="auto"/>
                      <w:lang w:val="en-US" w:eastAsia="zh-CN"/>
                    </w:rPr>
                    <w:t>/</w:t>
                  </w:r>
                </w:p>
              </w:tc>
              <w:tc>
                <w:tcPr>
                  <w:tcW w:w="7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w:t>
                  </w:r>
                </w:p>
              </w:tc>
              <w:tc>
                <w:tcPr>
                  <w:tcW w:w="7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lang w:val="en-US" w:eastAsia="zh-CN"/>
                    </w:rPr>
                  </w:pPr>
                  <w:r>
                    <w:rPr>
                      <w:rFonts w:hint="eastAsia"/>
                      <w:color w:val="auto"/>
                      <w:lang w:val="en-US" w:eastAsia="zh-CN"/>
                    </w:rPr>
                    <w:t>吨桶装</w:t>
                  </w:r>
                </w:p>
              </w:tc>
              <w:tc>
                <w:tcPr>
                  <w:tcW w:w="918" w:type="pct"/>
                  <w:tcBorders>
                    <w:left w:val="single" w:color="auto" w:sz="4" w:space="0"/>
                    <w:right w:val="nil"/>
                  </w:tcBorders>
                  <w:vAlign w:val="center"/>
                </w:tcPr>
                <w:p>
                  <w:pPr>
                    <w:adjustRightInd w:val="0"/>
                    <w:snapToGrid w:val="0"/>
                    <w:jc w:val="center"/>
                    <w:rPr>
                      <w:rFonts w:hint="eastAsia" w:eastAsia="宋体"/>
                      <w:color w:val="auto"/>
                      <w:lang w:eastAsia="zh-CN"/>
                    </w:rPr>
                  </w:pPr>
                  <w:r>
                    <w:rPr>
                      <w:rFonts w:hint="eastAsia"/>
                      <w:color w:val="auto"/>
                      <w:lang w:eastAsia="zh-CN"/>
                    </w:rPr>
                    <w:t>胶粘剂堆放区</w:t>
                  </w:r>
                </w:p>
              </w:tc>
            </w:tr>
          </w:tbl>
          <w:p>
            <w:pPr>
              <w:autoSpaceDE w:val="0"/>
              <w:autoSpaceDN w:val="0"/>
              <w:adjustRightInd w:val="0"/>
              <w:snapToGrid w:val="0"/>
              <w:spacing w:line="360" w:lineRule="auto"/>
              <w:ind w:firstLine="480" w:firstLineChars="200"/>
              <w:rPr>
                <w:color w:val="auto"/>
                <w:kern w:val="0"/>
                <w:sz w:val="24"/>
              </w:rPr>
            </w:pPr>
            <w:r>
              <w:rPr>
                <w:color w:val="auto"/>
                <w:kern w:val="0"/>
                <w:sz w:val="24"/>
              </w:rPr>
              <w:t>危险物质数量与临界量比值Q的计算如下：</w:t>
            </w:r>
          </w:p>
          <w:p>
            <w:pPr>
              <w:autoSpaceDE w:val="0"/>
              <w:autoSpaceDN w:val="0"/>
              <w:adjustRightInd w:val="0"/>
              <w:snapToGrid w:val="0"/>
              <w:spacing w:line="360" w:lineRule="auto"/>
              <w:ind w:firstLine="480" w:firstLineChars="200"/>
              <w:rPr>
                <w:color w:val="auto"/>
                <w:kern w:val="0"/>
                <w:sz w:val="24"/>
              </w:rPr>
            </w:pPr>
            <w:r>
              <w:rPr>
                <w:color w:val="auto"/>
                <w:kern w:val="0"/>
                <w:sz w:val="24"/>
              </w:rPr>
              <w:t>当只涉及一种危险物质时，计算该物质的总量与其临界量比值，即为Q；</w:t>
            </w:r>
          </w:p>
          <w:p>
            <w:pPr>
              <w:autoSpaceDE w:val="0"/>
              <w:autoSpaceDN w:val="0"/>
              <w:adjustRightInd w:val="0"/>
              <w:snapToGrid w:val="0"/>
              <w:spacing w:line="360" w:lineRule="auto"/>
              <w:ind w:firstLine="480" w:firstLineChars="200"/>
              <w:rPr>
                <w:color w:val="auto"/>
                <w:kern w:val="0"/>
                <w:sz w:val="24"/>
              </w:rPr>
            </w:pPr>
            <w:r>
              <w:rPr>
                <w:color w:val="auto"/>
                <w:kern w:val="0"/>
                <w:sz w:val="24"/>
              </w:rPr>
              <w:t>当存在多种危险物质时，则按下式计算物质总量与其临界量比值（Q）。</w:t>
            </w:r>
          </w:p>
          <w:p>
            <w:pPr>
              <w:autoSpaceDE w:val="0"/>
              <w:autoSpaceDN w:val="0"/>
              <w:adjustRightInd w:val="0"/>
              <w:snapToGrid w:val="0"/>
              <w:spacing w:line="360" w:lineRule="auto"/>
              <w:jc w:val="center"/>
              <w:rPr>
                <w:color w:val="auto"/>
                <w:kern w:val="0"/>
                <w:sz w:val="24"/>
              </w:rPr>
            </w:pPr>
            <w:r>
              <w:rPr>
                <w:color w:val="auto"/>
                <w:kern w:val="0"/>
                <w:sz w:val="24"/>
              </w:rPr>
              <w:t>Q=q1/Q1+ q2/Q2……+ qn/Qn</w:t>
            </w:r>
          </w:p>
          <w:p>
            <w:pPr>
              <w:autoSpaceDE w:val="0"/>
              <w:autoSpaceDN w:val="0"/>
              <w:adjustRightInd w:val="0"/>
              <w:snapToGrid w:val="0"/>
              <w:spacing w:line="360" w:lineRule="auto"/>
              <w:ind w:firstLine="480" w:firstLineChars="200"/>
              <w:rPr>
                <w:color w:val="auto"/>
                <w:kern w:val="0"/>
                <w:sz w:val="24"/>
              </w:rPr>
            </w:pPr>
            <w:r>
              <w:rPr>
                <w:color w:val="auto"/>
                <w:kern w:val="0"/>
                <w:sz w:val="24"/>
              </w:rPr>
              <w:t>式中：q1，q2……qn为每种危险物质实际存在量，t。</w:t>
            </w:r>
          </w:p>
          <w:p>
            <w:pPr>
              <w:autoSpaceDE w:val="0"/>
              <w:autoSpaceDN w:val="0"/>
              <w:adjustRightInd w:val="0"/>
              <w:snapToGrid w:val="0"/>
              <w:spacing w:line="360" w:lineRule="auto"/>
              <w:ind w:firstLine="1200" w:firstLineChars="500"/>
              <w:rPr>
                <w:color w:val="auto"/>
                <w:kern w:val="0"/>
                <w:sz w:val="24"/>
              </w:rPr>
            </w:pPr>
            <w:r>
              <w:rPr>
                <w:color w:val="auto"/>
                <w:kern w:val="0"/>
                <w:sz w:val="24"/>
              </w:rPr>
              <w:t>Q1、Q2……Qn为与各危险物质相对应的生产场所或贮存区的临界量，t。</w:t>
            </w:r>
          </w:p>
          <w:p>
            <w:pPr>
              <w:autoSpaceDE w:val="0"/>
              <w:autoSpaceDN w:val="0"/>
              <w:adjustRightInd w:val="0"/>
              <w:snapToGrid w:val="0"/>
              <w:spacing w:line="360" w:lineRule="auto"/>
              <w:ind w:firstLine="480" w:firstLineChars="200"/>
              <w:rPr>
                <w:color w:val="auto"/>
                <w:kern w:val="0"/>
                <w:sz w:val="24"/>
              </w:rPr>
            </w:pPr>
            <w:r>
              <w:rPr>
                <w:color w:val="auto"/>
                <w:kern w:val="0"/>
                <w:sz w:val="24"/>
              </w:rPr>
              <w:t>当Q&lt;1时，该项目环境风险潜势为</w:t>
            </w:r>
            <w:r>
              <w:rPr>
                <w:rFonts w:hint="eastAsia" w:ascii="宋体" w:hAnsi="宋体" w:cs="宋体"/>
                <w:color w:val="auto"/>
                <w:kern w:val="0"/>
                <w:sz w:val="24"/>
              </w:rPr>
              <w:t>Ⅰ</w:t>
            </w:r>
            <w:r>
              <w:rPr>
                <w:color w:val="auto"/>
                <w:kern w:val="0"/>
                <w:sz w:val="24"/>
              </w:rPr>
              <w:t>。</w:t>
            </w:r>
          </w:p>
          <w:p>
            <w:pPr>
              <w:adjustRightInd w:val="0"/>
              <w:snapToGrid w:val="0"/>
              <w:spacing w:line="360" w:lineRule="auto"/>
              <w:ind w:firstLine="480" w:firstLineChars="200"/>
              <w:rPr>
                <w:color w:val="auto"/>
                <w:kern w:val="0"/>
                <w:sz w:val="24"/>
              </w:rPr>
            </w:pPr>
            <w:r>
              <w:rPr>
                <w:color w:val="auto"/>
                <w:kern w:val="0"/>
                <w:sz w:val="24"/>
              </w:rPr>
              <w:t>当Q≥1时，将Q值划分为：（1）1≤Q＜10；（2）10≤Q＜100；（3）Q&gt;100。</w:t>
            </w:r>
          </w:p>
          <w:p>
            <w:pPr>
              <w:autoSpaceDE w:val="0"/>
              <w:autoSpaceDN w:val="0"/>
              <w:adjustRightInd w:val="0"/>
              <w:snapToGrid w:val="0"/>
              <w:spacing w:line="360" w:lineRule="auto"/>
              <w:ind w:firstLine="480" w:firstLineChars="200"/>
              <w:rPr>
                <w:color w:val="auto"/>
                <w:sz w:val="24"/>
              </w:rPr>
            </w:pPr>
            <w:r>
              <w:rPr>
                <w:color w:val="auto"/>
                <w:sz w:val="24"/>
              </w:rPr>
              <w:t>表</w:t>
            </w:r>
            <w:r>
              <w:rPr>
                <w:rFonts w:hint="eastAsia"/>
                <w:color w:val="auto"/>
                <w:sz w:val="24"/>
                <w:lang w:val="en-US" w:eastAsia="zh-CN"/>
              </w:rPr>
              <w:t>4.17</w:t>
            </w:r>
            <w:r>
              <w:rPr>
                <w:color w:val="auto"/>
                <w:sz w:val="24"/>
              </w:rPr>
              <w:t>的可知：本项目Q=</w:t>
            </w:r>
            <w:r>
              <w:rPr>
                <w:rFonts w:hint="eastAsia"/>
                <w:color w:val="auto"/>
                <w:sz w:val="24"/>
              </w:rPr>
              <w:t>0.000</w:t>
            </w:r>
            <w:r>
              <w:rPr>
                <w:rFonts w:hint="eastAsia"/>
                <w:color w:val="auto"/>
                <w:sz w:val="24"/>
                <w:lang w:val="en-US" w:eastAsia="zh-CN"/>
              </w:rPr>
              <w:t>2</w:t>
            </w:r>
            <w:r>
              <w:rPr>
                <w:rFonts w:hint="eastAsia"/>
                <w:color w:val="auto"/>
                <w:sz w:val="24"/>
              </w:rPr>
              <w:t>1</w:t>
            </w:r>
            <w:r>
              <w:rPr>
                <w:color w:val="auto"/>
                <w:kern w:val="0"/>
                <w:sz w:val="24"/>
              </w:rPr>
              <w:t>＜1，本项目风险潜势为Ι。</w:t>
            </w:r>
          </w:p>
          <w:p>
            <w:pPr>
              <w:adjustRightInd w:val="0"/>
              <w:snapToGrid w:val="0"/>
              <w:spacing w:line="360" w:lineRule="auto"/>
              <w:ind w:firstLine="480" w:firstLineChars="200"/>
              <w:jc w:val="left"/>
              <w:rPr>
                <w:color w:val="auto"/>
                <w:sz w:val="24"/>
              </w:rPr>
            </w:pPr>
            <w:r>
              <w:rPr>
                <w:color w:val="auto"/>
                <w:sz w:val="24"/>
              </w:rPr>
              <w:t>本项目涉及到的环境风险物质以油类为主，风险物质向环境转移的途径主要为危险物质泄漏、燃烧，向大气和水体、土壤转移，详见表4.</w:t>
            </w:r>
            <w:r>
              <w:rPr>
                <w:rFonts w:hint="eastAsia"/>
                <w:color w:val="auto"/>
                <w:sz w:val="24"/>
                <w:lang w:val="en-US" w:eastAsia="zh-CN"/>
              </w:rPr>
              <w:t>20</w:t>
            </w:r>
            <w:r>
              <w:rPr>
                <w:color w:val="auto"/>
                <w:sz w:val="24"/>
              </w:rPr>
              <w:t>。</w:t>
            </w:r>
          </w:p>
          <w:p>
            <w:pPr>
              <w:snapToGrid w:val="0"/>
              <w:spacing w:line="360" w:lineRule="auto"/>
              <w:jc w:val="center"/>
              <w:rPr>
                <w:color w:val="auto"/>
                <w:sz w:val="21"/>
                <w:szCs w:val="21"/>
              </w:rPr>
            </w:pPr>
            <w:r>
              <w:rPr>
                <w:color w:val="auto"/>
                <w:sz w:val="21"/>
                <w:szCs w:val="21"/>
              </w:rPr>
              <w:t>表4.</w:t>
            </w:r>
            <w:r>
              <w:rPr>
                <w:rFonts w:hint="eastAsia"/>
                <w:color w:val="auto"/>
                <w:sz w:val="21"/>
                <w:szCs w:val="21"/>
                <w:lang w:val="en-US" w:eastAsia="zh-CN"/>
              </w:rPr>
              <w:t>20</w:t>
            </w:r>
            <w:r>
              <w:rPr>
                <w:color w:val="auto"/>
                <w:sz w:val="21"/>
                <w:szCs w:val="21"/>
              </w:rPr>
              <w:t xml:space="preserve"> 本项目环境风险识别一览表</w:t>
            </w:r>
          </w:p>
          <w:tbl>
            <w:tblPr>
              <w:tblStyle w:val="22"/>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107"/>
              <w:gridCol w:w="773"/>
              <w:gridCol w:w="1107"/>
              <w:gridCol w:w="49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9" w:type="pct"/>
                  <w:tcBorders>
                    <w:tl2br w:val="nil"/>
                    <w:tr2bl w:val="nil"/>
                  </w:tcBorders>
                  <w:vAlign w:val="center"/>
                </w:tcPr>
                <w:p>
                  <w:pPr>
                    <w:adjustRightInd w:val="0"/>
                    <w:snapToGrid w:val="0"/>
                    <w:jc w:val="center"/>
                    <w:rPr>
                      <w:color w:val="auto"/>
                    </w:rPr>
                  </w:pPr>
                  <w:r>
                    <w:rPr>
                      <w:color w:val="auto"/>
                    </w:rPr>
                    <w:t>序号</w:t>
                  </w:r>
                </w:p>
              </w:tc>
              <w:tc>
                <w:tcPr>
                  <w:tcW w:w="650" w:type="pct"/>
                  <w:tcBorders>
                    <w:tl2br w:val="nil"/>
                    <w:tr2bl w:val="nil"/>
                  </w:tcBorders>
                  <w:vAlign w:val="center"/>
                </w:tcPr>
                <w:p>
                  <w:pPr>
                    <w:adjustRightInd w:val="0"/>
                    <w:snapToGrid w:val="0"/>
                    <w:jc w:val="center"/>
                    <w:rPr>
                      <w:color w:val="auto"/>
                    </w:rPr>
                  </w:pPr>
                  <w:r>
                    <w:rPr>
                      <w:color w:val="auto"/>
                    </w:rPr>
                    <w:t>风险源</w:t>
                  </w:r>
                </w:p>
              </w:tc>
              <w:tc>
                <w:tcPr>
                  <w:tcW w:w="454" w:type="pct"/>
                  <w:tcBorders>
                    <w:tl2br w:val="nil"/>
                    <w:tr2bl w:val="nil"/>
                  </w:tcBorders>
                  <w:vAlign w:val="center"/>
                </w:tcPr>
                <w:p>
                  <w:pPr>
                    <w:adjustRightInd w:val="0"/>
                    <w:snapToGrid w:val="0"/>
                    <w:jc w:val="center"/>
                    <w:rPr>
                      <w:color w:val="auto"/>
                    </w:rPr>
                  </w:pPr>
                  <w:r>
                    <w:rPr>
                      <w:color w:val="auto"/>
                    </w:rPr>
                    <w:t>风险物质</w:t>
                  </w:r>
                </w:p>
              </w:tc>
              <w:tc>
                <w:tcPr>
                  <w:tcW w:w="650" w:type="pct"/>
                  <w:tcBorders>
                    <w:tl2br w:val="nil"/>
                    <w:tr2bl w:val="nil"/>
                  </w:tcBorders>
                  <w:vAlign w:val="center"/>
                </w:tcPr>
                <w:p>
                  <w:pPr>
                    <w:adjustRightInd w:val="0"/>
                    <w:snapToGrid w:val="0"/>
                    <w:jc w:val="center"/>
                    <w:rPr>
                      <w:color w:val="auto"/>
                    </w:rPr>
                  </w:pPr>
                  <w:r>
                    <w:rPr>
                      <w:color w:val="auto"/>
                    </w:rPr>
                    <w:t>环境影响类型</w:t>
                  </w:r>
                </w:p>
              </w:tc>
              <w:tc>
                <w:tcPr>
                  <w:tcW w:w="2916" w:type="pct"/>
                  <w:tcBorders>
                    <w:tl2br w:val="nil"/>
                    <w:tr2bl w:val="nil"/>
                  </w:tcBorders>
                  <w:vAlign w:val="center"/>
                </w:tcPr>
                <w:p>
                  <w:pPr>
                    <w:adjustRightInd w:val="0"/>
                    <w:snapToGrid w:val="0"/>
                    <w:jc w:val="center"/>
                    <w:rPr>
                      <w:color w:val="auto"/>
                    </w:rPr>
                  </w:pPr>
                  <w:r>
                    <w:rPr>
                      <w:color w:val="auto"/>
                    </w:rPr>
                    <w:t>影响途径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9" w:type="pct"/>
                  <w:tcBorders>
                    <w:tl2br w:val="nil"/>
                    <w:tr2bl w:val="nil"/>
                  </w:tcBorders>
                  <w:vAlign w:val="center"/>
                </w:tcPr>
                <w:p>
                  <w:pPr>
                    <w:adjustRightInd w:val="0"/>
                    <w:snapToGrid w:val="0"/>
                    <w:jc w:val="center"/>
                    <w:rPr>
                      <w:color w:val="auto"/>
                    </w:rPr>
                  </w:pPr>
                  <w:r>
                    <w:rPr>
                      <w:color w:val="auto"/>
                    </w:rPr>
                    <w:t>1</w:t>
                  </w:r>
                </w:p>
              </w:tc>
              <w:tc>
                <w:tcPr>
                  <w:tcW w:w="650" w:type="pct"/>
                  <w:tcBorders>
                    <w:tl2br w:val="nil"/>
                    <w:tr2bl w:val="nil"/>
                  </w:tcBorders>
                  <w:vAlign w:val="center"/>
                </w:tcPr>
                <w:p>
                  <w:pPr>
                    <w:jc w:val="center"/>
                    <w:rPr>
                      <w:color w:val="auto"/>
                    </w:rPr>
                  </w:pPr>
                  <w:r>
                    <w:rPr>
                      <w:rFonts w:hint="eastAsia"/>
                      <w:color w:val="auto"/>
                    </w:rPr>
                    <w:t>油料堆放区</w:t>
                  </w:r>
                </w:p>
              </w:tc>
              <w:tc>
                <w:tcPr>
                  <w:tcW w:w="454" w:type="pct"/>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液压油</w:t>
                  </w:r>
                </w:p>
                <w:p>
                  <w:pPr>
                    <w:adjustRightInd w:val="0"/>
                    <w:snapToGrid w:val="0"/>
                    <w:jc w:val="center"/>
                    <w:rPr>
                      <w:color w:val="auto"/>
                      <w:szCs w:val="21"/>
                    </w:rPr>
                  </w:pPr>
                  <w:r>
                    <w:rPr>
                      <w:rFonts w:hint="eastAsia"/>
                      <w:color w:val="auto"/>
                      <w:szCs w:val="21"/>
                    </w:rPr>
                    <w:t>机油</w:t>
                  </w:r>
                </w:p>
              </w:tc>
              <w:tc>
                <w:tcPr>
                  <w:tcW w:w="650" w:type="pct"/>
                  <w:tcBorders>
                    <w:tl2br w:val="nil"/>
                    <w:tr2bl w:val="nil"/>
                  </w:tcBorders>
                  <w:vAlign w:val="center"/>
                </w:tcPr>
                <w:p>
                  <w:pPr>
                    <w:adjustRightInd w:val="0"/>
                    <w:snapToGrid w:val="0"/>
                    <w:jc w:val="center"/>
                    <w:rPr>
                      <w:color w:val="auto"/>
                    </w:rPr>
                  </w:pPr>
                  <w:r>
                    <w:rPr>
                      <w:color w:val="auto"/>
                    </w:rPr>
                    <w:t>泄漏、火灾</w:t>
                  </w:r>
                </w:p>
              </w:tc>
              <w:tc>
                <w:tcPr>
                  <w:tcW w:w="2916" w:type="pct"/>
                  <w:tcBorders>
                    <w:tl2br w:val="nil"/>
                    <w:tr2bl w:val="nil"/>
                  </w:tcBorders>
                  <w:vAlign w:val="center"/>
                </w:tcPr>
                <w:p>
                  <w:pPr>
                    <w:adjustRightInd w:val="0"/>
                    <w:snapToGrid w:val="0"/>
                    <w:rPr>
                      <w:color w:val="auto"/>
                    </w:rPr>
                  </w:pPr>
                  <w:r>
                    <w:rPr>
                      <w:color w:val="auto"/>
                    </w:rPr>
                    <w:t>泄漏后通过雨、污管网进入地表水；泄漏后通过渗入土壤；燃烧产生的伴生/次生污染物进入大气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9" w:type="pct"/>
                  <w:tcBorders>
                    <w:tl2br w:val="nil"/>
                    <w:tr2bl w:val="nil"/>
                  </w:tcBorders>
                  <w:vAlign w:val="center"/>
                </w:tcPr>
                <w:p>
                  <w:pPr>
                    <w:adjustRightInd w:val="0"/>
                    <w:snapToGrid w:val="0"/>
                    <w:jc w:val="center"/>
                    <w:rPr>
                      <w:rFonts w:hint="eastAsia" w:eastAsia="宋体"/>
                      <w:color w:val="auto"/>
                      <w:lang w:val="en-US" w:eastAsia="zh-CN"/>
                    </w:rPr>
                  </w:pPr>
                  <w:r>
                    <w:rPr>
                      <w:rFonts w:hint="eastAsia"/>
                      <w:color w:val="auto"/>
                      <w:lang w:val="en-US" w:eastAsia="zh-CN"/>
                    </w:rPr>
                    <w:t>2</w:t>
                  </w:r>
                </w:p>
              </w:tc>
              <w:tc>
                <w:tcPr>
                  <w:tcW w:w="650" w:type="pct"/>
                  <w:tcBorders>
                    <w:tl2br w:val="nil"/>
                    <w:tr2bl w:val="nil"/>
                  </w:tcBorders>
                  <w:vAlign w:val="center"/>
                </w:tcPr>
                <w:p>
                  <w:pPr>
                    <w:jc w:val="center"/>
                    <w:rPr>
                      <w:rFonts w:hint="eastAsia" w:eastAsia="宋体"/>
                      <w:color w:val="auto"/>
                      <w:lang w:eastAsia="zh-CN"/>
                    </w:rPr>
                  </w:pPr>
                  <w:r>
                    <w:rPr>
                      <w:rFonts w:hint="eastAsia"/>
                      <w:color w:val="auto"/>
                      <w:lang w:eastAsia="zh-CN"/>
                    </w:rPr>
                    <w:t>胶粘剂堆放区</w:t>
                  </w:r>
                </w:p>
              </w:tc>
              <w:tc>
                <w:tcPr>
                  <w:tcW w:w="454" w:type="pct"/>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eastAsia="zh-CN"/>
                    </w:rPr>
                    <w:t>胶粘剂</w:t>
                  </w:r>
                </w:p>
              </w:tc>
              <w:tc>
                <w:tcPr>
                  <w:tcW w:w="650" w:type="pct"/>
                  <w:tcBorders>
                    <w:tl2br w:val="nil"/>
                    <w:tr2bl w:val="nil"/>
                  </w:tcBorders>
                  <w:vAlign w:val="center"/>
                </w:tcPr>
                <w:p>
                  <w:pPr>
                    <w:adjustRightInd w:val="0"/>
                    <w:snapToGrid w:val="0"/>
                    <w:jc w:val="center"/>
                    <w:rPr>
                      <w:rFonts w:hint="eastAsia" w:eastAsia="宋体"/>
                      <w:color w:val="auto"/>
                      <w:lang w:eastAsia="zh-CN"/>
                    </w:rPr>
                  </w:pPr>
                  <w:r>
                    <w:rPr>
                      <w:rFonts w:hint="eastAsia"/>
                      <w:color w:val="auto"/>
                      <w:lang w:eastAsia="zh-CN"/>
                    </w:rPr>
                    <w:t>泄漏</w:t>
                  </w:r>
                </w:p>
              </w:tc>
              <w:tc>
                <w:tcPr>
                  <w:tcW w:w="2916" w:type="pct"/>
                  <w:tcBorders>
                    <w:tl2br w:val="nil"/>
                    <w:tr2bl w:val="nil"/>
                  </w:tcBorders>
                  <w:vAlign w:val="center"/>
                </w:tcPr>
                <w:p>
                  <w:pPr>
                    <w:adjustRightInd w:val="0"/>
                    <w:snapToGrid w:val="0"/>
                    <w:rPr>
                      <w:color w:val="auto"/>
                    </w:rPr>
                  </w:pPr>
                  <w:r>
                    <w:rPr>
                      <w:color w:val="auto"/>
                    </w:rPr>
                    <w:t>泄漏后通过雨、污管网进入地表水；泄漏后通过渗入土壤；</w:t>
                  </w:r>
                </w:p>
              </w:tc>
            </w:tr>
          </w:tbl>
          <w:p>
            <w:pPr>
              <w:pStyle w:val="2"/>
              <w:ind w:firstLine="480" w:firstLineChars="200"/>
              <w:rPr>
                <w:rFonts w:ascii="Times New Roman" w:hAnsi="Times New Roman" w:cs="Times New Roman"/>
                <w:color w:val="auto"/>
              </w:rPr>
            </w:pPr>
            <w:r>
              <w:rPr>
                <w:rFonts w:ascii="Times New Roman" w:hAnsi="Times New Roman" w:cs="Times New Roman"/>
                <w:color w:val="auto"/>
              </w:rPr>
              <w:t>（3）环境风险防范措施</w:t>
            </w:r>
          </w:p>
          <w:p>
            <w:pPr>
              <w:autoSpaceDE w:val="0"/>
              <w:autoSpaceDN w:val="0"/>
              <w:adjustRightInd w:val="0"/>
              <w:snapToGrid w:val="0"/>
              <w:spacing w:line="360" w:lineRule="auto"/>
              <w:ind w:firstLine="480" w:firstLineChars="200"/>
              <w:rPr>
                <w:color w:val="auto"/>
                <w:sz w:val="24"/>
              </w:rPr>
            </w:pPr>
            <w:r>
              <w:rPr>
                <w:color w:val="auto"/>
                <w:sz w:val="24"/>
              </w:rPr>
              <w:t>①</w:t>
            </w:r>
            <w:r>
              <w:rPr>
                <w:rFonts w:hint="eastAsia"/>
                <w:color w:val="auto"/>
                <w:sz w:val="24"/>
                <w:lang w:eastAsia="zh-CN"/>
              </w:rPr>
              <w:t>通过调查，该企业</w:t>
            </w:r>
            <w:r>
              <w:rPr>
                <w:color w:val="auto"/>
                <w:sz w:val="24"/>
              </w:rPr>
              <w:t>建立一套严密科学的检修规程、操作规程和规章制度，实施严格的设备管理、工艺管理、安全环保管理、质量管理和现场管理。</w:t>
            </w:r>
          </w:p>
          <w:p>
            <w:pPr>
              <w:autoSpaceDE w:val="0"/>
              <w:autoSpaceDN w:val="0"/>
              <w:adjustRightInd w:val="0"/>
              <w:snapToGrid w:val="0"/>
              <w:spacing w:line="360" w:lineRule="auto"/>
              <w:ind w:firstLine="480" w:firstLineChars="200"/>
              <w:rPr>
                <w:rFonts w:hint="default" w:eastAsia="宋体"/>
                <w:color w:val="auto"/>
                <w:sz w:val="24"/>
                <w:lang w:val="en-US" w:eastAsia="zh-CN"/>
              </w:rPr>
            </w:pPr>
            <w:r>
              <w:rPr>
                <w:color w:val="auto"/>
                <w:sz w:val="24"/>
              </w:rPr>
              <w:t>②</w:t>
            </w:r>
            <w:r>
              <w:rPr>
                <w:rFonts w:hint="eastAsia"/>
                <w:color w:val="auto"/>
                <w:sz w:val="24"/>
                <w:lang w:eastAsia="zh-CN"/>
              </w:rPr>
              <w:t>通过调查，扩建项目依托的</w:t>
            </w:r>
            <w:r>
              <w:rPr>
                <w:rFonts w:hint="eastAsia"/>
                <w:color w:val="auto"/>
                <w:sz w:val="24"/>
              </w:rPr>
              <w:t>危废暂存间</w:t>
            </w:r>
            <w:r>
              <w:rPr>
                <w:color w:val="auto"/>
                <w:sz w:val="24"/>
              </w:rPr>
              <w:t>地面及内墙采取防渗措施，地面作防渗、防漏、防酸碱腐蚀处理</w:t>
            </w:r>
            <w:r>
              <w:rPr>
                <w:rFonts w:hint="eastAsia"/>
                <w:color w:val="auto"/>
                <w:sz w:val="24"/>
                <w:lang w:eastAsia="zh-CN"/>
              </w:rPr>
              <w:t>，扩建项目产生的危险废物可依托该危险废物暂存间暂存。</w:t>
            </w:r>
          </w:p>
          <w:p>
            <w:pPr>
              <w:autoSpaceDE w:val="0"/>
              <w:autoSpaceDN w:val="0"/>
              <w:adjustRightInd w:val="0"/>
              <w:snapToGrid w:val="0"/>
              <w:spacing w:line="360" w:lineRule="auto"/>
              <w:ind w:firstLine="480" w:firstLineChars="200"/>
              <w:rPr>
                <w:rFonts w:hint="eastAsia" w:eastAsia="宋体"/>
                <w:color w:val="auto"/>
                <w:sz w:val="24"/>
                <w:lang w:eastAsia="zh-CN"/>
              </w:rPr>
            </w:pPr>
            <w:r>
              <w:rPr>
                <w:rFonts w:ascii="Times New Roman" w:hAnsi="Times New Roman" w:cs="Times New Roman"/>
                <w:color w:val="auto"/>
                <w:sz w:val="24"/>
                <w:szCs w:val="24"/>
              </w:rPr>
              <w:t>③</w:t>
            </w:r>
            <w:r>
              <w:rPr>
                <w:rFonts w:hint="eastAsia" w:cs="Times New Roman"/>
                <w:color w:val="auto"/>
                <w:sz w:val="24"/>
                <w:szCs w:val="24"/>
                <w:lang w:eastAsia="zh-CN"/>
              </w:rPr>
              <w:t>通过调查，该企业</w:t>
            </w:r>
            <w:r>
              <w:rPr>
                <w:color w:val="auto"/>
                <w:sz w:val="24"/>
              </w:rPr>
              <w:t>生产车间配备干粉灭火器、消防沙等灭火救援物质，发生火情</w:t>
            </w:r>
            <w:r>
              <w:rPr>
                <w:rFonts w:hint="eastAsia"/>
                <w:color w:val="auto"/>
                <w:sz w:val="24"/>
              </w:rPr>
              <w:t>时</w:t>
            </w:r>
            <w:r>
              <w:rPr>
                <w:color w:val="auto"/>
                <w:sz w:val="24"/>
              </w:rPr>
              <w:t>及时组织人员灭火救援。</w:t>
            </w:r>
          </w:p>
          <w:p>
            <w:pPr>
              <w:adjustRightInd w:val="0"/>
              <w:snapToGrid w:val="0"/>
              <w:spacing w:line="360" w:lineRule="auto"/>
              <w:ind w:firstLine="480" w:firstLineChars="200"/>
              <w:rPr>
                <w:rFonts w:ascii="Times New Roman" w:hAnsi="Times New Roman" w:cs="Times New Roman"/>
                <w:color w:val="auto"/>
                <w:sz w:val="24"/>
                <w:szCs w:val="24"/>
              </w:rPr>
            </w:pPr>
            <w:r>
              <w:rPr>
                <w:color w:val="auto"/>
                <w:sz w:val="24"/>
              </w:rPr>
              <w:t>④</w:t>
            </w:r>
            <w:r>
              <w:rPr>
                <w:rFonts w:hint="eastAsia"/>
                <w:color w:val="auto"/>
                <w:sz w:val="24"/>
                <w:lang w:eastAsia="zh-CN"/>
              </w:rPr>
              <w:t>扩建项目</w:t>
            </w:r>
            <w:r>
              <w:rPr>
                <w:rFonts w:hint="eastAsia"/>
                <w:color w:val="auto"/>
                <w:sz w:val="24"/>
              </w:rPr>
              <w:t>胶粘剂堆放区</w:t>
            </w:r>
            <w:r>
              <w:rPr>
                <w:color w:val="auto"/>
                <w:sz w:val="24"/>
              </w:rPr>
              <w:t>地面及内墙</w:t>
            </w:r>
            <w:r>
              <w:rPr>
                <w:rFonts w:hint="eastAsia"/>
                <w:color w:val="auto"/>
                <w:sz w:val="24"/>
                <w:lang w:eastAsia="zh-CN"/>
              </w:rPr>
              <w:t>应</w:t>
            </w:r>
            <w:r>
              <w:rPr>
                <w:color w:val="auto"/>
                <w:sz w:val="24"/>
              </w:rPr>
              <w:t>采取防渗措施，地面作防渗、防漏、防酸碱腐蚀处理。</w:t>
            </w:r>
            <w:r>
              <w:rPr>
                <w:rFonts w:hint="eastAsia" w:cs="Times New Roman"/>
                <w:color w:val="auto"/>
                <w:sz w:val="24"/>
                <w:szCs w:val="24"/>
              </w:rPr>
              <w:t>胶粘剂堆放区</w:t>
            </w:r>
            <w:r>
              <w:rPr>
                <w:rFonts w:hint="eastAsia" w:cs="Times New Roman"/>
                <w:color w:val="auto"/>
                <w:sz w:val="24"/>
                <w:szCs w:val="24"/>
                <w:lang w:eastAsia="zh-CN"/>
              </w:rPr>
              <w:t>应</w:t>
            </w:r>
            <w:r>
              <w:rPr>
                <w:rFonts w:ascii="Times New Roman" w:hAnsi="Times New Roman" w:cs="Times New Roman"/>
                <w:color w:val="auto"/>
                <w:sz w:val="24"/>
                <w:szCs w:val="24"/>
              </w:rPr>
              <w:t>放置一定量吸收毡、吸收棉，</w:t>
            </w:r>
            <w:r>
              <w:rPr>
                <w:rFonts w:hint="eastAsia" w:cs="Times New Roman"/>
                <w:color w:val="auto"/>
                <w:sz w:val="24"/>
                <w:szCs w:val="24"/>
                <w:lang w:eastAsia="zh-CN"/>
              </w:rPr>
              <w:t>物料</w:t>
            </w:r>
            <w:r>
              <w:rPr>
                <w:rFonts w:ascii="Times New Roman" w:hAnsi="Times New Roman" w:cs="Times New Roman"/>
                <w:color w:val="auto"/>
                <w:sz w:val="24"/>
                <w:szCs w:val="24"/>
              </w:rPr>
              <w:t>泄漏后采用吸收毡、吸收棉及时吸收泄漏物质，吸附材料达到饱和后转移至危险废物暂存点，采用专用包装物或密闭的容器内（包装桶）暂存，盖好收集容器的盖子，贴上废物标签，按照废物管理制度或污染物排放控制程序处理。</w:t>
            </w:r>
          </w:p>
          <w:p>
            <w:pPr>
              <w:pStyle w:val="2"/>
              <w:ind w:firstLine="480" w:firstLineChars="200"/>
              <w:rPr>
                <w:rFonts w:ascii="Times New Roman" w:hAnsi="Times New Roman" w:cs="Times New Roman"/>
                <w:color w:val="auto"/>
              </w:rPr>
            </w:pPr>
            <w:r>
              <w:rPr>
                <w:rFonts w:ascii="Times New Roman" w:hAnsi="Times New Roman" w:cs="Times New Roman"/>
                <w:color w:val="auto"/>
              </w:rPr>
              <w:t>⑤</w:t>
            </w:r>
            <w:r>
              <w:rPr>
                <w:rFonts w:hint="eastAsia" w:ascii="Times New Roman" w:hAnsi="Times New Roman" w:cs="Times New Roman"/>
                <w:color w:val="auto"/>
                <w:lang w:eastAsia="zh-CN"/>
              </w:rPr>
              <w:t>扩建项目</w:t>
            </w:r>
            <w:r>
              <w:rPr>
                <w:rFonts w:ascii="Times New Roman" w:hAnsi="Times New Roman" w:cs="Times New Roman"/>
                <w:color w:val="auto"/>
              </w:rPr>
              <w:t>加强机械设备、管线、阀门等元器件的维护保养，对系统薄弱环节加强检查、维护保养、及时更新。</w:t>
            </w:r>
          </w:p>
          <w:p>
            <w:pPr>
              <w:pStyle w:val="2"/>
              <w:ind w:firstLine="480" w:firstLineChars="200"/>
              <w:rPr>
                <w:rFonts w:ascii="Times New Roman" w:hAnsi="Times New Roman" w:cs="Times New Roman"/>
                <w:color w:val="auto"/>
              </w:rPr>
            </w:pPr>
            <w:r>
              <w:rPr>
                <w:rFonts w:ascii="Times New Roman" w:hAnsi="Times New Roman" w:cs="Times New Roman"/>
                <w:color w:val="auto"/>
              </w:rPr>
              <w:t>（</w:t>
            </w:r>
            <w:r>
              <w:rPr>
                <w:rFonts w:hint="eastAsia" w:ascii="Times New Roman" w:cs="Times New Roman"/>
                <w:color w:val="auto"/>
              </w:rPr>
              <w:t>4</w:t>
            </w:r>
            <w:r>
              <w:rPr>
                <w:rFonts w:ascii="Times New Roman" w:hAnsi="Times New Roman" w:cs="Times New Roman"/>
                <w:color w:val="auto"/>
              </w:rPr>
              <w:t>）分区防控措施</w:t>
            </w:r>
          </w:p>
          <w:p>
            <w:pPr>
              <w:widowControl/>
              <w:adjustRightInd w:val="0"/>
              <w:snapToGrid w:val="0"/>
              <w:spacing w:line="360" w:lineRule="auto"/>
              <w:ind w:firstLine="480" w:firstLineChars="200"/>
              <w:rPr>
                <w:rFonts w:hint="eastAsia" w:eastAsia="宋体"/>
                <w:color w:val="auto"/>
                <w:sz w:val="24"/>
                <w:lang w:val="en-US" w:eastAsia="zh-CN"/>
              </w:rPr>
            </w:pPr>
            <w:r>
              <w:rPr>
                <w:color w:val="auto"/>
                <w:kern w:val="0"/>
                <w:sz w:val="24"/>
                <w:lang w:bidi="ar"/>
              </w:rPr>
              <w:t>根据《环境影响评价技术导则</w:t>
            </w:r>
            <w:r>
              <w:rPr>
                <w:rFonts w:hint="eastAsia"/>
                <w:color w:val="auto"/>
                <w:kern w:val="0"/>
                <w:sz w:val="24"/>
                <w:lang w:bidi="ar"/>
              </w:rPr>
              <w:t>—</w:t>
            </w:r>
            <w:r>
              <w:rPr>
                <w:color w:val="auto"/>
                <w:kern w:val="0"/>
                <w:sz w:val="24"/>
                <w:lang w:bidi="ar"/>
              </w:rPr>
              <w:t>地下水环境》（HJ610-2016）中“地下水环境保护措施及对策”的相关内容，并参照《危险废物填埋污染控制标准》（GB18598-2001）可知，</w:t>
            </w:r>
            <w:r>
              <w:rPr>
                <w:rFonts w:hint="eastAsia"/>
                <w:color w:val="auto"/>
                <w:kern w:val="0"/>
                <w:sz w:val="24"/>
                <w:lang w:eastAsia="zh-CN" w:bidi="ar"/>
              </w:rPr>
              <w:t>扩建项目</w:t>
            </w:r>
            <w:r>
              <w:rPr>
                <w:rFonts w:hint="eastAsia"/>
                <w:color w:val="auto"/>
                <w:kern w:val="0"/>
                <w:sz w:val="24"/>
                <w:lang w:bidi="ar"/>
              </w:rPr>
              <w:t>胶粘剂堆放区作</w:t>
            </w:r>
            <w:r>
              <w:rPr>
                <w:color w:val="auto"/>
                <w:kern w:val="0"/>
                <w:sz w:val="24"/>
                <w:lang w:bidi="ar"/>
              </w:rPr>
              <w:t>为重点防渗区，</w:t>
            </w:r>
            <w:r>
              <w:rPr>
                <w:rFonts w:hint="eastAsia"/>
                <w:color w:val="auto"/>
                <w:kern w:val="0"/>
                <w:sz w:val="24"/>
                <w:lang w:eastAsia="zh-CN" w:bidi="ar"/>
              </w:rPr>
              <w:t>扩建项目生产</w:t>
            </w:r>
            <w:r>
              <w:rPr>
                <w:rFonts w:hint="eastAsia"/>
                <w:color w:val="auto"/>
                <w:kern w:val="0"/>
                <w:sz w:val="24"/>
                <w:lang w:bidi="ar"/>
              </w:rPr>
              <w:t>车间作为</w:t>
            </w:r>
            <w:r>
              <w:rPr>
                <w:color w:val="auto"/>
                <w:kern w:val="0"/>
                <w:sz w:val="24"/>
                <w:lang w:bidi="ar"/>
              </w:rPr>
              <w:t>一般防渗区。</w:t>
            </w:r>
            <w:r>
              <w:rPr>
                <w:rFonts w:hint="eastAsia"/>
                <w:color w:val="auto"/>
                <w:kern w:val="0"/>
                <w:sz w:val="24"/>
                <w:lang w:bidi="ar"/>
              </w:rPr>
              <w:t>本项目</w:t>
            </w:r>
            <w:r>
              <w:rPr>
                <w:color w:val="auto"/>
                <w:kern w:val="0"/>
                <w:sz w:val="24"/>
                <w:lang w:bidi="ar"/>
              </w:rPr>
              <w:t>地下水污染防渗措施以水平防渗为主，</w:t>
            </w:r>
            <w:r>
              <w:rPr>
                <w:rFonts w:hint="eastAsia"/>
                <w:color w:val="auto"/>
                <w:kern w:val="0"/>
                <w:sz w:val="24"/>
                <w:lang w:bidi="ar"/>
              </w:rPr>
              <w:t>具体分区防渗措施</w:t>
            </w:r>
            <w:r>
              <w:rPr>
                <w:color w:val="auto"/>
                <w:kern w:val="0"/>
                <w:sz w:val="24"/>
                <w:lang w:bidi="ar"/>
              </w:rPr>
              <w:t>如下：</w:t>
            </w:r>
          </w:p>
          <w:p>
            <w:pPr>
              <w:widowControl/>
              <w:adjustRightInd w:val="0"/>
              <w:snapToGrid w:val="0"/>
              <w:spacing w:line="360" w:lineRule="auto"/>
              <w:ind w:firstLine="480" w:firstLineChars="200"/>
              <w:rPr>
                <w:color w:val="auto"/>
                <w:sz w:val="24"/>
              </w:rPr>
            </w:pPr>
            <w:r>
              <w:rPr>
                <w:rFonts w:hint="eastAsia" w:ascii="宋体" w:hAnsi="宋体" w:cs="宋体"/>
                <w:color w:val="auto"/>
                <w:kern w:val="0"/>
                <w:sz w:val="24"/>
                <w:lang w:bidi="ar"/>
              </w:rPr>
              <w:t>①</w:t>
            </w:r>
            <w:r>
              <w:rPr>
                <w:color w:val="auto"/>
                <w:kern w:val="0"/>
                <w:sz w:val="24"/>
                <w:lang w:bidi="ar"/>
              </w:rPr>
              <w:t>重点防渗区</w:t>
            </w:r>
          </w:p>
          <w:p>
            <w:pPr>
              <w:widowControl/>
              <w:adjustRightInd w:val="0"/>
              <w:snapToGrid w:val="0"/>
              <w:spacing w:line="360" w:lineRule="auto"/>
              <w:ind w:firstLine="480" w:firstLineChars="200"/>
              <w:rPr>
                <w:color w:val="auto"/>
                <w:sz w:val="24"/>
              </w:rPr>
            </w:pPr>
            <w:r>
              <w:rPr>
                <w:color w:val="auto"/>
                <w:kern w:val="0"/>
                <w:sz w:val="24"/>
                <w:lang w:bidi="ar"/>
              </w:rPr>
              <w:t>重点防渗区地坪防渗性能要求为渗透系数小于10</w:t>
            </w:r>
            <w:r>
              <w:rPr>
                <w:color w:val="auto"/>
                <w:kern w:val="0"/>
                <w:sz w:val="24"/>
                <w:vertAlign w:val="superscript"/>
                <w:lang w:bidi="ar"/>
              </w:rPr>
              <w:t>-7</w:t>
            </w:r>
            <w:r>
              <w:rPr>
                <w:color w:val="auto"/>
                <w:kern w:val="0"/>
                <w:sz w:val="24"/>
                <w:lang w:bidi="ar"/>
              </w:rPr>
              <w:t>cm/s，等效粘土层厚度不小于6m，防渗措施如下：</w:t>
            </w:r>
          </w:p>
          <w:p>
            <w:pPr>
              <w:widowControl/>
              <w:adjustRightInd w:val="0"/>
              <w:snapToGrid w:val="0"/>
              <w:spacing w:line="360" w:lineRule="auto"/>
              <w:ind w:firstLine="480" w:firstLineChars="200"/>
              <w:rPr>
                <w:color w:val="auto"/>
                <w:sz w:val="24"/>
              </w:rPr>
            </w:pPr>
            <w:r>
              <w:rPr>
                <w:rFonts w:hint="eastAsia"/>
                <w:color w:val="auto"/>
                <w:kern w:val="0"/>
                <w:sz w:val="24"/>
                <w:lang w:bidi="ar"/>
              </w:rPr>
              <w:t>胶粘剂堆放区地面及裙角</w:t>
            </w:r>
            <w:r>
              <w:rPr>
                <w:color w:val="auto"/>
                <w:kern w:val="0"/>
                <w:sz w:val="24"/>
                <w:lang w:bidi="ar"/>
              </w:rPr>
              <w:t>采用特殊防腐、防渗处理，经防渗处理后等效黏土防渗层Mb≥6.0m，渗透系数≤1.0×10</w:t>
            </w:r>
            <w:r>
              <w:rPr>
                <w:color w:val="auto"/>
                <w:kern w:val="0"/>
                <w:sz w:val="24"/>
                <w:vertAlign w:val="superscript"/>
                <w:lang w:bidi="ar"/>
              </w:rPr>
              <w:t>-7</w:t>
            </w:r>
            <w:r>
              <w:rPr>
                <w:color w:val="auto"/>
                <w:kern w:val="0"/>
                <w:sz w:val="24"/>
                <w:lang w:bidi="ar"/>
              </w:rPr>
              <w:t>cm/s。</w:t>
            </w:r>
            <w:r>
              <w:rPr>
                <w:rFonts w:hint="eastAsia"/>
                <w:color w:val="auto"/>
                <w:kern w:val="0"/>
                <w:sz w:val="24"/>
                <w:lang w:bidi="ar"/>
              </w:rPr>
              <w:t>危废暂存间、模具堆放区</w:t>
            </w:r>
            <w:r>
              <w:rPr>
                <w:color w:val="auto"/>
                <w:kern w:val="0"/>
                <w:sz w:val="24"/>
                <w:lang w:bidi="ar"/>
              </w:rPr>
              <w:t>耐久性应符合现行国家标准《混凝土结构设计规范》（GB50010）的有关规定：混凝土强度等级不宜低于C30；结构厚度不应小于250mm；混凝土的抗渗等级不应低于P8，且水池的内表面应涂刷水泥基渗透结晶型或喷涂聚脲等防水涂料，或在混凝土内掺加水泥基渗透结晶型防水剂；水泥基渗透结晶型防水涂料厚度不应小于1.0mm，喷涂聚脲防水涂料厚度不应小于1.5mm；当混凝土内掺加水泥基渗透结晶型防水剂时，掺量宜为胶凝材料总量的1%~2%。</w:t>
            </w:r>
            <w:r>
              <w:rPr>
                <w:rFonts w:hint="eastAsia"/>
                <w:color w:val="auto"/>
                <w:kern w:val="0"/>
                <w:sz w:val="24"/>
                <w:lang w:bidi="ar"/>
              </w:rPr>
              <w:t>危废暂存间</w:t>
            </w:r>
            <w:r>
              <w:rPr>
                <w:color w:val="auto"/>
                <w:kern w:val="0"/>
                <w:sz w:val="24"/>
                <w:lang w:bidi="ar"/>
              </w:rPr>
              <w:t>设置专用桶进行集油（随时观察收集量，并及时转运、更换收集桶）。</w:t>
            </w:r>
          </w:p>
          <w:p>
            <w:pPr>
              <w:widowControl/>
              <w:adjustRightInd w:val="0"/>
              <w:snapToGrid w:val="0"/>
              <w:spacing w:line="360" w:lineRule="auto"/>
              <w:ind w:firstLine="480" w:firstLineChars="200"/>
              <w:rPr>
                <w:color w:val="auto"/>
                <w:sz w:val="24"/>
              </w:rPr>
            </w:pPr>
            <w:r>
              <w:rPr>
                <w:rFonts w:hint="eastAsia" w:ascii="宋体" w:hAnsi="宋体" w:cs="宋体"/>
                <w:color w:val="auto"/>
                <w:kern w:val="0"/>
                <w:sz w:val="24"/>
                <w:lang w:bidi="ar"/>
              </w:rPr>
              <w:t>②</w:t>
            </w:r>
            <w:r>
              <w:rPr>
                <w:color w:val="auto"/>
                <w:kern w:val="0"/>
                <w:sz w:val="24"/>
                <w:lang w:bidi="ar"/>
              </w:rPr>
              <w:t>一般防渗区</w:t>
            </w:r>
          </w:p>
          <w:p>
            <w:pPr>
              <w:widowControl/>
              <w:adjustRightInd w:val="0"/>
              <w:snapToGrid w:val="0"/>
              <w:spacing w:line="360" w:lineRule="auto"/>
              <w:ind w:firstLine="480" w:firstLineChars="200"/>
              <w:rPr>
                <w:color w:val="auto"/>
              </w:rPr>
            </w:pPr>
            <w:r>
              <w:rPr>
                <w:rFonts w:hint="eastAsia"/>
                <w:color w:val="auto"/>
                <w:kern w:val="0"/>
                <w:sz w:val="24"/>
                <w:lang w:eastAsia="zh-CN" w:bidi="ar"/>
              </w:rPr>
              <w:t>通过调查，扩建项目</w:t>
            </w:r>
            <w:r>
              <w:rPr>
                <w:rFonts w:hint="eastAsia"/>
                <w:color w:val="auto"/>
                <w:kern w:val="0"/>
                <w:sz w:val="24"/>
                <w:lang w:bidi="ar"/>
              </w:rPr>
              <w:t>生产</w:t>
            </w:r>
            <w:r>
              <w:rPr>
                <w:color w:val="auto"/>
                <w:kern w:val="0"/>
                <w:sz w:val="24"/>
                <w:lang w:bidi="ar"/>
              </w:rPr>
              <w:t>车间地坪为混凝土地坪，满足一般防渗区防渗要求。</w:t>
            </w:r>
          </w:p>
          <w:p>
            <w:pPr>
              <w:pStyle w:val="15"/>
              <w:snapToGrid w:val="0"/>
              <w:spacing w:after="0" w:line="360" w:lineRule="auto"/>
              <w:rPr>
                <w:color w:val="auto"/>
                <w:kern w:val="0"/>
                <w:sz w:val="24"/>
              </w:rPr>
            </w:pPr>
            <w:r>
              <w:rPr>
                <w:color w:val="auto"/>
                <w:kern w:val="0"/>
                <w:sz w:val="24"/>
              </w:rPr>
              <w:t>本项目环境风险简单分析内容见表</w:t>
            </w:r>
            <w:r>
              <w:rPr>
                <w:rFonts w:hint="eastAsia"/>
                <w:color w:val="auto"/>
                <w:kern w:val="0"/>
                <w:sz w:val="24"/>
              </w:rPr>
              <w:t>4.</w:t>
            </w:r>
            <w:r>
              <w:rPr>
                <w:rFonts w:hint="eastAsia"/>
                <w:color w:val="auto"/>
                <w:kern w:val="0"/>
                <w:sz w:val="24"/>
                <w:lang w:val="en-US" w:eastAsia="zh-CN"/>
              </w:rPr>
              <w:t>21</w:t>
            </w:r>
            <w:r>
              <w:rPr>
                <w:color w:val="auto"/>
                <w:kern w:val="0"/>
                <w:sz w:val="24"/>
              </w:rPr>
              <w:t>。</w:t>
            </w:r>
          </w:p>
          <w:p>
            <w:pPr>
              <w:adjustRightInd w:val="0"/>
              <w:snapToGrid w:val="0"/>
              <w:spacing w:line="360" w:lineRule="auto"/>
              <w:jc w:val="center"/>
              <w:rPr>
                <w:color w:val="auto"/>
                <w:sz w:val="21"/>
                <w:szCs w:val="21"/>
              </w:rPr>
            </w:pPr>
            <w:r>
              <w:rPr>
                <w:color w:val="auto"/>
                <w:sz w:val="21"/>
                <w:szCs w:val="21"/>
              </w:rPr>
              <w:t>表4.</w:t>
            </w:r>
            <w:r>
              <w:rPr>
                <w:rFonts w:hint="eastAsia"/>
                <w:color w:val="auto"/>
                <w:sz w:val="21"/>
                <w:szCs w:val="21"/>
                <w:lang w:val="en-US" w:eastAsia="zh-CN"/>
              </w:rPr>
              <w:t>21</w:t>
            </w:r>
            <w:r>
              <w:rPr>
                <w:color w:val="auto"/>
                <w:sz w:val="21"/>
                <w:szCs w:val="21"/>
              </w:rPr>
              <w:t xml:space="preserve"> 环境风险简单分析内容表</w:t>
            </w:r>
          </w:p>
          <w:tbl>
            <w:tblPr>
              <w:tblStyle w:val="2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379"/>
              <w:gridCol w:w="2220"/>
              <w:gridCol w:w="1636"/>
              <w:gridCol w:w="18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pPr>
                    <w:adjustRightInd w:val="0"/>
                    <w:snapToGrid w:val="0"/>
                    <w:jc w:val="center"/>
                    <w:rPr>
                      <w:color w:val="auto"/>
                      <w:szCs w:val="21"/>
                    </w:rPr>
                  </w:pPr>
                  <w:r>
                    <w:rPr>
                      <w:color w:val="auto"/>
                      <w:szCs w:val="21"/>
                    </w:rPr>
                    <w:t>建设项目</w:t>
                  </w:r>
                </w:p>
                <w:p>
                  <w:pPr>
                    <w:adjustRightInd w:val="0"/>
                    <w:snapToGrid w:val="0"/>
                    <w:jc w:val="center"/>
                    <w:rPr>
                      <w:color w:val="auto"/>
                      <w:szCs w:val="21"/>
                    </w:rPr>
                  </w:pPr>
                  <w:r>
                    <w:rPr>
                      <w:color w:val="auto"/>
                      <w:szCs w:val="21"/>
                    </w:rPr>
                    <w:t>名称</w:t>
                  </w:r>
                </w:p>
              </w:tc>
              <w:tc>
                <w:tcPr>
                  <w:tcW w:w="7135" w:type="dxa"/>
                  <w:gridSpan w:val="4"/>
                  <w:vAlign w:val="center"/>
                </w:tcPr>
                <w:p>
                  <w:pPr>
                    <w:adjustRightInd w:val="0"/>
                    <w:snapToGrid w:val="0"/>
                    <w:jc w:val="center"/>
                    <w:rPr>
                      <w:rFonts w:ascii="宋体" w:hAnsi="宋体" w:cs="宋体"/>
                      <w:color w:val="auto"/>
                      <w:szCs w:val="21"/>
                    </w:rPr>
                  </w:pPr>
                  <w:r>
                    <w:rPr>
                      <w:rFonts w:hint="eastAsia"/>
                      <w:color w:val="auto"/>
                      <w:sz w:val="21"/>
                      <w:szCs w:val="21"/>
                    </w:rPr>
                    <w:t>年产拉幅定型无纺布500吨、淋膜无纺布300吨扩建项目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pPr>
                    <w:adjustRightInd w:val="0"/>
                    <w:snapToGrid w:val="0"/>
                    <w:jc w:val="center"/>
                    <w:rPr>
                      <w:color w:val="auto"/>
                      <w:szCs w:val="21"/>
                    </w:rPr>
                  </w:pPr>
                  <w:r>
                    <w:rPr>
                      <w:color w:val="auto"/>
                      <w:szCs w:val="21"/>
                    </w:rPr>
                    <w:t>建设地点</w:t>
                  </w:r>
                </w:p>
              </w:tc>
              <w:tc>
                <w:tcPr>
                  <w:tcW w:w="7135" w:type="dxa"/>
                  <w:gridSpan w:val="4"/>
                  <w:vAlign w:val="center"/>
                </w:tcPr>
                <w:p>
                  <w:pPr>
                    <w:adjustRightInd w:val="0"/>
                    <w:snapToGrid w:val="0"/>
                    <w:jc w:val="center"/>
                    <w:rPr>
                      <w:rFonts w:ascii="宋体" w:hAnsi="宋体" w:cs="宋体"/>
                      <w:color w:val="auto"/>
                      <w:szCs w:val="21"/>
                    </w:rPr>
                  </w:pPr>
                  <w:r>
                    <w:rPr>
                      <w:rFonts w:hint="eastAsia"/>
                      <w:color w:val="auto"/>
                      <w:spacing w:val="8"/>
                      <w:szCs w:val="21"/>
                      <w:shd w:val="clear" w:color="auto" w:fill="FFFFFF"/>
                    </w:rPr>
                    <w:t>重庆市铜梁区东城街道祝英南路7号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pPr>
                    <w:adjustRightInd w:val="0"/>
                    <w:snapToGrid w:val="0"/>
                    <w:jc w:val="center"/>
                    <w:rPr>
                      <w:color w:val="auto"/>
                      <w:szCs w:val="21"/>
                    </w:rPr>
                  </w:pPr>
                  <w:r>
                    <w:rPr>
                      <w:color w:val="auto"/>
                      <w:szCs w:val="21"/>
                    </w:rPr>
                    <w:t>地理坐标</w:t>
                  </w:r>
                </w:p>
              </w:tc>
              <w:tc>
                <w:tcPr>
                  <w:tcW w:w="1380" w:type="dxa"/>
                  <w:vAlign w:val="center"/>
                </w:tcPr>
                <w:p>
                  <w:pPr>
                    <w:adjustRightInd w:val="0"/>
                    <w:snapToGrid w:val="0"/>
                    <w:jc w:val="center"/>
                    <w:rPr>
                      <w:color w:val="auto"/>
                      <w:szCs w:val="21"/>
                    </w:rPr>
                  </w:pPr>
                  <w:r>
                    <w:rPr>
                      <w:color w:val="auto"/>
                      <w:szCs w:val="21"/>
                    </w:rPr>
                    <w:t>经度</w:t>
                  </w:r>
                </w:p>
              </w:tc>
              <w:tc>
                <w:tcPr>
                  <w:tcW w:w="2221" w:type="dxa"/>
                  <w:vAlign w:val="center"/>
                </w:tcPr>
                <w:p>
                  <w:pPr>
                    <w:adjustRightInd w:val="0"/>
                    <w:snapToGrid w:val="0"/>
                    <w:jc w:val="center"/>
                    <w:rPr>
                      <w:color w:val="auto"/>
                      <w:szCs w:val="21"/>
                    </w:rPr>
                  </w:pPr>
                  <w:r>
                    <w:rPr>
                      <w:color w:val="auto"/>
                      <w:szCs w:val="21"/>
                    </w:rPr>
                    <w:t>106°</w:t>
                  </w:r>
                  <w:r>
                    <w:rPr>
                      <w:rFonts w:hint="eastAsia"/>
                      <w:color w:val="auto"/>
                      <w:szCs w:val="21"/>
                    </w:rPr>
                    <w:t>7</w:t>
                  </w:r>
                  <w:r>
                    <w:rPr>
                      <w:color w:val="auto"/>
                      <w:szCs w:val="21"/>
                    </w:rPr>
                    <w:t>′</w:t>
                  </w:r>
                  <w:r>
                    <w:rPr>
                      <w:rFonts w:hint="eastAsia"/>
                      <w:color w:val="auto"/>
                      <w:szCs w:val="21"/>
                    </w:rPr>
                    <w:t>10.390</w:t>
                  </w:r>
                  <w:r>
                    <w:rPr>
                      <w:color w:val="auto"/>
                      <w:szCs w:val="21"/>
                    </w:rPr>
                    <w:t>″</w:t>
                  </w:r>
                </w:p>
              </w:tc>
              <w:tc>
                <w:tcPr>
                  <w:tcW w:w="1637" w:type="dxa"/>
                  <w:vAlign w:val="center"/>
                </w:tcPr>
                <w:p>
                  <w:pPr>
                    <w:adjustRightInd w:val="0"/>
                    <w:snapToGrid w:val="0"/>
                    <w:jc w:val="center"/>
                    <w:rPr>
                      <w:color w:val="auto"/>
                      <w:szCs w:val="21"/>
                    </w:rPr>
                  </w:pPr>
                  <w:r>
                    <w:rPr>
                      <w:color w:val="auto"/>
                      <w:szCs w:val="21"/>
                    </w:rPr>
                    <w:t>纬度</w:t>
                  </w:r>
                </w:p>
              </w:tc>
              <w:tc>
                <w:tcPr>
                  <w:tcW w:w="1897" w:type="dxa"/>
                  <w:vAlign w:val="center"/>
                </w:tcPr>
                <w:p>
                  <w:pPr>
                    <w:adjustRightInd w:val="0"/>
                    <w:snapToGrid w:val="0"/>
                    <w:jc w:val="center"/>
                    <w:rPr>
                      <w:color w:val="auto"/>
                      <w:szCs w:val="21"/>
                    </w:rPr>
                  </w:pPr>
                  <w:r>
                    <w:rPr>
                      <w:color w:val="auto"/>
                      <w:szCs w:val="21"/>
                    </w:rPr>
                    <w:t>29°</w:t>
                  </w:r>
                  <w:r>
                    <w:rPr>
                      <w:rFonts w:hint="eastAsia"/>
                      <w:color w:val="auto"/>
                      <w:szCs w:val="21"/>
                    </w:rPr>
                    <w:t>50</w:t>
                  </w:r>
                  <w:r>
                    <w:rPr>
                      <w:color w:val="auto"/>
                      <w:szCs w:val="21"/>
                    </w:rPr>
                    <w:t>′</w:t>
                  </w:r>
                  <w:r>
                    <w:rPr>
                      <w:rFonts w:hint="eastAsia"/>
                      <w:color w:val="auto"/>
                      <w:szCs w:val="21"/>
                    </w:rPr>
                    <w:t>38.905</w:t>
                  </w:r>
                  <w:r>
                    <w:rPr>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pPr>
                    <w:adjustRightInd w:val="0"/>
                    <w:snapToGrid w:val="0"/>
                    <w:jc w:val="center"/>
                    <w:rPr>
                      <w:color w:val="auto"/>
                      <w:szCs w:val="21"/>
                    </w:rPr>
                  </w:pPr>
                  <w:r>
                    <w:rPr>
                      <w:color w:val="auto"/>
                      <w:szCs w:val="21"/>
                    </w:rPr>
                    <w:t>主要风险物质分布</w:t>
                  </w:r>
                </w:p>
              </w:tc>
              <w:tc>
                <w:tcPr>
                  <w:tcW w:w="7135" w:type="dxa"/>
                  <w:gridSpan w:val="4"/>
                  <w:vAlign w:val="center"/>
                </w:tcPr>
                <w:p>
                  <w:pPr>
                    <w:adjustRightInd w:val="0"/>
                    <w:snapToGrid w:val="0"/>
                    <w:rPr>
                      <w:color w:val="auto"/>
                      <w:szCs w:val="21"/>
                    </w:rPr>
                  </w:pPr>
                  <w:r>
                    <w:rPr>
                      <w:color w:val="auto"/>
                      <w:szCs w:val="21"/>
                    </w:rPr>
                    <w:t>本项目</w:t>
                  </w:r>
                  <w:r>
                    <w:rPr>
                      <w:rFonts w:hint="eastAsia"/>
                      <w:color w:val="auto"/>
                      <w:szCs w:val="21"/>
                      <w:lang w:eastAsia="zh-CN"/>
                    </w:rPr>
                    <w:t>扩建完成后</w:t>
                  </w:r>
                  <w:r>
                    <w:rPr>
                      <w:color w:val="auto"/>
                      <w:szCs w:val="21"/>
                    </w:rPr>
                    <w:t>涉及的环境风险物质为</w:t>
                  </w:r>
                  <w:r>
                    <w:rPr>
                      <w:rFonts w:hint="eastAsia"/>
                      <w:color w:val="auto"/>
                      <w:szCs w:val="21"/>
                    </w:rPr>
                    <w:t>机油</w:t>
                  </w:r>
                  <w:r>
                    <w:rPr>
                      <w:rFonts w:hint="eastAsia"/>
                      <w:color w:val="auto"/>
                      <w:szCs w:val="21"/>
                      <w:lang w:eastAsia="zh-CN"/>
                    </w:rPr>
                    <w:t>、液压油、胶粘剂</w:t>
                  </w:r>
                  <w:r>
                    <w:rPr>
                      <w:color w:val="auto"/>
                      <w:szCs w:val="21"/>
                      <w:shd w:val="clear" w:color="auto" w:fill="FFFFFF"/>
                    </w:rPr>
                    <w:t>，储存</w:t>
                  </w:r>
                  <w:r>
                    <w:rPr>
                      <w:rFonts w:hint="eastAsia"/>
                      <w:color w:val="auto"/>
                      <w:szCs w:val="21"/>
                      <w:shd w:val="clear" w:color="auto" w:fill="FFFFFF"/>
                    </w:rPr>
                    <w:t>在油料堆放区</w:t>
                  </w:r>
                  <w:r>
                    <w:rPr>
                      <w:color w:val="auto"/>
                      <w:szCs w:val="21"/>
                      <w:shd w:val="clear" w:color="auto" w:fill="FFFFFF"/>
                    </w:rPr>
                    <w:t>，其中</w:t>
                  </w:r>
                  <w:r>
                    <w:rPr>
                      <w:rFonts w:hint="eastAsia"/>
                      <w:color w:val="auto"/>
                      <w:szCs w:val="21"/>
                    </w:rPr>
                    <w:t>机油</w:t>
                  </w:r>
                  <w:r>
                    <w:rPr>
                      <w:color w:val="auto"/>
                      <w:szCs w:val="21"/>
                      <w:shd w:val="clear" w:color="auto" w:fill="FFFFFF"/>
                    </w:rPr>
                    <w:t>最大储存量为</w:t>
                  </w:r>
                  <w:r>
                    <w:rPr>
                      <w:rFonts w:hint="eastAsia"/>
                      <w:color w:val="auto"/>
                      <w:szCs w:val="21"/>
                      <w:shd w:val="clear" w:color="auto" w:fill="FFFFFF"/>
                    </w:rPr>
                    <w:t>0.03</w:t>
                  </w:r>
                  <w:r>
                    <w:rPr>
                      <w:color w:val="auto"/>
                      <w:szCs w:val="21"/>
                      <w:shd w:val="clear" w:color="auto" w:fill="FFFFFF"/>
                    </w:rPr>
                    <w:t>t</w:t>
                  </w:r>
                  <w:r>
                    <w:rPr>
                      <w:rFonts w:hint="eastAsia"/>
                      <w:color w:val="auto"/>
                      <w:szCs w:val="21"/>
                      <w:shd w:val="clear" w:color="auto" w:fill="FFFFFF"/>
                      <w:lang w:eastAsia="zh-CN"/>
                    </w:rPr>
                    <w:t>、液压油最大储存量为</w:t>
                  </w:r>
                  <w:r>
                    <w:rPr>
                      <w:rFonts w:hint="eastAsia"/>
                      <w:color w:val="auto"/>
                      <w:szCs w:val="21"/>
                      <w:shd w:val="clear" w:color="auto" w:fill="FFFFFF"/>
                      <w:lang w:val="en-US" w:eastAsia="zh-CN"/>
                    </w:rPr>
                    <w:t>0.5t，胶粘剂最大储存量为2t</w:t>
                  </w:r>
                  <w:r>
                    <w:rPr>
                      <w:color w:val="auto"/>
                      <w:szCs w:val="21"/>
                      <w:shd w:val="clear" w:color="auto" w:fill="FFFFFF"/>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pPr>
                    <w:adjustRightInd w:val="0"/>
                    <w:snapToGrid w:val="0"/>
                    <w:jc w:val="center"/>
                    <w:rPr>
                      <w:color w:val="auto"/>
                      <w:szCs w:val="21"/>
                    </w:rPr>
                  </w:pPr>
                  <w:r>
                    <w:rPr>
                      <w:color w:val="auto"/>
                      <w:szCs w:val="21"/>
                    </w:rPr>
                    <w:t>风险防范措施要求</w:t>
                  </w:r>
                </w:p>
              </w:tc>
              <w:tc>
                <w:tcPr>
                  <w:tcW w:w="7135" w:type="dxa"/>
                  <w:gridSpan w:val="4"/>
                  <w:vAlign w:val="center"/>
                </w:tcPr>
                <w:p>
                  <w:pPr>
                    <w:autoSpaceDE w:val="0"/>
                    <w:autoSpaceDN w:val="0"/>
                    <w:adjustRightInd w:val="0"/>
                    <w:snapToGrid w:val="0"/>
                    <w:spacing w:line="24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lang w:eastAsia="zh-CN"/>
                    </w:rPr>
                    <w:t>通过调查，该企业</w:t>
                  </w:r>
                  <w:r>
                    <w:rPr>
                      <w:rFonts w:hint="default" w:ascii="Times New Roman" w:hAnsi="Times New Roman" w:cs="Times New Roman"/>
                      <w:color w:val="auto"/>
                      <w:sz w:val="21"/>
                      <w:szCs w:val="21"/>
                    </w:rPr>
                    <w:t>建立一套严密科学的检修规程、操作规程和规章制度，实施严格的设备管理、工艺管理、安全环保管理、质量管理和现场管理。</w:t>
                  </w:r>
                </w:p>
                <w:p>
                  <w:pPr>
                    <w:autoSpaceDE w:val="0"/>
                    <w:autoSpaceDN w:val="0"/>
                    <w:adjustRightInd w:val="0"/>
                    <w:snapToGrid w:val="0"/>
                    <w:spacing w:line="24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②</w:t>
                  </w:r>
                  <w:r>
                    <w:rPr>
                      <w:rFonts w:hint="default" w:ascii="Times New Roman" w:hAnsi="Times New Roman" w:cs="Times New Roman"/>
                      <w:color w:val="auto"/>
                      <w:sz w:val="21"/>
                      <w:szCs w:val="21"/>
                      <w:lang w:eastAsia="zh-CN"/>
                    </w:rPr>
                    <w:t>通过调查，扩建项目依托的</w:t>
                  </w:r>
                  <w:r>
                    <w:rPr>
                      <w:rFonts w:hint="default" w:ascii="Times New Roman" w:hAnsi="Times New Roman" w:cs="Times New Roman"/>
                      <w:color w:val="auto"/>
                      <w:sz w:val="21"/>
                      <w:szCs w:val="21"/>
                    </w:rPr>
                    <w:t>危废暂存间地面及内墙采取防渗措施，地面作防渗、防漏、防酸碱腐蚀处理</w:t>
                  </w:r>
                  <w:r>
                    <w:rPr>
                      <w:rFonts w:hint="default" w:ascii="Times New Roman" w:hAnsi="Times New Roman" w:cs="Times New Roman"/>
                      <w:color w:val="auto"/>
                      <w:sz w:val="21"/>
                      <w:szCs w:val="21"/>
                      <w:lang w:eastAsia="zh-CN"/>
                    </w:rPr>
                    <w:t>，扩建项目产生的危险废物可依托该危险废物暂存间暂存。</w:t>
                  </w:r>
                </w:p>
                <w:p>
                  <w:pPr>
                    <w:autoSpaceDE w:val="0"/>
                    <w:autoSpaceDN w:val="0"/>
                    <w:adjustRightInd w:val="0"/>
                    <w:snapToGrid w:val="0"/>
                    <w:spacing w:line="24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③</w:t>
                  </w:r>
                  <w:r>
                    <w:rPr>
                      <w:rFonts w:hint="default" w:ascii="Times New Roman" w:hAnsi="Times New Roman" w:cs="Times New Roman"/>
                      <w:color w:val="auto"/>
                      <w:sz w:val="21"/>
                      <w:szCs w:val="21"/>
                      <w:lang w:eastAsia="zh-CN"/>
                    </w:rPr>
                    <w:t>通过调查，该企业</w:t>
                  </w:r>
                  <w:r>
                    <w:rPr>
                      <w:rFonts w:hint="default" w:ascii="Times New Roman" w:hAnsi="Times New Roman" w:cs="Times New Roman"/>
                      <w:color w:val="auto"/>
                      <w:sz w:val="21"/>
                      <w:szCs w:val="21"/>
                    </w:rPr>
                    <w:t>生产车间配备干粉灭火器、消防沙等灭火救援物质，发生火情时及时组织人员灭火救援。</w:t>
                  </w:r>
                </w:p>
                <w:p>
                  <w:pPr>
                    <w:adjustRightInd w:val="0"/>
                    <w:snapToGrid w:val="0"/>
                    <w:spacing w:line="24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w:t>
                  </w:r>
                  <w:r>
                    <w:rPr>
                      <w:rFonts w:hint="default" w:ascii="Times New Roman" w:hAnsi="Times New Roman" w:cs="Times New Roman"/>
                      <w:color w:val="auto"/>
                      <w:sz w:val="21"/>
                      <w:szCs w:val="21"/>
                      <w:lang w:eastAsia="zh-CN"/>
                    </w:rPr>
                    <w:t>扩建项目</w:t>
                  </w:r>
                  <w:r>
                    <w:rPr>
                      <w:rFonts w:hint="default" w:ascii="Times New Roman" w:hAnsi="Times New Roman" w:cs="Times New Roman"/>
                      <w:color w:val="auto"/>
                      <w:sz w:val="21"/>
                      <w:szCs w:val="21"/>
                    </w:rPr>
                    <w:t>胶粘剂堆放区地面及内墙</w:t>
                  </w:r>
                  <w:r>
                    <w:rPr>
                      <w:rFonts w:hint="default" w:ascii="Times New Roman" w:hAnsi="Times New Roman" w:cs="Times New Roman"/>
                      <w:color w:val="auto"/>
                      <w:sz w:val="21"/>
                      <w:szCs w:val="21"/>
                      <w:lang w:eastAsia="zh-CN"/>
                    </w:rPr>
                    <w:t>应</w:t>
                  </w:r>
                  <w:r>
                    <w:rPr>
                      <w:rFonts w:hint="default" w:ascii="Times New Roman" w:hAnsi="Times New Roman" w:cs="Times New Roman"/>
                      <w:color w:val="auto"/>
                      <w:sz w:val="21"/>
                      <w:szCs w:val="21"/>
                    </w:rPr>
                    <w:t>采取防渗措施，地面作防渗、防漏、防酸碱腐蚀处理。胶粘剂堆放区</w:t>
                  </w:r>
                  <w:r>
                    <w:rPr>
                      <w:rFonts w:hint="default" w:ascii="Times New Roman" w:hAnsi="Times New Roman" w:cs="Times New Roman"/>
                      <w:color w:val="auto"/>
                      <w:sz w:val="21"/>
                      <w:szCs w:val="21"/>
                      <w:lang w:eastAsia="zh-CN"/>
                    </w:rPr>
                    <w:t>应</w:t>
                  </w:r>
                  <w:r>
                    <w:rPr>
                      <w:rFonts w:hint="default" w:ascii="Times New Roman" w:hAnsi="Times New Roman" w:cs="Times New Roman"/>
                      <w:color w:val="auto"/>
                      <w:sz w:val="21"/>
                      <w:szCs w:val="21"/>
                    </w:rPr>
                    <w:t>放置一定量吸收毡、吸收棉，</w:t>
                  </w:r>
                  <w:r>
                    <w:rPr>
                      <w:rFonts w:hint="default" w:ascii="Times New Roman" w:hAnsi="Times New Roman" w:cs="Times New Roman"/>
                      <w:color w:val="auto"/>
                      <w:sz w:val="21"/>
                      <w:szCs w:val="21"/>
                      <w:lang w:eastAsia="zh-CN"/>
                    </w:rPr>
                    <w:t>物料</w:t>
                  </w:r>
                  <w:r>
                    <w:rPr>
                      <w:rFonts w:hint="default" w:ascii="Times New Roman" w:hAnsi="Times New Roman" w:cs="Times New Roman"/>
                      <w:color w:val="auto"/>
                      <w:sz w:val="21"/>
                      <w:szCs w:val="21"/>
                    </w:rPr>
                    <w:t>泄漏后采用吸收毡、吸收棉及时吸收泄漏物质，吸附材料达到饱和后转移至危险废物暂存点，采用专用包装物或密闭的容器内（包装桶）暂存，盖好收集容器的盖子，贴上废物标签，按照废物管理制度或污染物排放控制程序处理。</w:t>
                  </w:r>
                </w:p>
                <w:p>
                  <w:pPr>
                    <w:pStyle w:val="2"/>
                    <w:spacing w:line="240" w:lineRule="auto"/>
                    <w:ind w:firstLine="420" w:firstLineChars="200"/>
                    <w:rPr>
                      <w:color w:val="auto"/>
                      <w:szCs w:val="21"/>
                    </w:rPr>
                  </w:pPr>
                  <w:r>
                    <w:rPr>
                      <w:rFonts w:hint="default" w:ascii="Times New Roman" w:hAnsi="Times New Roman" w:cs="Times New Roman"/>
                      <w:color w:val="auto"/>
                      <w:sz w:val="21"/>
                      <w:szCs w:val="21"/>
                    </w:rPr>
                    <w:t>⑤</w:t>
                  </w:r>
                  <w:r>
                    <w:rPr>
                      <w:rFonts w:hint="default" w:ascii="Times New Roman" w:hAnsi="Times New Roman" w:cs="Times New Roman"/>
                      <w:color w:val="auto"/>
                      <w:sz w:val="21"/>
                      <w:szCs w:val="21"/>
                      <w:lang w:eastAsia="zh-CN"/>
                    </w:rPr>
                    <w:t>扩建项目</w:t>
                  </w:r>
                  <w:r>
                    <w:rPr>
                      <w:rFonts w:hint="default" w:ascii="Times New Roman" w:hAnsi="Times New Roman" w:cs="Times New Roman"/>
                      <w:color w:val="auto"/>
                      <w:sz w:val="21"/>
                      <w:szCs w:val="21"/>
                    </w:rPr>
                    <w:t>加强机械设备、管线、阀门等元器件的维护保养，对系统薄弱环节加强检查、维护保养、及时更新。</w:t>
                  </w:r>
                </w:p>
              </w:tc>
            </w:tr>
          </w:tbl>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adjustRightInd w:val="0"/>
              <w:snapToGrid w:val="0"/>
              <w:spacing w:line="360" w:lineRule="auto"/>
              <w:jc w:val="center"/>
              <w:rPr>
                <w:color w:val="auto"/>
                <w:sz w:val="24"/>
              </w:rPr>
            </w:pPr>
          </w:p>
          <w:p>
            <w:pPr>
              <w:pStyle w:val="2"/>
              <w:rPr>
                <w:color w:val="auto"/>
                <w:sz w:val="24"/>
              </w:rPr>
            </w:pPr>
          </w:p>
          <w:p>
            <w:pPr>
              <w:pStyle w:val="3"/>
              <w:rPr>
                <w:color w:val="auto"/>
                <w:sz w:val="24"/>
              </w:rPr>
            </w:pPr>
          </w:p>
          <w:p>
            <w:pPr>
              <w:pStyle w:val="2"/>
              <w:rPr>
                <w:color w:val="auto"/>
              </w:rPr>
            </w:pPr>
          </w:p>
        </w:tc>
      </w:tr>
    </w:tbl>
    <w:p>
      <w:pPr>
        <w:adjustRightInd w:val="0"/>
        <w:snapToGrid w:val="0"/>
        <w:spacing w:line="360" w:lineRule="auto"/>
        <w:rPr>
          <w:rFonts w:ascii="宋体" w:cs="宋体"/>
          <w:b/>
          <w:color w:val="auto"/>
          <w:kern w:val="0"/>
          <w:sz w:val="28"/>
          <w:szCs w:val="28"/>
        </w:rPr>
        <w:sectPr>
          <w:pgSz w:w="11905" w:h="16838"/>
          <w:pgMar w:top="1701" w:right="1531" w:bottom="2126" w:left="1531" w:header="851" w:footer="850" w:gutter="0"/>
          <w:pgBorders>
            <w:top w:val="none" w:sz="0" w:space="0"/>
            <w:left w:val="none" w:sz="0" w:space="0"/>
            <w:bottom w:val="none" w:sz="0" w:space="0"/>
            <w:right w:val="none" w:sz="0" w:space="0"/>
          </w:pgBorders>
          <w:cols w:space="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4" w:name="_Hlk54167917"/>
      <w:r>
        <w:rPr>
          <w:rFonts w:hint="eastAsia" w:ascii="黑体" w:hAnsi="黑体" w:eastAsia="黑体"/>
          <w:snapToGrid w:val="0"/>
          <w:color w:val="auto"/>
          <w:sz w:val="30"/>
          <w:szCs w:val="30"/>
        </w:rPr>
        <w:t>环境保护措施监督检查清单</w:t>
      </w:r>
      <w:bookmarkEnd w:id="4"/>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666"/>
        <w:gridCol w:w="1303"/>
        <w:gridCol w:w="1537"/>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tcBorders>
              <w:tl2br w:val="single" w:color="auto" w:sz="4" w:space="0"/>
            </w:tcBorders>
          </w:tcPr>
          <w:p>
            <w:pPr>
              <w:adjustRightInd w:val="0"/>
              <w:snapToGrid w:val="0"/>
              <w:ind w:firstLine="630" w:firstLineChars="300"/>
              <w:rPr>
                <w:rFonts w:ascii="宋体" w:hAnsi="宋体" w:cs="宋体"/>
                <w:color w:val="auto"/>
                <w:szCs w:val="21"/>
              </w:rPr>
            </w:pPr>
            <w:r>
              <w:rPr>
                <w:rFonts w:hint="eastAsia" w:ascii="宋体" w:hAnsi="宋体" w:cs="宋体"/>
                <w:color w:val="auto"/>
                <w:szCs w:val="21"/>
              </w:rPr>
              <w:t>内容</w:t>
            </w:r>
          </w:p>
          <w:p>
            <w:pPr>
              <w:adjustRightInd w:val="0"/>
              <w:snapToGrid w:val="0"/>
              <w:rPr>
                <w:rFonts w:ascii="宋体" w:hAnsi="宋体" w:cs="宋体"/>
                <w:color w:val="auto"/>
                <w:szCs w:val="21"/>
              </w:rPr>
            </w:pPr>
            <w:r>
              <w:rPr>
                <w:rFonts w:hint="eastAsia" w:ascii="宋体" w:hAnsi="宋体" w:cs="宋体"/>
                <w:color w:val="auto"/>
                <w:szCs w:val="21"/>
              </w:rPr>
              <w:t>要素</w:t>
            </w:r>
          </w:p>
        </w:tc>
        <w:tc>
          <w:tcPr>
            <w:tcW w:w="1666" w:type="dxa"/>
            <w:vAlign w:val="center"/>
          </w:tcPr>
          <w:p>
            <w:pPr>
              <w:adjustRightInd w:val="0"/>
              <w:snapToGrid w:val="0"/>
              <w:jc w:val="center"/>
              <w:rPr>
                <w:color w:val="auto"/>
                <w:szCs w:val="21"/>
              </w:rPr>
            </w:pPr>
            <w:r>
              <w:rPr>
                <w:color w:val="auto"/>
                <w:szCs w:val="21"/>
              </w:rPr>
              <w:t>排放口(编号、</w:t>
            </w:r>
          </w:p>
          <w:p>
            <w:pPr>
              <w:adjustRightInd w:val="0"/>
              <w:snapToGrid w:val="0"/>
              <w:jc w:val="center"/>
              <w:rPr>
                <w:color w:val="auto"/>
                <w:szCs w:val="21"/>
              </w:rPr>
            </w:pPr>
            <w:r>
              <w:rPr>
                <w:color w:val="auto"/>
                <w:szCs w:val="21"/>
              </w:rPr>
              <w:t>名称)/污染源</w:t>
            </w:r>
          </w:p>
        </w:tc>
        <w:tc>
          <w:tcPr>
            <w:tcW w:w="1303" w:type="dxa"/>
            <w:vAlign w:val="center"/>
          </w:tcPr>
          <w:p>
            <w:pPr>
              <w:adjustRightInd w:val="0"/>
              <w:snapToGrid w:val="0"/>
              <w:jc w:val="center"/>
              <w:rPr>
                <w:color w:val="auto"/>
                <w:szCs w:val="21"/>
              </w:rPr>
            </w:pPr>
            <w:r>
              <w:rPr>
                <w:color w:val="auto"/>
                <w:szCs w:val="21"/>
              </w:rPr>
              <w:t>污染物项目</w:t>
            </w:r>
          </w:p>
        </w:tc>
        <w:tc>
          <w:tcPr>
            <w:tcW w:w="1537" w:type="dxa"/>
            <w:vAlign w:val="center"/>
          </w:tcPr>
          <w:p>
            <w:pPr>
              <w:adjustRightInd w:val="0"/>
              <w:snapToGrid w:val="0"/>
              <w:jc w:val="center"/>
              <w:rPr>
                <w:color w:val="auto"/>
                <w:szCs w:val="21"/>
              </w:rPr>
            </w:pPr>
            <w:r>
              <w:rPr>
                <w:color w:val="auto"/>
                <w:szCs w:val="21"/>
              </w:rPr>
              <w:t>环境保护措施</w:t>
            </w:r>
          </w:p>
        </w:tc>
        <w:tc>
          <w:tcPr>
            <w:tcW w:w="2651" w:type="dxa"/>
            <w:vAlign w:val="center"/>
          </w:tcPr>
          <w:p>
            <w:pPr>
              <w:adjustRightInd w:val="0"/>
              <w:snapToGrid w:val="0"/>
              <w:jc w:val="center"/>
              <w:rPr>
                <w:color w:val="auto"/>
                <w:szCs w:val="21"/>
              </w:rPr>
            </w:pPr>
            <w:r>
              <w:rPr>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1643" w:type="dxa"/>
            <w:vMerge w:val="restart"/>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大气环境</w:t>
            </w:r>
          </w:p>
        </w:tc>
        <w:tc>
          <w:tcPr>
            <w:tcW w:w="1666" w:type="dxa"/>
            <w:vAlign w:val="center"/>
          </w:tcPr>
          <w:p>
            <w:pPr>
              <w:adjustRightInd w:val="0"/>
              <w:snapToGrid w:val="0"/>
              <w:jc w:val="center"/>
              <w:rPr>
                <w:color w:val="auto"/>
                <w:szCs w:val="21"/>
              </w:rPr>
            </w:pPr>
            <w:r>
              <w:rPr>
                <w:rFonts w:hint="eastAsia"/>
                <w:color w:val="auto"/>
                <w:szCs w:val="21"/>
              </w:rPr>
              <w:t>3</w:t>
            </w:r>
            <w:r>
              <w:rPr>
                <w:color w:val="auto"/>
                <w:szCs w:val="21"/>
              </w:rPr>
              <w:t>#排气筒</w:t>
            </w:r>
          </w:p>
          <w:p>
            <w:pPr>
              <w:adjustRightInd w:val="0"/>
              <w:snapToGrid w:val="0"/>
              <w:jc w:val="center"/>
              <w:rPr>
                <w:color w:val="auto"/>
                <w:szCs w:val="21"/>
              </w:rPr>
            </w:pPr>
            <w:r>
              <w:rPr>
                <w:rFonts w:hint="eastAsia"/>
                <w:color w:val="auto"/>
                <w:szCs w:val="21"/>
              </w:rPr>
              <w:t>（涂胶、烘干）</w:t>
            </w:r>
          </w:p>
        </w:tc>
        <w:tc>
          <w:tcPr>
            <w:tcW w:w="1303" w:type="dxa"/>
            <w:vAlign w:val="center"/>
          </w:tcPr>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非甲烷总烃</w:t>
            </w:r>
          </w:p>
          <w:p>
            <w:pPr>
              <w:pStyle w:val="2"/>
              <w:spacing w:line="240" w:lineRule="auto"/>
              <w:jc w:val="center"/>
              <w:rPr>
                <w:rFonts w:ascii="Times New Roman" w:cs="Times New Roman"/>
                <w:color w:val="auto"/>
                <w:sz w:val="21"/>
                <w:szCs w:val="21"/>
                <w:vertAlign w:val="subscript"/>
              </w:rPr>
            </w:pPr>
            <w:r>
              <w:rPr>
                <w:rFonts w:hint="eastAsia" w:ascii="Times New Roman" w:cs="Times New Roman"/>
                <w:color w:val="auto"/>
                <w:sz w:val="21"/>
                <w:szCs w:val="21"/>
              </w:rPr>
              <w:t>SO</w:t>
            </w:r>
            <w:r>
              <w:rPr>
                <w:rFonts w:hint="eastAsia" w:ascii="Times New Roman" w:cs="Times New Roman"/>
                <w:color w:val="auto"/>
                <w:sz w:val="21"/>
                <w:szCs w:val="21"/>
                <w:vertAlign w:val="subscript"/>
              </w:rPr>
              <w:t>2</w:t>
            </w:r>
          </w:p>
          <w:p>
            <w:pPr>
              <w:pStyle w:val="2"/>
              <w:spacing w:line="240" w:lineRule="auto"/>
              <w:jc w:val="center"/>
              <w:rPr>
                <w:rFonts w:ascii="Times New Roman" w:cs="Times New Roman"/>
                <w:color w:val="auto"/>
                <w:sz w:val="21"/>
                <w:szCs w:val="21"/>
              </w:rPr>
            </w:pPr>
            <w:r>
              <w:rPr>
                <w:rFonts w:hint="eastAsia" w:ascii="Times New Roman" w:cs="Times New Roman"/>
                <w:color w:val="auto"/>
                <w:sz w:val="21"/>
                <w:szCs w:val="21"/>
              </w:rPr>
              <w:t>NO</w:t>
            </w:r>
            <w:r>
              <w:rPr>
                <w:rFonts w:hint="eastAsia" w:ascii="Times New Roman" w:cs="Times New Roman"/>
                <w:color w:val="auto"/>
                <w:sz w:val="21"/>
                <w:szCs w:val="21"/>
                <w:vertAlign w:val="subscript"/>
              </w:rPr>
              <w:t>X</w:t>
            </w:r>
          </w:p>
          <w:p>
            <w:pPr>
              <w:adjustRightInd w:val="0"/>
              <w:snapToGrid w:val="0"/>
              <w:jc w:val="center"/>
              <w:rPr>
                <w:color w:val="auto"/>
                <w:szCs w:val="21"/>
              </w:rPr>
            </w:pPr>
            <w:r>
              <w:rPr>
                <w:rFonts w:hint="eastAsia"/>
                <w:color w:val="auto"/>
                <w:szCs w:val="21"/>
              </w:rPr>
              <w:t>颗粒物</w:t>
            </w:r>
          </w:p>
        </w:tc>
        <w:tc>
          <w:tcPr>
            <w:tcW w:w="1537" w:type="dxa"/>
            <w:vAlign w:val="center"/>
          </w:tcPr>
          <w:p>
            <w:pPr>
              <w:adjustRightInd w:val="0"/>
              <w:snapToGrid w:val="0"/>
              <w:rPr>
                <w:color w:val="auto"/>
                <w:szCs w:val="21"/>
              </w:rPr>
            </w:pPr>
            <w:r>
              <w:rPr>
                <w:rFonts w:hint="eastAsia"/>
                <w:color w:val="auto"/>
                <w:szCs w:val="21"/>
                <w:lang w:eastAsia="zh-CN"/>
              </w:rPr>
              <w:t>涂胶工位设置</w:t>
            </w:r>
            <w:r>
              <w:rPr>
                <w:rFonts w:hint="eastAsia"/>
                <w:color w:val="auto"/>
                <w:szCs w:val="21"/>
                <w:lang w:val="en-US" w:eastAsia="zh-CN"/>
              </w:rPr>
              <w:t>1个集气罩、烘干隧道炉进口、出口个设置1个集气罩，废气经收集后采用“UV光解+</w:t>
            </w:r>
            <w:r>
              <w:rPr>
                <w:rFonts w:hint="eastAsia"/>
                <w:color w:val="auto"/>
                <w:szCs w:val="21"/>
              </w:rPr>
              <w:t>二级</w:t>
            </w:r>
            <w:r>
              <w:rPr>
                <w:color w:val="auto"/>
                <w:szCs w:val="21"/>
              </w:rPr>
              <w:t>活性炭</w:t>
            </w:r>
            <w:r>
              <w:rPr>
                <w:rFonts w:hint="eastAsia"/>
                <w:color w:val="auto"/>
                <w:szCs w:val="21"/>
              </w:rPr>
              <w:t>吸附</w:t>
            </w:r>
            <w:r>
              <w:rPr>
                <w:rFonts w:hint="eastAsia"/>
                <w:color w:val="auto"/>
                <w:szCs w:val="21"/>
                <w:lang w:val="en-US" w:eastAsia="zh-CN"/>
              </w:rPr>
              <w:t>”</w:t>
            </w:r>
            <w:r>
              <w:rPr>
                <w:rFonts w:hint="eastAsia"/>
                <w:bCs/>
                <w:color w:val="auto"/>
                <w:szCs w:val="21"/>
              </w:rPr>
              <w:t>处理</w:t>
            </w:r>
            <w:r>
              <w:rPr>
                <w:color w:val="auto"/>
                <w:szCs w:val="21"/>
              </w:rPr>
              <w:t>后引至15m高空排放</w:t>
            </w:r>
          </w:p>
        </w:tc>
        <w:tc>
          <w:tcPr>
            <w:tcW w:w="2651" w:type="dxa"/>
            <w:vAlign w:val="center"/>
          </w:tcPr>
          <w:p>
            <w:pPr>
              <w:adjustRightInd w:val="0"/>
              <w:snapToGrid w:val="0"/>
              <w:rPr>
                <w:snapToGrid w:val="0"/>
                <w:color w:val="auto"/>
                <w:kern w:val="0"/>
                <w:szCs w:val="21"/>
              </w:rPr>
            </w:pPr>
            <w:r>
              <w:rPr>
                <w:color w:val="auto"/>
                <w:szCs w:val="21"/>
              </w:rPr>
              <w:t>DB50/418－2016</w:t>
            </w:r>
            <w:r>
              <w:rPr>
                <w:rFonts w:hint="eastAsia"/>
                <w:color w:val="auto"/>
                <w:szCs w:val="21"/>
              </w:rPr>
              <w:t>：</w:t>
            </w:r>
            <w:r>
              <w:rPr>
                <w:color w:val="auto"/>
                <w:szCs w:val="21"/>
              </w:rPr>
              <w:t>非甲烷总烃排放浓度≤</w:t>
            </w:r>
            <w:r>
              <w:rPr>
                <w:rFonts w:hint="eastAsia"/>
                <w:color w:val="auto"/>
                <w:szCs w:val="21"/>
              </w:rPr>
              <w:t>12</w:t>
            </w:r>
            <w:r>
              <w:rPr>
                <w:color w:val="auto"/>
                <w:szCs w:val="21"/>
              </w:rPr>
              <w:t>0mg/m</w:t>
            </w:r>
            <w:r>
              <w:rPr>
                <w:color w:val="auto"/>
                <w:szCs w:val="21"/>
                <w:vertAlign w:val="superscript"/>
              </w:rPr>
              <w:t>3</w:t>
            </w:r>
            <w:r>
              <w:rPr>
                <w:color w:val="auto"/>
                <w:szCs w:val="21"/>
              </w:rPr>
              <w:t>；</w:t>
            </w:r>
            <w:r>
              <w:rPr>
                <w:rFonts w:hint="eastAsia"/>
                <w:color w:val="auto"/>
                <w:szCs w:val="21"/>
              </w:rPr>
              <w:t>排放速率</w:t>
            </w:r>
            <w:r>
              <w:rPr>
                <w:color w:val="auto"/>
                <w:szCs w:val="21"/>
              </w:rPr>
              <w:t>≤1</w:t>
            </w:r>
            <w:r>
              <w:rPr>
                <w:rFonts w:hint="eastAsia"/>
                <w:color w:val="auto"/>
                <w:szCs w:val="21"/>
              </w:rPr>
              <w:t>0</w:t>
            </w:r>
            <w:r>
              <w:rPr>
                <w:color w:val="auto"/>
                <w:szCs w:val="21"/>
              </w:rPr>
              <w:t>kg/h</w:t>
            </w:r>
            <w:r>
              <w:rPr>
                <w:rFonts w:hint="eastAsia"/>
                <w:color w:val="auto"/>
                <w:szCs w:val="21"/>
              </w:rPr>
              <w:t>；颗粒物</w:t>
            </w:r>
            <w:r>
              <w:rPr>
                <w:color w:val="auto"/>
                <w:szCs w:val="21"/>
              </w:rPr>
              <w:t>≤</w:t>
            </w:r>
            <w:r>
              <w:rPr>
                <w:rFonts w:hint="eastAsia"/>
                <w:color w:val="auto"/>
                <w:szCs w:val="21"/>
              </w:rPr>
              <w:t>12</w:t>
            </w:r>
            <w:r>
              <w:rPr>
                <w:color w:val="auto"/>
                <w:szCs w:val="21"/>
              </w:rPr>
              <w:t>0mg/m</w:t>
            </w:r>
            <w:r>
              <w:rPr>
                <w:color w:val="auto"/>
                <w:szCs w:val="21"/>
                <w:vertAlign w:val="superscript"/>
              </w:rPr>
              <w:t>3</w:t>
            </w:r>
            <w:r>
              <w:rPr>
                <w:color w:val="auto"/>
                <w:szCs w:val="21"/>
              </w:rPr>
              <w:t>；</w:t>
            </w:r>
            <w:r>
              <w:rPr>
                <w:rFonts w:hint="eastAsia"/>
                <w:color w:val="auto"/>
                <w:szCs w:val="21"/>
              </w:rPr>
              <w:t>排放速率</w:t>
            </w:r>
            <w:r>
              <w:rPr>
                <w:color w:val="auto"/>
                <w:szCs w:val="21"/>
              </w:rPr>
              <w:t>≤</w:t>
            </w:r>
            <w:r>
              <w:rPr>
                <w:rFonts w:hint="eastAsia"/>
                <w:color w:val="auto"/>
                <w:szCs w:val="21"/>
              </w:rPr>
              <w:t>0.8</w:t>
            </w:r>
            <w:r>
              <w:rPr>
                <w:color w:val="auto"/>
                <w:szCs w:val="21"/>
              </w:rPr>
              <w:t>kg/h</w:t>
            </w:r>
            <w:r>
              <w:rPr>
                <w:rFonts w:hint="eastAsia"/>
                <w:color w:val="auto"/>
                <w:szCs w:val="21"/>
              </w:rPr>
              <w:t>；SO</w:t>
            </w:r>
            <w:r>
              <w:rPr>
                <w:rFonts w:hint="eastAsia"/>
                <w:color w:val="auto"/>
                <w:szCs w:val="21"/>
                <w:vertAlign w:val="subscript"/>
              </w:rPr>
              <w:t>2</w:t>
            </w:r>
            <w:r>
              <w:rPr>
                <w:color w:val="auto"/>
                <w:szCs w:val="21"/>
              </w:rPr>
              <w:t>≤</w:t>
            </w:r>
            <w:r>
              <w:rPr>
                <w:rFonts w:hint="eastAsia"/>
                <w:color w:val="auto"/>
                <w:szCs w:val="21"/>
              </w:rPr>
              <w:t>55</w:t>
            </w:r>
            <w:r>
              <w:rPr>
                <w:color w:val="auto"/>
                <w:szCs w:val="21"/>
              </w:rPr>
              <w:t>0mg/m</w:t>
            </w:r>
            <w:r>
              <w:rPr>
                <w:color w:val="auto"/>
                <w:szCs w:val="21"/>
                <w:vertAlign w:val="superscript"/>
              </w:rPr>
              <w:t>3</w:t>
            </w:r>
            <w:r>
              <w:rPr>
                <w:color w:val="auto"/>
                <w:szCs w:val="21"/>
              </w:rPr>
              <w:t>；</w:t>
            </w:r>
            <w:r>
              <w:rPr>
                <w:rFonts w:hint="eastAsia"/>
                <w:color w:val="auto"/>
                <w:szCs w:val="21"/>
              </w:rPr>
              <w:t>排放速率</w:t>
            </w:r>
            <w:r>
              <w:rPr>
                <w:color w:val="auto"/>
                <w:szCs w:val="21"/>
              </w:rPr>
              <w:t>≤</w:t>
            </w:r>
            <w:r>
              <w:rPr>
                <w:rFonts w:hint="eastAsia"/>
                <w:color w:val="auto"/>
                <w:szCs w:val="21"/>
              </w:rPr>
              <w:t>0.7</w:t>
            </w:r>
            <w:r>
              <w:rPr>
                <w:color w:val="auto"/>
                <w:szCs w:val="21"/>
              </w:rPr>
              <w:t>kg/h</w:t>
            </w:r>
            <w:r>
              <w:rPr>
                <w:rFonts w:hint="eastAsia"/>
                <w:color w:val="auto"/>
                <w:szCs w:val="21"/>
              </w:rPr>
              <w:t>;NO</w:t>
            </w:r>
            <w:r>
              <w:rPr>
                <w:rFonts w:hint="eastAsia"/>
                <w:color w:val="auto"/>
                <w:szCs w:val="21"/>
                <w:vertAlign w:val="subscript"/>
              </w:rPr>
              <w:t>X</w:t>
            </w:r>
            <w:r>
              <w:rPr>
                <w:color w:val="auto"/>
                <w:szCs w:val="21"/>
              </w:rPr>
              <w:t>≤</w:t>
            </w:r>
            <w:r>
              <w:rPr>
                <w:rFonts w:hint="eastAsia"/>
                <w:color w:val="auto"/>
                <w:szCs w:val="21"/>
              </w:rPr>
              <w:t>24</w:t>
            </w:r>
            <w:r>
              <w:rPr>
                <w:color w:val="auto"/>
                <w:szCs w:val="21"/>
              </w:rPr>
              <w:t>0mg/m</w:t>
            </w:r>
            <w:r>
              <w:rPr>
                <w:color w:val="auto"/>
                <w:szCs w:val="21"/>
                <w:vertAlign w:val="superscript"/>
              </w:rPr>
              <w:t>3</w:t>
            </w:r>
            <w:r>
              <w:rPr>
                <w:color w:val="auto"/>
                <w:szCs w:val="21"/>
              </w:rPr>
              <w:t>；</w:t>
            </w:r>
            <w:r>
              <w:rPr>
                <w:rFonts w:hint="eastAsia"/>
                <w:color w:val="auto"/>
                <w:szCs w:val="21"/>
              </w:rPr>
              <w:t>排放速率</w:t>
            </w:r>
            <w:r>
              <w:rPr>
                <w:color w:val="auto"/>
                <w:szCs w:val="21"/>
              </w:rPr>
              <w:t>≤</w:t>
            </w:r>
            <w:r>
              <w:rPr>
                <w:rFonts w:hint="eastAsia"/>
                <w:color w:val="auto"/>
                <w:szCs w:val="21"/>
              </w:rPr>
              <w:t>0.3</w:t>
            </w:r>
            <w:r>
              <w:rPr>
                <w:color w:val="auto"/>
                <w:szCs w:val="21"/>
              </w:rPr>
              <w:t>kg/h</w:t>
            </w: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643" w:type="dxa"/>
            <w:vMerge w:val="continue"/>
            <w:vAlign w:val="center"/>
          </w:tcPr>
          <w:p>
            <w:pPr>
              <w:adjustRightInd w:val="0"/>
              <w:snapToGrid w:val="0"/>
              <w:jc w:val="center"/>
              <w:rPr>
                <w:rFonts w:ascii="宋体" w:hAnsi="宋体" w:cs="宋体"/>
                <w:color w:val="auto"/>
                <w:szCs w:val="21"/>
              </w:rPr>
            </w:pPr>
          </w:p>
        </w:tc>
        <w:tc>
          <w:tcPr>
            <w:tcW w:w="1666" w:type="dxa"/>
            <w:vAlign w:val="center"/>
          </w:tcPr>
          <w:p>
            <w:pPr>
              <w:adjustRightInd w:val="0"/>
              <w:snapToGrid w:val="0"/>
              <w:jc w:val="center"/>
              <w:rPr>
                <w:color w:val="auto"/>
                <w:szCs w:val="21"/>
              </w:rPr>
            </w:pPr>
            <w:r>
              <w:rPr>
                <w:rFonts w:hint="eastAsia"/>
                <w:color w:val="auto"/>
                <w:szCs w:val="21"/>
              </w:rPr>
              <w:t>4</w:t>
            </w:r>
            <w:r>
              <w:rPr>
                <w:color w:val="auto"/>
                <w:szCs w:val="21"/>
              </w:rPr>
              <w:t>#排气筒</w:t>
            </w:r>
          </w:p>
          <w:p>
            <w:pPr>
              <w:adjustRightInd w:val="0"/>
              <w:snapToGrid w:val="0"/>
              <w:jc w:val="center"/>
              <w:rPr>
                <w:color w:val="auto"/>
                <w:szCs w:val="21"/>
              </w:rPr>
            </w:pPr>
            <w:r>
              <w:rPr>
                <w:rFonts w:hint="eastAsia"/>
                <w:color w:val="auto"/>
                <w:szCs w:val="21"/>
              </w:rPr>
              <w:t>（淋膜、冷却）</w:t>
            </w:r>
          </w:p>
        </w:tc>
        <w:tc>
          <w:tcPr>
            <w:tcW w:w="1303" w:type="dxa"/>
            <w:vAlign w:val="center"/>
          </w:tcPr>
          <w:p>
            <w:pPr>
              <w:pStyle w:val="2"/>
              <w:spacing w:line="240" w:lineRule="auto"/>
              <w:jc w:val="center"/>
              <w:rPr>
                <w:color w:val="auto"/>
                <w:szCs w:val="21"/>
              </w:rPr>
            </w:pPr>
            <w:r>
              <w:rPr>
                <w:rFonts w:hint="eastAsia" w:ascii="Times New Roman" w:cs="Times New Roman"/>
                <w:color w:val="auto"/>
                <w:sz w:val="21"/>
                <w:szCs w:val="21"/>
              </w:rPr>
              <w:t>非甲烷总烃</w:t>
            </w:r>
          </w:p>
        </w:tc>
        <w:tc>
          <w:tcPr>
            <w:tcW w:w="1537" w:type="dxa"/>
            <w:vAlign w:val="center"/>
          </w:tcPr>
          <w:p>
            <w:pPr>
              <w:adjustRightInd w:val="0"/>
              <w:snapToGrid w:val="0"/>
              <w:rPr>
                <w:color w:val="auto"/>
                <w:szCs w:val="21"/>
              </w:rPr>
            </w:pPr>
            <w:r>
              <w:rPr>
                <w:rFonts w:hint="eastAsia"/>
                <w:color w:val="auto"/>
                <w:szCs w:val="21"/>
                <w:lang w:eastAsia="zh-CN"/>
              </w:rPr>
              <w:t>淋膜工位设置</w:t>
            </w:r>
            <w:r>
              <w:rPr>
                <w:rFonts w:hint="eastAsia"/>
                <w:color w:val="auto"/>
                <w:szCs w:val="21"/>
                <w:lang w:val="en-US" w:eastAsia="zh-CN"/>
              </w:rPr>
              <w:t>1个集气罩，冷却工位设置1个集气罩，废气经收集后采用“UV光解+</w:t>
            </w:r>
            <w:r>
              <w:rPr>
                <w:rFonts w:hint="eastAsia"/>
                <w:color w:val="auto"/>
                <w:szCs w:val="21"/>
              </w:rPr>
              <w:t>二级</w:t>
            </w:r>
            <w:r>
              <w:rPr>
                <w:color w:val="auto"/>
                <w:szCs w:val="21"/>
              </w:rPr>
              <w:t>活性炭</w:t>
            </w:r>
            <w:r>
              <w:rPr>
                <w:rFonts w:hint="eastAsia"/>
                <w:color w:val="auto"/>
                <w:szCs w:val="21"/>
              </w:rPr>
              <w:t>吸附</w:t>
            </w:r>
            <w:r>
              <w:rPr>
                <w:rFonts w:hint="eastAsia"/>
                <w:color w:val="auto"/>
                <w:szCs w:val="21"/>
                <w:lang w:val="en-US" w:eastAsia="zh-CN"/>
              </w:rPr>
              <w:t>”</w:t>
            </w:r>
            <w:r>
              <w:rPr>
                <w:rFonts w:hint="eastAsia"/>
                <w:bCs/>
                <w:color w:val="auto"/>
                <w:szCs w:val="21"/>
              </w:rPr>
              <w:t>理</w:t>
            </w:r>
            <w:r>
              <w:rPr>
                <w:color w:val="auto"/>
                <w:szCs w:val="21"/>
              </w:rPr>
              <w:t>后引至15m高空排放</w:t>
            </w:r>
          </w:p>
        </w:tc>
        <w:tc>
          <w:tcPr>
            <w:tcW w:w="2651" w:type="dxa"/>
            <w:vAlign w:val="center"/>
          </w:tcPr>
          <w:p>
            <w:pPr>
              <w:adjustRightInd w:val="0"/>
              <w:snapToGrid w:val="0"/>
              <w:rPr>
                <w:color w:val="auto"/>
                <w:szCs w:val="21"/>
              </w:rPr>
            </w:pPr>
            <w:r>
              <w:rPr>
                <w:rFonts w:hint="eastAsia"/>
                <w:color w:val="auto"/>
                <w:szCs w:val="21"/>
              </w:rPr>
              <w:t>G</w:t>
            </w:r>
            <w:r>
              <w:rPr>
                <w:color w:val="auto"/>
                <w:szCs w:val="21"/>
              </w:rPr>
              <w:t>B</w:t>
            </w:r>
            <w:r>
              <w:rPr>
                <w:rFonts w:hint="eastAsia"/>
                <w:color w:val="auto"/>
                <w:szCs w:val="21"/>
              </w:rPr>
              <w:t>31572</w:t>
            </w:r>
            <w:r>
              <w:rPr>
                <w:color w:val="auto"/>
                <w:szCs w:val="21"/>
              </w:rPr>
              <w:t>－201</w:t>
            </w:r>
            <w:r>
              <w:rPr>
                <w:rFonts w:hint="eastAsia"/>
                <w:color w:val="auto"/>
                <w:szCs w:val="21"/>
              </w:rPr>
              <w:t>5：</w:t>
            </w:r>
            <w:r>
              <w:rPr>
                <w:color w:val="auto"/>
                <w:szCs w:val="21"/>
              </w:rPr>
              <w:t>非甲烷总烃排放浓度≤</w:t>
            </w:r>
            <w:r>
              <w:rPr>
                <w:rFonts w:hint="eastAsia"/>
                <w:color w:val="auto"/>
                <w:szCs w:val="21"/>
              </w:rPr>
              <w:t>6</w:t>
            </w:r>
            <w:r>
              <w:rPr>
                <w:color w:val="auto"/>
                <w:szCs w:val="21"/>
              </w:rPr>
              <w:t>0mg/m</w:t>
            </w:r>
            <w:r>
              <w:rPr>
                <w:color w:val="auto"/>
                <w:szCs w:val="21"/>
                <w:vertAlign w:val="superscript"/>
              </w:rPr>
              <w:t>3</w:t>
            </w:r>
            <w:r>
              <w:rPr>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643" w:type="dxa"/>
            <w:vMerge w:val="continue"/>
            <w:vAlign w:val="center"/>
          </w:tcPr>
          <w:p>
            <w:pPr>
              <w:adjustRightInd w:val="0"/>
              <w:snapToGrid w:val="0"/>
              <w:jc w:val="center"/>
              <w:rPr>
                <w:rFonts w:ascii="宋体" w:hAnsi="宋体" w:cs="宋体"/>
                <w:color w:val="auto"/>
                <w:szCs w:val="21"/>
              </w:rPr>
            </w:pPr>
          </w:p>
        </w:tc>
        <w:tc>
          <w:tcPr>
            <w:tcW w:w="1666" w:type="dxa"/>
            <w:vAlign w:val="center"/>
          </w:tcPr>
          <w:p>
            <w:pPr>
              <w:adjustRightInd w:val="0"/>
              <w:snapToGrid w:val="0"/>
              <w:jc w:val="center"/>
              <w:rPr>
                <w:color w:val="auto"/>
                <w:szCs w:val="21"/>
              </w:rPr>
            </w:pPr>
            <w:r>
              <w:rPr>
                <w:rFonts w:hint="eastAsia"/>
                <w:color w:val="auto"/>
                <w:szCs w:val="21"/>
              </w:rPr>
              <w:t>厂界</w:t>
            </w:r>
          </w:p>
        </w:tc>
        <w:tc>
          <w:tcPr>
            <w:tcW w:w="1303" w:type="dxa"/>
            <w:vAlign w:val="center"/>
          </w:tcPr>
          <w:p>
            <w:pPr>
              <w:pStyle w:val="2"/>
              <w:snapToGrid w:val="0"/>
              <w:spacing w:line="240" w:lineRule="auto"/>
              <w:jc w:val="center"/>
              <w:rPr>
                <w:color w:val="auto"/>
                <w:szCs w:val="21"/>
              </w:rPr>
            </w:pPr>
            <w:r>
              <w:rPr>
                <w:rFonts w:hint="eastAsia" w:ascii="Times New Roman" w:cs="Times New Roman"/>
                <w:color w:val="auto"/>
                <w:sz w:val="21"/>
                <w:szCs w:val="21"/>
              </w:rPr>
              <w:t>非甲烷总烃</w:t>
            </w:r>
          </w:p>
        </w:tc>
        <w:tc>
          <w:tcPr>
            <w:tcW w:w="1537" w:type="dxa"/>
            <w:vAlign w:val="center"/>
          </w:tcPr>
          <w:p>
            <w:pPr>
              <w:adjustRightInd w:val="0"/>
              <w:snapToGrid w:val="0"/>
              <w:jc w:val="center"/>
              <w:rPr>
                <w:color w:val="auto"/>
                <w:szCs w:val="21"/>
              </w:rPr>
            </w:pPr>
            <w:r>
              <w:rPr>
                <w:rFonts w:hint="eastAsia"/>
                <w:color w:val="auto"/>
                <w:szCs w:val="21"/>
              </w:rPr>
              <w:t>同时加强车间通风</w:t>
            </w:r>
          </w:p>
        </w:tc>
        <w:tc>
          <w:tcPr>
            <w:tcW w:w="2651" w:type="dxa"/>
            <w:vAlign w:val="center"/>
          </w:tcPr>
          <w:p>
            <w:pPr>
              <w:adjustRightInd w:val="0"/>
              <w:snapToGrid w:val="0"/>
              <w:rPr>
                <w:color w:val="auto"/>
                <w:szCs w:val="21"/>
              </w:rPr>
            </w:pPr>
            <w:r>
              <w:rPr>
                <w:snapToGrid w:val="0"/>
                <w:color w:val="auto"/>
                <w:szCs w:val="21"/>
              </w:rPr>
              <w:t>DB50/</w:t>
            </w:r>
            <w:r>
              <w:rPr>
                <w:rFonts w:hint="eastAsia"/>
                <w:snapToGrid w:val="0"/>
                <w:color w:val="auto"/>
                <w:szCs w:val="21"/>
              </w:rPr>
              <w:t>660</w:t>
            </w:r>
            <w:r>
              <w:rPr>
                <w:snapToGrid w:val="0"/>
                <w:color w:val="auto"/>
                <w:szCs w:val="21"/>
              </w:rPr>
              <w:t>－2016</w:t>
            </w:r>
            <w:r>
              <w:rPr>
                <w:rFonts w:hint="eastAsia"/>
                <w:snapToGrid w:val="0"/>
                <w:color w:val="auto"/>
                <w:szCs w:val="21"/>
              </w:rPr>
              <w:t>：非甲烷总烃无组织监控点浓度</w:t>
            </w:r>
            <w:r>
              <w:rPr>
                <w:color w:val="auto"/>
                <w:szCs w:val="21"/>
              </w:rPr>
              <w:t>≤</w:t>
            </w:r>
            <w:r>
              <w:rPr>
                <w:rFonts w:hint="eastAsia"/>
                <w:color w:val="auto"/>
                <w:szCs w:val="21"/>
              </w:rPr>
              <w:t>4.0</w:t>
            </w:r>
            <w:r>
              <w:rPr>
                <w:color w:val="auto"/>
                <w:szCs w:val="21"/>
              </w:rPr>
              <w:t>mg/m</w:t>
            </w:r>
            <w:r>
              <w:rPr>
                <w:color w:val="auto"/>
                <w:szCs w:val="21"/>
                <w:vertAlign w:val="superscript"/>
              </w:rPr>
              <w:t>3</w:t>
            </w: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643"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地表水环境</w:t>
            </w:r>
          </w:p>
        </w:tc>
        <w:tc>
          <w:tcPr>
            <w:tcW w:w="1666" w:type="dxa"/>
            <w:vAlign w:val="center"/>
          </w:tcPr>
          <w:p>
            <w:pPr>
              <w:adjustRightInd w:val="0"/>
              <w:snapToGrid w:val="0"/>
              <w:jc w:val="center"/>
              <w:rPr>
                <w:color w:val="auto"/>
                <w:szCs w:val="21"/>
              </w:rPr>
            </w:pPr>
            <w:r>
              <w:rPr>
                <w:rFonts w:hint="eastAsia"/>
                <w:color w:val="auto"/>
                <w:szCs w:val="21"/>
              </w:rPr>
              <w:t>厂区污水总排口</w:t>
            </w:r>
          </w:p>
        </w:tc>
        <w:tc>
          <w:tcPr>
            <w:tcW w:w="1303" w:type="dxa"/>
            <w:vAlign w:val="center"/>
          </w:tcPr>
          <w:p>
            <w:pPr>
              <w:adjustRightInd w:val="0"/>
              <w:snapToGrid w:val="0"/>
              <w:jc w:val="center"/>
              <w:rPr>
                <w:color w:val="auto"/>
              </w:rPr>
            </w:pPr>
            <w:r>
              <w:rPr>
                <w:color w:val="auto"/>
              </w:rPr>
              <w:t>pH</w:t>
            </w:r>
          </w:p>
          <w:p>
            <w:pPr>
              <w:adjustRightInd w:val="0"/>
              <w:snapToGrid w:val="0"/>
              <w:jc w:val="center"/>
              <w:rPr>
                <w:color w:val="auto"/>
              </w:rPr>
            </w:pPr>
            <w:r>
              <w:rPr>
                <w:color w:val="auto"/>
              </w:rPr>
              <w:t>COD</w:t>
            </w:r>
          </w:p>
          <w:p>
            <w:pPr>
              <w:adjustRightInd w:val="0"/>
              <w:snapToGrid w:val="0"/>
              <w:jc w:val="center"/>
              <w:rPr>
                <w:color w:val="auto"/>
              </w:rPr>
            </w:pPr>
            <w:r>
              <w:rPr>
                <w:color w:val="auto"/>
              </w:rPr>
              <w:t>BOD</w:t>
            </w:r>
            <w:r>
              <w:rPr>
                <w:color w:val="auto"/>
                <w:vertAlign w:val="subscript"/>
              </w:rPr>
              <w:t>5</w:t>
            </w:r>
          </w:p>
          <w:p>
            <w:pPr>
              <w:adjustRightInd w:val="0"/>
              <w:snapToGrid w:val="0"/>
              <w:jc w:val="center"/>
              <w:rPr>
                <w:color w:val="auto"/>
              </w:rPr>
            </w:pPr>
            <w:r>
              <w:rPr>
                <w:color w:val="auto"/>
              </w:rPr>
              <w:t>SS</w:t>
            </w:r>
          </w:p>
          <w:p>
            <w:pPr>
              <w:adjustRightInd w:val="0"/>
              <w:snapToGrid w:val="0"/>
              <w:jc w:val="center"/>
              <w:rPr>
                <w:color w:val="auto"/>
              </w:rPr>
            </w:pPr>
            <w:r>
              <w:rPr>
                <w:color w:val="auto"/>
              </w:rPr>
              <w:t>氨氮</w:t>
            </w:r>
          </w:p>
          <w:p>
            <w:pPr>
              <w:pStyle w:val="15"/>
              <w:adjustRightInd w:val="0"/>
              <w:snapToGrid w:val="0"/>
              <w:spacing w:after="0" w:line="240" w:lineRule="auto"/>
              <w:ind w:left="0" w:leftChars="0"/>
              <w:jc w:val="center"/>
              <w:rPr>
                <w:color w:val="auto"/>
              </w:rPr>
            </w:pPr>
            <w:r>
              <w:rPr>
                <w:rFonts w:hint="eastAsia"/>
                <w:color w:val="auto"/>
              </w:rPr>
              <w:t>动植物油</w:t>
            </w:r>
          </w:p>
        </w:tc>
        <w:tc>
          <w:tcPr>
            <w:tcW w:w="1537" w:type="dxa"/>
            <w:vAlign w:val="center"/>
          </w:tcPr>
          <w:p>
            <w:pPr>
              <w:adjustRightInd w:val="0"/>
              <w:snapToGrid w:val="0"/>
              <w:rPr>
                <w:rFonts w:ascii="宋体" w:hAnsi="宋体" w:cs="宋体"/>
                <w:color w:val="auto"/>
                <w:szCs w:val="21"/>
              </w:rPr>
            </w:pPr>
            <w:r>
              <w:rPr>
                <w:rFonts w:hint="eastAsia" w:ascii="宋体" w:hAnsi="宋体" w:cs="宋体"/>
                <w:color w:val="auto"/>
                <w:szCs w:val="21"/>
              </w:rPr>
              <w:t>依托现有污水处理设施处理</w:t>
            </w:r>
          </w:p>
        </w:tc>
        <w:tc>
          <w:tcPr>
            <w:tcW w:w="2651" w:type="dxa"/>
            <w:vAlign w:val="center"/>
          </w:tcPr>
          <w:p>
            <w:pPr>
              <w:adjustRightInd w:val="0"/>
              <w:snapToGrid w:val="0"/>
              <w:rPr>
                <w:rFonts w:ascii="宋体" w:hAnsi="宋体" w:cs="宋体"/>
                <w:color w:val="auto"/>
                <w:szCs w:val="21"/>
              </w:rPr>
            </w:pPr>
            <w:r>
              <w:rPr>
                <w:bCs/>
                <w:color w:val="auto"/>
                <w:szCs w:val="21"/>
              </w:rPr>
              <w:t>GB8978-1996三级标准</w:t>
            </w:r>
            <w:r>
              <w:rPr>
                <w:color w:val="auto"/>
                <w:kern w:val="0"/>
                <w:szCs w:val="21"/>
              </w:rPr>
              <w:t>pH:6～9</w:t>
            </w:r>
            <w:r>
              <w:rPr>
                <w:color w:val="auto"/>
                <w:szCs w:val="21"/>
              </w:rPr>
              <w:t>、</w:t>
            </w:r>
            <w:r>
              <w:rPr>
                <w:color w:val="auto"/>
                <w:kern w:val="0"/>
                <w:szCs w:val="21"/>
              </w:rPr>
              <w:t>COD</w:t>
            </w:r>
            <w:r>
              <w:rPr>
                <w:color w:val="auto"/>
                <w:szCs w:val="21"/>
              </w:rPr>
              <w:t>≤500mg/l、</w:t>
            </w:r>
            <w:r>
              <w:rPr>
                <w:color w:val="auto"/>
                <w:kern w:val="0"/>
                <w:szCs w:val="21"/>
              </w:rPr>
              <w:t>BOD</w:t>
            </w:r>
            <w:r>
              <w:rPr>
                <w:color w:val="auto"/>
                <w:kern w:val="0"/>
                <w:szCs w:val="21"/>
                <w:vertAlign w:val="subscript"/>
              </w:rPr>
              <w:t>5</w:t>
            </w:r>
            <w:r>
              <w:rPr>
                <w:color w:val="auto"/>
                <w:szCs w:val="21"/>
              </w:rPr>
              <w:t>≤300mg/l、</w:t>
            </w:r>
            <w:r>
              <w:rPr>
                <w:color w:val="auto"/>
                <w:kern w:val="0"/>
                <w:szCs w:val="21"/>
              </w:rPr>
              <w:t>SS</w:t>
            </w:r>
            <w:r>
              <w:rPr>
                <w:color w:val="auto"/>
                <w:szCs w:val="21"/>
              </w:rPr>
              <w:t>≤400mg/l、氨氮≤45mg/l、</w:t>
            </w:r>
            <w:r>
              <w:rPr>
                <w:rFonts w:hint="eastAsia"/>
                <w:color w:val="auto"/>
                <w:szCs w:val="21"/>
              </w:rPr>
              <w:t>动植物油</w:t>
            </w:r>
            <w:r>
              <w:rPr>
                <w:color w:val="auto"/>
                <w:szCs w:val="21"/>
              </w:rPr>
              <w:t>≤</w:t>
            </w:r>
            <w:r>
              <w:rPr>
                <w:rFonts w:hint="eastAsia"/>
                <w:color w:val="auto"/>
                <w:szCs w:val="21"/>
              </w:rPr>
              <w:t>100</w:t>
            </w:r>
            <w:r>
              <w:rPr>
                <w:color w:val="auto"/>
                <w:szCs w:val="21"/>
              </w:rPr>
              <w:t>mg/l</w:t>
            </w: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643"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声环境</w:t>
            </w:r>
          </w:p>
        </w:tc>
        <w:tc>
          <w:tcPr>
            <w:tcW w:w="1666"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厂界</w:t>
            </w:r>
          </w:p>
        </w:tc>
        <w:tc>
          <w:tcPr>
            <w:tcW w:w="1303"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设备噪声</w:t>
            </w:r>
          </w:p>
        </w:tc>
        <w:tc>
          <w:tcPr>
            <w:tcW w:w="1537" w:type="dxa"/>
            <w:vAlign w:val="center"/>
          </w:tcPr>
          <w:p>
            <w:pPr>
              <w:adjustRightInd w:val="0"/>
              <w:snapToGrid w:val="0"/>
              <w:rPr>
                <w:rFonts w:ascii="宋体" w:hAnsi="宋体" w:cs="宋体"/>
                <w:color w:val="auto"/>
                <w:szCs w:val="21"/>
              </w:rPr>
            </w:pPr>
            <w:r>
              <w:rPr>
                <w:rFonts w:hint="eastAsia" w:ascii="宋体" w:hAnsi="宋体" w:cs="宋体"/>
                <w:color w:val="auto"/>
                <w:szCs w:val="21"/>
              </w:rPr>
              <w:t>设备</w:t>
            </w:r>
            <w:r>
              <w:rPr>
                <w:color w:val="auto"/>
                <w:szCs w:val="21"/>
              </w:rPr>
              <w:t>置于厂房内，</w:t>
            </w:r>
            <w:r>
              <w:rPr>
                <w:rFonts w:hint="eastAsia"/>
                <w:color w:val="auto"/>
                <w:szCs w:val="21"/>
              </w:rPr>
              <w:t>通过建筑隔声降噪；设置</w:t>
            </w:r>
            <w:r>
              <w:rPr>
                <w:color w:val="auto"/>
                <w:szCs w:val="21"/>
              </w:rPr>
              <w:t>减震垫降噪</w:t>
            </w:r>
          </w:p>
        </w:tc>
        <w:tc>
          <w:tcPr>
            <w:tcW w:w="2651" w:type="dxa"/>
            <w:vAlign w:val="center"/>
          </w:tcPr>
          <w:p>
            <w:pPr>
              <w:adjustRightInd w:val="0"/>
              <w:snapToGrid w:val="0"/>
              <w:rPr>
                <w:color w:val="auto"/>
                <w:szCs w:val="21"/>
              </w:rPr>
            </w:pPr>
            <w:r>
              <w:rPr>
                <w:color w:val="auto"/>
                <w:szCs w:val="21"/>
              </w:rPr>
              <w:t>GB12348-2008中3类</w:t>
            </w:r>
            <w:r>
              <w:rPr>
                <w:rFonts w:hint="eastAsia"/>
                <w:color w:val="auto"/>
                <w:szCs w:val="21"/>
              </w:rPr>
              <w:t>标准</w:t>
            </w:r>
            <w:r>
              <w:rPr>
                <w:color w:val="auto"/>
                <w:szCs w:val="21"/>
              </w:rPr>
              <w:t>昼间：</w:t>
            </w:r>
            <w:r>
              <w:rPr>
                <w:rFonts w:hint="eastAsia"/>
                <w:color w:val="auto"/>
                <w:szCs w:val="21"/>
              </w:rPr>
              <w:t>65</w:t>
            </w:r>
            <w:r>
              <w:rPr>
                <w:color w:val="auto"/>
                <w:szCs w:val="21"/>
              </w:rPr>
              <w:t>dB（A）；</w:t>
            </w:r>
            <w:r>
              <w:rPr>
                <w:rFonts w:hint="eastAsia"/>
                <w:color w:val="auto"/>
                <w:szCs w:val="21"/>
              </w:rPr>
              <w:t>夜</w:t>
            </w:r>
            <w:r>
              <w:rPr>
                <w:color w:val="auto"/>
                <w:szCs w:val="21"/>
              </w:rPr>
              <w:t>间：</w:t>
            </w:r>
            <w:r>
              <w:rPr>
                <w:rFonts w:hint="eastAsia"/>
                <w:color w:val="auto"/>
                <w:szCs w:val="21"/>
              </w:rPr>
              <w:t>55</w:t>
            </w:r>
            <w:r>
              <w:rPr>
                <w:color w:val="auto"/>
                <w:szCs w:val="21"/>
              </w:rPr>
              <w:t>dB（A）</w:t>
            </w:r>
          </w:p>
        </w:tc>
      </w:tr>
    </w:tbl>
    <w:p>
      <w:pPr>
        <w:adjustRightInd w:val="0"/>
        <w:snapToGrid w:val="0"/>
        <w:jc w:val="center"/>
        <w:rPr>
          <w:rFonts w:ascii="宋体" w:hAnsi="宋体" w:cs="宋体"/>
          <w:color w:val="auto"/>
          <w:sz w:val="24"/>
        </w:rPr>
      </w:pPr>
      <w:r>
        <w:rPr>
          <w:rFonts w:hint="eastAsia" w:ascii="宋体" w:hAnsi="宋体" w:cs="宋体"/>
          <w:color w:val="auto"/>
          <w:sz w:val="24"/>
        </w:rPr>
        <w:br w:type="page"/>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727"/>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6" w:type="dxa"/>
            <w:vAlign w:val="center"/>
          </w:tcPr>
          <w:p>
            <w:pPr>
              <w:adjustRightInd w:val="0"/>
              <w:snapToGrid w:val="0"/>
              <w:jc w:val="center"/>
              <w:rPr>
                <w:rFonts w:ascii="宋体" w:hAnsi="宋体" w:cs="宋体"/>
                <w:color w:val="auto"/>
                <w:sz w:val="24"/>
              </w:rPr>
            </w:pPr>
            <w:r>
              <w:rPr>
                <w:rFonts w:hint="eastAsia" w:ascii="宋体" w:hAnsi="宋体" w:cs="宋体"/>
                <w:color w:val="auto"/>
                <w:szCs w:val="21"/>
              </w:rPr>
              <w:t>电磁辐射</w:t>
            </w:r>
          </w:p>
        </w:tc>
        <w:tc>
          <w:tcPr>
            <w:tcW w:w="272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w:t>
            </w:r>
          </w:p>
        </w:tc>
        <w:tc>
          <w:tcPr>
            <w:tcW w:w="175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w:t>
            </w:r>
          </w:p>
        </w:tc>
        <w:tc>
          <w:tcPr>
            <w:tcW w:w="1755"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w:t>
            </w:r>
          </w:p>
        </w:tc>
        <w:tc>
          <w:tcPr>
            <w:tcW w:w="175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06"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固体废物</w:t>
            </w:r>
          </w:p>
        </w:tc>
        <w:tc>
          <w:tcPr>
            <w:tcW w:w="7994" w:type="dxa"/>
            <w:gridSpan w:val="4"/>
            <w:vAlign w:val="center"/>
          </w:tcPr>
          <w:p>
            <w:pPr>
              <w:adjustRightInd w:val="0"/>
              <w:snapToGrid w:val="0"/>
              <w:spacing w:line="360" w:lineRule="auto"/>
              <w:ind w:firstLine="480" w:firstLineChars="200"/>
              <w:rPr>
                <w:color w:val="auto"/>
                <w:sz w:val="24"/>
              </w:rPr>
            </w:pPr>
            <w:r>
              <w:rPr>
                <w:rFonts w:hint="eastAsia" w:ascii="Times New Roman" w:hAnsi="Times New Roman" w:cs="Times New Roman"/>
                <w:color w:val="auto"/>
                <w:sz w:val="24"/>
                <w:szCs w:val="24"/>
                <w:lang w:eastAsia="zh-CN"/>
              </w:rPr>
              <w:t>扩建项目</w:t>
            </w:r>
            <w:r>
              <w:rPr>
                <w:color w:val="auto"/>
                <w:sz w:val="24"/>
              </w:rPr>
              <w:t>产生的固体废物主要为</w:t>
            </w:r>
            <w:r>
              <w:rPr>
                <w:rFonts w:hint="eastAsia"/>
                <w:color w:val="auto"/>
                <w:sz w:val="24"/>
              </w:rPr>
              <w:t>废胶粘剂桶、废机油、废活性炭、废弃的</w:t>
            </w:r>
            <w:r>
              <w:rPr>
                <w:color w:val="auto"/>
                <w:sz w:val="24"/>
              </w:rPr>
              <w:t>含油抹布、劳保用品</w:t>
            </w:r>
            <w:r>
              <w:rPr>
                <w:rFonts w:hint="eastAsia"/>
                <w:color w:val="auto"/>
                <w:sz w:val="24"/>
              </w:rPr>
              <w:t>、</w:t>
            </w:r>
            <w:r>
              <w:rPr>
                <w:rFonts w:hint="eastAsia"/>
                <w:color w:val="auto"/>
                <w:sz w:val="24"/>
                <w:lang w:eastAsia="zh-CN"/>
              </w:rPr>
              <w:t>废包装、</w:t>
            </w:r>
            <w:r>
              <w:rPr>
                <w:rFonts w:hint="eastAsia"/>
                <w:color w:val="auto"/>
                <w:sz w:val="24"/>
              </w:rPr>
              <w:t>生活垃圾以及餐厨垃圾，其中废胶粘剂桶、</w:t>
            </w:r>
            <w:r>
              <w:rPr>
                <w:rFonts w:hint="eastAsia"/>
                <w:color w:val="auto"/>
                <w:sz w:val="24"/>
                <w:lang w:eastAsia="zh-CN"/>
              </w:rPr>
              <w:t>废</w:t>
            </w:r>
            <w:r>
              <w:rPr>
                <w:rFonts w:hint="eastAsia"/>
                <w:color w:val="auto"/>
                <w:sz w:val="24"/>
                <w:lang w:val="en-US" w:eastAsia="zh-CN"/>
              </w:rPr>
              <w:t>UV灯管、</w:t>
            </w:r>
            <w:r>
              <w:rPr>
                <w:rFonts w:hint="eastAsia"/>
                <w:color w:val="auto"/>
                <w:sz w:val="24"/>
              </w:rPr>
              <w:t>废机油、废活性炭、废弃的</w:t>
            </w:r>
            <w:r>
              <w:rPr>
                <w:color w:val="auto"/>
                <w:sz w:val="24"/>
              </w:rPr>
              <w:t>含油抹布、劳保用品</w:t>
            </w:r>
            <w:r>
              <w:rPr>
                <w:rFonts w:hint="eastAsia"/>
                <w:color w:val="auto"/>
                <w:sz w:val="24"/>
              </w:rPr>
              <w:t>属于危险废物。</w:t>
            </w:r>
          </w:p>
          <w:p>
            <w:pPr>
              <w:pStyle w:val="2"/>
              <w:ind w:firstLine="480" w:firstLineChars="200"/>
              <w:rPr>
                <w:rFonts w:hint="default" w:ascii="Times New Roman" w:hAnsi="Times New Roman" w:cs="Times New Roman"/>
                <w:color w:val="auto"/>
              </w:rPr>
            </w:pPr>
            <w:r>
              <w:rPr>
                <w:rFonts w:hint="eastAsia" w:ascii="Times New Roman" w:cs="Times New Roman"/>
                <w:color w:val="auto"/>
                <w:lang w:bidi="ar"/>
              </w:rPr>
              <w:t>2#厂房东北侧设置1个面积为10m</w:t>
            </w:r>
            <w:r>
              <w:rPr>
                <w:rFonts w:hint="eastAsia" w:ascii="Times New Roman" w:cs="Times New Roman"/>
                <w:color w:val="auto"/>
                <w:vertAlign w:val="superscript"/>
                <w:lang w:bidi="ar"/>
              </w:rPr>
              <w:t>2</w:t>
            </w:r>
            <w:r>
              <w:rPr>
                <w:rFonts w:hint="eastAsia" w:ascii="Times New Roman" w:cs="Times New Roman"/>
                <w:color w:val="auto"/>
                <w:lang w:bidi="ar"/>
              </w:rPr>
              <w:t>的危险废物暂存间，危废</w:t>
            </w:r>
            <w:r>
              <w:rPr>
                <w:rFonts w:hint="eastAsia" w:ascii="Times New Roman" w:cs="Times New Roman"/>
                <w:color w:val="auto"/>
              </w:rPr>
              <w:t>暂存间</w:t>
            </w:r>
            <w:r>
              <w:rPr>
                <w:rFonts w:ascii="Times New Roman" w:cs="Times New Roman"/>
                <w:color w:val="auto"/>
              </w:rPr>
              <w:t>地面及内墙采取防渗措施，地面作防渗、防漏、防酸碱腐蚀处理，</w:t>
            </w:r>
            <w:r>
              <w:rPr>
                <w:rFonts w:ascii="Times New Roman" w:cs="Times New Roman"/>
                <w:color w:val="auto"/>
                <w:lang w:bidi="ar"/>
              </w:rPr>
              <w:t>危险废物暂存间周边设置</w:t>
            </w:r>
            <w:r>
              <w:rPr>
                <w:rFonts w:hint="eastAsia" w:ascii="Times New Roman" w:cs="Times New Roman"/>
                <w:color w:val="auto"/>
                <w:lang w:eastAsia="zh-CN" w:bidi="ar"/>
              </w:rPr>
              <w:t>围挡</w:t>
            </w:r>
            <w:r>
              <w:rPr>
                <w:rFonts w:ascii="Times New Roman" w:cs="Times New Roman"/>
                <w:color w:val="auto"/>
                <w:lang w:bidi="ar"/>
              </w:rPr>
              <w:t>。</w:t>
            </w:r>
            <w:r>
              <w:rPr>
                <w:rFonts w:ascii="Times New Roman" w:cs="Times New Roman"/>
                <w:color w:val="auto"/>
              </w:rPr>
              <w:t>危险废物应及时</w:t>
            </w:r>
            <w:r>
              <w:rPr>
                <w:rFonts w:hint="eastAsia" w:ascii="Times New Roman" w:cs="Times New Roman"/>
                <w:color w:val="auto"/>
              </w:rPr>
              <w:t>分类</w:t>
            </w:r>
            <w:r>
              <w:rPr>
                <w:rFonts w:ascii="Times New Roman" w:cs="Times New Roman"/>
                <w:color w:val="auto"/>
              </w:rPr>
              <w:t>收集，并按照类别分别置于防渗漏、防锐</w:t>
            </w:r>
            <w:r>
              <w:rPr>
                <w:rFonts w:ascii="Times New Roman" w:hAnsi="Times New Roman" w:cs="Times New Roman"/>
                <w:color w:val="auto"/>
              </w:rPr>
              <w:t>器</w:t>
            </w:r>
            <w:r>
              <w:rPr>
                <w:rFonts w:hint="default" w:ascii="Times New Roman" w:hAnsi="Times New Roman" w:cs="Times New Roman"/>
                <w:color w:val="auto"/>
              </w:rPr>
              <w:t>穿透的专用包装物或者密闭的容器内（包装桶）。危险废物经危险废物暂存间暂存后定期交有危险废物处理资质单位处置，并做好危废转移记录及相关转移联单，制定环保管理制度。</w:t>
            </w:r>
          </w:p>
          <w:p>
            <w:pPr>
              <w:pStyle w:val="2"/>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厂房</w:t>
            </w:r>
            <w:r>
              <w:rPr>
                <w:rFonts w:hint="default" w:ascii="Times New Roman" w:hAnsi="Times New Roman" w:cs="Times New Roman"/>
                <w:color w:val="auto"/>
                <w:sz w:val="24"/>
                <w:lang w:eastAsia="zh-CN" w:bidi="ar"/>
              </w:rPr>
              <w:t>东南部建有</w:t>
            </w:r>
            <w:r>
              <w:rPr>
                <w:rFonts w:hint="default" w:ascii="Times New Roman" w:hAnsi="Times New Roman" w:cs="Times New Roman"/>
                <w:color w:val="auto"/>
                <w:sz w:val="24"/>
              </w:rPr>
              <w:t>1个面积为</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的一般工业固废暂</w:t>
            </w:r>
            <w:r>
              <w:rPr>
                <w:rFonts w:hint="default" w:ascii="Times New Roman" w:hAnsi="Times New Roman" w:cs="Times New Roman"/>
                <w:color w:val="auto"/>
                <w:sz w:val="24"/>
                <w:lang w:eastAsia="zh-CN"/>
              </w:rPr>
              <w:t>存</w:t>
            </w:r>
            <w:r>
              <w:rPr>
                <w:rFonts w:hint="default" w:ascii="Times New Roman" w:hAnsi="Times New Roman" w:cs="Times New Roman"/>
                <w:color w:val="auto"/>
                <w:sz w:val="24"/>
              </w:rPr>
              <w:t>点，</w:t>
            </w:r>
            <w:r>
              <w:rPr>
                <w:rFonts w:hint="default" w:ascii="Times New Roman" w:hAnsi="Times New Roman" w:cs="Times New Roman"/>
                <w:color w:val="auto"/>
                <w:kern w:val="0"/>
                <w:sz w:val="24"/>
                <w:lang w:eastAsia="zh-CN"/>
              </w:rPr>
              <w:t>废包装经暂存后交废品回收公司处置。</w:t>
            </w:r>
          </w:p>
          <w:p>
            <w:pPr>
              <w:pStyle w:val="2"/>
              <w:ind w:firstLine="480" w:firstLineChars="200"/>
              <w:rPr>
                <w:rFonts w:ascii="Times New Roman" w:cs="Times New Roman"/>
                <w:color w:val="auto"/>
                <w:sz w:val="21"/>
                <w:szCs w:val="21"/>
              </w:rPr>
            </w:pPr>
            <w:r>
              <w:rPr>
                <w:rFonts w:hint="default" w:ascii="Times New Roman" w:hAnsi="Times New Roman" w:cs="Times New Roman"/>
                <w:color w:val="auto"/>
              </w:rPr>
              <w:t>生活垃圾经分类后交当地环卫部门处置；餐厨垃圾经收集后交餐厨垃圾处置单位进行处置。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806"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土壤及地下水</w:t>
            </w:r>
          </w:p>
          <w:p>
            <w:pPr>
              <w:adjustRightInd w:val="0"/>
              <w:snapToGrid w:val="0"/>
              <w:jc w:val="center"/>
              <w:rPr>
                <w:rFonts w:ascii="宋体" w:hAnsi="宋体" w:cs="宋体"/>
                <w:color w:val="auto"/>
                <w:szCs w:val="21"/>
              </w:rPr>
            </w:pPr>
            <w:r>
              <w:rPr>
                <w:rFonts w:hint="eastAsia" w:ascii="宋体" w:hAnsi="宋体" w:cs="宋体"/>
                <w:color w:val="auto"/>
                <w:szCs w:val="21"/>
              </w:rPr>
              <w:t>污染防治措施</w:t>
            </w:r>
          </w:p>
        </w:tc>
        <w:tc>
          <w:tcPr>
            <w:tcW w:w="7994" w:type="dxa"/>
            <w:gridSpan w:val="4"/>
            <w:vAlign w:val="center"/>
          </w:tcPr>
          <w:p>
            <w:pPr>
              <w:widowControl/>
              <w:adjustRightInd w:val="0"/>
              <w:snapToGrid w:val="0"/>
              <w:spacing w:line="360" w:lineRule="auto"/>
              <w:ind w:firstLine="480" w:firstLineChars="200"/>
              <w:rPr>
                <w:color w:val="auto"/>
                <w:sz w:val="24"/>
              </w:rPr>
            </w:pPr>
            <w:r>
              <w:rPr>
                <w:rFonts w:hint="eastAsia"/>
                <w:color w:val="auto"/>
                <w:kern w:val="0"/>
                <w:sz w:val="24"/>
                <w:lang w:eastAsia="zh-CN" w:bidi="ar"/>
              </w:rPr>
              <w:t>扩建项目</w:t>
            </w:r>
            <w:r>
              <w:rPr>
                <w:rFonts w:hint="eastAsia"/>
                <w:color w:val="auto"/>
                <w:kern w:val="0"/>
                <w:sz w:val="24"/>
                <w:lang w:bidi="ar"/>
              </w:rPr>
              <w:t>胶粘剂堆放区作为</w:t>
            </w:r>
            <w:r>
              <w:rPr>
                <w:color w:val="auto"/>
                <w:kern w:val="0"/>
                <w:sz w:val="24"/>
                <w:lang w:bidi="ar"/>
              </w:rPr>
              <w:t>重点防渗区</w:t>
            </w:r>
            <w:r>
              <w:rPr>
                <w:rFonts w:hint="eastAsia"/>
                <w:color w:val="auto"/>
                <w:kern w:val="0"/>
                <w:sz w:val="24"/>
                <w:lang w:bidi="ar"/>
              </w:rPr>
              <w:t>；</w:t>
            </w:r>
            <w:r>
              <w:rPr>
                <w:rFonts w:hint="eastAsia"/>
                <w:color w:val="auto"/>
                <w:kern w:val="0"/>
                <w:sz w:val="24"/>
                <w:lang w:eastAsia="zh-CN" w:bidi="ar"/>
              </w:rPr>
              <w:t>扩建项目生产车间</w:t>
            </w:r>
            <w:r>
              <w:rPr>
                <w:rFonts w:hint="eastAsia"/>
                <w:color w:val="auto"/>
                <w:kern w:val="0"/>
                <w:sz w:val="24"/>
                <w:lang w:bidi="ar"/>
              </w:rPr>
              <w:t>等</w:t>
            </w:r>
            <w:r>
              <w:rPr>
                <w:color w:val="auto"/>
                <w:kern w:val="0"/>
                <w:sz w:val="24"/>
                <w:lang w:bidi="ar"/>
              </w:rPr>
              <w:t>作为一般防渗区。</w:t>
            </w:r>
            <w:r>
              <w:rPr>
                <w:rFonts w:hint="eastAsia"/>
                <w:color w:val="auto"/>
                <w:kern w:val="0"/>
                <w:sz w:val="24"/>
                <w:lang w:eastAsia="zh-CN" w:bidi="ar"/>
              </w:rPr>
              <w:t>扩建项目</w:t>
            </w:r>
            <w:r>
              <w:rPr>
                <w:color w:val="auto"/>
                <w:kern w:val="0"/>
                <w:sz w:val="24"/>
                <w:lang w:bidi="ar"/>
              </w:rPr>
              <w:t>地下水污染防渗措施以水平防渗为主，具体分区防渗措施如下：</w:t>
            </w:r>
          </w:p>
          <w:p>
            <w:pPr>
              <w:widowControl/>
              <w:adjustRightInd w:val="0"/>
              <w:snapToGrid w:val="0"/>
              <w:spacing w:line="360" w:lineRule="auto"/>
              <w:ind w:firstLine="480" w:firstLineChars="200"/>
              <w:rPr>
                <w:color w:val="auto"/>
                <w:sz w:val="24"/>
              </w:rPr>
            </w:pPr>
            <w:r>
              <w:rPr>
                <w:rFonts w:hint="eastAsia" w:ascii="宋体" w:hAnsi="宋体" w:cs="宋体"/>
                <w:color w:val="auto"/>
                <w:kern w:val="0"/>
                <w:sz w:val="24"/>
                <w:lang w:bidi="ar"/>
              </w:rPr>
              <w:t>①</w:t>
            </w:r>
            <w:r>
              <w:rPr>
                <w:color w:val="auto"/>
                <w:kern w:val="0"/>
                <w:sz w:val="24"/>
                <w:lang w:bidi="ar"/>
              </w:rPr>
              <w:t>重点防渗区</w:t>
            </w:r>
          </w:p>
          <w:p>
            <w:pPr>
              <w:widowControl/>
              <w:adjustRightInd w:val="0"/>
              <w:snapToGrid w:val="0"/>
              <w:spacing w:line="360" w:lineRule="auto"/>
              <w:ind w:firstLine="480" w:firstLineChars="200"/>
              <w:rPr>
                <w:color w:val="auto"/>
                <w:kern w:val="0"/>
                <w:sz w:val="24"/>
                <w:lang w:bidi="ar"/>
              </w:rPr>
            </w:pPr>
            <w:r>
              <w:rPr>
                <w:color w:val="auto"/>
                <w:kern w:val="0"/>
                <w:sz w:val="24"/>
                <w:lang w:bidi="ar"/>
              </w:rPr>
              <w:t>重点防渗区地面和、四周及裙角采用特殊防腐、防渗处理，</w:t>
            </w:r>
            <w:r>
              <w:rPr>
                <w:rFonts w:hint="eastAsia"/>
                <w:color w:val="auto"/>
                <w:kern w:val="0"/>
                <w:sz w:val="24"/>
                <w:lang w:bidi="ar"/>
              </w:rPr>
              <w:t>可</w:t>
            </w:r>
            <w:r>
              <w:rPr>
                <w:color w:val="auto"/>
                <w:sz w:val="24"/>
              </w:rPr>
              <w:t>铺设双层高密度聚乙烯HDPE防渗膜，渗透系数不大于1.0×10</w:t>
            </w:r>
            <w:r>
              <w:rPr>
                <w:color w:val="auto"/>
                <w:sz w:val="24"/>
                <w:vertAlign w:val="superscript"/>
              </w:rPr>
              <w:t>-7</w:t>
            </w:r>
            <w:r>
              <w:rPr>
                <w:color w:val="auto"/>
                <w:sz w:val="24"/>
              </w:rPr>
              <w:t>cm/s；</w:t>
            </w:r>
            <w:r>
              <w:rPr>
                <w:color w:val="auto"/>
                <w:kern w:val="0"/>
                <w:sz w:val="24"/>
                <w:lang w:bidi="ar"/>
              </w:rPr>
              <w:t>危险废物暂存间参照《危险废物贮存污染控制标准》（GB18597-20</w:t>
            </w:r>
            <w:r>
              <w:rPr>
                <w:rFonts w:hint="eastAsia"/>
                <w:color w:val="auto"/>
                <w:kern w:val="0"/>
                <w:sz w:val="24"/>
                <w:lang w:val="en-US" w:eastAsia="zh-CN" w:bidi="ar"/>
              </w:rPr>
              <w:t>23</w:t>
            </w:r>
            <w:r>
              <w:rPr>
                <w:color w:val="auto"/>
                <w:kern w:val="0"/>
                <w:sz w:val="24"/>
                <w:lang w:bidi="ar"/>
              </w:rPr>
              <w:t>），并结合危险废物类别进行分区。危险废物暂存间设置收集沟、收集井</w:t>
            </w:r>
            <w:r>
              <w:rPr>
                <w:rFonts w:hint="eastAsia"/>
                <w:color w:val="auto"/>
                <w:kern w:val="0"/>
                <w:sz w:val="24"/>
                <w:lang w:bidi="ar"/>
              </w:rPr>
              <w:t>，</w:t>
            </w:r>
            <w:r>
              <w:rPr>
                <w:color w:val="auto"/>
                <w:kern w:val="0"/>
                <w:sz w:val="24"/>
                <w:lang w:bidi="ar"/>
              </w:rPr>
              <w:t>液态危废暂存区域</w:t>
            </w:r>
            <w:r>
              <w:rPr>
                <w:rFonts w:hint="eastAsia"/>
                <w:color w:val="auto"/>
                <w:kern w:val="0"/>
                <w:sz w:val="24"/>
                <w:lang w:eastAsia="zh-CN" w:bidi="ar"/>
              </w:rPr>
              <w:t>围挡</w:t>
            </w:r>
            <w:r>
              <w:rPr>
                <w:color w:val="auto"/>
                <w:kern w:val="0"/>
                <w:sz w:val="24"/>
                <w:lang w:bidi="ar"/>
              </w:rPr>
              <w:t>内铺设厚度约2mm的高密度聚乙烯膜进一步防渗，内设专用容器对各类废液进行分类收集暂存。</w:t>
            </w:r>
            <w:r>
              <w:rPr>
                <w:rFonts w:hint="eastAsia"/>
                <w:color w:val="auto"/>
                <w:kern w:val="0"/>
                <w:sz w:val="24"/>
                <w:lang w:eastAsia="zh-CN" w:bidi="ar"/>
              </w:rPr>
              <w:t>胶粘剂堆放区周围设置围挡</w:t>
            </w:r>
            <w:r>
              <w:rPr>
                <w:color w:val="auto"/>
                <w:kern w:val="0"/>
                <w:sz w:val="24"/>
                <w:lang w:bidi="ar"/>
              </w:rPr>
              <w:t>，并在</w:t>
            </w:r>
            <w:r>
              <w:rPr>
                <w:rFonts w:hint="eastAsia"/>
                <w:color w:val="auto"/>
                <w:kern w:val="0"/>
                <w:sz w:val="24"/>
                <w:lang w:eastAsia="zh-CN" w:bidi="ar"/>
              </w:rPr>
              <w:t>围挡</w:t>
            </w:r>
            <w:r>
              <w:rPr>
                <w:color w:val="auto"/>
                <w:kern w:val="0"/>
                <w:sz w:val="24"/>
                <w:lang w:bidi="ar"/>
              </w:rPr>
              <w:t>内侧修建收集沟、收集井，</w:t>
            </w:r>
            <w:r>
              <w:rPr>
                <w:rFonts w:hint="eastAsia"/>
                <w:color w:val="auto"/>
                <w:kern w:val="0"/>
                <w:sz w:val="24"/>
                <w:lang w:eastAsia="zh-CN" w:bidi="ar"/>
              </w:rPr>
              <w:t>围挡</w:t>
            </w:r>
            <w:r>
              <w:rPr>
                <w:color w:val="auto"/>
                <w:kern w:val="0"/>
                <w:sz w:val="24"/>
                <w:lang w:bidi="ar"/>
              </w:rPr>
              <w:t>内铺设厚度约2mm的高密度聚乙烯膜进一步防渗，内设专用容器对各类废液进行分类收集暂存。</w:t>
            </w:r>
          </w:p>
          <w:p>
            <w:pPr>
              <w:widowControl/>
              <w:adjustRightInd w:val="0"/>
              <w:snapToGrid w:val="0"/>
              <w:spacing w:line="360" w:lineRule="auto"/>
              <w:ind w:firstLine="480" w:firstLineChars="200"/>
              <w:rPr>
                <w:color w:val="auto"/>
                <w:sz w:val="24"/>
              </w:rPr>
            </w:pPr>
            <w:r>
              <w:rPr>
                <w:color w:val="auto"/>
                <w:kern w:val="0"/>
                <w:sz w:val="24"/>
                <w:lang w:bidi="ar"/>
              </w:rPr>
              <w:t>②一般防渗区</w:t>
            </w:r>
          </w:p>
          <w:p>
            <w:pPr>
              <w:widowControl/>
              <w:adjustRightInd w:val="0"/>
              <w:snapToGrid w:val="0"/>
              <w:spacing w:line="360" w:lineRule="auto"/>
              <w:ind w:firstLine="480" w:firstLineChars="200"/>
              <w:rPr>
                <w:color w:val="auto"/>
                <w:sz w:val="24"/>
              </w:rPr>
            </w:pPr>
            <w:r>
              <w:rPr>
                <w:rFonts w:hint="eastAsia"/>
                <w:color w:val="auto"/>
                <w:kern w:val="0"/>
                <w:sz w:val="24"/>
                <w:lang w:eastAsia="zh-CN" w:bidi="ar"/>
              </w:rPr>
              <w:t>通过调查，扩建项目</w:t>
            </w:r>
            <w:r>
              <w:rPr>
                <w:rFonts w:hint="eastAsia"/>
                <w:color w:val="auto"/>
                <w:kern w:val="0"/>
                <w:sz w:val="24"/>
                <w:lang w:bidi="ar"/>
              </w:rPr>
              <w:t>生产</w:t>
            </w:r>
            <w:r>
              <w:rPr>
                <w:color w:val="auto"/>
                <w:kern w:val="0"/>
                <w:sz w:val="24"/>
                <w:lang w:bidi="ar"/>
              </w:rPr>
              <w:t>车间地坪为混凝土地坪，满足一般防渗区防渗要求。</w:t>
            </w:r>
          </w:p>
          <w:p>
            <w:pPr>
              <w:widowControl/>
              <w:adjustRightInd w:val="0"/>
              <w:snapToGrid w:val="0"/>
              <w:spacing w:line="360" w:lineRule="auto"/>
              <w:ind w:firstLine="480" w:firstLineChars="200"/>
              <w:rPr>
                <w:color w:val="auto"/>
                <w:sz w:val="24"/>
              </w:rPr>
            </w:pPr>
            <w:r>
              <w:rPr>
                <w:color w:val="auto"/>
                <w:kern w:val="0"/>
                <w:sz w:val="24"/>
                <w:lang w:bidi="ar"/>
              </w:rPr>
              <w:t>④管理措施</w:t>
            </w:r>
          </w:p>
          <w:p>
            <w:pPr>
              <w:widowControl/>
              <w:adjustRightInd w:val="0"/>
              <w:snapToGrid w:val="0"/>
              <w:spacing w:line="360" w:lineRule="auto"/>
              <w:ind w:firstLine="480" w:firstLineChars="200"/>
              <w:rPr>
                <w:rFonts w:hint="eastAsia" w:ascii="宋体" w:hAnsi="宋体" w:eastAsia="宋体" w:cs="宋体"/>
                <w:color w:val="auto"/>
                <w:szCs w:val="21"/>
                <w:lang w:eastAsia="zh-CN"/>
              </w:rPr>
            </w:pPr>
            <w:r>
              <w:rPr>
                <w:color w:val="auto"/>
                <w:kern w:val="0"/>
                <w:sz w:val="24"/>
                <w:lang w:bidi="ar"/>
              </w:rPr>
              <w:t>制定严格的检查制度，定期对厂区内的危废暂存间、模具堆放区等区域进行检查，如发现破损现象及时修复，避免出现渗漏污染地下水。在物料运输的过程中，做到严格管理，防止“跑、冒、滴、漏”渗入地表的现象发生，避免滴落的物料下渗污染地下水</w:t>
            </w:r>
            <w:r>
              <w:rPr>
                <w:rFonts w:hint="eastAsia"/>
                <w:color w:val="auto"/>
                <w:kern w:val="0"/>
                <w:sz w:val="24"/>
                <w:lang w:bidi="ar"/>
              </w:rPr>
              <w:t>、土壤</w:t>
            </w:r>
            <w:r>
              <w:rPr>
                <w:color w:val="auto"/>
                <w:kern w:val="0"/>
                <w:sz w:val="24"/>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生态保护措施</w:t>
            </w:r>
          </w:p>
        </w:tc>
        <w:tc>
          <w:tcPr>
            <w:tcW w:w="7994" w:type="dxa"/>
            <w:gridSpan w:val="4"/>
            <w:vAlign w:val="center"/>
          </w:tcPr>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hint="eastAsia" w:ascii="宋体" w:hAnsi="宋体" w:eastAsia="宋体" w:cs="宋体"/>
                <w:color w:val="auto"/>
                <w:szCs w:val="21"/>
                <w:lang w:eastAsia="zh-CN"/>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r>
              <w:rPr>
                <w:rFonts w:hint="eastAsia" w:ascii="宋体" w:hAnsi="宋体" w:cs="宋体"/>
                <w:color w:val="auto"/>
                <w:szCs w:val="21"/>
              </w:rPr>
              <w:t>/</w:t>
            </w: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p>
            <w:pPr>
              <w:adjustRightInd w:val="0"/>
              <w:snapToGrid w:val="0"/>
              <w:jc w:val="center"/>
              <w:rPr>
                <w:rFonts w:ascii="宋体" w:hAnsi="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98" w:hRule="atLeast"/>
          <w:jc w:val="center"/>
        </w:trPr>
        <w:tc>
          <w:tcPr>
            <w:tcW w:w="806" w:type="dxa"/>
            <w:vAlign w:val="center"/>
          </w:tcPr>
          <w:p>
            <w:pPr>
              <w:adjustRightInd w:val="0"/>
              <w:snapToGrid w:val="0"/>
              <w:jc w:val="center"/>
              <w:rPr>
                <w:rFonts w:ascii="宋体" w:hAnsi="宋体" w:cs="宋体"/>
                <w:color w:val="auto"/>
                <w:spacing w:val="-8"/>
                <w:sz w:val="24"/>
              </w:rPr>
            </w:pPr>
            <w:r>
              <w:rPr>
                <w:rFonts w:hint="eastAsia" w:ascii="宋体" w:hAnsi="宋体" w:cs="宋体"/>
                <w:color w:val="auto"/>
                <w:spacing w:val="-8"/>
                <w:sz w:val="24"/>
              </w:rPr>
              <w:t>环境风险</w:t>
            </w:r>
          </w:p>
          <w:p>
            <w:pPr>
              <w:adjustRightInd w:val="0"/>
              <w:snapToGrid w:val="0"/>
              <w:jc w:val="center"/>
              <w:rPr>
                <w:rFonts w:ascii="宋体" w:hAnsi="宋体" w:cs="宋体"/>
                <w:color w:val="auto"/>
                <w:spacing w:val="-8"/>
                <w:sz w:val="24"/>
              </w:rPr>
            </w:pPr>
            <w:r>
              <w:rPr>
                <w:rFonts w:hint="eastAsia" w:ascii="宋体" w:hAnsi="宋体" w:cs="宋体"/>
                <w:color w:val="auto"/>
                <w:spacing w:val="-8"/>
                <w:sz w:val="24"/>
              </w:rPr>
              <w:t>防范措施</w:t>
            </w:r>
          </w:p>
        </w:tc>
        <w:tc>
          <w:tcPr>
            <w:tcW w:w="7994" w:type="dxa"/>
            <w:gridSpan w:val="4"/>
          </w:tcPr>
          <w:p>
            <w:pPr>
              <w:autoSpaceDE w:val="0"/>
              <w:autoSpaceDN w:val="0"/>
              <w:adjustRightInd w:val="0"/>
              <w:snapToGrid w:val="0"/>
              <w:spacing w:line="360" w:lineRule="auto"/>
              <w:ind w:firstLine="480" w:firstLineChars="200"/>
              <w:rPr>
                <w:color w:val="auto"/>
                <w:sz w:val="24"/>
              </w:rPr>
            </w:pPr>
            <w:r>
              <w:rPr>
                <w:rFonts w:hint="eastAsia"/>
                <w:color w:val="auto"/>
                <w:sz w:val="24"/>
              </w:rPr>
              <w:t>（1）</w:t>
            </w:r>
            <w:r>
              <w:rPr>
                <w:rFonts w:hint="eastAsia"/>
                <w:color w:val="auto"/>
                <w:sz w:val="24"/>
                <w:lang w:eastAsia="zh-CN"/>
              </w:rPr>
              <w:t>通过调查，该企业</w:t>
            </w:r>
            <w:r>
              <w:rPr>
                <w:color w:val="auto"/>
                <w:sz w:val="24"/>
              </w:rPr>
              <w:t>建立一套严密科学的检修规程、操作规程和规章制度，实施严格的设备管理、工艺管理、安全环保管理、质量管理和现场管理。</w:t>
            </w:r>
          </w:p>
          <w:p>
            <w:pPr>
              <w:autoSpaceDE w:val="0"/>
              <w:autoSpaceDN w:val="0"/>
              <w:adjustRightInd w:val="0"/>
              <w:snapToGrid w:val="0"/>
              <w:spacing w:line="360" w:lineRule="auto"/>
              <w:ind w:firstLine="480" w:firstLineChars="200"/>
              <w:rPr>
                <w:color w:val="auto"/>
                <w:sz w:val="24"/>
              </w:rPr>
            </w:pPr>
            <w:r>
              <w:rPr>
                <w:rFonts w:hint="eastAsia"/>
                <w:color w:val="auto"/>
                <w:sz w:val="24"/>
              </w:rPr>
              <w:t>（2）</w:t>
            </w:r>
            <w:r>
              <w:rPr>
                <w:color w:val="auto"/>
                <w:sz w:val="24"/>
              </w:rPr>
              <w:t>危</w:t>
            </w:r>
            <w:r>
              <w:rPr>
                <w:rFonts w:hint="eastAsia"/>
                <w:color w:val="auto"/>
                <w:sz w:val="24"/>
                <w:lang w:eastAsia="zh-CN"/>
              </w:rPr>
              <w:t>通过调查，扩建项目依托的</w:t>
            </w:r>
            <w:r>
              <w:rPr>
                <w:rFonts w:hint="eastAsia"/>
                <w:color w:val="auto"/>
                <w:sz w:val="24"/>
              </w:rPr>
              <w:t>危废暂存间</w:t>
            </w:r>
            <w:r>
              <w:rPr>
                <w:color w:val="auto"/>
                <w:sz w:val="24"/>
              </w:rPr>
              <w:t>地面及内墙采取防渗措施，地面作防渗、防漏、防酸碱腐蚀处理</w:t>
            </w:r>
            <w:r>
              <w:rPr>
                <w:rFonts w:hint="eastAsia"/>
                <w:color w:val="auto"/>
                <w:sz w:val="24"/>
                <w:lang w:eastAsia="zh-CN"/>
              </w:rPr>
              <w:t>，扩建项目产生的危险废物可依托该危险废物暂存间暂存。</w:t>
            </w:r>
          </w:p>
          <w:p>
            <w:pPr>
              <w:pStyle w:val="38"/>
              <w:adjustRightInd w:val="0"/>
              <w:snapToGrid w:val="0"/>
              <w:spacing w:line="360" w:lineRule="auto"/>
              <w:ind w:firstLine="480"/>
              <w:rPr>
                <w:rFonts w:ascii="Times New Roman" w:hAnsi="Times New Roman" w:cs="Times New Roman"/>
                <w:color w:val="auto"/>
                <w:sz w:val="24"/>
                <w:szCs w:val="24"/>
              </w:rPr>
            </w:pPr>
            <w:r>
              <w:rPr>
                <w:rFonts w:hint="eastAsia" w:ascii="Times New Roman" w:hAnsi="Times New Roman" w:cs="Times New Roman"/>
                <w:color w:val="auto"/>
                <w:sz w:val="24"/>
                <w:szCs w:val="24"/>
              </w:rPr>
              <w:t>（3）</w:t>
            </w:r>
            <w:r>
              <w:rPr>
                <w:rFonts w:hint="eastAsia"/>
                <w:color w:val="auto"/>
                <w:sz w:val="24"/>
                <w:lang w:eastAsia="zh-CN"/>
              </w:rPr>
              <w:t>扩建项目</w:t>
            </w:r>
            <w:r>
              <w:rPr>
                <w:rFonts w:hint="eastAsia"/>
                <w:color w:val="auto"/>
                <w:sz w:val="24"/>
              </w:rPr>
              <w:t>胶粘剂堆放区</w:t>
            </w:r>
            <w:r>
              <w:rPr>
                <w:color w:val="auto"/>
                <w:sz w:val="24"/>
              </w:rPr>
              <w:t>地面及内墙</w:t>
            </w:r>
            <w:r>
              <w:rPr>
                <w:rFonts w:hint="eastAsia"/>
                <w:color w:val="auto"/>
                <w:sz w:val="24"/>
                <w:lang w:eastAsia="zh-CN"/>
              </w:rPr>
              <w:t>应</w:t>
            </w:r>
            <w:r>
              <w:rPr>
                <w:color w:val="auto"/>
                <w:sz w:val="24"/>
              </w:rPr>
              <w:t>采取防渗措施，地面作防渗、防漏、防酸碱腐蚀处理。</w:t>
            </w:r>
            <w:r>
              <w:rPr>
                <w:rFonts w:hint="eastAsia" w:cs="Times New Roman"/>
                <w:color w:val="auto"/>
                <w:sz w:val="24"/>
                <w:szCs w:val="24"/>
              </w:rPr>
              <w:t>胶粘剂堆放区</w:t>
            </w:r>
            <w:r>
              <w:rPr>
                <w:rFonts w:hint="eastAsia" w:cs="Times New Roman"/>
                <w:color w:val="auto"/>
                <w:sz w:val="24"/>
                <w:szCs w:val="24"/>
                <w:lang w:eastAsia="zh-CN"/>
              </w:rPr>
              <w:t>应</w:t>
            </w:r>
            <w:r>
              <w:rPr>
                <w:rFonts w:ascii="Times New Roman" w:hAnsi="Times New Roman" w:cs="Times New Roman"/>
                <w:color w:val="auto"/>
                <w:sz w:val="24"/>
                <w:szCs w:val="24"/>
              </w:rPr>
              <w:t>放置一定量吸收毡、吸收棉，</w:t>
            </w:r>
            <w:r>
              <w:rPr>
                <w:rFonts w:hint="eastAsia" w:cs="Times New Roman"/>
                <w:color w:val="auto"/>
                <w:sz w:val="24"/>
                <w:szCs w:val="24"/>
                <w:lang w:eastAsia="zh-CN"/>
              </w:rPr>
              <w:t>物料</w:t>
            </w:r>
            <w:r>
              <w:rPr>
                <w:rFonts w:ascii="Times New Roman" w:hAnsi="Times New Roman" w:cs="Times New Roman"/>
                <w:color w:val="auto"/>
                <w:sz w:val="24"/>
                <w:szCs w:val="24"/>
              </w:rPr>
              <w:t>泄漏后采用吸收毡、吸收棉及时吸收泄漏物质，吸附材料达到饱和后转移至危险废物暂存点，采用专用包装物或密闭的容器内（包装桶）暂存，盖好收集容器的盖子，贴上废物标签，按照废物管理制度或污染物排放控制程序处理。</w:t>
            </w:r>
          </w:p>
          <w:p>
            <w:pPr>
              <w:adjustRightInd w:val="0"/>
              <w:snapToGrid w:val="0"/>
              <w:spacing w:line="360" w:lineRule="auto"/>
              <w:ind w:firstLine="480" w:firstLineChars="200"/>
              <w:rPr>
                <w:color w:val="auto"/>
                <w:sz w:val="24"/>
              </w:rPr>
            </w:pPr>
            <w:r>
              <w:rPr>
                <w:rFonts w:hint="eastAsia"/>
                <w:color w:val="auto"/>
                <w:sz w:val="24"/>
              </w:rPr>
              <w:t>（4）</w:t>
            </w:r>
            <w:r>
              <w:rPr>
                <w:rFonts w:hint="eastAsia"/>
                <w:color w:val="auto"/>
                <w:sz w:val="24"/>
                <w:lang w:eastAsia="zh-CN"/>
              </w:rPr>
              <w:t>胶粘剂</w:t>
            </w:r>
            <w:r>
              <w:rPr>
                <w:color w:val="auto"/>
                <w:sz w:val="24"/>
              </w:rPr>
              <w:t>应从正规供应商处采购，密封性好，存放规范并定期检查</w:t>
            </w:r>
            <w:r>
              <w:rPr>
                <w:rFonts w:hint="eastAsia"/>
                <w:color w:val="auto"/>
                <w:sz w:val="24"/>
                <w:lang w:eastAsia="zh-CN"/>
              </w:rPr>
              <w:t>包装</w:t>
            </w:r>
            <w:r>
              <w:rPr>
                <w:color w:val="auto"/>
                <w:sz w:val="24"/>
              </w:rPr>
              <w:t>的完整性。车间设独立的火灾自动报和消防控制系统，自动化程度高。计划建有完善的消防措施，包括消防水管网、室内外消防栓、泡沫及干粉灭火器、消防沙，以及一套完整的火灾监测、报警系统。车间和危险化学品仓库内均相同配备，并严禁火源，在喷漆房张贴禁火标识。</w:t>
            </w:r>
          </w:p>
          <w:p>
            <w:pPr>
              <w:pStyle w:val="2"/>
              <w:ind w:firstLine="480" w:firstLineChars="200"/>
              <w:rPr>
                <w:rFonts w:ascii="Times New Roman" w:cs="Times New Roman"/>
                <w:color w:val="auto"/>
              </w:rPr>
            </w:pPr>
            <w:r>
              <w:rPr>
                <w:rFonts w:hint="eastAsia" w:ascii="Times New Roman" w:cs="Times New Roman"/>
                <w:color w:val="auto"/>
              </w:rPr>
              <w:t>（5）</w:t>
            </w:r>
            <w:r>
              <w:rPr>
                <w:rFonts w:hint="eastAsia"/>
                <w:color w:val="auto"/>
                <w:szCs w:val="26"/>
              </w:rPr>
              <w:t>生产车间设备的排列按生产工艺流程进行，尽可能缩短管线减少连接点，各类设备和工艺管道从设计、安装和制造严格按照安全规定要求进行设备和管道动静密封垫采取有效的密封措施，防止物料跑冒滴漏。</w:t>
            </w:r>
            <w:r>
              <w:rPr>
                <w:rFonts w:ascii="Times New Roman" w:cs="Times New Roman"/>
                <w:color w:val="auto"/>
              </w:rPr>
              <w:t>加强机械设备、管线、阀门等元器件的维护保养，对系统薄弱环节加强检查、维护保养、及时更新。</w:t>
            </w:r>
          </w:p>
          <w:p>
            <w:pPr>
              <w:widowControl/>
              <w:adjustRightInd w:val="0"/>
              <w:snapToGrid w:val="0"/>
              <w:spacing w:line="360" w:lineRule="auto"/>
              <w:ind w:firstLine="480" w:firstLineChars="200"/>
              <w:rPr>
                <w:rFonts w:ascii="宋体" w:hAnsi="宋体" w:cs="宋体"/>
                <w:color w:val="auto"/>
                <w:szCs w:val="21"/>
              </w:rPr>
            </w:pPr>
            <w:r>
              <w:rPr>
                <w:rFonts w:hint="eastAsia"/>
                <w:color w:val="auto"/>
                <w:sz w:val="24"/>
              </w:rPr>
              <w:t>（6）</w:t>
            </w:r>
            <w:r>
              <w:rPr>
                <w:color w:val="auto"/>
                <w:sz w:val="24"/>
              </w:rPr>
              <w:t>根据《重庆市人民政府关于加强突发事件风险管理工作的意见》（渝府发[2015]115号）和《重庆市环境保护局关于印发推进突发事件风险管理工作实施方案的通知》（渝环[2015]262号），本项目建成后应根据相关要求，完善《突发环境事件风险评估报告》、《突发环境事件应急预案》，并到当地生态环境管理部门进行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15" w:hRule="atLeast"/>
          <w:jc w:val="center"/>
        </w:trPr>
        <w:tc>
          <w:tcPr>
            <w:tcW w:w="806" w:type="dxa"/>
            <w:vAlign w:val="center"/>
          </w:tcPr>
          <w:p>
            <w:pPr>
              <w:adjustRightInd w:val="0"/>
              <w:snapToGrid w:val="0"/>
              <w:jc w:val="center"/>
              <w:rPr>
                <w:rFonts w:ascii="宋体" w:hAnsi="宋体" w:cs="宋体"/>
                <w:color w:val="auto"/>
                <w:spacing w:val="-8"/>
                <w:sz w:val="24"/>
              </w:rPr>
            </w:pPr>
            <w:r>
              <w:rPr>
                <w:rFonts w:hint="eastAsia" w:ascii="宋体" w:hAnsi="宋体" w:cs="宋体"/>
                <w:color w:val="auto"/>
                <w:spacing w:val="-8"/>
                <w:sz w:val="24"/>
              </w:rPr>
              <w:t>其他环境</w:t>
            </w:r>
          </w:p>
          <w:p>
            <w:pPr>
              <w:adjustRightInd w:val="0"/>
              <w:snapToGrid w:val="0"/>
              <w:jc w:val="center"/>
              <w:rPr>
                <w:rFonts w:ascii="宋体" w:hAnsi="宋体" w:cs="宋体"/>
                <w:color w:val="auto"/>
                <w:spacing w:val="-8"/>
                <w:sz w:val="24"/>
              </w:rPr>
            </w:pPr>
            <w:r>
              <w:rPr>
                <w:rFonts w:hint="eastAsia" w:ascii="宋体" w:hAnsi="宋体" w:cs="宋体"/>
                <w:color w:val="auto"/>
                <w:spacing w:val="-8"/>
                <w:sz w:val="24"/>
              </w:rPr>
              <w:t>管理要求</w:t>
            </w:r>
          </w:p>
        </w:tc>
        <w:tc>
          <w:tcPr>
            <w:tcW w:w="7994" w:type="dxa"/>
            <w:gridSpan w:val="4"/>
          </w:tcPr>
          <w:p>
            <w:pPr>
              <w:adjustRightInd w:val="0"/>
              <w:snapToGrid w:val="0"/>
              <w:spacing w:line="360" w:lineRule="auto"/>
              <w:rPr>
                <w:b/>
                <w:bCs/>
                <w:color w:val="auto"/>
                <w:sz w:val="24"/>
              </w:rPr>
            </w:pPr>
            <w:r>
              <w:rPr>
                <w:b/>
                <w:bCs/>
                <w:color w:val="auto"/>
                <w:sz w:val="24"/>
              </w:rPr>
              <w:t>环境管理要求</w:t>
            </w:r>
          </w:p>
          <w:p>
            <w:pPr>
              <w:pStyle w:val="2"/>
              <w:ind w:firstLine="480" w:firstLineChars="200"/>
              <w:rPr>
                <w:rFonts w:hint="default" w:ascii="Times New Roman" w:hAnsi="Times New Roman" w:cs="Times New Roman"/>
                <w:color w:val="auto"/>
              </w:rPr>
            </w:pPr>
            <w:r>
              <w:rPr>
                <w:rFonts w:hint="default" w:ascii="Times New Roman" w:hAnsi="Times New Roman" w:cs="Times New Roman"/>
                <w:color w:val="auto"/>
              </w:rPr>
              <w:t>根据《排污许可证申请与核发技术规范—总则》（HJ942-2018）,本评价针对项目运营期提出如下环境管理要求：</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（1）建立完善的环境管理机构，设立专门环保人员，确定各个部门及岗位的环境保护目标和可量化的指标，促进全体员工参与到的环保工作之中。</w:t>
            </w:r>
          </w:p>
          <w:p>
            <w:pPr>
              <w:adjustRightInd w:val="0"/>
              <w:snapToGrid w:val="0"/>
              <w:spacing w:line="360" w:lineRule="auto"/>
              <w:ind w:firstLine="480" w:firstLineChars="200"/>
              <w:rPr>
                <w:color w:val="auto"/>
                <w:sz w:val="24"/>
              </w:rPr>
            </w:pPr>
            <w:r>
              <w:rPr>
                <w:rFonts w:hint="default" w:ascii="Times New Roman" w:hAnsi="Times New Roman" w:cs="Times New Roman"/>
                <w:color w:val="auto"/>
                <w:sz w:val="24"/>
              </w:rPr>
              <w:t>（2）制定环境保护规章制度</w:t>
            </w:r>
            <w:r>
              <w:rPr>
                <w:color w:val="auto"/>
                <w:sz w:val="24"/>
              </w:rPr>
              <w:t>。如岗位环保责任制、环保设施运行管理规定等，对全体员工进行定期和不定期的环境保护知识培训，提高他们的环境保护意识，以保证环境管理工作的顺利进行。</w:t>
            </w:r>
          </w:p>
          <w:p>
            <w:pPr>
              <w:tabs>
                <w:tab w:val="left" w:pos="1080"/>
              </w:tabs>
              <w:adjustRightInd w:val="0"/>
              <w:snapToGrid w:val="0"/>
              <w:spacing w:line="360" w:lineRule="auto"/>
              <w:ind w:firstLine="480" w:firstLineChars="200"/>
              <w:rPr>
                <w:color w:val="auto"/>
                <w:sz w:val="24"/>
              </w:rPr>
            </w:pPr>
            <w:r>
              <w:rPr>
                <w:color w:val="auto"/>
                <w:sz w:val="24"/>
              </w:rPr>
              <w:t>（3）加强环保设施监督管理，加强环保设施的检修、维护，确保设备正常高效运行。</w:t>
            </w:r>
          </w:p>
          <w:p>
            <w:pPr>
              <w:pStyle w:val="28"/>
              <w:adjustRightInd w:val="0"/>
              <w:snapToGrid w:val="0"/>
              <w:spacing w:line="360" w:lineRule="auto"/>
              <w:ind w:firstLine="480"/>
              <w:rPr>
                <w:color w:val="auto"/>
                <w:sz w:val="24"/>
              </w:rPr>
            </w:pPr>
            <w:r>
              <w:rPr>
                <w:color w:val="auto"/>
                <w:sz w:val="24"/>
              </w:rPr>
              <w:t>（4）企业应建立环境管理台账制度，落实环境管理台账制度记录的责任部门和责任人，明确工作职责，包括台账的记录、整理、维护和管理，并对台账的真实性、完整性和规范性负责。一般按照日批次进行记录，异常情况按次记录。</w:t>
            </w:r>
          </w:p>
          <w:p>
            <w:pPr>
              <w:pStyle w:val="28"/>
              <w:adjustRightInd w:val="0"/>
              <w:snapToGrid w:val="0"/>
              <w:spacing w:line="360" w:lineRule="auto"/>
              <w:ind w:firstLine="480"/>
              <w:rPr>
                <w:color w:val="auto"/>
                <w:sz w:val="24"/>
              </w:rPr>
            </w:pPr>
            <w:r>
              <w:rPr>
                <w:color w:val="auto"/>
                <w:sz w:val="24"/>
              </w:rPr>
              <w:t>环境管理台账按照电子台账和纸质台账两种形式同步管理，</w:t>
            </w:r>
            <w:r>
              <w:rPr>
                <w:rFonts w:hint="eastAsia"/>
                <w:color w:val="auto"/>
                <w:sz w:val="24"/>
              </w:rPr>
              <w:t>应真实</w:t>
            </w:r>
            <w:r>
              <w:rPr>
                <w:color w:val="auto"/>
                <w:sz w:val="24"/>
              </w:rPr>
              <w:t>记录基本信息、产污设施运行管理信息、污染防治设施运行管理信息、监测记录及其他环境管理信息。产污设施、污染防治设施、排放口应与排污许可证副本中载明的编码一致。</w:t>
            </w:r>
          </w:p>
          <w:p>
            <w:pPr>
              <w:adjustRightInd w:val="0"/>
              <w:snapToGrid w:val="0"/>
              <w:spacing w:line="360" w:lineRule="auto"/>
              <w:ind w:firstLine="480" w:firstLineChars="200"/>
              <w:rPr>
                <w:color w:val="auto"/>
                <w:sz w:val="24"/>
              </w:rPr>
            </w:pPr>
            <w:r>
              <w:rPr>
                <w:color w:val="auto"/>
                <w:sz w:val="24"/>
              </w:rPr>
              <w:t>（5）企业应按排污许可证规定时间提交执行报告，并对执行报告中各项内容和数据的真实性有效性负责，并承担相应法律责任；应自觉接受生态环境主管部门监管和社会公众监督，如提交的内容和数据与实际情况不符，应积极接受调查，并依法接受处罚。</w:t>
            </w:r>
          </w:p>
          <w:p>
            <w:pPr>
              <w:pStyle w:val="8"/>
              <w:spacing w:line="360" w:lineRule="auto"/>
              <w:ind w:firstLine="0"/>
              <w:rPr>
                <w:rFonts w:ascii="Times New Roman" w:hAnsi="Times New Roman"/>
                <w:b/>
                <w:bCs/>
                <w:color w:val="auto"/>
                <w:sz w:val="24"/>
              </w:rPr>
            </w:pPr>
            <w:r>
              <w:rPr>
                <w:rFonts w:ascii="Times New Roman" w:hAnsi="Times New Roman"/>
                <w:b/>
                <w:bCs/>
                <w:color w:val="auto"/>
                <w:sz w:val="24"/>
              </w:rPr>
              <w:t>排污口设置及规范要求</w:t>
            </w:r>
          </w:p>
          <w:p>
            <w:pPr>
              <w:widowControl/>
              <w:spacing w:line="360" w:lineRule="auto"/>
              <w:ind w:firstLine="480" w:firstLineChars="200"/>
              <w:rPr>
                <w:color w:val="auto"/>
                <w:sz w:val="24"/>
              </w:rPr>
            </w:pPr>
            <w:r>
              <w:rPr>
                <w:color w:val="auto"/>
                <w:kern w:val="0"/>
                <w:sz w:val="24"/>
                <w:lang w:bidi="ar"/>
              </w:rPr>
              <w:t>根据国家环保总局《关于开展排放口规范化整治工作的通知》（环发[1999]24号）以及重庆市环保局《关于印发重庆市排污口规范化清理整治实施方案的通知》（渝环发[2012]26号）中相关要求：</w:t>
            </w:r>
          </w:p>
          <w:p>
            <w:pPr>
              <w:widowControl/>
              <w:spacing w:line="360" w:lineRule="auto"/>
              <w:ind w:firstLine="480" w:firstLineChars="200"/>
              <w:rPr>
                <w:color w:val="auto"/>
                <w:sz w:val="24"/>
              </w:rPr>
            </w:pPr>
            <w:r>
              <w:rPr>
                <w:color w:val="auto"/>
                <w:kern w:val="0"/>
                <w:sz w:val="24"/>
                <w:lang w:bidi="ar"/>
              </w:rPr>
              <w:t>（1）废水</w:t>
            </w:r>
          </w:p>
          <w:p>
            <w:pPr>
              <w:widowControl/>
              <w:spacing w:line="360" w:lineRule="auto"/>
              <w:ind w:firstLine="480" w:firstLineChars="200"/>
              <w:rPr>
                <w:rFonts w:eastAsiaTheme="minorEastAsia"/>
                <w:color w:val="auto"/>
                <w:kern w:val="44"/>
                <w:sz w:val="24"/>
              </w:rPr>
            </w:pPr>
            <w:r>
              <w:rPr>
                <w:rFonts w:hint="eastAsia" w:ascii="Times New Roman" w:hAnsi="Times New Roman" w:cs="Times New Roman"/>
                <w:color w:val="auto"/>
                <w:sz w:val="24"/>
                <w:szCs w:val="24"/>
                <w:lang w:eastAsia="zh-CN"/>
              </w:rPr>
              <w:t>扩建项目</w:t>
            </w:r>
            <w:r>
              <w:rPr>
                <w:color w:val="auto"/>
                <w:kern w:val="0"/>
                <w:sz w:val="24"/>
                <w:lang w:bidi="ar"/>
              </w:rPr>
              <w:t>废水依托厂区现有污水处理设施处理达三级标准后排入园区市政污水管网，不新增排污口</w:t>
            </w:r>
            <w:r>
              <w:rPr>
                <w:rFonts w:hint="eastAsia"/>
                <w:color w:val="auto"/>
                <w:kern w:val="0"/>
                <w:sz w:val="24"/>
                <w:lang w:bidi="ar"/>
              </w:rPr>
              <w:t>，因此本评价不对</w:t>
            </w:r>
            <w:r>
              <w:rPr>
                <w:rFonts w:hint="eastAsia"/>
                <w:color w:val="auto"/>
                <w:kern w:val="0"/>
                <w:sz w:val="24"/>
                <w:lang w:eastAsia="zh-CN" w:bidi="ar"/>
              </w:rPr>
              <w:t>其</w:t>
            </w:r>
            <w:r>
              <w:rPr>
                <w:rFonts w:hint="eastAsia"/>
                <w:color w:val="auto"/>
                <w:kern w:val="0"/>
                <w:sz w:val="24"/>
                <w:lang w:bidi="ar"/>
              </w:rPr>
              <w:t>废水排放口提出设置要求</w:t>
            </w:r>
            <w:r>
              <w:rPr>
                <w:color w:val="auto"/>
                <w:kern w:val="0"/>
                <w:sz w:val="24"/>
                <w:lang w:bidi="ar"/>
              </w:rPr>
              <w:t>。</w:t>
            </w:r>
          </w:p>
          <w:p>
            <w:pPr>
              <w:spacing w:line="360" w:lineRule="auto"/>
              <w:ind w:firstLine="480"/>
              <w:rPr>
                <w:color w:val="auto"/>
                <w:sz w:val="24"/>
              </w:rPr>
            </w:pPr>
            <w:r>
              <w:rPr>
                <w:color w:val="auto"/>
                <w:sz w:val="24"/>
              </w:rPr>
              <w:t>（2）废气</w:t>
            </w:r>
          </w:p>
          <w:p>
            <w:pPr>
              <w:spacing w:line="360" w:lineRule="auto"/>
              <w:ind w:firstLine="480"/>
              <w:rPr>
                <w:color w:val="auto"/>
                <w:sz w:val="24"/>
              </w:rPr>
            </w:pPr>
            <w:r>
              <w:rPr>
                <w:color w:val="auto"/>
                <w:sz w:val="24"/>
              </w:rPr>
              <w:t>①新增废气排气筒应修建采样平台，设置监测采样口，采样口的设置应符合《污染源技术规范》要求；采样口必须设置常备电源。</w:t>
            </w:r>
          </w:p>
          <w:p>
            <w:pPr>
              <w:spacing w:line="360" w:lineRule="auto"/>
              <w:ind w:firstLine="480"/>
              <w:rPr>
                <w:color w:val="auto"/>
                <w:sz w:val="24"/>
              </w:rPr>
            </w:pPr>
            <w:r>
              <w:rPr>
                <w:color w:val="auto"/>
                <w:sz w:val="24"/>
              </w:rPr>
              <w:t>根据《固定污染源排气中颗粒物测定与气态污染源采样方法》（GB/T16157-1996），废气排污口采样孔设置的位置应该是“距弯头、阀门、变径下游方向不小于6倍直径，上游方向不小于3倍直径”，如果是矩形烟道的，其当量直径D＝2AB/(A+B)，式中A、B为边长。</w:t>
            </w:r>
          </w:p>
          <w:p>
            <w:pPr>
              <w:spacing w:line="360" w:lineRule="auto"/>
              <w:ind w:firstLine="480"/>
              <w:rPr>
                <w:color w:val="auto"/>
                <w:sz w:val="24"/>
              </w:rPr>
            </w:pPr>
            <w:r>
              <w:rPr>
                <w:color w:val="auto"/>
                <w:sz w:val="24"/>
              </w:rPr>
              <w:t>采样平台应有足够的工作面积使工作人员安全、方便地操作，平台面积应不小于1.5m</w:t>
            </w:r>
            <w:r>
              <w:rPr>
                <w:color w:val="auto"/>
                <w:sz w:val="24"/>
                <w:vertAlign w:val="superscript"/>
              </w:rPr>
              <w:t>2</w:t>
            </w:r>
            <w:r>
              <w:rPr>
                <w:color w:val="auto"/>
                <w:sz w:val="24"/>
              </w:rPr>
              <w:t>，并设有1.1m高的护栏和不低于10cm的脚部挡板，采样平台的承重应不小于200kg/m</w:t>
            </w:r>
            <w:r>
              <w:rPr>
                <w:color w:val="auto"/>
                <w:sz w:val="24"/>
                <w:vertAlign w:val="superscript"/>
              </w:rPr>
              <w:t>2</w:t>
            </w:r>
            <w:r>
              <w:rPr>
                <w:color w:val="auto"/>
                <w:sz w:val="24"/>
              </w:rPr>
              <w:t>，采样孔距平台面约为1.2m～1.3m。</w:t>
            </w:r>
          </w:p>
          <w:p>
            <w:pPr>
              <w:spacing w:line="360" w:lineRule="auto"/>
              <w:ind w:firstLine="480"/>
              <w:rPr>
                <w:color w:val="auto"/>
                <w:sz w:val="24"/>
              </w:rPr>
            </w:pPr>
            <w:r>
              <w:rPr>
                <w:color w:val="auto"/>
                <w:sz w:val="24"/>
              </w:rPr>
              <w:t>②排气筒应设置、注明以下内容：标准编号、污染源名称及型号；排放高度、出口直径；排气量、最大允许排放浓度；排放大气污染物的名称、最大允许排放量。</w:t>
            </w:r>
          </w:p>
          <w:p>
            <w:pPr>
              <w:widowControl/>
              <w:spacing w:line="360" w:lineRule="auto"/>
              <w:ind w:firstLine="480" w:firstLineChars="200"/>
              <w:rPr>
                <w:color w:val="auto"/>
                <w:sz w:val="24"/>
              </w:rPr>
            </w:pPr>
            <w:r>
              <w:rPr>
                <w:color w:val="auto"/>
                <w:kern w:val="0"/>
                <w:sz w:val="24"/>
                <w:lang w:bidi="ar"/>
              </w:rPr>
              <w:t>（</w:t>
            </w:r>
            <w:r>
              <w:rPr>
                <w:rFonts w:hint="eastAsia"/>
                <w:color w:val="auto"/>
                <w:kern w:val="0"/>
                <w:sz w:val="24"/>
                <w:lang w:bidi="ar"/>
              </w:rPr>
              <w:t>3</w:t>
            </w:r>
            <w:r>
              <w:rPr>
                <w:color w:val="auto"/>
                <w:kern w:val="0"/>
                <w:sz w:val="24"/>
                <w:lang w:bidi="ar"/>
              </w:rPr>
              <w:t>）噪声</w:t>
            </w:r>
          </w:p>
          <w:p>
            <w:pPr>
              <w:widowControl/>
              <w:spacing w:line="360" w:lineRule="auto"/>
              <w:ind w:firstLine="480" w:firstLineChars="200"/>
              <w:rPr>
                <w:color w:val="auto"/>
                <w:sz w:val="24"/>
              </w:rPr>
            </w:pPr>
            <w:r>
              <w:rPr>
                <w:color w:val="auto"/>
                <w:kern w:val="0"/>
                <w:sz w:val="24"/>
                <w:lang w:bidi="ar"/>
              </w:rPr>
              <w:t>①工业企业厂界噪声监测点应在厂界外1m、高度1.2m以上的噪声敏感处；</w:t>
            </w:r>
          </w:p>
          <w:p>
            <w:pPr>
              <w:widowControl/>
              <w:spacing w:line="360" w:lineRule="auto"/>
              <w:ind w:firstLine="480" w:firstLineChars="200"/>
              <w:rPr>
                <w:color w:val="auto"/>
                <w:sz w:val="24"/>
              </w:rPr>
            </w:pPr>
            <w:r>
              <w:rPr>
                <w:color w:val="auto"/>
                <w:kern w:val="0"/>
                <w:sz w:val="24"/>
                <w:lang w:bidi="ar"/>
              </w:rPr>
              <w:t>②在固定噪声源对外界影响最大处设置监测点。</w:t>
            </w:r>
          </w:p>
          <w:p>
            <w:pPr>
              <w:widowControl/>
              <w:spacing w:line="360" w:lineRule="auto"/>
              <w:ind w:firstLine="480" w:firstLineChars="200"/>
              <w:rPr>
                <w:color w:val="auto"/>
                <w:sz w:val="24"/>
              </w:rPr>
            </w:pPr>
            <w:r>
              <w:rPr>
                <w:color w:val="auto"/>
                <w:kern w:val="0"/>
                <w:sz w:val="24"/>
                <w:lang w:bidi="ar"/>
              </w:rPr>
              <w:t>（3）固废</w:t>
            </w:r>
          </w:p>
          <w:p>
            <w:pPr>
              <w:widowControl/>
              <w:spacing w:line="360" w:lineRule="auto"/>
              <w:ind w:firstLine="480" w:firstLineChars="200"/>
              <w:rPr>
                <w:color w:val="auto"/>
                <w:sz w:val="24"/>
              </w:rPr>
            </w:pPr>
            <w:r>
              <w:rPr>
                <w:color w:val="auto"/>
                <w:kern w:val="0"/>
                <w:sz w:val="24"/>
                <w:lang w:bidi="ar"/>
              </w:rPr>
              <w:t>①一般固体废弃物应设置专用贮存、堆放场地。</w:t>
            </w:r>
          </w:p>
          <w:p>
            <w:pPr>
              <w:widowControl/>
              <w:spacing w:line="360" w:lineRule="auto"/>
              <w:ind w:firstLine="480" w:firstLineChars="200"/>
              <w:rPr>
                <w:color w:val="auto"/>
                <w:sz w:val="24"/>
              </w:rPr>
            </w:pPr>
            <w:r>
              <w:rPr>
                <w:color w:val="auto"/>
                <w:kern w:val="0"/>
                <w:sz w:val="24"/>
                <w:lang w:bidi="ar"/>
              </w:rPr>
              <w:t>②危险废物专用堆放场地必须有防扬散、防流失，防渗漏等防治措施，并按规范设置相应标志牌。</w:t>
            </w:r>
          </w:p>
          <w:p>
            <w:pPr>
              <w:widowControl/>
              <w:spacing w:line="360" w:lineRule="auto"/>
              <w:ind w:firstLine="480" w:firstLineChars="200"/>
              <w:rPr>
                <w:color w:val="auto"/>
                <w:sz w:val="24"/>
              </w:rPr>
            </w:pPr>
            <w:r>
              <w:rPr>
                <w:color w:val="auto"/>
                <w:kern w:val="0"/>
                <w:sz w:val="24"/>
                <w:lang w:bidi="ar"/>
              </w:rPr>
              <w:t>（4）排污口标志要求</w:t>
            </w:r>
          </w:p>
          <w:p>
            <w:pPr>
              <w:widowControl/>
              <w:spacing w:line="360" w:lineRule="auto"/>
              <w:ind w:firstLine="480" w:firstLineChars="200"/>
              <w:rPr>
                <w:color w:val="auto"/>
                <w:sz w:val="24"/>
              </w:rPr>
            </w:pPr>
            <w:r>
              <w:rPr>
                <w:color w:val="auto"/>
                <w:kern w:val="0"/>
                <w:sz w:val="24"/>
                <w:lang w:bidi="ar"/>
              </w:rPr>
              <w:t>排污口必须按照国家颁布的有关污染物强制性排放标准的要求，设置排污口标志牌，排污口标志牌是对排污单位排放污染物实施监测采样和监督管理的法定标志。标志牌设置应距污染物排污口（源）及固体废物贮存（处置）场或采样、监测点附近且醒目处，并能长久保留。可根据情况分别选择设置立式或平面固定式标志牌，在地面设置标志牌上缘距离地面2米。标志牌制作和规格参照《关于印发排污口标志牌技术规格的通知》（环办[2003]95号）执行。</w:t>
            </w:r>
          </w:p>
          <w:p>
            <w:pPr>
              <w:pStyle w:val="8"/>
              <w:ind w:firstLine="0"/>
              <w:rPr>
                <w:color w:val="auto"/>
              </w:rPr>
            </w:pPr>
          </w:p>
        </w:tc>
      </w:tr>
    </w:tbl>
    <w:p>
      <w:pPr>
        <w:pStyle w:val="19"/>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djustRightInd w:val="0"/>
              <w:snapToGrid w:val="0"/>
              <w:spacing w:line="360" w:lineRule="auto"/>
              <w:rPr>
                <w:b/>
                <w:color w:val="auto"/>
                <w:sz w:val="24"/>
              </w:rPr>
            </w:pPr>
            <w:r>
              <w:rPr>
                <w:b/>
                <w:color w:val="auto"/>
                <w:sz w:val="24"/>
              </w:rPr>
              <w:t>综合结论</w:t>
            </w:r>
          </w:p>
          <w:p>
            <w:pPr>
              <w:tabs>
                <w:tab w:val="left" w:pos="873"/>
              </w:tabs>
              <w:spacing w:line="360" w:lineRule="auto"/>
              <w:ind w:firstLine="480" w:firstLineChars="200"/>
              <w:rPr>
                <w:rFonts w:ascii="宋体" w:cs="宋体"/>
                <w:color w:val="auto"/>
                <w:sz w:val="24"/>
              </w:rPr>
            </w:pPr>
            <w:r>
              <w:rPr>
                <w:rFonts w:hint="eastAsia" w:cs="宋体"/>
                <w:bCs/>
                <w:color w:val="auto"/>
                <w:sz w:val="24"/>
              </w:rPr>
              <w:t>本项目符合国家产业政策，符合城市总体规划，符合</w:t>
            </w:r>
            <w:r>
              <w:rPr>
                <w:rFonts w:hint="eastAsia"/>
                <w:color w:val="auto"/>
                <w:sz w:val="24"/>
              </w:rPr>
              <w:t>铜梁工业园</w:t>
            </w:r>
            <w:r>
              <w:rPr>
                <w:rFonts w:hint="eastAsia"/>
                <w:bCs/>
                <w:color w:val="auto"/>
                <w:sz w:val="24"/>
              </w:rPr>
              <w:t>产业</w:t>
            </w:r>
            <w:r>
              <w:rPr>
                <w:rFonts w:hint="eastAsia" w:cs="宋体"/>
                <w:bCs/>
                <w:color w:val="auto"/>
                <w:sz w:val="24"/>
              </w:rPr>
              <w:t>定位要求</w:t>
            </w:r>
            <w:r>
              <w:rPr>
                <w:rFonts w:hint="eastAsia" w:cs="宋体"/>
                <w:bCs/>
                <w:color w:val="auto"/>
                <w:spacing w:val="-6"/>
                <w:sz w:val="24"/>
              </w:rPr>
              <w:t>，</w:t>
            </w:r>
            <w:r>
              <w:rPr>
                <w:rFonts w:hint="eastAsia" w:cs="宋体"/>
                <w:bCs/>
                <w:color w:val="auto"/>
                <w:sz w:val="24"/>
              </w:rPr>
              <w:t>选址合理；外排污染物经有效治理措施治理后，能够做到达标排放，</w:t>
            </w:r>
            <w:r>
              <w:rPr>
                <w:bCs/>
                <w:color w:val="auto"/>
                <w:sz w:val="24"/>
              </w:rPr>
              <w:t>对周边环境影响在可接受范围内</w:t>
            </w:r>
            <w:r>
              <w:rPr>
                <w:rFonts w:hint="eastAsia" w:cs="宋体"/>
                <w:bCs/>
                <w:color w:val="auto"/>
                <w:sz w:val="24"/>
              </w:rPr>
              <w:t>，因此从环保角度来说，本评价认为“</w:t>
            </w:r>
            <w:r>
              <w:rPr>
                <w:rFonts w:hint="eastAsia"/>
                <w:color w:val="auto"/>
                <w:sz w:val="24"/>
              </w:rPr>
              <w:t>年产拉幅定型无纺布500吨、淋膜无纺布300吨扩建项目”</w:t>
            </w:r>
            <w:r>
              <w:rPr>
                <w:rFonts w:hint="eastAsia" w:cs="宋体"/>
                <w:bCs/>
                <w:color w:val="auto"/>
                <w:sz w:val="24"/>
              </w:rPr>
              <w:t>建设可行。</w:t>
            </w:r>
          </w:p>
        </w:tc>
      </w:tr>
    </w:tbl>
    <w:p>
      <w:pPr>
        <w:rPr>
          <w:rFonts w:ascii="宋体"/>
          <w:color w:val="auto"/>
        </w:rPr>
        <w:sectPr>
          <w:pgSz w:w="11905" w:h="16838"/>
          <w:pgMar w:top="1701" w:right="1531" w:bottom="2126" w:left="1531" w:header="851" w:footer="850" w:gutter="0"/>
          <w:pgBorders>
            <w:top w:val="none" w:sz="0" w:space="0"/>
            <w:left w:val="none" w:sz="0" w:space="0"/>
            <w:bottom w:val="none" w:sz="0" w:space="0"/>
            <w:right w:val="none" w:sz="0" w:space="0"/>
          </w:pgBorders>
          <w:cols w:space="0" w:num="1"/>
          <w:docGrid w:linePitch="312" w:charSpace="0"/>
        </w:sectPr>
      </w:pPr>
    </w:p>
    <w:p>
      <w:pPr>
        <w:pStyle w:val="19"/>
        <w:adjustRightInd w:val="0"/>
        <w:snapToGrid w:val="0"/>
        <w:spacing w:before="0" w:beforeAutospacing="0" w:after="0" w:afterAutospacing="0" w:line="360" w:lineRule="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9"/>
        <w:adjustRightInd w:val="0"/>
        <w:snapToGrid w:val="0"/>
        <w:spacing w:before="0" w:beforeAutospacing="0" w:after="0" w:afterAutospacing="0" w:line="360" w:lineRule="auto"/>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3"/>
              <w:spacing w:beforeLines="0" w:afterLines="0" w:line="240" w:lineRule="auto"/>
              <w:jc w:val="righ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pPr>
              <w:pStyle w:val="33"/>
              <w:spacing w:beforeLines="0" w:afterLines="0" w:line="240" w:lineRule="auto"/>
              <w:jc w:val="lef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1417" w:type="dxa"/>
            <w:tcMar>
              <w:left w:w="28" w:type="dxa"/>
              <w:right w:w="28" w:type="dxa"/>
            </w:tcMar>
            <w:vAlign w:val="center"/>
          </w:tcPr>
          <w:p>
            <w:pPr>
              <w:pStyle w:val="33"/>
              <w:spacing w:beforeLines="0" w:afterLines="0" w:line="240" w:lineRule="auto"/>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701" w:type="dxa"/>
            <w:tcMar>
              <w:left w:w="28" w:type="dxa"/>
              <w:right w:w="28" w:type="dxa"/>
            </w:tcMar>
            <w:vAlign w:val="center"/>
          </w:tcPr>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szCs w:val="21"/>
              </w:rPr>
              <w:t>①</w:t>
            </w:r>
            <w:r>
              <w:rPr>
                <w:rFonts w:ascii="黑体" w:hAnsi="黑体" w:eastAsia="黑体"/>
                <w:snapToGrid w:val="0"/>
                <w:color w:val="auto"/>
                <w:spacing w:val="-6"/>
                <w:kern w:val="21"/>
                <w:szCs w:val="21"/>
              </w:rPr>
              <w:fldChar w:fldCharType="end"/>
            </w:r>
          </w:p>
        </w:tc>
        <w:tc>
          <w:tcPr>
            <w:tcW w:w="1276" w:type="dxa"/>
            <w:tcMar>
              <w:left w:w="28" w:type="dxa"/>
              <w:right w:w="28" w:type="dxa"/>
            </w:tcMar>
            <w:vAlign w:val="center"/>
          </w:tcPr>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pPr>
              <w:pStyle w:val="33"/>
              <w:spacing w:beforeLines="0" w:afterLines="0"/>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701" w:type="dxa"/>
            <w:tcMar>
              <w:left w:w="28" w:type="dxa"/>
              <w:right w:w="28" w:type="dxa"/>
            </w:tcMar>
            <w:vAlign w:val="center"/>
          </w:tcPr>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szCs w:val="21"/>
              </w:rPr>
              <w:t>③</w:t>
            </w:r>
            <w:r>
              <w:rPr>
                <w:rFonts w:ascii="黑体" w:hAnsi="黑体" w:eastAsia="黑体"/>
                <w:snapToGrid w:val="0"/>
                <w:color w:val="auto"/>
                <w:spacing w:val="-6"/>
                <w:kern w:val="21"/>
                <w:szCs w:val="21"/>
              </w:rPr>
              <w:fldChar w:fldCharType="end"/>
            </w:r>
          </w:p>
        </w:tc>
        <w:tc>
          <w:tcPr>
            <w:tcW w:w="1559" w:type="dxa"/>
            <w:tcMar>
              <w:left w:w="28" w:type="dxa"/>
              <w:right w:w="28" w:type="dxa"/>
            </w:tcMar>
            <w:vAlign w:val="center"/>
          </w:tcPr>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szCs w:val="21"/>
              </w:rPr>
              <w:t>④</w:t>
            </w:r>
            <w:r>
              <w:rPr>
                <w:rFonts w:ascii="黑体" w:hAnsi="黑体" w:eastAsia="黑体"/>
                <w:snapToGrid w:val="0"/>
                <w:color w:val="auto"/>
                <w:spacing w:val="-6"/>
                <w:kern w:val="21"/>
                <w:szCs w:val="21"/>
              </w:rPr>
              <w:fldChar w:fldCharType="end"/>
            </w:r>
          </w:p>
        </w:tc>
        <w:tc>
          <w:tcPr>
            <w:tcW w:w="1761" w:type="dxa"/>
            <w:tcMar>
              <w:left w:w="28" w:type="dxa"/>
              <w:right w:w="28" w:type="dxa"/>
            </w:tcMar>
            <w:vAlign w:val="center"/>
          </w:tcPr>
          <w:p>
            <w:pPr>
              <w:pStyle w:val="33"/>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pPr>
              <w:pStyle w:val="33"/>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szCs w:val="21"/>
              </w:rPr>
              <w:t>⑤</w:t>
            </w:r>
            <w:r>
              <w:rPr>
                <w:rFonts w:ascii="黑体" w:hAnsi="黑体" w:eastAsia="黑体"/>
                <w:snapToGrid w:val="0"/>
                <w:color w:val="auto"/>
                <w:spacing w:val="-16"/>
                <w:kern w:val="21"/>
                <w:szCs w:val="21"/>
              </w:rPr>
              <w:fldChar w:fldCharType="end"/>
            </w:r>
          </w:p>
        </w:tc>
        <w:tc>
          <w:tcPr>
            <w:tcW w:w="1959" w:type="dxa"/>
            <w:tcMar>
              <w:left w:w="28" w:type="dxa"/>
              <w:right w:w="28" w:type="dxa"/>
            </w:tcMar>
            <w:vAlign w:val="center"/>
          </w:tcPr>
          <w:p>
            <w:pPr>
              <w:pStyle w:val="33"/>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pPr>
              <w:pStyle w:val="33"/>
              <w:spacing w:beforeLines="0" w:afterLines="0" w:line="240" w:lineRule="auto"/>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szCs w:val="21"/>
              </w:rPr>
              <w:t>⑥</w:t>
            </w:r>
            <w:r>
              <w:rPr>
                <w:rFonts w:ascii="黑体" w:hAnsi="黑体" w:eastAsia="黑体"/>
                <w:snapToGrid w:val="0"/>
                <w:color w:val="auto"/>
                <w:spacing w:val="-16"/>
                <w:kern w:val="21"/>
                <w:szCs w:val="21"/>
              </w:rPr>
              <w:fldChar w:fldCharType="end"/>
            </w:r>
          </w:p>
        </w:tc>
        <w:tc>
          <w:tcPr>
            <w:tcW w:w="826" w:type="dxa"/>
            <w:tcMar>
              <w:left w:w="28" w:type="dxa"/>
              <w:right w:w="28" w:type="dxa"/>
            </w:tcMar>
            <w:vAlign w:val="center"/>
          </w:tcPr>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pPr>
              <w:pStyle w:val="33"/>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szCs w:val="21"/>
              </w:rPr>
              <w:t>⑦</w:t>
            </w:r>
            <w:r>
              <w:rPr>
                <w:rFonts w:ascii="黑体" w:hAnsi="黑体"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废气</w:t>
            </w: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非甲烷总烃</w:t>
            </w:r>
          </w:p>
        </w:tc>
        <w:tc>
          <w:tcPr>
            <w:tcW w:w="1701" w:type="dxa"/>
            <w:vAlign w:val="center"/>
          </w:tcPr>
          <w:p>
            <w:pPr>
              <w:jc w:val="center"/>
              <w:rPr>
                <w:color w:val="auto"/>
              </w:rPr>
            </w:pPr>
            <w:r>
              <w:rPr>
                <w:rFonts w:hint="eastAsia"/>
                <w:color w:val="auto"/>
                <w:lang w:val="en-US" w:eastAsia="zh-CN"/>
              </w:rPr>
              <w:t>0.126</w:t>
            </w:r>
            <w:r>
              <w:rPr>
                <w:rFonts w:hint="eastAsia"/>
                <w:color w:val="auto"/>
              </w:rPr>
              <w:t>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w:t>
            </w:r>
            <w:r>
              <w:rPr>
                <w:rFonts w:hint="eastAsia"/>
                <w:color w:val="auto"/>
                <w:kern w:val="0"/>
                <w:szCs w:val="21"/>
                <w:lang w:val="en-US" w:eastAsia="zh-CN" w:bidi="ar"/>
              </w:rPr>
              <w:t>307</w:t>
            </w:r>
            <w:r>
              <w:rPr>
                <w:color w:val="auto"/>
                <w:kern w:val="0"/>
                <w:szCs w:val="21"/>
                <w:lang w:bidi="ar"/>
              </w:rPr>
              <w:t>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w:t>
            </w:r>
            <w:r>
              <w:rPr>
                <w:rFonts w:hint="eastAsia"/>
                <w:color w:val="auto"/>
                <w:kern w:val="0"/>
                <w:szCs w:val="21"/>
                <w:lang w:val="en-US" w:eastAsia="zh-CN" w:bidi="ar"/>
              </w:rPr>
              <w:t>443</w:t>
            </w:r>
            <w:r>
              <w:rPr>
                <w:rFonts w:hint="eastAsia"/>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w:t>
            </w:r>
            <w:r>
              <w:rPr>
                <w:rFonts w:hint="eastAsia"/>
                <w:color w:val="auto"/>
                <w:kern w:val="0"/>
                <w:szCs w:val="21"/>
                <w:lang w:val="en-US" w:eastAsia="zh-CN" w:bidi="ar"/>
              </w:rPr>
              <w:t>307</w:t>
            </w:r>
            <w:r>
              <w:rPr>
                <w:rFonts w:hint="eastAsia"/>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SO</w:t>
            </w:r>
            <w:r>
              <w:rPr>
                <w:rFonts w:ascii="Times New Roman" w:hAnsi="Times New Roman" w:cs="Times New Roman"/>
                <w:snapToGrid w:val="0"/>
                <w:color w:val="auto"/>
                <w:kern w:val="21"/>
                <w:szCs w:val="21"/>
                <w:vertAlign w:val="subscript"/>
              </w:rPr>
              <w:t>2</w:t>
            </w: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0.044t/a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0.0440</w:t>
            </w:r>
            <w:r>
              <w:rPr>
                <w:rFonts w:hint="eastAsia"/>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0.044</w:t>
            </w:r>
            <w:r>
              <w:rPr>
                <w:rFonts w:hint="eastAsia"/>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NO</w:t>
            </w:r>
            <w:r>
              <w:rPr>
                <w:rFonts w:ascii="Times New Roman" w:hAnsi="Times New Roman" w:cs="Times New Roman"/>
                <w:snapToGrid w:val="0"/>
                <w:color w:val="auto"/>
                <w:kern w:val="21"/>
                <w:szCs w:val="21"/>
                <w:vertAlign w:val="subscript"/>
              </w:rPr>
              <w:t>X</w:t>
            </w: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0.408t/a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0.4080</w:t>
            </w:r>
            <w:r>
              <w:rPr>
                <w:rFonts w:hint="eastAsia"/>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0.408</w:t>
            </w:r>
            <w:r>
              <w:rPr>
                <w:rFonts w:hint="eastAsia"/>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颗粒物</w:t>
            </w: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0.763</w:t>
            </w:r>
            <w:r>
              <w:rPr>
                <w:rFonts w:hint="eastAsia" w:ascii="Times New Roman" w:hAnsi="Times New Roman" w:cs="Times New Roman"/>
                <w:snapToGrid w:val="0"/>
                <w:color w:val="auto"/>
                <w:kern w:val="21"/>
                <w:szCs w:val="21"/>
              </w:rPr>
              <w:t>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0.062t/a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rFonts w:hint="eastAsia"/>
                <w:color w:val="auto"/>
                <w:kern w:val="0"/>
                <w:szCs w:val="21"/>
                <w:lang w:val="en-US" w:eastAsia="zh-CN" w:bidi="ar"/>
              </w:rPr>
              <w:t>0.825</w:t>
            </w:r>
            <w:r>
              <w:rPr>
                <w:rFonts w:hint="eastAsia"/>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0.062</w:t>
            </w:r>
            <w:r>
              <w:rPr>
                <w:rFonts w:hint="eastAsia"/>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废水</w:t>
            </w:r>
          </w:p>
        </w:tc>
        <w:tc>
          <w:tcPr>
            <w:tcW w:w="1417"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COD</w:t>
            </w:r>
          </w:p>
        </w:tc>
        <w:tc>
          <w:tcPr>
            <w:tcW w:w="1701"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0.165t/a</w:t>
            </w: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5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0.01</w:t>
            </w:r>
            <w:r>
              <w:rPr>
                <w:rFonts w:hint="default" w:ascii="Times New Roman" w:hAnsi="Times New Roman" w:cs="Times New Roman"/>
                <w:color w:val="auto"/>
                <w:kern w:val="0"/>
                <w:sz w:val="21"/>
                <w:szCs w:val="21"/>
                <w:lang w:val="en-US" w:eastAsia="zh-CN" w:bidi="ar"/>
              </w:rPr>
              <w:t>4</w:t>
            </w:r>
            <w:r>
              <w:rPr>
                <w:rFonts w:hint="default" w:ascii="Times New Roman" w:hAnsi="Times New Roman" w:cs="Times New Roman"/>
                <w:color w:val="auto"/>
                <w:kern w:val="0"/>
                <w:sz w:val="21"/>
                <w:szCs w:val="21"/>
                <w:lang w:bidi="ar"/>
              </w:rPr>
              <w:t>t/a</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0.17</w:t>
            </w:r>
            <w:r>
              <w:rPr>
                <w:rFonts w:hint="default" w:ascii="Times New Roman" w:hAnsi="Times New Roman" w:cs="Times New Roman"/>
                <w:color w:val="auto"/>
                <w:kern w:val="0"/>
                <w:sz w:val="21"/>
                <w:szCs w:val="21"/>
                <w:lang w:val="en-US" w:eastAsia="zh-CN" w:bidi="ar"/>
              </w:rPr>
              <w:t>9</w:t>
            </w:r>
            <w:r>
              <w:rPr>
                <w:rFonts w:hint="default" w:ascii="Times New Roman" w:hAnsi="Times New Roman" w:cs="Times New Roman"/>
                <w:color w:val="auto"/>
                <w:kern w:val="0"/>
                <w:sz w:val="21"/>
                <w:szCs w:val="21"/>
                <w:lang w:bidi="ar"/>
              </w:rPr>
              <w:t>t/a</w:t>
            </w:r>
          </w:p>
        </w:tc>
        <w:tc>
          <w:tcPr>
            <w:tcW w:w="826"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+0.01</w:t>
            </w:r>
            <w:r>
              <w:rPr>
                <w:rFonts w:hint="default" w:ascii="Times New Roman" w:hAnsi="Times New Roman" w:cs="Times New Roman"/>
                <w:color w:val="auto"/>
                <w:kern w:val="0"/>
                <w:sz w:val="21"/>
                <w:szCs w:val="21"/>
                <w:lang w:val="en-US" w:eastAsia="zh-CN" w:bidi="ar"/>
              </w:rPr>
              <w:t>4</w:t>
            </w:r>
            <w:r>
              <w:rPr>
                <w:rFonts w:hint="default" w:ascii="Times New Roman" w:hAnsi="Times New Roman" w:cs="Times New Roman"/>
                <w:color w:val="auto"/>
                <w:kern w:val="0"/>
                <w:sz w:val="21"/>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BOD</w:t>
            </w:r>
            <w:r>
              <w:rPr>
                <w:rFonts w:hint="default" w:ascii="Times New Roman" w:hAnsi="Times New Roman" w:cs="Times New Roman"/>
                <w:color w:val="auto"/>
                <w:kern w:val="0"/>
                <w:sz w:val="21"/>
                <w:szCs w:val="21"/>
                <w:vertAlign w:val="subscript"/>
                <w:lang w:bidi="ar"/>
              </w:rPr>
              <w:t>5</w:t>
            </w:r>
          </w:p>
        </w:tc>
        <w:tc>
          <w:tcPr>
            <w:tcW w:w="1701"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0.055t/a</w:t>
            </w: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5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w:t>
            </w:r>
            <w:r>
              <w:rPr>
                <w:rFonts w:hint="default" w:ascii="Times New Roman" w:hAnsi="Times New Roman" w:cs="Times New Roman"/>
                <w:color w:val="auto"/>
                <w:kern w:val="0"/>
                <w:sz w:val="21"/>
                <w:szCs w:val="21"/>
                <w:lang w:val="en-US" w:eastAsia="zh-CN" w:bidi="ar"/>
              </w:rPr>
              <w:t>5</w:t>
            </w:r>
            <w:r>
              <w:rPr>
                <w:rFonts w:hint="default" w:ascii="Times New Roman" w:hAnsi="Times New Roman" w:cs="Times New Roman"/>
                <w:color w:val="auto"/>
                <w:kern w:val="0"/>
                <w:sz w:val="21"/>
                <w:szCs w:val="21"/>
                <w:lang w:bidi="ar"/>
              </w:rPr>
              <w:t>t/a</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w:t>
            </w:r>
            <w:r>
              <w:rPr>
                <w:rFonts w:hint="default" w:ascii="Times New Roman" w:hAnsi="Times New Roman" w:cs="Times New Roman"/>
                <w:color w:val="auto"/>
                <w:kern w:val="0"/>
                <w:sz w:val="21"/>
                <w:szCs w:val="21"/>
                <w:lang w:val="en-US" w:eastAsia="zh-CN" w:bidi="ar"/>
              </w:rPr>
              <w:t>60</w:t>
            </w:r>
            <w:r>
              <w:rPr>
                <w:rFonts w:hint="default" w:ascii="Times New Roman" w:hAnsi="Times New Roman" w:cs="Times New Roman"/>
                <w:color w:val="auto"/>
                <w:kern w:val="0"/>
                <w:sz w:val="21"/>
                <w:szCs w:val="21"/>
                <w:lang w:bidi="ar"/>
              </w:rPr>
              <w:t>t/a</w:t>
            </w:r>
          </w:p>
        </w:tc>
        <w:tc>
          <w:tcPr>
            <w:tcW w:w="826"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w:t>
            </w:r>
            <w:r>
              <w:rPr>
                <w:rFonts w:hint="default" w:ascii="Times New Roman" w:hAnsi="Times New Roman" w:cs="Times New Roman"/>
                <w:color w:val="auto"/>
                <w:kern w:val="0"/>
                <w:sz w:val="21"/>
                <w:szCs w:val="21"/>
                <w:lang w:val="en-US" w:eastAsia="zh-CN" w:bidi="ar"/>
              </w:rPr>
              <w:t>5</w:t>
            </w:r>
            <w:r>
              <w:rPr>
                <w:rFonts w:hint="default" w:ascii="Times New Roman" w:hAnsi="Times New Roman" w:cs="Times New Roman"/>
                <w:color w:val="auto"/>
                <w:kern w:val="0"/>
                <w:sz w:val="21"/>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SS</w:t>
            </w:r>
          </w:p>
        </w:tc>
        <w:tc>
          <w:tcPr>
            <w:tcW w:w="1701"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0.055t/a</w:t>
            </w: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5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w:t>
            </w:r>
            <w:r>
              <w:rPr>
                <w:rFonts w:hint="default" w:ascii="Times New Roman" w:hAnsi="Times New Roman" w:cs="Times New Roman"/>
                <w:color w:val="auto"/>
                <w:kern w:val="0"/>
                <w:sz w:val="21"/>
                <w:szCs w:val="21"/>
                <w:lang w:val="en-US" w:eastAsia="zh-CN" w:bidi="ar"/>
              </w:rPr>
              <w:t>5</w:t>
            </w:r>
            <w:r>
              <w:rPr>
                <w:rFonts w:hint="default" w:ascii="Times New Roman" w:hAnsi="Times New Roman" w:cs="Times New Roman"/>
                <w:color w:val="auto"/>
                <w:kern w:val="0"/>
                <w:sz w:val="21"/>
                <w:szCs w:val="21"/>
                <w:lang w:bidi="ar"/>
              </w:rPr>
              <w:t>t/a</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w:t>
            </w:r>
            <w:r>
              <w:rPr>
                <w:rFonts w:hint="default" w:ascii="Times New Roman" w:hAnsi="Times New Roman" w:cs="Times New Roman"/>
                <w:color w:val="auto"/>
                <w:kern w:val="0"/>
                <w:sz w:val="21"/>
                <w:szCs w:val="21"/>
                <w:lang w:val="en-US" w:eastAsia="zh-CN" w:bidi="ar"/>
              </w:rPr>
              <w:t>60</w:t>
            </w:r>
            <w:r>
              <w:rPr>
                <w:rFonts w:hint="default" w:ascii="Times New Roman" w:hAnsi="Times New Roman" w:cs="Times New Roman"/>
                <w:color w:val="auto"/>
                <w:kern w:val="0"/>
                <w:sz w:val="21"/>
                <w:szCs w:val="21"/>
                <w:lang w:bidi="ar"/>
              </w:rPr>
              <w:t>t/a</w:t>
            </w:r>
          </w:p>
        </w:tc>
        <w:tc>
          <w:tcPr>
            <w:tcW w:w="826"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w:t>
            </w:r>
            <w:r>
              <w:rPr>
                <w:rFonts w:hint="default" w:ascii="Times New Roman" w:hAnsi="Times New Roman" w:cs="Times New Roman"/>
                <w:color w:val="auto"/>
                <w:kern w:val="0"/>
                <w:sz w:val="21"/>
                <w:szCs w:val="21"/>
                <w:lang w:val="en-US" w:eastAsia="zh-CN" w:bidi="ar"/>
              </w:rPr>
              <w:t>5</w:t>
            </w:r>
            <w:r>
              <w:rPr>
                <w:rFonts w:hint="default" w:ascii="Times New Roman" w:hAnsi="Times New Roman" w:cs="Times New Roman"/>
                <w:color w:val="auto"/>
                <w:kern w:val="0"/>
                <w:sz w:val="21"/>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氨氮</w:t>
            </w:r>
          </w:p>
        </w:tc>
        <w:tc>
          <w:tcPr>
            <w:tcW w:w="1701"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0.022t/a</w:t>
            </w: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5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0.002t/a</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0.024t/a</w:t>
            </w:r>
          </w:p>
        </w:tc>
        <w:tc>
          <w:tcPr>
            <w:tcW w:w="826"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动植物油</w:t>
            </w:r>
          </w:p>
        </w:tc>
        <w:tc>
          <w:tcPr>
            <w:tcW w:w="1701"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0.008t/a</w:t>
            </w:r>
          </w:p>
        </w:tc>
        <w:tc>
          <w:tcPr>
            <w:tcW w:w="1276"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70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p>
        </w:tc>
        <w:tc>
          <w:tcPr>
            <w:tcW w:w="1559" w:type="dxa"/>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0.0001t/a</w:t>
            </w:r>
          </w:p>
        </w:tc>
        <w:tc>
          <w:tcPr>
            <w:tcW w:w="1761" w:type="dxa"/>
            <w:vAlign w:val="center"/>
          </w:tcPr>
          <w:p>
            <w:pPr>
              <w:pStyle w:val="33"/>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0.008t/a</w:t>
            </w:r>
          </w:p>
        </w:tc>
        <w:tc>
          <w:tcPr>
            <w:tcW w:w="826" w:type="dxa"/>
            <w:vAlign w:val="center"/>
          </w:tcPr>
          <w:p>
            <w:pPr>
              <w:widowControl/>
              <w:jc w:val="center"/>
              <w:textAlignment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+0.0001t/a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3"/>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一般工业</w:t>
            </w:r>
          </w:p>
          <w:p>
            <w:pPr>
              <w:pStyle w:val="33"/>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固体废物</w:t>
            </w:r>
          </w:p>
        </w:tc>
        <w:tc>
          <w:tcPr>
            <w:tcW w:w="1417" w:type="dxa"/>
            <w:vAlign w:val="center"/>
          </w:tcPr>
          <w:p>
            <w:pPr>
              <w:widowControl/>
              <w:jc w:val="center"/>
              <w:textAlignment w:val="center"/>
              <w:rPr>
                <w:snapToGrid w:val="0"/>
                <w:color w:val="auto"/>
                <w:kern w:val="21"/>
                <w:szCs w:val="21"/>
              </w:rPr>
            </w:pPr>
            <w:r>
              <w:rPr>
                <w:rFonts w:hint="eastAsia" w:ascii="宋体" w:hAnsi="宋体" w:cs="宋体"/>
                <w:color w:val="auto"/>
                <w:kern w:val="0"/>
                <w:sz w:val="22"/>
                <w:szCs w:val="22"/>
                <w:lang w:bidi="ar"/>
              </w:rPr>
              <w:t>无纺布边角料</w:t>
            </w:r>
          </w:p>
        </w:tc>
        <w:tc>
          <w:tcPr>
            <w:tcW w:w="1701" w:type="dxa"/>
            <w:vAlign w:val="center"/>
          </w:tcPr>
          <w:p>
            <w:pPr>
              <w:widowControl/>
              <w:jc w:val="center"/>
              <w:textAlignment w:val="center"/>
              <w:rPr>
                <w:snapToGrid w:val="0"/>
                <w:color w:val="auto"/>
                <w:kern w:val="21"/>
                <w:szCs w:val="21"/>
              </w:rPr>
            </w:pPr>
            <w:r>
              <w:rPr>
                <w:color w:val="auto"/>
                <w:kern w:val="0"/>
                <w:szCs w:val="21"/>
                <w:lang w:bidi="ar"/>
              </w:rPr>
              <w:t>0.070t/a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snapToGrid w:val="0"/>
                <w:color w:val="auto"/>
                <w:kern w:val="21"/>
                <w:szCs w:val="21"/>
              </w:rPr>
            </w:pPr>
            <w:r>
              <w:rPr>
                <w:rFonts w:hint="eastAsia"/>
                <w:snapToGrid w:val="0"/>
                <w:color w:val="auto"/>
                <w:kern w:val="21"/>
                <w:szCs w:val="21"/>
              </w:rPr>
              <w:t>0t/a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0.070t/a</w:t>
            </w:r>
          </w:p>
        </w:tc>
        <w:tc>
          <w:tcPr>
            <w:tcW w:w="826" w:type="dxa"/>
            <w:vAlign w:val="center"/>
          </w:tcPr>
          <w:p>
            <w:pPr>
              <w:adjustRightInd w:val="0"/>
              <w:snapToGrid w:val="0"/>
              <w:jc w:val="center"/>
              <w:rPr>
                <w:snapToGrid w:val="0"/>
                <w:color w:val="auto"/>
                <w:kern w:val="21"/>
                <w:szCs w:val="21"/>
              </w:rPr>
            </w:pPr>
            <w:r>
              <w:rPr>
                <w:rFonts w:hint="eastAsia"/>
                <w:snapToGrid w:val="0"/>
                <w:color w:val="auto"/>
                <w:kern w:val="21"/>
                <w:szCs w:val="21"/>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snapToGrid w:val="0"/>
                <w:color w:val="auto"/>
                <w:kern w:val="21"/>
                <w:szCs w:val="21"/>
              </w:rPr>
            </w:pPr>
            <w:r>
              <w:rPr>
                <w:rFonts w:hint="eastAsia" w:ascii="宋体" w:hAnsi="宋体" w:cs="宋体"/>
                <w:color w:val="auto"/>
                <w:kern w:val="0"/>
                <w:sz w:val="22"/>
                <w:szCs w:val="22"/>
                <w:lang w:bidi="ar"/>
              </w:rPr>
              <w:t>除尘器收集粉尘</w:t>
            </w:r>
          </w:p>
        </w:tc>
        <w:tc>
          <w:tcPr>
            <w:tcW w:w="1701" w:type="dxa"/>
            <w:vAlign w:val="center"/>
          </w:tcPr>
          <w:p>
            <w:pPr>
              <w:widowControl/>
              <w:jc w:val="center"/>
              <w:textAlignment w:val="center"/>
              <w:rPr>
                <w:snapToGrid w:val="0"/>
                <w:color w:val="auto"/>
                <w:kern w:val="21"/>
                <w:szCs w:val="21"/>
              </w:rPr>
            </w:pPr>
            <w:r>
              <w:rPr>
                <w:color w:val="auto"/>
                <w:kern w:val="0"/>
                <w:szCs w:val="21"/>
                <w:lang w:bidi="ar"/>
              </w:rPr>
              <w:t>0.490t/a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snapToGrid w:val="0"/>
                <w:color w:val="auto"/>
                <w:kern w:val="21"/>
                <w:szCs w:val="21"/>
              </w:rPr>
            </w:pPr>
            <w:r>
              <w:rPr>
                <w:rFonts w:hint="eastAsia"/>
                <w:snapToGrid w:val="0"/>
                <w:color w:val="auto"/>
                <w:kern w:val="21"/>
                <w:szCs w:val="21"/>
              </w:rPr>
              <w:t>0t/a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0.490t/a</w:t>
            </w:r>
          </w:p>
        </w:tc>
        <w:tc>
          <w:tcPr>
            <w:tcW w:w="826" w:type="dxa"/>
            <w:vAlign w:val="center"/>
          </w:tcPr>
          <w:p>
            <w:pPr>
              <w:adjustRightInd w:val="0"/>
              <w:snapToGrid w:val="0"/>
              <w:jc w:val="center"/>
              <w:rPr>
                <w:snapToGrid w:val="0"/>
                <w:color w:val="auto"/>
                <w:kern w:val="21"/>
                <w:szCs w:val="21"/>
              </w:rPr>
            </w:pPr>
            <w:r>
              <w:rPr>
                <w:rFonts w:hint="eastAsia"/>
                <w:snapToGrid w:val="0"/>
                <w:color w:val="auto"/>
                <w:kern w:val="21"/>
                <w:szCs w:val="21"/>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hint="eastAsia" w:ascii="Times New Roman" w:hAnsi="Times New Roman" w:cs="Times New Roman" w:eastAsiaTheme="minorEastAsia"/>
                <w:snapToGrid w:val="0"/>
                <w:color w:val="auto"/>
                <w:kern w:val="21"/>
                <w:szCs w:val="21"/>
                <w:lang w:eastAsia="zh-CN"/>
              </w:rPr>
            </w:pPr>
            <w:r>
              <w:rPr>
                <w:rFonts w:hint="eastAsia" w:ascii="Times New Roman" w:hAnsi="Times New Roman" w:cs="Times New Roman"/>
                <w:snapToGrid w:val="0"/>
                <w:color w:val="auto"/>
                <w:kern w:val="21"/>
                <w:szCs w:val="21"/>
                <w:lang w:eastAsia="zh-CN"/>
              </w:rPr>
              <w:t>废包装</w:t>
            </w:r>
          </w:p>
        </w:tc>
        <w:tc>
          <w:tcPr>
            <w:tcW w:w="1701" w:type="dxa"/>
            <w:vAlign w:val="center"/>
          </w:tcPr>
          <w:p>
            <w:pPr>
              <w:pStyle w:val="33"/>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0.24t/a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959" w:type="dxa"/>
            <w:vAlign w:val="center"/>
          </w:tcPr>
          <w:p>
            <w:pPr>
              <w:adjustRightInd w:val="0"/>
              <w:snapToGrid w:val="0"/>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0.24t/a</w:t>
            </w:r>
          </w:p>
        </w:tc>
        <w:tc>
          <w:tcPr>
            <w:tcW w:w="826" w:type="dxa"/>
            <w:vAlign w:val="center"/>
          </w:tcPr>
          <w:p>
            <w:pPr>
              <w:pStyle w:val="33"/>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+0.24t/a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snapToGrid w:val="0"/>
                <w:color w:val="auto"/>
                <w:kern w:val="21"/>
                <w:szCs w:val="21"/>
              </w:rPr>
            </w:pP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959" w:type="dxa"/>
            <w:vAlign w:val="center"/>
          </w:tcPr>
          <w:p>
            <w:pPr>
              <w:adjustRightInd w:val="0"/>
              <w:snapToGrid w:val="0"/>
              <w:jc w:val="center"/>
              <w:rPr>
                <w:snapToGrid w:val="0"/>
                <w:color w:val="auto"/>
                <w:kern w:val="21"/>
                <w:szCs w:val="21"/>
              </w:rPr>
            </w:pPr>
          </w:p>
        </w:tc>
        <w:tc>
          <w:tcPr>
            <w:tcW w:w="826" w:type="dxa"/>
            <w:vAlign w:val="center"/>
          </w:tcPr>
          <w:p>
            <w:pPr>
              <w:pStyle w:val="33"/>
              <w:spacing w:beforeLines="0" w:afterLines="0" w:line="240" w:lineRule="auto"/>
              <w:rPr>
                <w:rFonts w:ascii="Times New Roman" w:hAnsi="Times New Roman" w:cs="Times New Roman"/>
                <w:snapToGrid w:val="0"/>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88" w:type="dxa"/>
            <w:vMerge w:val="restart"/>
            <w:vAlign w:val="center"/>
          </w:tcPr>
          <w:p>
            <w:pPr>
              <w:pStyle w:val="33"/>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危险废物</w:t>
            </w:r>
          </w:p>
        </w:tc>
        <w:tc>
          <w:tcPr>
            <w:tcW w:w="1417" w:type="dxa"/>
            <w:vAlign w:val="center"/>
          </w:tcPr>
          <w:p>
            <w:pPr>
              <w:widowControl/>
              <w:jc w:val="center"/>
              <w:textAlignment w:val="center"/>
              <w:rPr>
                <w:rFonts w:eastAsiaTheme="minorEastAsia"/>
                <w:snapToGrid w:val="0"/>
                <w:color w:val="auto"/>
                <w:kern w:val="21"/>
                <w:sz w:val="21"/>
                <w:szCs w:val="21"/>
              </w:rPr>
            </w:pPr>
            <w:r>
              <w:rPr>
                <w:rFonts w:hint="eastAsia"/>
                <w:color w:val="auto"/>
                <w:sz w:val="21"/>
                <w:szCs w:val="21"/>
              </w:rPr>
              <w:t>废胶粘剂桶</w:t>
            </w:r>
          </w:p>
        </w:tc>
        <w:tc>
          <w:tcPr>
            <w:tcW w:w="1701" w:type="dxa"/>
            <w:vAlign w:val="center"/>
          </w:tcPr>
          <w:p>
            <w:pPr>
              <w:widowControl/>
              <w:jc w:val="center"/>
              <w:textAlignment w:val="center"/>
              <w:rPr>
                <w:snapToGrid w:val="0"/>
                <w:color w:val="auto"/>
                <w:kern w:val="21"/>
                <w:szCs w:val="21"/>
              </w:rPr>
            </w:pPr>
            <w:r>
              <w:rPr>
                <w:color w:val="auto"/>
                <w:kern w:val="0"/>
                <w:szCs w:val="21"/>
                <w:lang w:bidi="ar"/>
              </w:rPr>
              <w:t>0.070t/a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w:t>
            </w:r>
            <w:r>
              <w:rPr>
                <w:rFonts w:hint="eastAsia"/>
                <w:color w:val="auto"/>
                <w:kern w:val="0"/>
                <w:szCs w:val="21"/>
                <w:lang w:val="en-US" w:eastAsia="zh-CN" w:bidi="ar"/>
              </w:rPr>
              <w:t>88</w:t>
            </w:r>
            <w:r>
              <w:rPr>
                <w:color w:val="auto"/>
                <w:kern w:val="0"/>
                <w:szCs w:val="21"/>
                <w:lang w:bidi="ar"/>
              </w:rPr>
              <w:t>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0.9</w:t>
            </w:r>
            <w:r>
              <w:rPr>
                <w:rFonts w:hint="eastAsia"/>
                <w:color w:val="auto"/>
                <w:kern w:val="0"/>
                <w:szCs w:val="21"/>
                <w:lang w:val="en-US" w:eastAsia="zh-CN" w:bidi="ar"/>
              </w:rPr>
              <w:t>48</w:t>
            </w:r>
            <w:r>
              <w:rPr>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w:t>
            </w:r>
            <w:r>
              <w:rPr>
                <w:rFonts w:hint="eastAsia"/>
                <w:color w:val="auto"/>
                <w:kern w:val="0"/>
                <w:szCs w:val="21"/>
                <w:lang w:val="en-US" w:eastAsia="zh-CN" w:bidi="ar"/>
              </w:rPr>
              <w:t>88</w:t>
            </w:r>
            <w:r>
              <w:rPr>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snapToGrid w:val="0"/>
                <w:color w:val="auto"/>
                <w:kern w:val="21"/>
                <w:sz w:val="21"/>
                <w:szCs w:val="21"/>
              </w:rPr>
            </w:pPr>
            <w:r>
              <w:rPr>
                <w:rFonts w:hint="eastAsia" w:ascii="宋体" w:hAnsi="宋体" w:cs="宋体"/>
                <w:color w:val="auto"/>
                <w:kern w:val="0"/>
                <w:sz w:val="21"/>
                <w:szCs w:val="21"/>
                <w:lang w:bidi="ar"/>
              </w:rPr>
              <w:t>废活性炭</w:t>
            </w:r>
          </w:p>
        </w:tc>
        <w:tc>
          <w:tcPr>
            <w:tcW w:w="1701" w:type="dxa"/>
            <w:vAlign w:val="center"/>
          </w:tcPr>
          <w:p>
            <w:pPr>
              <w:widowControl/>
              <w:jc w:val="center"/>
              <w:textAlignment w:val="center"/>
              <w:rPr>
                <w:snapToGrid w:val="0"/>
                <w:color w:val="auto"/>
                <w:kern w:val="21"/>
                <w:szCs w:val="21"/>
              </w:rPr>
            </w:pPr>
            <w:r>
              <w:rPr>
                <w:color w:val="auto"/>
                <w:kern w:val="0"/>
                <w:szCs w:val="21"/>
                <w:lang w:bidi="ar"/>
              </w:rPr>
              <w:t>0.490t/a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rFonts w:hint="eastAsia"/>
                <w:color w:val="auto"/>
                <w:kern w:val="0"/>
                <w:szCs w:val="21"/>
                <w:lang w:val="en-US" w:eastAsia="zh-CN" w:bidi="ar"/>
              </w:rPr>
              <w:t>0.793</w:t>
            </w:r>
            <w:r>
              <w:rPr>
                <w:color w:val="auto"/>
                <w:kern w:val="0"/>
                <w:szCs w:val="21"/>
                <w:lang w:bidi="ar"/>
              </w:rPr>
              <w:t>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rFonts w:hint="eastAsia"/>
                <w:color w:val="auto"/>
                <w:kern w:val="0"/>
                <w:szCs w:val="21"/>
                <w:lang w:val="en-US" w:eastAsia="zh-CN" w:bidi="ar"/>
              </w:rPr>
              <w:t>1.283</w:t>
            </w:r>
            <w:r>
              <w:rPr>
                <w:color w:val="auto"/>
                <w:kern w:val="0"/>
                <w:szCs w:val="21"/>
                <w:lang w:bidi="ar"/>
              </w:rPr>
              <w:t>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rFonts w:hint="eastAsia"/>
                <w:color w:val="auto"/>
                <w:kern w:val="0"/>
                <w:szCs w:val="21"/>
                <w:lang w:val="en-US" w:eastAsia="zh-CN" w:bidi="ar"/>
              </w:rPr>
              <w:t>0.793</w:t>
            </w:r>
            <w:r>
              <w:rPr>
                <w:color w:val="auto"/>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color w:val="auto"/>
                <w:kern w:val="0"/>
                <w:sz w:val="21"/>
                <w:szCs w:val="21"/>
                <w:lang w:bidi="ar"/>
              </w:rPr>
            </w:pPr>
            <w:r>
              <w:rPr>
                <w:rFonts w:hint="eastAsia" w:ascii="宋体" w:hAnsi="宋体" w:cs="宋体"/>
                <w:color w:val="auto"/>
                <w:kern w:val="0"/>
                <w:sz w:val="21"/>
                <w:szCs w:val="21"/>
                <w:lang w:bidi="ar"/>
              </w:rPr>
              <w:t>废机油</w:t>
            </w:r>
          </w:p>
        </w:tc>
        <w:tc>
          <w:tcPr>
            <w:tcW w:w="1701" w:type="dxa"/>
            <w:vAlign w:val="center"/>
          </w:tcPr>
          <w:p>
            <w:pPr>
              <w:widowControl/>
              <w:jc w:val="center"/>
              <w:textAlignment w:val="center"/>
              <w:rPr>
                <w:snapToGrid w:val="0"/>
                <w:color w:val="auto"/>
                <w:kern w:val="21"/>
                <w:szCs w:val="21"/>
              </w:rPr>
            </w:pPr>
            <w:r>
              <w:rPr>
                <w:color w:val="auto"/>
                <w:kern w:val="0"/>
                <w:szCs w:val="21"/>
                <w:lang w:bidi="ar"/>
              </w:rPr>
              <w:t>0.050t/a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0.03t/a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0.080t/a</w:t>
            </w:r>
          </w:p>
        </w:tc>
        <w:tc>
          <w:tcPr>
            <w:tcW w:w="826" w:type="dxa"/>
            <w:vAlign w:val="center"/>
          </w:tcPr>
          <w:p>
            <w:pPr>
              <w:widowControl/>
              <w:jc w:val="center"/>
              <w:textAlignment w:val="center"/>
              <w:rPr>
                <w:snapToGrid w:val="0"/>
                <w:color w:val="auto"/>
                <w:kern w:val="21"/>
                <w:szCs w:val="21"/>
              </w:rPr>
            </w:pPr>
            <w:r>
              <w:rPr>
                <w:rFonts w:hint="eastAsia"/>
                <w:color w:val="auto"/>
                <w:kern w:val="0"/>
                <w:szCs w:val="21"/>
                <w:lang w:bidi="ar"/>
              </w:rPr>
              <w:t>+</w:t>
            </w:r>
            <w:r>
              <w:rPr>
                <w:color w:val="auto"/>
                <w:kern w:val="0"/>
                <w:szCs w:val="21"/>
                <w:lang w:bidi="ar"/>
              </w:rPr>
              <w:t>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widowControl/>
              <w:jc w:val="center"/>
              <w:textAlignment w:val="center"/>
              <w:rPr>
                <w:snapToGrid w:val="0"/>
                <w:color w:val="auto"/>
                <w:kern w:val="21"/>
                <w:sz w:val="21"/>
                <w:szCs w:val="21"/>
              </w:rPr>
            </w:pPr>
            <w:r>
              <w:rPr>
                <w:rFonts w:hint="eastAsia"/>
                <w:color w:val="auto"/>
                <w:sz w:val="21"/>
                <w:szCs w:val="21"/>
              </w:rPr>
              <w:t>废弃的</w:t>
            </w:r>
            <w:r>
              <w:rPr>
                <w:color w:val="auto"/>
                <w:sz w:val="21"/>
                <w:szCs w:val="21"/>
              </w:rPr>
              <w:t>含油抹布、劳保用品</w:t>
            </w:r>
          </w:p>
        </w:tc>
        <w:tc>
          <w:tcPr>
            <w:tcW w:w="1701" w:type="dxa"/>
            <w:vAlign w:val="center"/>
          </w:tcPr>
          <w:p>
            <w:pPr>
              <w:widowControl/>
              <w:jc w:val="center"/>
              <w:textAlignment w:val="center"/>
              <w:rPr>
                <w:snapToGrid w:val="0"/>
                <w:color w:val="auto"/>
                <w:kern w:val="21"/>
                <w:szCs w:val="21"/>
              </w:rPr>
            </w:pPr>
            <w:r>
              <w:rPr>
                <w:color w:val="auto"/>
                <w:kern w:val="0"/>
                <w:szCs w:val="21"/>
                <w:lang w:bidi="ar"/>
              </w:rPr>
              <w:t>0.300t/a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widowControl/>
              <w:jc w:val="center"/>
              <w:textAlignment w:val="center"/>
              <w:rPr>
                <w:snapToGrid w:val="0"/>
                <w:color w:val="auto"/>
                <w:kern w:val="21"/>
                <w:szCs w:val="21"/>
              </w:rPr>
            </w:pPr>
            <w:r>
              <w:rPr>
                <w:color w:val="auto"/>
                <w:kern w:val="0"/>
                <w:szCs w:val="21"/>
                <w:lang w:bidi="ar"/>
              </w:rPr>
              <w:t>0.03t/a</w:t>
            </w: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rPr>
              <w:t>/</w:t>
            </w:r>
          </w:p>
        </w:tc>
        <w:tc>
          <w:tcPr>
            <w:tcW w:w="1959" w:type="dxa"/>
            <w:vAlign w:val="center"/>
          </w:tcPr>
          <w:p>
            <w:pPr>
              <w:widowControl/>
              <w:jc w:val="center"/>
              <w:textAlignment w:val="center"/>
              <w:rPr>
                <w:snapToGrid w:val="0"/>
                <w:color w:val="auto"/>
                <w:kern w:val="21"/>
                <w:szCs w:val="21"/>
              </w:rPr>
            </w:pPr>
            <w:r>
              <w:rPr>
                <w:color w:val="auto"/>
                <w:kern w:val="0"/>
                <w:szCs w:val="21"/>
                <w:lang w:bidi="ar"/>
              </w:rPr>
              <w:t>0.330t/a</w:t>
            </w:r>
          </w:p>
        </w:tc>
        <w:tc>
          <w:tcPr>
            <w:tcW w:w="826" w:type="dxa"/>
            <w:vAlign w:val="center"/>
          </w:tcPr>
          <w:p>
            <w:pPr>
              <w:widowControl/>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kern w:val="0"/>
                <w:szCs w:val="21"/>
                <w:lang w:bidi="ar"/>
              </w:rPr>
              <w:t>+0.03t/a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eastAsia="zh-CN"/>
              </w:rPr>
              <w:t>废</w:t>
            </w:r>
            <w:r>
              <w:rPr>
                <w:rFonts w:hint="eastAsia" w:ascii="Times New Roman" w:hAnsi="Times New Roman" w:cs="Times New Roman"/>
                <w:snapToGrid w:val="0"/>
                <w:color w:val="auto"/>
                <w:kern w:val="21"/>
                <w:szCs w:val="21"/>
                <w:lang w:val="en-US" w:eastAsia="zh-CN"/>
              </w:rPr>
              <w:t>UV灯管</w:t>
            </w:r>
          </w:p>
        </w:tc>
        <w:tc>
          <w:tcPr>
            <w:tcW w:w="1701" w:type="dxa"/>
            <w:vAlign w:val="center"/>
          </w:tcPr>
          <w:p>
            <w:pPr>
              <w:pStyle w:val="33"/>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0t/a</w:t>
            </w: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snapToGrid w:val="0"/>
                <w:color w:val="auto"/>
                <w:kern w:val="21"/>
                <w:szCs w:val="21"/>
              </w:rPr>
            </w:pPr>
            <w:r>
              <w:rPr>
                <w:color w:val="auto"/>
                <w:kern w:val="0"/>
                <w:szCs w:val="21"/>
                <w:lang w:bidi="ar"/>
              </w:rPr>
              <w:t>0.03t/a</w:t>
            </w:r>
          </w:p>
        </w:tc>
        <w:tc>
          <w:tcPr>
            <w:tcW w:w="1761" w:type="dxa"/>
            <w:vAlign w:val="center"/>
          </w:tcPr>
          <w:p>
            <w:pPr>
              <w:pStyle w:val="33"/>
              <w:spacing w:beforeLines="0" w:afterLines="0" w:line="240" w:lineRule="auto"/>
              <w:rPr>
                <w:rFonts w:hint="eastAsia"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959" w:type="dxa"/>
            <w:vAlign w:val="center"/>
          </w:tcPr>
          <w:p>
            <w:pPr>
              <w:adjustRightInd w:val="0"/>
              <w:snapToGrid w:val="0"/>
              <w:jc w:val="center"/>
              <w:rPr>
                <w:snapToGrid w:val="0"/>
                <w:color w:val="auto"/>
                <w:kern w:val="21"/>
                <w:szCs w:val="21"/>
              </w:rPr>
            </w:pPr>
            <w:r>
              <w:rPr>
                <w:color w:val="auto"/>
                <w:kern w:val="0"/>
                <w:szCs w:val="21"/>
                <w:lang w:bidi="ar"/>
              </w:rPr>
              <w:t>0.03t/a</w:t>
            </w:r>
          </w:p>
        </w:tc>
        <w:tc>
          <w:tcPr>
            <w:tcW w:w="826" w:type="dxa"/>
            <w:vAlign w:val="center"/>
          </w:tcPr>
          <w:p>
            <w:pPr>
              <w:pStyle w:val="33"/>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color w:val="auto"/>
                <w:kern w:val="0"/>
                <w:szCs w:val="21"/>
                <w:lang w:val="en-US" w:eastAsia="zh-CN" w:bidi="ar"/>
              </w:rPr>
              <w:t>+</w:t>
            </w:r>
            <w:r>
              <w:rPr>
                <w:rFonts w:hint="default" w:ascii="Times New Roman" w:hAnsi="Times New Roman" w:cs="Times New Roman"/>
                <w:color w:val="auto"/>
                <w:kern w:val="0"/>
                <w:szCs w:val="21"/>
                <w:lang w:bidi="ar"/>
              </w:rPr>
              <w:t>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3"/>
              <w:spacing w:beforeLines="0" w:afterLines="0" w:line="240" w:lineRule="auto"/>
              <w:rPr>
                <w:rFonts w:hAnsi="宋体" w:cs="宋体"/>
                <w:snapToGrid w:val="0"/>
                <w:color w:val="auto"/>
                <w:kern w:val="21"/>
                <w:szCs w:val="21"/>
              </w:rPr>
            </w:pPr>
          </w:p>
        </w:tc>
        <w:tc>
          <w:tcPr>
            <w:tcW w:w="1417"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276"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70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559" w:type="dxa"/>
            <w:vAlign w:val="center"/>
          </w:tcPr>
          <w:p>
            <w:pPr>
              <w:adjustRightInd w:val="0"/>
              <w:snapToGrid w:val="0"/>
              <w:jc w:val="center"/>
              <w:rPr>
                <w:snapToGrid w:val="0"/>
                <w:color w:val="auto"/>
                <w:kern w:val="21"/>
                <w:szCs w:val="21"/>
              </w:rPr>
            </w:pPr>
          </w:p>
        </w:tc>
        <w:tc>
          <w:tcPr>
            <w:tcW w:w="1761" w:type="dxa"/>
            <w:vAlign w:val="center"/>
          </w:tcPr>
          <w:p>
            <w:pPr>
              <w:pStyle w:val="33"/>
              <w:spacing w:beforeLines="0" w:afterLines="0" w:line="240" w:lineRule="auto"/>
              <w:rPr>
                <w:rFonts w:ascii="Times New Roman" w:hAnsi="Times New Roman" w:cs="Times New Roman"/>
                <w:snapToGrid w:val="0"/>
                <w:color w:val="auto"/>
                <w:kern w:val="21"/>
                <w:szCs w:val="21"/>
              </w:rPr>
            </w:pPr>
          </w:p>
        </w:tc>
        <w:tc>
          <w:tcPr>
            <w:tcW w:w="1959" w:type="dxa"/>
            <w:vAlign w:val="center"/>
          </w:tcPr>
          <w:p>
            <w:pPr>
              <w:adjustRightInd w:val="0"/>
              <w:snapToGrid w:val="0"/>
              <w:jc w:val="center"/>
              <w:rPr>
                <w:snapToGrid w:val="0"/>
                <w:color w:val="auto"/>
                <w:kern w:val="21"/>
                <w:szCs w:val="21"/>
              </w:rPr>
            </w:pPr>
          </w:p>
        </w:tc>
        <w:tc>
          <w:tcPr>
            <w:tcW w:w="826" w:type="dxa"/>
            <w:vAlign w:val="center"/>
          </w:tcPr>
          <w:p>
            <w:pPr>
              <w:pStyle w:val="33"/>
              <w:spacing w:beforeLines="0" w:afterLines="0" w:line="240" w:lineRule="auto"/>
              <w:rPr>
                <w:rFonts w:ascii="Times New Roman" w:hAnsi="Times New Roman" w:cs="Times New Roman"/>
                <w:snapToGrid w:val="0"/>
                <w:color w:val="auto"/>
                <w:kern w:val="21"/>
                <w:szCs w:val="21"/>
              </w:rPr>
            </w:pPr>
          </w:p>
        </w:tc>
      </w:tr>
    </w:tbl>
    <w:p>
      <w:pPr>
        <w:pStyle w:val="33"/>
        <w:spacing w:before="192"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tabs>
          <w:tab w:val="left" w:pos="8498"/>
        </w:tabs>
        <w:rPr>
          <w:rFonts w:hint="eastAsia"/>
          <w:color w:val="auto"/>
        </w:rPr>
      </w:pPr>
      <w:r>
        <w:rPr>
          <w:rFonts w:hint="eastAsia"/>
          <w:color w:val="auto"/>
        </w:rPr>
        <w:tab/>
      </w:r>
    </w:p>
    <w:p>
      <w:pPr>
        <w:pStyle w:val="2"/>
        <w:rPr>
          <w:rFonts w:hint="eastAsia"/>
          <w:color w:val="auto"/>
        </w:rPr>
      </w:pPr>
    </w:p>
    <w:p>
      <w:pPr>
        <w:pStyle w:val="3"/>
        <w:rPr>
          <w:rFonts w:hint="eastAsia"/>
          <w:color w:val="auto"/>
        </w:rPr>
      </w:pPr>
    </w:p>
    <w:p>
      <w:pPr>
        <w:rPr>
          <w:rFonts w:hint="eastAsia"/>
          <w:color w:val="auto"/>
        </w:rPr>
      </w:pPr>
    </w:p>
    <w:p>
      <w:pPr>
        <w:pStyle w:val="2"/>
        <w:rPr>
          <w:rFonts w:hint="eastAsia"/>
          <w:color w:val="auto"/>
        </w:rPr>
      </w:pPr>
    </w:p>
    <w:p>
      <w:pPr>
        <w:pStyle w:val="3"/>
        <w:rPr>
          <w:rFonts w:hint="eastAsia"/>
          <w:color w:val="auto"/>
        </w:rPr>
      </w:pPr>
    </w:p>
    <w:p>
      <w:pPr>
        <w:rPr>
          <w:rFonts w:hint="eastAsia"/>
          <w:color w:val="auto"/>
        </w:rPr>
      </w:pPr>
    </w:p>
    <w:p>
      <w:pPr>
        <w:pStyle w:val="2"/>
        <w:rPr>
          <w:rFonts w:hint="eastAsia"/>
          <w:color w:val="auto"/>
        </w:rPr>
      </w:pPr>
    </w:p>
    <w:p>
      <w:pPr>
        <w:pStyle w:val="3"/>
        <w:rPr>
          <w:rFonts w:hint="eastAsia"/>
          <w:color w:val="auto"/>
        </w:rPr>
      </w:pPr>
    </w:p>
    <w:p>
      <w:pPr>
        <w:rPr>
          <w:rFonts w:hint="eastAsia"/>
          <w:color w:val="auto"/>
        </w:rPr>
      </w:pPr>
    </w:p>
    <w:p>
      <w:pPr>
        <w:pStyle w:val="2"/>
        <w:rPr>
          <w:rFonts w:hint="eastAsia"/>
          <w:color w:val="auto"/>
        </w:rPr>
      </w:pPr>
    </w:p>
    <w:p>
      <w:pPr>
        <w:pStyle w:val="3"/>
        <w:sectPr>
          <w:footerReference r:id="rId4" w:type="default"/>
          <w:pgSz w:w="16838" w:h="11905" w:orient="landscape"/>
          <w:pgMar w:top="1531" w:right="1701" w:bottom="1531" w:left="2126" w:header="851" w:footer="850" w:gutter="0"/>
          <w:pgBorders>
            <w:top w:val="none" w:sz="0" w:space="0"/>
            <w:left w:val="none" w:sz="0" w:space="0"/>
            <w:bottom w:val="none" w:sz="0" w:space="0"/>
            <w:right w:val="none" w:sz="0" w:space="0"/>
          </w:pgBorders>
          <w:cols w:space="0" w:num="1"/>
          <w:docGrid w:linePitch="312" w:charSpace="0"/>
        </w:sectPr>
      </w:pPr>
    </w:p>
    <w:p>
      <w:pPr>
        <w:rPr>
          <w:rFonts w:hint="eastAsia" w:eastAsia="宋体"/>
          <w:lang w:eastAsia="zh-CN"/>
        </w:rPr>
      </w:pPr>
      <w:r>
        <w:rPr>
          <w:rFonts w:hint="eastAsia" w:eastAsia="宋体"/>
          <w:lang w:eastAsia="zh-CN"/>
        </w:rPr>
        <w:drawing>
          <wp:inline distT="0" distB="0" distL="114300" distR="114300">
            <wp:extent cx="5534025" cy="7639050"/>
            <wp:effectExtent l="0" t="0" r="9525" b="0"/>
            <wp:docPr id="4" name="图片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
                    <pic:cNvPicPr>
                      <a:picLocks noChangeAspect="1"/>
                    </pic:cNvPicPr>
                  </pic:nvPicPr>
                  <pic:blipFill>
                    <a:blip r:embed="rId24"/>
                    <a:stretch>
                      <a:fillRect/>
                    </a:stretch>
                  </pic:blipFill>
                  <pic:spPr>
                    <a:xfrm>
                      <a:off x="0" y="0"/>
                      <a:ext cx="5534025" cy="7639050"/>
                    </a:xfrm>
                    <a:prstGeom prst="rect">
                      <a:avLst/>
                    </a:prstGeom>
                  </pic:spPr>
                </pic:pic>
              </a:graphicData>
            </a:graphic>
          </wp:inline>
        </w:drawing>
      </w:r>
    </w:p>
    <w:sectPr>
      <w:pgSz w:w="11905" w:h="16838"/>
      <w:pgMar w:top="1701" w:right="1531" w:bottom="2126" w:left="1531"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utch801 Rm BT">
    <w:altName w:val="Times New Roman"/>
    <w:panose1 w:val="02020603060505020304"/>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73</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75</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E279D"/>
    <w:multiLevelType w:val="multilevel"/>
    <w:tmpl w:val="39EE279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NGQ4NjE1ZWE5YTk0YWVlZWMzYTNlODE2N2I1MjgifQ=="/>
  </w:docVars>
  <w:rsids>
    <w:rsidRoot w:val="00977E03"/>
    <w:rsid w:val="000127FF"/>
    <w:rsid w:val="000265D1"/>
    <w:rsid w:val="000424CF"/>
    <w:rsid w:val="00052A18"/>
    <w:rsid w:val="00053F57"/>
    <w:rsid w:val="00087917"/>
    <w:rsid w:val="0009075B"/>
    <w:rsid w:val="000D24D4"/>
    <w:rsid w:val="0010406F"/>
    <w:rsid w:val="00112A94"/>
    <w:rsid w:val="00121915"/>
    <w:rsid w:val="00131743"/>
    <w:rsid w:val="00140A50"/>
    <w:rsid w:val="00144995"/>
    <w:rsid w:val="00145C7E"/>
    <w:rsid w:val="001474EF"/>
    <w:rsid w:val="00155DD1"/>
    <w:rsid w:val="001570FF"/>
    <w:rsid w:val="00160407"/>
    <w:rsid w:val="00160EE8"/>
    <w:rsid w:val="001672F3"/>
    <w:rsid w:val="0017078E"/>
    <w:rsid w:val="00176E25"/>
    <w:rsid w:val="00177F50"/>
    <w:rsid w:val="00186AF4"/>
    <w:rsid w:val="001963E2"/>
    <w:rsid w:val="001C487E"/>
    <w:rsid w:val="001C5126"/>
    <w:rsid w:val="001D66AC"/>
    <w:rsid w:val="001E51E6"/>
    <w:rsid w:val="00201AA0"/>
    <w:rsid w:val="00210D6B"/>
    <w:rsid w:val="00215930"/>
    <w:rsid w:val="0022028F"/>
    <w:rsid w:val="002226FD"/>
    <w:rsid w:val="00227CCB"/>
    <w:rsid w:val="0023598D"/>
    <w:rsid w:val="00241371"/>
    <w:rsid w:val="00275DFE"/>
    <w:rsid w:val="002A1EB6"/>
    <w:rsid w:val="002B21C2"/>
    <w:rsid w:val="002B77B7"/>
    <w:rsid w:val="002D6E30"/>
    <w:rsid w:val="00300A7D"/>
    <w:rsid w:val="00300D55"/>
    <w:rsid w:val="00310739"/>
    <w:rsid w:val="003377B9"/>
    <w:rsid w:val="00353BB9"/>
    <w:rsid w:val="00363C02"/>
    <w:rsid w:val="00377911"/>
    <w:rsid w:val="003A2781"/>
    <w:rsid w:val="003B2709"/>
    <w:rsid w:val="003B643A"/>
    <w:rsid w:val="003C449B"/>
    <w:rsid w:val="003F249F"/>
    <w:rsid w:val="003F6AFF"/>
    <w:rsid w:val="00407F66"/>
    <w:rsid w:val="0041451E"/>
    <w:rsid w:val="00465472"/>
    <w:rsid w:val="004817B8"/>
    <w:rsid w:val="00494FFB"/>
    <w:rsid w:val="004B2D8D"/>
    <w:rsid w:val="004C0647"/>
    <w:rsid w:val="004C252A"/>
    <w:rsid w:val="004F17D8"/>
    <w:rsid w:val="004F7AA6"/>
    <w:rsid w:val="00517AB8"/>
    <w:rsid w:val="0054032D"/>
    <w:rsid w:val="00542C27"/>
    <w:rsid w:val="005447CD"/>
    <w:rsid w:val="00561E99"/>
    <w:rsid w:val="005748DA"/>
    <w:rsid w:val="005949B9"/>
    <w:rsid w:val="005A08C5"/>
    <w:rsid w:val="005A3643"/>
    <w:rsid w:val="005B55B0"/>
    <w:rsid w:val="005C2D16"/>
    <w:rsid w:val="005C74EA"/>
    <w:rsid w:val="005D247B"/>
    <w:rsid w:val="005D563A"/>
    <w:rsid w:val="005F65CD"/>
    <w:rsid w:val="00617418"/>
    <w:rsid w:val="00652DE1"/>
    <w:rsid w:val="006655C1"/>
    <w:rsid w:val="006702BD"/>
    <w:rsid w:val="006910FD"/>
    <w:rsid w:val="00695632"/>
    <w:rsid w:val="006B27F3"/>
    <w:rsid w:val="006B773E"/>
    <w:rsid w:val="006C0ABD"/>
    <w:rsid w:val="006C3AE9"/>
    <w:rsid w:val="006C721F"/>
    <w:rsid w:val="006E5FD8"/>
    <w:rsid w:val="006F4FC1"/>
    <w:rsid w:val="007009F3"/>
    <w:rsid w:val="007141FE"/>
    <w:rsid w:val="0071653C"/>
    <w:rsid w:val="007204B7"/>
    <w:rsid w:val="00742AC5"/>
    <w:rsid w:val="0074340E"/>
    <w:rsid w:val="0075101B"/>
    <w:rsid w:val="00776648"/>
    <w:rsid w:val="007867CA"/>
    <w:rsid w:val="00795D14"/>
    <w:rsid w:val="007B6DF1"/>
    <w:rsid w:val="007C2561"/>
    <w:rsid w:val="007C5C8C"/>
    <w:rsid w:val="007E2EF7"/>
    <w:rsid w:val="007E3E72"/>
    <w:rsid w:val="007E5882"/>
    <w:rsid w:val="007F6098"/>
    <w:rsid w:val="008241AE"/>
    <w:rsid w:val="00832C32"/>
    <w:rsid w:val="008469BE"/>
    <w:rsid w:val="0087167F"/>
    <w:rsid w:val="00874938"/>
    <w:rsid w:val="00877EBC"/>
    <w:rsid w:val="008969E9"/>
    <w:rsid w:val="008B20B9"/>
    <w:rsid w:val="008B32D6"/>
    <w:rsid w:val="008B79FC"/>
    <w:rsid w:val="008D07CA"/>
    <w:rsid w:val="0092134B"/>
    <w:rsid w:val="0094413C"/>
    <w:rsid w:val="009510B3"/>
    <w:rsid w:val="00953D9C"/>
    <w:rsid w:val="009545F5"/>
    <w:rsid w:val="00955FE8"/>
    <w:rsid w:val="00972C35"/>
    <w:rsid w:val="00977B96"/>
    <w:rsid w:val="00977E03"/>
    <w:rsid w:val="00997D30"/>
    <w:rsid w:val="009A0628"/>
    <w:rsid w:val="009A54D2"/>
    <w:rsid w:val="009C3076"/>
    <w:rsid w:val="009E28C5"/>
    <w:rsid w:val="009F2AC7"/>
    <w:rsid w:val="00A0439B"/>
    <w:rsid w:val="00A10D5D"/>
    <w:rsid w:val="00A1590E"/>
    <w:rsid w:val="00A274AE"/>
    <w:rsid w:val="00A30546"/>
    <w:rsid w:val="00A3470B"/>
    <w:rsid w:val="00A376DD"/>
    <w:rsid w:val="00A663D5"/>
    <w:rsid w:val="00A70C27"/>
    <w:rsid w:val="00A82B34"/>
    <w:rsid w:val="00A95627"/>
    <w:rsid w:val="00AB0466"/>
    <w:rsid w:val="00AB6AF4"/>
    <w:rsid w:val="00AC2B4D"/>
    <w:rsid w:val="00AC424C"/>
    <w:rsid w:val="00AD558A"/>
    <w:rsid w:val="00AF1AE2"/>
    <w:rsid w:val="00AF56E2"/>
    <w:rsid w:val="00B00CB3"/>
    <w:rsid w:val="00B1741D"/>
    <w:rsid w:val="00B33FBC"/>
    <w:rsid w:val="00B401F2"/>
    <w:rsid w:val="00B415D5"/>
    <w:rsid w:val="00B46EE0"/>
    <w:rsid w:val="00B6164F"/>
    <w:rsid w:val="00B73698"/>
    <w:rsid w:val="00B7416B"/>
    <w:rsid w:val="00B907D4"/>
    <w:rsid w:val="00BA2570"/>
    <w:rsid w:val="00BB73B0"/>
    <w:rsid w:val="00BD7336"/>
    <w:rsid w:val="00BD7682"/>
    <w:rsid w:val="00BF0E19"/>
    <w:rsid w:val="00BF706B"/>
    <w:rsid w:val="00C101D5"/>
    <w:rsid w:val="00C148E8"/>
    <w:rsid w:val="00C1559B"/>
    <w:rsid w:val="00C1778E"/>
    <w:rsid w:val="00C25254"/>
    <w:rsid w:val="00C472DA"/>
    <w:rsid w:val="00C51469"/>
    <w:rsid w:val="00C53F8F"/>
    <w:rsid w:val="00C84172"/>
    <w:rsid w:val="00C86C39"/>
    <w:rsid w:val="00C92404"/>
    <w:rsid w:val="00C9260A"/>
    <w:rsid w:val="00C93969"/>
    <w:rsid w:val="00CC025C"/>
    <w:rsid w:val="00CC04AE"/>
    <w:rsid w:val="00CD79DA"/>
    <w:rsid w:val="00CE3B28"/>
    <w:rsid w:val="00D05A9D"/>
    <w:rsid w:val="00D062CF"/>
    <w:rsid w:val="00D20B4D"/>
    <w:rsid w:val="00D20EA1"/>
    <w:rsid w:val="00D27025"/>
    <w:rsid w:val="00D31261"/>
    <w:rsid w:val="00D3302D"/>
    <w:rsid w:val="00D35E31"/>
    <w:rsid w:val="00D74414"/>
    <w:rsid w:val="00DA2608"/>
    <w:rsid w:val="00DA3F83"/>
    <w:rsid w:val="00DB6F4D"/>
    <w:rsid w:val="00DB6F56"/>
    <w:rsid w:val="00DE0524"/>
    <w:rsid w:val="00E042B7"/>
    <w:rsid w:val="00E1527E"/>
    <w:rsid w:val="00E3424C"/>
    <w:rsid w:val="00E375AC"/>
    <w:rsid w:val="00E645F8"/>
    <w:rsid w:val="00E667B8"/>
    <w:rsid w:val="00E67B82"/>
    <w:rsid w:val="00E77531"/>
    <w:rsid w:val="00E80370"/>
    <w:rsid w:val="00EB45A9"/>
    <w:rsid w:val="00EB5C0D"/>
    <w:rsid w:val="00EC4205"/>
    <w:rsid w:val="00EC491D"/>
    <w:rsid w:val="00F13CC0"/>
    <w:rsid w:val="00F145A0"/>
    <w:rsid w:val="00F44B13"/>
    <w:rsid w:val="00F46362"/>
    <w:rsid w:val="00F523FB"/>
    <w:rsid w:val="00F55858"/>
    <w:rsid w:val="00F9465D"/>
    <w:rsid w:val="00F95B9E"/>
    <w:rsid w:val="00FA3EB3"/>
    <w:rsid w:val="00FB3B7E"/>
    <w:rsid w:val="00FC1CEE"/>
    <w:rsid w:val="00FE333F"/>
    <w:rsid w:val="01001B5E"/>
    <w:rsid w:val="010158D6"/>
    <w:rsid w:val="0102626F"/>
    <w:rsid w:val="01060E2A"/>
    <w:rsid w:val="01073249"/>
    <w:rsid w:val="010C5839"/>
    <w:rsid w:val="010D14DD"/>
    <w:rsid w:val="010D15CF"/>
    <w:rsid w:val="011323AD"/>
    <w:rsid w:val="01154EDD"/>
    <w:rsid w:val="0116312F"/>
    <w:rsid w:val="01192C1F"/>
    <w:rsid w:val="01197A7B"/>
    <w:rsid w:val="011B1617"/>
    <w:rsid w:val="011D2710"/>
    <w:rsid w:val="011E142C"/>
    <w:rsid w:val="011F03D2"/>
    <w:rsid w:val="011F19B5"/>
    <w:rsid w:val="0121451C"/>
    <w:rsid w:val="012B30DF"/>
    <w:rsid w:val="012C6F3F"/>
    <w:rsid w:val="012E3330"/>
    <w:rsid w:val="01303AC5"/>
    <w:rsid w:val="0131755D"/>
    <w:rsid w:val="01323154"/>
    <w:rsid w:val="01345FC1"/>
    <w:rsid w:val="01353714"/>
    <w:rsid w:val="01392555"/>
    <w:rsid w:val="013D273F"/>
    <w:rsid w:val="013D34D7"/>
    <w:rsid w:val="01445AC1"/>
    <w:rsid w:val="014761D6"/>
    <w:rsid w:val="014A09E3"/>
    <w:rsid w:val="014F03EF"/>
    <w:rsid w:val="01502D77"/>
    <w:rsid w:val="01530C91"/>
    <w:rsid w:val="01540904"/>
    <w:rsid w:val="01570ABA"/>
    <w:rsid w:val="0158059A"/>
    <w:rsid w:val="0159126E"/>
    <w:rsid w:val="01595F6F"/>
    <w:rsid w:val="01596802"/>
    <w:rsid w:val="015B6D94"/>
    <w:rsid w:val="015D3048"/>
    <w:rsid w:val="015D6893"/>
    <w:rsid w:val="0160084E"/>
    <w:rsid w:val="01603381"/>
    <w:rsid w:val="01633E9B"/>
    <w:rsid w:val="01665433"/>
    <w:rsid w:val="0169114C"/>
    <w:rsid w:val="016E1DA5"/>
    <w:rsid w:val="016E4C93"/>
    <w:rsid w:val="017004E1"/>
    <w:rsid w:val="01704B02"/>
    <w:rsid w:val="017067C7"/>
    <w:rsid w:val="01743955"/>
    <w:rsid w:val="01745E33"/>
    <w:rsid w:val="017574CE"/>
    <w:rsid w:val="01764A86"/>
    <w:rsid w:val="017E47D6"/>
    <w:rsid w:val="017E6F43"/>
    <w:rsid w:val="01852791"/>
    <w:rsid w:val="018670B5"/>
    <w:rsid w:val="01887B85"/>
    <w:rsid w:val="01897B27"/>
    <w:rsid w:val="018A58CB"/>
    <w:rsid w:val="018B6595"/>
    <w:rsid w:val="018C519F"/>
    <w:rsid w:val="018E587F"/>
    <w:rsid w:val="018F4AEC"/>
    <w:rsid w:val="019201E5"/>
    <w:rsid w:val="019802FD"/>
    <w:rsid w:val="01987D13"/>
    <w:rsid w:val="01991A93"/>
    <w:rsid w:val="019F1377"/>
    <w:rsid w:val="01A16431"/>
    <w:rsid w:val="01A177DB"/>
    <w:rsid w:val="01A5014C"/>
    <w:rsid w:val="01A5725D"/>
    <w:rsid w:val="01A62EED"/>
    <w:rsid w:val="01A64AB5"/>
    <w:rsid w:val="01A65787"/>
    <w:rsid w:val="01AE108D"/>
    <w:rsid w:val="01B106FD"/>
    <w:rsid w:val="01B110AA"/>
    <w:rsid w:val="01B131C5"/>
    <w:rsid w:val="01B233CF"/>
    <w:rsid w:val="01B3567C"/>
    <w:rsid w:val="01B91D0C"/>
    <w:rsid w:val="01BA3B84"/>
    <w:rsid w:val="01BE5948"/>
    <w:rsid w:val="01BE6F06"/>
    <w:rsid w:val="01C255E3"/>
    <w:rsid w:val="01C51F30"/>
    <w:rsid w:val="01C70A85"/>
    <w:rsid w:val="01C86854"/>
    <w:rsid w:val="01C901A1"/>
    <w:rsid w:val="01CA3F1A"/>
    <w:rsid w:val="01D20F74"/>
    <w:rsid w:val="01D35D3E"/>
    <w:rsid w:val="01D54D98"/>
    <w:rsid w:val="01D65F78"/>
    <w:rsid w:val="01D83349"/>
    <w:rsid w:val="01D93979"/>
    <w:rsid w:val="01D97E6C"/>
    <w:rsid w:val="01D97ECF"/>
    <w:rsid w:val="01DB5C21"/>
    <w:rsid w:val="01E14B55"/>
    <w:rsid w:val="01E34BBB"/>
    <w:rsid w:val="01E66FA5"/>
    <w:rsid w:val="01EC2A34"/>
    <w:rsid w:val="01ED3E3E"/>
    <w:rsid w:val="01EF13EE"/>
    <w:rsid w:val="01F064AE"/>
    <w:rsid w:val="01F5094A"/>
    <w:rsid w:val="01F62035"/>
    <w:rsid w:val="01F639A4"/>
    <w:rsid w:val="01F903F0"/>
    <w:rsid w:val="01FE0D50"/>
    <w:rsid w:val="01FE6B9D"/>
    <w:rsid w:val="020613B0"/>
    <w:rsid w:val="020641D3"/>
    <w:rsid w:val="0207749B"/>
    <w:rsid w:val="02081421"/>
    <w:rsid w:val="020A65E5"/>
    <w:rsid w:val="020E02AA"/>
    <w:rsid w:val="020E7C52"/>
    <w:rsid w:val="02106E84"/>
    <w:rsid w:val="02124B9D"/>
    <w:rsid w:val="02165FAF"/>
    <w:rsid w:val="02174E36"/>
    <w:rsid w:val="02182B2B"/>
    <w:rsid w:val="02182ED7"/>
    <w:rsid w:val="02190B83"/>
    <w:rsid w:val="021D70DF"/>
    <w:rsid w:val="021E0508"/>
    <w:rsid w:val="02201D8C"/>
    <w:rsid w:val="02210FD9"/>
    <w:rsid w:val="02215CF1"/>
    <w:rsid w:val="02284DF1"/>
    <w:rsid w:val="022E4624"/>
    <w:rsid w:val="02303268"/>
    <w:rsid w:val="023043CB"/>
    <w:rsid w:val="023B4AC0"/>
    <w:rsid w:val="023C4E17"/>
    <w:rsid w:val="023C5DDE"/>
    <w:rsid w:val="023D66C9"/>
    <w:rsid w:val="023E49AC"/>
    <w:rsid w:val="02412442"/>
    <w:rsid w:val="0244793D"/>
    <w:rsid w:val="0246488E"/>
    <w:rsid w:val="024A62FC"/>
    <w:rsid w:val="024C2191"/>
    <w:rsid w:val="024C5C84"/>
    <w:rsid w:val="025209BE"/>
    <w:rsid w:val="025309A8"/>
    <w:rsid w:val="02587B03"/>
    <w:rsid w:val="025A34EF"/>
    <w:rsid w:val="025B0339"/>
    <w:rsid w:val="025B3071"/>
    <w:rsid w:val="025D1D07"/>
    <w:rsid w:val="025E7A82"/>
    <w:rsid w:val="025F162D"/>
    <w:rsid w:val="025F28B4"/>
    <w:rsid w:val="02615596"/>
    <w:rsid w:val="02630F0A"/>
    <w:rsid w:val="02633407"/>
    <w:rsid w:val="02634E30"/>
    <w:rsid w:val="02651F3F"/>
    <w:rsid w:val="026808D9"/>
    <w:rsid w:val="02693733"/>
    <w:rsid w:val="026954E1"/>
    <w:rsid w:val="026B3007"/>
    <w:rsid w:val="026D5E59"/>
    <w:rsid w:val="02704AC1"/>
    <w:rsid w:val="0272414C"/>
    <w:rsid w:val="027305BC"/>
    <w:rsid w:val="027345B1"/>
    <w:rsid w:val="0274303B"/>
    <w:rsid w:val="02796A96"/>
    <w:rsid w:val="02805142"/>
    <w:rsid w:val="0281407C"/>
    <w:rsid w:val="02845468"/>
    <w:rsid w:val="02847286"/>
    <w:rsid w:val="02851F43"/>
    <w:rsid w:val="028A7051"/>
    <w:rsid w:val="028D3AB7"/>
    <w:rsid w:val="029276F9"/>
    <w:rsid w:val="02965AD4"/>
    <w:rsid w:val="02980D52"/>
    <w:rsid w:val="02985749"/>
    <w:rsid w:val="029B7962"/>
    <w:rsid w:val="029D4678"/>
    <w:rsid w:val="029D4FFC"/>
    <w:rsid w:val="029E2C2B"/>
    <w:rsid w:val="02A52EF7"/>
    <w:rsid w:val="02A64F67"/>
    <w:rsid w:val="02A73612"/>
    <w:rsid w:val="02AD51D0"/>
    <w:rsid w:val="02B02AE1"/>
    <w:rsid w:val="02B1614B"/>
    <w:rsid w:val="02B2530B"/>
    <w:rsid w:val="02B27B62"/>
    <w:rsid w:val="02B3536B"/>
    <w:rsid w:val="02B41386"/>
    <w:rsid w:val="02B43518"/>
    <w:rsid w:val="02B63CEC"/>
    <w:rsid w:val="02B71AB9"/>
    <w:rsid w:val="02B8794B"/>
    <w:rsid w:val="02BB3C8E"/>
    <w:rsid w:val="02BD3EAA"/>
    <w:rsid w:val="02BE582C"/>
    <w:rsid w:val="02C263CB"/>
    <w:rsid w:val="02C34D0A"/>
    <w:rsid w:val="02C600A3"/>
    <w:rsid w:val="02C93668"/>
    <w:rsid w:val="02CD1F13"/>
    <w:rsid w:val="02CE18A8"/>
    <w:rsid w:val="02CE7F12"/>
    <w:rsid w:val="02D16FF4"/>
    <w:rsid w:val="02D51726"/>
    <w:rsid w:val="02D74B40"/>
    <w:rsid w:val="02DA0A8D"/>
    <w:rsid w:val="02DA63DE"/>
    <w:rsid w:val="02DB5B66"/>
    <w:rsid w:val="02E132C9"/>
    <w:rsid w:val="02E41083"/>
    <w:rsid w:val="02E7231E"/>
    <w:rsid w:val="02E77997"/>
    <w:rsid w:val="02E9680F"/>
    <w:rsid w:val="02EB05EB"/>
    <w:rsid w:val="02F01BAB"/>
    <w:rsid w:val="02F254D6"/>
    <w:rsid w:val="02F73FA3"/>
    <w:rsid w:val="02FB42E5"/>
    <w:rsid w:val="02FC7879"/>
    <w:rsid w:val="02FD696E"/>
    <w:rsid w:val="03031826"/>
    <w:rsid w:val="03061AA4"/>
    <w:rsid w:val="030767A4"/>
    <w:rsid w:val="03087B13"/>
    <w:rsid w:val="030A5E3B"/>
    <w:rsid w:val="030B1CBC"/>
    <w:rsid w:val="030D6477"/>
    <w:rsid w:val="03152FC7"/>
    <w:rsid w:val="03156342"/>
    <w:rsid w:val="031B3161"/>
    <w:rsid w:val="031C1307"/>
    <w:rsid w:val="031C4D90"/>
    <w:rsid w:val="031C69F7"/>
    <w:rsid w:val="031D0A78"/>
    <w:rsid w:val="031D363B"/>
    <w:rsid w:val="031D4685"/>
    <w:rsid w:val="032334E2"/>
    <w:rsid w:val="032338E1"/>
    <w:rsid w:val="032436C0"/>
    <w:rsid w:val="03260206"/>
    <w:rsid w:val="0329196F"/>
    <w:rsid w:val="032B1785"/>
    <w:rsid w:val="032E431D"/>
    <w:rsid w:val="03337F28"/>
    <w:rsid w:val="033459BE"/>
    <w:rsid w:val="0335136A"/>
    <w:rsid w:val="0338201E"/>
    <w:rsid w:val="03394EB3"/>
    <w:rsid w:val="03396795"/>
    <w:rsid w:val="033A20ED"/>
    <w:rsid w:val="033A5D7A"/>
    <w:rsid w:val="033F6241"/>
    <w:rsid w:val="034C72DC"/>
    <w:rsid w:val="03575298"/>
    <w:rsid w:val="035D37EA"/>
    <w:rsid w:val="035D3805"/>
    <w:rsid w:val="035E4919"/>
    <w:rsid w:val="035F40DD"/>
    <w:rsid w:val="03600692"/>
    <w:rsid w:val="036065CE"/>
    <w:rsid w:val="036208AE"/>
    <w:rsid w:val="03631DDE"/>
    <w:rsid w:val="0366407D"/>
    <w:rsid w:val="03666154"/>
    <w:rsid w:val="03666545"/>
    <w:rsid w:val="03684072"/>
    <w:rsid w:val="036B3B50"/>
    <w:rsid w:val="036D3D8A"/>
    <w:rsid w:val="036F144C"/>
    <w:rsid w:val="03716088"/>
    <w:rsid w:val="037311A0"/>
    <w:rsid w:val="03742EBD"/>
    <w:rsid w:val="037D2425"/>
    <w:rsid w:val="037E320E"/>
    <w:rsid w:val="037F7F11"/>
    <w:rsid w:val="03801F42"/>
    <w:rsid w:val="0382074F"/>
    <w:rsid w:val="03863656"/>
    <w:rsid w:val="03870A85"/>
    <w:rsid w:val="038B3147"/>
    <w:rsid w:val="038F541B"/>
    <w:rsid w:val="03905168"/>
    <w:rsid w:val="0392242A"/>
    <w:rsid w:val="039B498A"/>
    <w:rsid w:val="039F575D"/>
    <w:rsid w:val="03A130AB"/>
    <w:rsid w:val="03A21746"/>
    <w:rsid w:val="03A34436"/>
    <w:rsid w:val="03A367D0"/>
    <w:rsid w:val="03A50106"/>
    <w:rsid w:val="03A75EC1"/>
    <w:rsid w:val="03AB0F0D"/>
    <w:rsid w:val="03AB7E08"/>
    <w:rsid w:val="03B035B6"/>
    <w:rsid w:val="03B56DD7"/>
    <w:rsid w:val="03B60C6F"/>
    <w:rsid w:val="03B64B42"/>
    <w:rsid w:val="03B70050"/>
    <w:rsid w:val="03B73640"/>
    <w:rsid w:val="03B822A1"/>
    <w:rsid w:val="03B86720"/>
    <w:rsid w:val="03BB3962"/>
    <w:rsid w:val="03BB45AA"/>
    <w:rsid w:val="03BD25E1"/>
    <w:rsid w:val="03C052BE"/>
    <w:rsid w:val="03C32C99"/>
    <w:rsid w:val="03C36DE4"/>
    <w:rsid w:val="03CA5B4E"/>
    <w:rsid w:val="03CA5CA6"/>
    <w:rsid w:val="03CA7BBF"/>
    <w:rsid w:val="03CC315E"/>
    <w:rsid w:val="03D206E0"/>
    <w:rsid w:val="03D34F82"/>
    <w:rsid w:val="03D472D2"/>
    <w:rsid w:val="03D833EB"/>
    <w:rsid w:val="03DB6F36"/>
    <w:rsid w:val="03DC49BA"/>
    <w:rsid w:val="03E33417"/>
    <w:rsid w:val="03E77F2F"/>
    <w:rsid w:val="03EA1708"/>
    <w:rsid w:val="03EC038B"/>
    <w:rsid w:val="03EC4131"/>
    <w:rsid w:val="03F102C6"/>
    <w:rsid w:val="03F16FBE"/>
    <w:rsid w:val="03F35818"/>
    <w:rsid w:val="03F564E5"/>
    <w:rsid w:val="03F5754F"/>
    <w:rsid w:val="03F617F9"/>
    <w:rsid w:val="03F86877"/>
    <w:rsid w:val="03FA6D38"/>
    <w:rsid w:val="03FE0E12"/>
    <w:rsid w:val="03FE6A50"/>
    <w:rsid w:val="03FE7EAB"/>
    <w:rsid w:val="03FF60FC"/>
    <w:rsid w:val="040A684F"/>
    <w:rsid w:val="040E5464"/>
    <w:rsid w:val="0410296E"/>
    <w:rsid w:val="0414147C"/>
    <w:rsid w:val="04164770"/>
    <w:rsid w:val="041865FA"/>
    <w:rsid w:val="041978F4"/>
    <w:rsid w:val="041A21CD"/>
    <w:rsid w:val="041C3746"/>
    <w:rsid w:val="04216436"/>
    <w:rsid w:val="04234F35"/>
    <w:rsid w:val="04254036"/>
    <w:rsid w:val="04280C6D"/>
    <w:rsid w:val="04281941"/>
    <w:rsid w:val="042A6139"/>
    <w:rsid w:val="042D6944"/>
    <w:rsid w:val="042E45E0"/>
    <w:rsid w:val="04341EFF"/>
    <w:rsid w:val="043568B3"/>
    <w:rsid w:val="04357CBA"/>
    <w:rsid w:val="043716B8"/>
    <w:rsid w:val="04383D69"/>
    <w:rsid w:val="043D484D"/>
    <w:rsid w:val="043E39D3"/>
    <w:rsid w:val="044174E3"/>
    <w:rsid w:val="04424815"/>
    <w:rsid w:val="04424E42"/>
    <w:rsid w:val="04426AA0"/>
    <w:rsid w:val="04433B6A"/>
    <w:rsid w:val="044361BB"/>
    <w:rsid w:val="04461A3E"/>
    <w:rsid w:val="0450138F"/>
    <w:rsid w:val="04550588"/>
    <w:rsid w:val="04551206"/>
    <w:rsid w:val="045C6055"/>
    <w:rsid w:val="045F1ABA"/>
    <w:rsid w:val="04602913"/>
    <w:rsid w:val="04610B65"/>
    <w:rsid w:val="04650F8D"/>
    <w:rsid w:val="04661AE1"/>
    <w:rsid w:val="046806CA"/>
    <w:rsid w:val="04697384"/>
    <w:rsid w:val="046B0481"/>
    <w:rsid w:val="046D6E02"/>
    <w:rsid w:val="046E593A"/>
    <w:rsid w:val="046F4218"/>
    <w:rsid w:val="047339B1"/>
    <w:rsid w:val="047348B2"/>
    <w:rsid w:val="04741F3D"/>
    <w:rsid w:val="0476591D"/>
    <w:rsid w:val="04770F17"/>
    <w:rsid w:val="04787E66"/>
    <w:rsid w:val="047A363B"/>
    <w:rsid w:val="047A5783"/>
    <w:rsid w:val="047D4A10"/>
    <w:rsid w:val="047D5A67"/>
    <w:rsid w:val="047D69D4"/>
    <w:rsid w:val="047F0FEB"/>
    <w:rsid w:val="047F1403"/>
    <w:rsid w:val="047F4CE4"/>
    <w:rsid w:val="048036AA"/>
    <w:rsid w:val="0481143B"/>
    <w:rsid w:val="04836628"/>
    <w:rsid w:val="048527A3"/>
    <w:rsid w:val="048554A5"/>
    <w:rsid w:val="04863F3B"/>
    <w:rsid w:val="04865419"/>
    <w:rsid w:val="048760F2"/>
    <w:rsid w:val="04895346"/>
    <w:rsid w:val="048A0644"/>
    <w:rsid w:val="048C0E7B"/>
    <w:rsid w:val="048C0E81"/>
    <w:rsid w:val="048E122E"/>
    <w:rsid w:val="048F54C5"/>
    <w:rsid w:val="0492553E"/>
    <w:rsid w:val="04930063"/>
    <w:rsid w:val="049A0157"/>
    <w:rsid w:val="049B09CB"/>
    <w:rsid w:val="049F343C"/>
    <w:rsid w:val="04A17F99"/>
    <w:rsid w:val="04A30870"/>
    <w:rsid w:val="04A322EA"/>
    <w:rsid w:val="04A4119D"/>
    <w:rsid w:val="04AB280B"/>
    <w:rsid w:val="04AE367F"/>
    <w:rsid w:val="04AF0924"/>
    <w:rsid w:val="04B213C1"/>
    <w:rsid w:val="04B2652D"/>
    <w:rsid w:val="04B74C29"/>
    <w:rsid w:val="04B90581"/>
    <w:rsid w:val="04BA0275"/>
    <w:rsid w:val="04BF588C"/>
    <w:rsid w:val="04C20FEE"/>
    <w:rsid w:val="04C335CE"/>
    <w:rsid w:val="04C37105"/>
    <w:rsid w:val="04C71395"/>
    <w:rsid w:val="04CC3644"/>
    <w:rsid w:val="04CC673B"/>
    <w:rsid w:val="04CE0531"/>
    <w:rsid w:val="04D3046A"/>
    <w:rsid w:val="04D8493E"/>
    <w:rsid w:val="04DE21B6"/>
    <w:rsid w:val="04DF1A8A"/>
    <w:rsid w:val="04E246A7"/>
    <w:rsid w:val="04E30817"/>
    <w:rsid w:val="04E35A1E"/>
    <w:rsid w:val="04E71501"/>
    <w:rsid w:val="04EA62D3"/>
    <w:rsid w:val="04F253A2"/>
    <w:rsid w:val="04F27145"/>
    <w:rsid w:val="04F33787"/>
    <w:rsid w:val="04F356EB"/>
    <w:rsid w:val="04F41F5F"/>
    <w:rsid w:val="04F85480"/>
    <w:rsid w:val="04FA260D"/>
    <w:rsid w:val="04FA4B16"/>
    <w:rsid w:val="04FE4A35"/>
    <w:rsid w:val="04FF037E"/>
    <w:rsid w:val="04FF402F"/>
    <w:rsid w:val="04FF4E20"/>
    <w:rsid w:val="05002D34"/>
    <w:rsid w:val="050559BE"/>
    <w:rsid w:val="0509354C"/>
    <w:rsid w:val="050A784F"/>
    <w:rsid w:val="050E34C0"/>
    <w:rsid w:val="05101605"/>
    <w:rsid w:val="05103563"/>
    <w:rsid w:val="05145BD8"/>
    <w:rsid w:val="051536FE"/>
    <w:rsid w:val="05170B2B"/>
    <w:rsid w:val="051756C8"/>
    <w:rsid w:val="05175BAE"/>
    <w:rsid w:val="051832F6"/>
    <w:rsid w:val="05197775"/>
    <w:rsid w:val="052072B4"/>
    <w:rsid w:val="05220784"/>
    <w:rsid w:val="052222BA"/>
    <w:rsid w:val="05241615"/>
    <w:rsid w:val="05281683"/>
    <w:rsid w:val="052828AA"/>
    <w:rsid w:val="052A2D8E"/>
    <w:rsid w:val="052C3149"/>
    <w:rsid w:val="052E0CB5"/>
    <w:rsid w:val="05300538"/>
    <w:rsid w:val="05314926"/>
    <w:rsid w:val="05354B32"/>
    <w:rsid w:val="05355B4E"/>
    <w:rsid w:val="053578FC"/>
    <w:rsid w:val="05393118"/>
    <w:rsid w:val="053B2B03"/>
    <w:rsid w:val="053D69B3"/>
    <w:rsid w:val="053E7F1C"/>
    <w:rsid w:val="05461FA7"/>
    <w:rsid w:val="05473177"/>
    <w:rsid w:val="054D10EA"/>
    <w:rsid w:val="05500BDA"/>
    <w:rsid w:val="05523DF1"/>
    <w:rsid w:val="05535F6E"/>
    <w:rsid w:val="05542BD3"/>
    <w:rsid w:val="05552F56"/>
    <w:rsid w:val="055819F1"/>
    <w:rsid w:val="0559183C"/>
    <w:rsid w:val="05602B35"/>
    <w:rsid w:val="05633B7C"/>
    <w:rsid w:val="0564768A"/>
    <w:rsid w:val="05673CE6"/>
    <w:rsid w:val="056921F6"/>
    <w:rsid w:val="05693447"/>
    <w:rsid w:val="05696E27"/>
    <w:rsid w:val="05697625"/>
    <w:rsid w:val="056A1C9B"/>
    <w:rsid w:val="056A2978"/>
    <w:rsid w:val="056C0594"/>
    <w:rsid w:val="05734C3B"/>
    <w:rsid w:val="05736C75"/>
    <w:rsid w:val="0574561C"/>
    <w:rsid w:val="05760640"/>
    <w:rsid w:val="057655CE"/>
    <w:rsid w:val="057B76E5"/>
    <w:rsid w:val="057C7141"/>
    <w:rsid w:val="0583212D"/>
    <w:rsid w:val="0587143D"/>
    <w:rsid w:val="058A5E9A"/>
    <w:rsid w:val="058D497E"/>
    <w:rsid w:val="05905EE5"/>
    <w:rsid w:val="05913944"/>
    <w:rsid w:val="059211F2"/>
    <w:rsid w:val="05955D14"/>
    <w:rsid w:val="05967A84"/>
    <w:rsid w:val="05992A5E"/>
    <w:rsid w:val="059C16CD"/>
    <w:rsid w:val="059C6752"/>
    <w:rsid w:val="059F7988"/>
    <w:rsid w:val="05A05042"/>
    <w:rsid w:val="05A277CA"/>
    <w:rsid w:val="05A33817"/>
    <w:rsid w:val="05A54AFA"/>
    <w:rsid w:val="05A71CE9"/>
    <w:rsid w:val="05A81688"/>
    <w:rsid w:val="05AC09DA"/>
    <w:rsid w:val="05AD6BC7"/>
    <w:rsid w:val="05B00031"/>
    <w:rsid w:val="05B34ED2"/>
    <w:rsid w:val="05BE584E"/>
    <w:rsid w:val="05C0366A"/>
    <w:rsid w:val="05C173E2"/>
    <w:rsid w:val="05C20F94"/>
    <w:rsid w:val="05C649F8"/>
    <w:rsid w:val="05C81319"/>
    <w:rsid w:val="05C869C2"/>
    <w:rsid w:val="05C95532"/>
    <w:rsid w:val="05CD5D86"/>
    <w:rsid w:val="05CE68E2"/>
    <w:rsid w:val="05D15899"/>
    <w:rsid w:val="05D3433F"/>
    <w:rsid w:val="05D47115"/>
    <w:rsid w:val="05D516AC"/>
    <w:rsid w:val="05D62E8D"/>
    <w:rsid w:val="05D712DB"/>
    <w:rsid w:val="05D84E57"/>
    <w:rsid w:val="05DA7CAB"/>
    <w:rsid w:val="05DF3BB2"/>
    <w:rsid w:val="05E219F3"/>
    <w:rsid w:val="05E76E48"/>
    <w:rsid w:val="05E84622"/>
    <w:rsid w:val="05EB3AA1"/>
    <w:rsid w:val="05EC62FD"/>
    <w:rsid w:val="05EE671F"/>
    <w:rsid w:val="05F136F8"/>
    <w:rsid w:val="05F55C8B"/>
    <w:rsid w:val="05F64619"/>
    <w:rsid w:val="05F77EA2"/>
    <w:rsid w:val="05F82349"/>
    <w:rsid w:val="05F9301F"/>
    <w:rsid w:val="05FE4192"/>
    <w:rsid w:val="06005C70"/>
    <w:rsid w:val="060151F7"/>
    <w:rsid w:val="06082661"/>
    <w:rsid w:val="060C6517"/>
    <w:rsid w:val="06113568"/>
    <w:rsid w:val="061225E7"/>
    <w:rsid w:val="06141C07"/>
    <w:rsid w:val="06152587"/>
    <w:rsid w:val="06160A0D"/>
    <w:rsid w:val="061623F8"/>
    <w:rsid w:val="06165B5E"/>
    <w:rsid w:val="06174092"/>
    <w:rsid w:val="06176F90"/>
    <w:rsid w:val="061834A6"/>
    <w:rsid w:val="06192760"/>
    <w:rsid w:val="061C4276"/>
    <w:rsid w:val="061C4949"/>
    <w:rsid w:val="061C7C3F"/>
    <w:rsid w:val="061E1D01"/>
    <w:rsid w:val="061E65E2"/>
    <w:rsid w:val="061F2A86"/>
    <w:rsid w:val="062033A8"/>
    <w:rsid w:val="06221990"/>
    <w:rsid w:val="062260D2"/>
    <w:rsid w:val="062416F2"/>
    <w:rsid w:val="06252F37"/>
    <w:rsid w:val="06280480"/>
    <w:rsid w:val="062B7FF3"/>
    <w:rsid w:val="062D5D09"/>
    <w:rsid w:val="063056C9"/>
    <w:rsid w:val="06305B70"/>
    <w:rsid w:val="06307BAD"/>
    <w:rsid w:val="06310D3B"/>
    <w:rsid w:val="06313D3D"/>
    <w:rsid w:val="063278FE"/>
    <w:rsid w:val="063B03A4"/>
    <w:rsid w:val="063E0187"/>
    <w:rsid w:val="063E4A97"/>
    <w:rsid w:val="063E4B7A"/>
    <w:rsid w:val="06422AFA"/>
    <w:rsid w:val="0643264F"/>
    <w:rsid w:val="06440C74"/>
    <w:rsid w:val="06451DC1"/>
    <w:rsid w:val="06471FDD"/>
    <w:rsid w:val="06487227"/>
    <w:rsid w:val="064C3B87"/>
    <w:rsid w:val="064D79F0"/>
    <w:rsid w:val="064E336B"/>
    <w:rsid w:val="064E339A"/>
    <w:rsid w:val="065459EA"/>
    <w:rsid w:val="06563FCE"/>
    <w:rsid w:val="0657693E"/>
    <w:rsid w:val="06597B5B"/>
    <w:rsid w:val="065B1B52"/>
    <w:rsid w:val="06614F34"/>
    <w:rsid w:val="06620BC5"/>
    <w:rsid w:val="066351C2"/>
    <w:rsid w:val="06636BA2"/>
    <w:rsid w:val="066A2618"/>
    <w:rsid w:val="06730C77"/>
    <w:rsid w:val="0673214D"/>
    <w:rsid w:val="06736E71"/>
    <w:rsid w:val="06742A00"/>
    <w:rsid w:val="06744454"/>
    <w:rsid w:val="06761103"/>
    <w:rsid w:val="06782774"/>
    <w:rsid w:val="067A18FB"/>
    <w:rsid w:val="06840B3B"/>
    <w:rsid w:val="06845027"/>
    <w:rsid w:val="06855868"/>
    <w:rsid w:val="06881FA3"/>
    <w:rsid w:val="0688544D"/>
    <w:rsid w:val="068965FB"/>
    <w:rsid w:val="068B335D"/>
    <w:rsid w:val="068C7959"/>
    <w:rsid w:val="068E39BB"/>
    <w:rsid w:val="068F00D3"/>
    <w:rsid w:val="068F04FE"/>
    <w:rsid w:val="069201F3"/>
    <w:rsid w:val="069640E1"/>
    <w:rsid w:val="0698241C"/>
    <w:rsid w:val="069D357D"/>
    <w:rsid w:val="069D7E4F"/>
    <w:rsid w:val="069E1C5E"/>
    <w:rsid w:val="06A12682"/>
    <w:rsid w:val="06A16199"/>
    <w:rsid w:val="06A3129E"/>
    <w:rsid w:val="06A63218"/>
    <w:rsid w:val="06A83353"/>
    <w:rsid w:val="06A905A2"/>
    <w:rsid w:val="06AA5117"/>
    <w:rsid w:val="06AD17BE"/>
    <w:rsid w:val="06B27F6D"/>
    <w:rsid w:val="06B372F3"/>
    <w:rsid w:val="06B760A1"/>
    <w:rsid w:val="06B76BBA"/>
    <w:rsid w:val="06B807E5"/>
    <w:rsid w:val="06BD0B7D"/>
    <w:rsid w:val="06C12428"/>
    <w:rsid w:val="06C17C18"/>
    <w:rsid w:val="06C66412"/>
    <w:rsid w:val="06C679A8"/>
    <w:rsid w:val="06C67E1B"/>
    <w:rsid w:val="06C87E09"/>
    <w:rsid w:val="06CC6433"/>
    <w:rsid w:val="06CE0F63"/>
    <w:rsid w:val="06CF629A"/>
    <w:rsid w:val="06D22F7F"/>
    <w:rsid w:val="06D320F2"/>
    <w:rsid w:val="06D3721C"/>
    <w:rsid w:val="06D77A1A"/>
    <w:rsid w:val="06DA4BFF"/>
    <w:rsid w:val="06DB53DF"/>
    <w:rsid w:val="06DC22A9"/>
    <w:rsid w:val="06DD024B"/>
    <w:rsid w:val="06DD524B"/>
    <w:rsid w:val="06DD703D"/>
    <w:rsid w:val="06DF3EED"/>
    <w:rsid w:val="06DF3FC3"/>
    <w:rsid w:val="06E10675"/>
    <w:rsid w:val="06E12414"/>
    <w:rsid w:val="06E26A30"/>
    <w:rsid w:val="06E560A4"/>
    <w:rsid w:val="06E836AB"/>
    <w:rsid w:val="06EE3D19"/>
    <w:rsid w:val="06F02D57"/>
    <w:rsid w:val="06F279E6"/>
    <w:rsid w:val="06F7755F"/>
    <w:rsid w:val="06F80F48"/>
    <w:rsid w:val="06F833F8"/>
    <w:rsid w:val="06F965AD"/>
    <w:rsid w:val="06FC4A1F"/>
    <w:rsid w:val="06FF26BE"/>
    <w:rsid w:val="07013BF5"/>
    <w:rsid w:val="070331C5"/>
    <w:rsid w:val="07034156"/>
    <w:rsid w:val="07084B7F"/>
    <w:rsid w:val="07087B1C"/>
    <w:rsid w:val="070954E4"/>
    <w:rsid w:val="070B10A0"/>
    <w:rsid w:val="070C0E43"/>
    <w:rsid w:val="070D34D2"/>
    <w:rsid w:val="070F6A6A"/>
    <w:rsid w:val="07102341"/>
    <w:rsid w:val="071023CF"/>
    <w:rsid w:val="071068A6"/>
    <w:rsid w:val="07111EE2"/>
    <w:rsid w:val="0714550A"/>
    <w:rsid w:val="07161F9A"/>
    <w:rsid w:val="07185C21"/>
    <w:rsid w:val="07195727"/>
    <w:rsid w:val="071F67D6"/>
    <w:rsid w:val="071F711A"/>
    <w:rsid w:val="072128A1"/>
    <w:rsid w:val="072151A3"/>
    <w:rsid w:val="07224C2D"/>
    <w:rsid w:val="072440CC"/>
    <w:rsid w:val="07254E89"/>
    <w:rsid w:val="07260E80"/>
    <w:rsid w:val="07292552"/>
    <w:rsid w:val="072C5B52"/>
    <w:rsid w:val="07311BDC"/>
    <w:rsid w:val="07320597"/>
    <w:rsid w:val="073626C5"/>
    <w:rsid w:val="07387B4D"/>
    <w:rsid w:val="073929DD"/>
    <w:rsid w:val="07395A73"/>
    <w:rsid w:val="073A31B0"/>
    <w:rsid w:val="073C1416"/>
    <w:rsid w:val="073C31C4"/>
    <w:rsid w:val="073D386F"/>
    <w:rsid w:val="073D65C0"/>
    <w:rsid w:val="073F2CB4"/>
    <w:rsid w:val="07401123"/>
    <w:rsid w:val="0742206A"/>
    <w:rsid w:val="07427063"/>
    <w:rsid w:val="07451CD9"/>
    <w:rsid w:val="0746501A"/>
    <w:rsid w:val="07476504"/>
    <w:rsid w:val="074770E5"/>
    <w:rsid w:val="074A55A2"/>
    <w:rsid w:val="074C5F08"/>
    <w:rsid w:val="074F39CB"/>
    <w:rsid w:val="074F5025"/>
    <w:rsid w:val="075075A0"/>
    <w:rsid w:val="075077D4"/>
    <w:rsid w:val="07520576"/>
    <w:rsid w:val="07522CAC"/>
    <w:rsid w:val="075517C9"/>
    <w:rsid w:val="075524D7"/>
    <w:rsid w:val="0756113E"/>
    <w:rsid w:val="07564F88"/>
    <w:rsid w:val="075836E5"/>
    <w:rsid w:val="075A5E7B"/>
    <w:rsid w:val="075C1AB8"/>
    <w:rsid w:val="075E55AA"/>
    <w:rsid w:val="075F4B88"/>
    <w:rsid w:val="076170CE"/>
    <w:rsid w:val="07653BBC"/>
    <w:rsid w:val="07676B80"/>
    <w:rsid w:val="076C536F"/>
    <w:rsid w:val="07737DF0"/>
    <w:rsid w:val="07746E01"/>
    <w:rsid w:val="077A1F3E"/>
    <w:rsid w:val="078069CC"/>
    <w:rsid w:val="0781151E"/>
    <w:rsid w:val="078235DA"/>
    <w:rsid w:val="07837045"/>
    <w:rsid w:val="078608E3"/>
    <w:rsid w:val="07884FDE"/>
    <w:rsid w:val="07886409"/>
    <w:rsid w:val="0789761E"/>
    <w:rsid w:val="07912B3A"/>
    <w:rsid w:val="079137D0"/>
    <w:rsid w:val="07927288"/>
    <w:rsid w:val="07927587"/>
    <w:rsid w:val="0794580D"/>
    <w:rsid w:val="07970828"/>
    <w:rsid w:val="07982785"/>
    <w:rsid w:val="07984850"/>
    <w:rsid w:val="07987FF3"/>
    <w:rsid w:val="079B032A"/>
    <w:rsid w:val="079B1CE5"/>
    <w:rsid w:val="079B387D"/>
    <w:rsid w:val="07A2637E"/>
    <w:rsid w:val="07A34FF1"/>
    <w:rsid w:val="07A4192E"/>
    <w:rsid w:val="07A93658"/>
    <w:rsid w:val="07A96CCC"/>
    <w:rsid w:val="07AA3D06"/>
    <w:rsid w:val="07AB1790"/>
    <w:rsid w:val="07AB7857"/>
    <w:rsid w:val="07AD75C2"/>
    <w:rsid w:val="07AF0300"/>
    <w:rsid w:val="07B02BEA"/>
    <w:rsid w:val="07B05CA7"/>
    <w:rsid w:val="07B074C4"/>
    <w:rsid w:val="07B11801"/>
    <w:rsid w:val="07B405F9"/>
    <w:rsid w:val="07B96946"/>
    <w:rsid w:val="07BD2BD5"/>
    <w:rsid w:val="07BD3670"/>
    <w:rsid w:val="07C633D1"/>
    <w:rsid w:val="07CC3861"/>
    <w:rsid w:val="07CE0146"/>
    <w:rsid w:val="07CF1577"/>
    <w:rsid w:val="07CF748E"/>
    <w:rsid w:val="07D83BB2"/>
    <w:rsid w:val="07D847CB"/>
    <w:rsid w:val="07DA6ACF"/>
    <w:rsid w:val="07E4004A"/>
    <w:rsid w:val="07E41D74"/>
    <w:rsid w:val="07E666C9"/>
    <w:rsid w:val="07E73B60"/>
    <w:rsid w:val="07E7448A"/>
    <w:rsid w:val="07E76EEF"/>
    <w:rsid w:val="07E8644B"/>
    <w:rsid w:val="07EA70C4"/>
    <w:rsid w:val="07EB4B04"/>
    <w:rsid w:val="07EC4BEA"/>
    <w:rsid w:val="07ED3E39"/>
    <w:rsid w:val="07ED7304"/>
    <w:rsid w:val="07F141A5"/>
    <w:rsid w:val="07F5423E"/>
    <w:rsid w:val="07F67F05"/>
    <w:rsid w:val="07F7047C"/>
    <w:rsid w:val="07F724DE"/>
    <w:rsid w:val="07F76A43"/>
    <w:rsid w:val="07FA4F94"/>
    <w:rsid w:val="07FB4E2D"/>
    <w:rsid w:val="0800381B"/>
    <w:rsid w:val="08024177"/>
    <w:rsid w:val="0802440D"/>
    <w:rsid w:val="080528C5"/>
    <w:rsid w:val="08071A24"/>
    <w:rsid w:val="080A0777"/>
    <w:rsid w:val="080A1757"/>
    <w:rsid w:val="080B34B4"/>
    <w:rsid w:val="080C528C"/>
    <w:rsid w:val="080F62C1"/>
    <w:rsid w:val="081015DC"/>
    <w:rsid w:val="08177C5E"/>
    <w:rsid w:val="081902EA"/>
    <w:rsid w:val="08197E58"/>
    <w:rsid w:val="081A6202"/>
    <w:rsid w:val="0821701F"/>
    <w:rsid w:val="08236132"/>
    <w:rsid w:val="08251EAA"/>
    <w:rsid w:val="08254F32"/>
    <w:rsid w:val="082E346B"/>
    <w:rsid w:val="08311986"/>
    <w:rsid w:val="08346584"/>
    <w:rsid w:val="08353433"/>
    <w:rsid w:val="08356CEC"/>
    <w:rsid w:val="08394ED9"/>
    <w:rsid w:val="083B1F2A"/>
    <w:rsid w:val="083B7FDB"/>
    <w:rsid w:val="083C3EE7"/>
    <w:rsid w:val="083F69E2"/>
    <w:rsid w:val="08420CAE"/>
    <w:rsid w:val="08421DE7"/>
    <w:rsid w:val="0843241C"/>
    <w:rsid w:val="08433389"/>
    <w:rsid w:val="08442704"/>
    <w:rsid w:val="08467692"/>
    <w:rsid w:val="08470D95"/>
    <w:rsid w:val="08475C81"/>
    <w:rsid w:val="08490E6F"/>
    <w:rsid w:val="084A0DE9"/>
    <w:rsid w:val="084A1910"/>
    <w:rsid w:val="084A4F1D"/>
    <w:rsid w:val="084B664B"/>
    <w:rsid w:val="084F3972"/>
    <w:rsid w:val="084F5179"/>
    <w:rsid w:val="085001FB"/>
    <w:rsid w:val="085065D7"/>
    <w:rsid w:val="08510E9D"/>
    <w:rsid w:val="08513636"/>
    <w:rsid w:val="08545B61"/>
    <w:rsid w:val="085656BD"/>
    <w:rsid w:val="085A617A"/>
    <w:rsid w:val="085C571A"/>
    <w:rsid w:val="085D06E7"/>
    <w:rsid w:val="08602445"/>
    <w:rsid w:val="08603AA8"/>
    <w:rsid w:val="08623466"/>
    <w:rsid w:val="086417A9"/>
    <w:rsid w:val="08652329"/>
    <w:rsid w:val="08666B03"/>
    <w:rsid w:val="08670714"/>
    <w:rsid w:val="086817EF"/>
    <w:rsid w:val="086A7947"/>
    <w:rsid w:val="086C395F"/>
    <w:rsid w:val="086D0371"/>
    <w:rsid w:val="087034D0"/>
    <w:rsid w:val="08703D50"/>
    <w:rsid w:val="0871251D"/>
    <w:rsid w:val="087368F3"/>
    <w:rsid w:val="08744139"/>
    <w:rsid w:val="08773148"/>
    <w:rsid w:val="0878022B"/>
    <w:rsid w:val="0878298C"/>
    <w:rsid w:val="087A5175"/>
    <w:rsid w:val="087C124C"/>
    <w:rsid w:val="087D3E5F"/>
    <w:rsid w:val="087D7F38"/>
    <w:rsid w:val="087E7753"/>
    <w:rsid w:val="08807E50"/>
    <w:rsid w:val="088262B8"/>
    <w:rsid w:val="088A4403"/>
    <w:rsid w:val="088C1F29"/>
    <w:rsid w:val="088E3EF3"/>
    <w:rsid w:val="088F2C16"/>
    <w:rsid w:val="08924EFA"/>
    <w:rsid w:val="08933CF9"/>
    <w:rsid w:val="0894033F"/>
    <w:rsid w:val="08971382"/>
    <w:rsid w:val="089716ED"/>
    <w:rsid w:val="0898267C"/>
    <w:rsid w:val="0899665E"/>
    <w:rsid w:val="089A1325"/>
    <w:rsid w:val="089A2898"/>
    <w:rsid w:val="089B03BE"/>
    <w:rsid w:val="089E7837"/>
    <w:rsid w:val="08A13C26"/>
    <w:rsid w:val="08A46F87"/>
    <w:rsid w:val="08A51783"/>
    <w:rsid w:val="08A73599"/>
    <w:rsid w:val="08A8475D"/>
    <w:rsid w:val="08AA5136"/>
    <w:rsid w:val="08AE00F1"/>
    <w:rsid w:val="08B1373D"/>
    <w:rsid w:val="08B2221F"/>
    <w:rsid w:val="08B25593"/>
    <w:rsid w:val="08B3415A"/>
    <w:rsid w:val="08B467CD"/>
    <w:rsid w:val="08B644EE"/>
    <w:rsid w:val="08B83F07"/>
    <w:rsid w:val="08BA6A96"/>
    <w:rsid w:val="08BE7367"/>
    <w:rsid w:val="08C01BD2"/>
    <w:rsid w:val="08C15A27"/>
    <w:rsid w:val="08C53872"/>
    <w:rsid w:val="08C6368D"/>
    <w:rsid w:val="08C711B3"/>
    <w:rsid w:val="08C93226"/>
    <w:rsid w:val="08CB3664"/>
    <w:rsid w:val="08D028DA"/>
    <w:rsid w:val="08D1201A"/>
    <w:rsid w:val="08D52190"/>
    <w:rsid w:val="08D97D39"/>
    <w:rsid w:val="08DE0809"/>
    <w:rsid w:val="08E04023"/>
    <w:rsid w:val="08E10F6D"/>
    <w:rsid w:val="08E50B6E"/>
    <w:rsid w:val="08E5157A"/>
    <w:rsid w:val="08E51639"/>
    <w:rsid w:val="08E754A8"/>
    <w:rsid w:val="08EF3E5C"/>
    <w:rsid w:val="08F16D50"/>
    <w:rsid w:val="08F17FDE"/>
    <w:rsid w:val="08F63846"/>
    <w:rsid w:val="08F64E23"/>
    <w:rsid w:val="08F7116A"/>
    <w:rsid w:val="08FA09EC"/>
    <w:rsid w:val="08FE0BC9"/>
    <w:rsid w:val="09000503"/>
    <w:rsid w:val="09012F5C"/>
    <w:rsid w:val="09044B9E"/>
    <w:rsid w:val="09044C08"/>
    <w:rsid w:val="09044E3A"/>
    <w:rsid w:val="09044F84"/>
    <w:rsid w:val="09054413"/>
    <w:rsid w:val="090632C9"/>
    <w:rsid w:val="090965BF"/>
    <w:rsid w:val="090975FF"/>
    <w:rsid w:val="090D2914"/>
    <w:rsid w:val="090F56A0"/>
    <w:rsid w:val="09107F64"/>
    <w:rsid w:val="09151097"/>
    <w:rsid w:val="09152278"/>
    <w:rsid w:val="09167A44"/>
    <w:rsid w:val="09186D75"/>
    <w:rsid w:val="091D32C8"/>
    <w:rsid w:val="091F16FC"/>
    <w:rsid w:val="09203CBD"/>
    <w:rsid w:val="0922463B"/>
    <w:rsid w:val="09224D96"/>
    <w:rsid w:val="0927147C"/>
    <w:rsid w:val="0927437C"/>
    <w:rsid w:val="092918A2"/>
    <w:rsid w:val="092B0DD0"/>
    <w:rsid w:val="092B5462"/>
    <w:rsid w:val="093111A8"/>
    <w:rsid w:val="093174B6"/>
    <w:rsid w:val="09341002"/>
    <w:rsid w:val="09353264"/>
    <w:rsid w:val="09385C0D"/>
    <w:rsid w:val="093926BE"/>
    <w:rsid w:val="093A62D9"/>
    <w:rsid w:val="093C4636"/>
    <w:rsid w:val="093F49D4"/>
    <w:rsid w:val="09422A34"/>
    <w:rsid w:val="094501B6"/>
    <w:rsid w:val="09450540"/>
    <w:rsid w:val="094734A9"/>
    <w:rsid w:val="094B411E"/>
    <w:rsid w:val="094D790A"/>
    <w:rsid w:val="094F6167"/>
    <w:rsid w:val="095047F4"/>
    <w:rsid w:val="095220F5"/>
    <w:rsid w:val="09531A1E"/>
    <w:rsid w:val="09537CA3"/>
    <w:rsid w:val="095567BF"/>
    <w:rsid w:val="09593526"/>
    <w:rsid w:val="095C516D"/>
    <w:rsid w:val="096076EF"/>
    <w:rsid w:val="09630EDC"/>
    <w:rsid w:val="0967021B"/>
    <w:rsid w:val="0967173A"/>
    <w:rsid w:val="09690DB9"/>
    <w:rsid w:val="096D23BA"/>
    <w:rsid w:val="096E17F2"/>
    <w:rsid w:val="096E729A"/>
    <w:rsid w:val="09701255"/>
    <w:rsid w:val="097204B5"/>
    <w:rsid w:val="09736298"/>
    <w:rsid w:val="09743E61"/>
    <w:rsid w:val="097529BD"/>
    <w:rsid w:val="09781759"/>
    <w:rsid w:val="097A1C29"/>
    <w:rsid w:val="097E47CA"/>
    <w:rsid w:val="097F0FD7"/>
    <w:rsid w:val="09836F5E"/>
    <w:rsid w:val="0986256D"/>
    <w:rsid w:val="098A46BA"/>
    <w:rsid w:val="098D41AA"/>
    <w:rsid w:val="098F0E7B"/>
    <w:rsid w:val="098F4F4A"/>
    <w:rsid w:val="098F7F23"/>
    <w:rsid w:val="09906FB0"/>
    <w:rsid w:val="09907686"/>
    <w:rsid w:val="09911CD2"/>
    <w:rsid w:val="099240FF"/>
    <w:rsid w:val="099566DE"/>
    <w:rsid w:val="099644DF"/>
    <w:rsid w:val="09971161"/>
    <w:rsid w:val="099E0166"/>
    <w:rsid w:val="099E6880"/>
    <w:rsid w:val="09A1625C"/>
    <w:rsid w:val="09A80FE4"/>
    <w:rsid w:val="09B1134A"/>
    <w:rsid w:val="09B252E2"/>
    <w:rsid w:val="09B2776D"/>
    <w:rsid w:val="09BA4874"/>
    <w:rsid w:val="09BD51F8"/>
    <w:rsid w:val="09C32F37"/>
    <w:rsid w:val="09C37BCC"/>
    <w:rsid w:val="09C4485B"/>
    <w:rsid w:val="09C556F2"/>
    <w:rsid w:val="09C60C24"/>
    <w:rsid w:val="09C620C2"/>
    <w:rsid w:val="09C64410"/>
    <w:rsid w:val="09C918CC"/>
    <w:rsid w:val="09C95A46"/>
    <w:rsid w:val="09CC7AFB"/>
    <w:rsid w:val="09CE2398"/>
    <w:rsid w:val="09D206F3"/>
    <w:rsid w:val="09D27E0F"/>
    <w:rsid w:val="09D34047"/>
    <w:rsid w:val="09D41DD9"/>
    <w:rsid w:val="09DE4E0C"/>
    <w:rsid w:val="09DF7BD8"/>
    <w:rsid w:val="09E2289D"/>
    <w:rsid w:val="09E244F6"/>
    <w:rsid w:val="09E54C55"/>
    <w:rsid w:val="09E638BB"/>
    <w:rsid w:val="09E71330"/>
    <w:rsid w:val="09EF09C1"/>
    <w:rsid w:val="09F204B1"/>
    <w:rsid w:val="09F2278D"/>
    <w:rsid w:val="09F27127"/>
    <w:rsid w:val="09F32BDD"/>
    <w:rsid w:val="09F87866"/>
    <w:rsid w:val="09FA4321"/>
    <w:rsid w:val="09FB5325"/>
    <w:rsid w:val="0A024058"/>
    <w:rsid w:val="0A034D00"/>
    <w:rsid w:val="0A051A16"/>
    <w:rsid w:val="0A065F37"/>
    <w:rsid w:val="0A097537"/>
    <w:rsid w:val="0A0975BB"/>
    <w:rsid w:val="0A0A62F1"/>
    <w:rsid w:val="0A104BB3"/>
    <w:rsid w:val="0A1421D6"/>
    <w:rsid w:val="0A1A11B3"/>
    <w:rsid w:val="0A1A4033"/>
    <w:rsid w:val="0A1A4AF7"/>
    <w:rsid w:val="0A2564A7"/>
    <w:rsid w:val="0A280EC9"/>
    <w:rsid w:val="0A296248"/>
    <w:rsid w:val="0A2C39C3"/>
    <w:rsid w:val="0A371FAF"/>
    <w:rsid w:val="0A374116"/>
    <w:rsid w:val="0A375EC4"/>
    <w:rsid w:val="0A387055"/>
    <w:rsid w:val="0A3D172D"/>
    <w:rsid w:val="0A3D1D90"/>
    <w:rsid w:val="0A3D7650"/>
    <w:rsid w:val="0A3F2C13"/>
    <w:rsid w:val="0A420EFA"/>
    <w:rsid w:val="0A470C3E"/>
    <w:rsid w:val="0A570314"/>
    <w:rsid w:val="0A5D524B"/>
    <w:rsid w:val="0A64315D"/>
    <w:rsid w:val="0A674CAE"/>
    <w:rsid w:val="0A677275"/>
    <w:rsid w:val="0A6B687D"/>
    <w:rsid w:val="0A6B77C1"/>
    <w:rsid w:val="0A6C4B30"/>
    <w:rsid w:val="0A717C31"/>
    <w:rsid w:val="0A7208C7"/>
    <w:rsid w:val="0A741A12"/>
    <w:rsid w:val="0A797E19"/>
    <w:rsid w:val="0A7C2A1D"/>
    <w:rsid w:val="0A7C7C34"/>
    <w:rsid w:val="0A7D421F"/>
    <w:rsid w:val="0A7D6200"/>
    <w:rsid w:val="0A807B5E"/>
    <w:rsid w:val="0A8455AD"/>
    <w:rsid w:val="0A894CF7"/>
    <w:rsid w:val="0A8A693C"/>
    <w:rsid w:val="0A90301C"/>
    <w:rsid w:val="0A9230DA"/>
    <w:rsid w:val="0A933E13"/>
    <w:rsid w:val="0A941C11"/>
    <w:rsid w:val="0A9758A8"/>
    <w:rsid w:val="0A9D0F2A"/>
    <w:rsid w:val="0AA20680"/>
    <w:rsid w:val="0AA74C7A"/>
    <w:rsid w:val="0AA90B70"/>
    <w:rsid w:val="0AAE0E6D"/>
    <w:rsid w:val="0AAF0E50"/>
    <w:rsid w:val="0AB1211B"/>
    <w:rsid w:val="0AB41A5A"/>
    <w:rsid w:val="0AB51452"/>
    <w:rsid w:val="0AB55001"/>
    <w:rsid w:val="0AB55CF1"/>
    <w:rsid w:val="0ABA4091"/>
    <w:rsid w:val="0ABD7054"/>
    <w:rsid w:val="0AC05EBA"/>
    <w:rsid w:val="0AC13905"/>
    <w:rsid w:val="0AC208BF"/>
    <w:rsid w:val="0AC9117C"/>
    <w:rsid w:val="0ACC2AB1"/>
    <w:rsid w:val="0ACD065D"/>
    <w:rsid w:val="0ACE45D1"/>
    <w:rsid w:val="0ACF434F"/>
    <w:rsid w:val="0AD025A1"/>
    <w:rsid w:val="0AD2620C"/>
    <w:rsid w:val="0AD27739"/>
    <w:rsid w:val="0AD3127A"/>
    <w:rsid w:val="0AD369A5"/>
    <w:rsid w:val="0AD80180"/>
    <w:rsid w:val="0ADA5929"/>
    <w:rsid w:val="0AE01D56"/>
    <w:rsid w:val="0AE0655C"/>
    <w:rsid w:val="0AE3196E"/>
    <w:rsid w:val="0AE61A60"/>
    <w:rsid w:val="0AE61DC4"/>
    <w:rsid w:val="0AE628DC"/>
    <w:rsid w:val="0AE677E3"/>
    <w:rsid w:val="0AEA4F73"/>
    <w:rsid w:val="0AEA649A"/>
    <w:rsid w:val="0AED75B7"/>
    <w:rsid w:val="0AF0055B"/>
    <w:rsid w:val="0AF02C43"/>
    <w:rsid w:val="0AF13236"/>
    <w:rsid w:val="0AF20E87"/>
    <w:rsid w:val="0AF5030F"/>
    <w:rsid w:val="0AF66B30"/>
    <w:rsid w:val="0AF85654"/>
    <w:rsid w:val="0AFD07FE"/>
    <w:rsid w:val="0AFE7C27"/>
    <w:rsid w:val="0AFF3C4B"/>
    <w:rsid w:val="0B0449A8"/>
    <w:rsid w:val="0B044DB2"/>
    <w:rsid w:val="0B0A0096"/>
    <w:rsid w:val="0B0A04B5"/>
    <w:rsid w:val="0B0B10F0"/>
    <w:rsid w:val="0B0B2533"/>
    <w:rsid w:val="0B0B6A44"/>
    <w:rsid w:val="0B0E5E84"/>
    <w:rsid w:val="0B116BFF"/>
    <w:rsid w:val="0B17629A"/>
    <w:rsid w:val="0B1B0149"/>
    <w:rsid w:val="0B1B17B8"/>
    <w:rsid w:val="0B1E71F8"/>
    <w:rsid w:val="0B1F292F"/>
    <w:rsid w:val="0B1F4290"/>
    <w:rsid w:val="0B1F5DA0"/>
    <w:rsid w:val="0B225B1A"/>
    <w:rsid w:val="0B225FBF"/>
    <w:rsid w:val="0B254E68"/>
    <w:rsid w:val="0B2567B2"/>
    <w:rsid w:val="0B2677E3"/>
    <w:rsid w:val="0B291CB1"/>
    <w:rsid w:val="0B335FB4"/>
    <w:rsid w:val="0B3500DF"/>
    <w:rsid w:val="0B3531E8"/>
    <w:rsid w:val="0B3643CE"/>
    <w:rsid w:val="0B381EF4"/>
    <w:rsid w:val="0B3A43AE"/>
    <w:rsid w:val="0B3A7178"/>
    <w:rsid w:val="0B3C43D0"/>
    <w:rsid w:val="0B3E1348"/>
    <w:rsid w:val="0B4307C6"/>
    <w:rsid w:val="0B444D3D"/>
    <w:rsid w:val="0B474DB5"/>
    <w:rsid w:val="0B4B60CB"/>
    <w:rsid w:val="0B4D3088"/>
    <w:rsid w:val="0B4F57EA"/>
    <w:rsid w:val="0B5000E9"/>
    <w:rsid w:val="0B5164A0"/>
    <w:rsid w:val="0B56279A"/>
    <w:rsid w:val="0B5656BD"/>
    <w:rsid w:val="0B574A70"/>
    <w:rsid w:val="0B577EBA"/>
    <w:rsid w:val="0B5A53B2"/>
    <w:rsid w:val="0B5B4571"/>
    <w:rsid w:val="0B5C6392"/>
    <w:rsid w:val="0B5E6F89"/>
    <w:rsid w:val="0B6105B6"/>
    <w:rsid w:val="0B614AC5"/>
    <w:rsid w:val="0B633977"/>
    <w:rsid w:val="0B6568E7"/>
    <w:rsid w:val="0B670D6C"/>
    <w:rsid w:val="0B6727D9"/>
    <w:rsid w:val="0B6B48CC"/>
    <w:rsid w:val="0B6C175C"/>
    <w:rsid w:val="0B6D1773"/>
    <w:rsid w:val="0B6E48C2"/>
    <w:rsid w:val="0B717725"/>
    <w:rsid w:val="0B750D52"/>
    <w:rsid w:val="0B75212F"/>
    <w:rsid w:val="0B786937"/>
    <w:rsid w:val="0B7A3F02"/>
    <w:rsid w:val="0B7C652C"/>
    <w:rsid w:val="0B7C6869"/>
    <w:rsid w:val="0B7E3909"/>
    <w:rsid w:val="0B7F7B23"/>
    <w:rsid w:val="0B802BBC"/>
    <w:rsid w:val="0B896AF0"/>
    <w:rsid w:val="0B8B296C"/>
    <w:rsid w:val="0B8C0074"/>
    <w:rsid w:val="0B8D2240"/>
    <w:rsid w:val="0B8D39A4"/>
    <w:rsid w:val="0B8E1D75"/>
    <w:rsid w:val="0B8E4522"/>
    <w:rsid w:val="0B910614"/>
    <w:rsid w:val="0B9730BE"/>
    <w:rsid w:val="0B981705"/>
    <w:rsid w:val="0B9F3D21"/>
    <w:rsid w:val="0BA35693"/>
    <w:rsid w:val="0BA5102F"/>
    <w:rsid w:val="0BA551CB"/>
    <w:rsid w:val="0BAB0918"/>
    <w:rsid w:val="0BAE0408"/>
    <w:rsid w:val="0BAE36BB"/>
    <w:rsid w:val="0BAF2977"/>
    <w:rsid w:val="0BB02A75"/>
    <w:rsid w:val="0BB21B28"/>
    <w:rsid w:val="0BB27CE4"/>
    <w:rsid w:val="0BB377CC"/>
    <w:rsid w:val="0BB51797"/>
    <w:rsid w:val="0BB66FA4"/>
    <w:rsid w:val="0BB822E8"/>
    <w:rsid w:val="0BB8407B"/>
    <w:rsid w:val="0BB93035"/>
    <w:rsid w:val="0BB93BC5"/>
    <w:rsid w:val="0BB974D9"/>
    <w:rsid w:val="0BBB4DB8"/>
    <w:rsid w:val="0BBD20C9"/>
    <w:rsid w:val="0BBE5C61"/>
    <w:rsid w:val="0BC25F4A"/>
    <w:rsid w:val="0BC45631"/>
    <w:rsid w:val="0BC639A4"/>
    <w:rsid w:val="0BCA0551"/>
    <w:rsid w:val="0BCB4FA1"/>
    <w:rsid w:val="0BCC35DF"/>
    <w:rsid w:val="0BCD06E8"/>
    <w:rsid w:val="0BD059A0"/>
    <w:rsid w:val="0BD065D0"/>
    <w:rsid w:val="0BD46353"/>
    <w:rsid w:val="0BD96B65"/>
    <w:rsid w:val="0BDA55A2"/>
    <w:rsid w:val="0BDC31C7"/>
    <w:rsid w:val="0BDE0828"/>
    <w:rsid w:val="0BDE2288"/>
    <w:rsid w:val="0BDF6813"/>
    <w:rsid w:val="0BE42CF7"/>
    <w:rsid w:val="0BE43B3C"/>
    <w:rsid w:val="0BE462AE"/>
    <w:rsid w:val="0BE80B4C"/>
    <w:rsid w:val="0BEB3162"/>
    <w:rsid w:val="0BEE799F"/>
    <w:rsid w:val="0BF11F1E"/>
    <w:rsid w:val="0BFA514F"/>
    <w:rsid w:val="0BFB51F8"/>
    <w:rsid w:val="0BFF4717"/>
    <w:rsid w:val="0C006EB6"/>
    <w:rsid w:val="0C0419BA"/>
    <w:rsid w:val="0C063434"/>
    <w:rsid w:val="0C0C3C41"/>
    <w:rsid w:val="0C0D481B"/>
    <w:rsid w:val="0C0E70CD"/>
    <w:rsid w:val="0C0F3B2E"/>
    <w:rsid w:val="0C104D60"/>
    <w:rsid w:val="0C1053BE"/>
    <w:rsid w:val="0C1505EB"/>
    <w:rsid w:val="0C156450"/>
    <w:rsid w:val="0C177744"/>
    <w:rsid w:val="0C1D17D8"/>
    <w:rsid w:val="0C1F4E62"/>
    <w:rsid w:val="0C1F50CD"/>
    <w:rsid w:val="0C220E1D"/>
    <w:rsid w:val="0C2560C6"/>
    <w:rsid w:val="0C261D47"/>
    <w:rsid w:val="0C281EC0"/>
    <w:rsid w:val="0C2861F6"/>
    <w:rsid w:val="0C2C216E"/>
    <w:rsid w:val="0C2C5C40"/>
    <w:rsid w:val="0C3539E1"/>
    <w:rsid w:val="0C362024"/>
    <w:rsid w:val="0C3C77C2"/>
    <w:rsid w:val="0C3D49D2"/>
    <w:rsid w:val="0C3D7EA9"/>
    <w:rsid w:val="0C3E1674"/>
    <w:rsid w:val="0C3E20D8"/>
    <w:rsid w:val="0C421CC7"/>
    <w:rsid w:val="0C443312"/>
    <w:rsid w:val="0C450C30"/>
    <w:rsid w:val="0C464E86"/>
    <w:rsid w:val="0C46717F"/>
    <w:rsid w:val="0C481107"/>
    <w:rsid w:val="0C4843B9"/>
    <w:rsid w:val="0C4A4FFD"/>
    <w:rsid w:val="0C4C6A25"/>
    <w:rsid w:val="0C4D4EA5"/>
    <w:rsid w:val="0C4E180B"/>
    <w:rsid w:val="0C4E5A0A"/>
    <w:rsid w:val="0C545261"/>
    <w:rsid w:val="0C5845B6"/>
    <w:rsid w:val="0C5E7964"/>
    <w:rsid w:val="0C62487F"/>
    <w:rsid w:val="0C652D33"/>
    <w:rsid w:val="0C673F81"/>
    <w:rsid w:val="0C6C1BE9"/>
    <w:rsid w:val="0C6E28BA"/>
    <w:rsid w:val="0C6E39F9"/>
    <w:rsid w:val="0C707A56"/>
    <w:rsid w:val="0C7358DA"/>
    <w:rsid w:val="0C745436"/>
    <w:rsid w:val="0C760559"/>
    <w:rsid w:val="0C762CD4"/>
    <w:rsid w:val="0C764645"/>
    <w:rsid w:val="0C7755EE"/>
    <w:rsid w:val="0C7A3856"/>
    <w:rsid w:val="0C7B44BE"/>
    <w:rsid w:val="0C8029AB"/>
    <w:rsid w:val="0C80347F"/>
    <w:rsid w:val="0C83342C"/>
    <w:rsid w:val="0C867702"/>
    <w:rsid w:val="0C8A3EDB"/>
    <w:rsid w:val="0C91395E"/>
    <w:rsid w:val="0C95662C"/>
    <w:rsid w:val="0C9656ED"/>
    <w:rsid w:val="0C99352A"/>
    <w:rsid w:val="0C994C14"/>
    <w:rsid w:val="0C9A7209"/>
    <w:rsid w:val="0C9C0D79"/>
    <w:rsid w:val="0CA044B7"/>
    <w:rsid w:val="0CA05FA3"/>
    <w:rsid w:val="0CA14EEC"/>
    <w:rsid w:val="0CA37841"/>
    <w:rsid w:val="0CA82E20"/>
    <w:rsid w:val="0CA87801"/>
    <w:rsid w:val="0CA9511A"/>
    <w:rsid w:val="0CAD246E"/>
    <w:rsid w:val="0CAD7F79"/>
    <w:rsid w:val="0CB1678C"/>
    <w:rsid w:val="0CB83B56"/>
    <w:rsid w:val="0CBB6906"/>
    <w:rsid w:val="0CBD3506"/>
    <w:rsid w:val="0CBD7F89"/>
    <w:rsid w:val="0CBF2509"/>
    <w:rsid w:val="0CC04B14"/>
    <w:rsid w:val="0CC1182F"/>
    <w:rsid w:val="0CC14B1E"/>
    <w:rsid w:val="0CC2416B"/>
    <w:rsid w:val="0CC71781"/>
    <w:rsid w:val="0CC7558C"/>
    <w:rsid w:val="0CC96FFD"/>
    <w:rsid w:val="0CCB7F0D"/>
    <w:rsid w:val="0CCD573A"/>
    <w:rsid w:val="0CD21284"/>
    <w:rsid w:val="0CD25887"/>
    <w:rsid w:val="0CD508FF"/>
    <w:rsid w:val="0CDB213D"/>
    <w:rsid w:val="0CE02D0F"/>
    <w:rsid w:val="0CE50675"/>
    <w:rsid w:val="0CE6747F"/>
    <w:rsid w:val="0CE73BD2"/>
    <w:rsid w:val="0CF02C50"/>
    <w:rsid w:val="0CF76807"/>
    <w:rsid w:val="0CF76DEA"/>
    <w:rsid w:val="0CFD69E1"/>
    <w:rsid w:val="0CFF0F1B"/>
    <w:rsid w:val="0CFF4096"/>
    <w:rsid w:val="0D027ADD"/>
    <w:rsid w:val="0D03223B"/>
    <w:rsid w:val="0D035739"/>
    <w:rsid w:val="0D042468"/>
    <w:rsid w:val="0D0429D6"/>
    <w:rsid w:val="0D070F57"/>
    <w:rsid w:val="0D0E5EF1"/>
    <w:rsid w:val="0D0E6AD3"/>
    <w:rsid w:val="0D0E73B0"/>
    <w:rsid w:val="0D0F4ED6"/>
    <w:rsid w:val="0D114F1D"/>
    <w:rsid w:val="0D1263E5"/>
    <w:rsid w:val="0D127713"/>
    <w:rsid w:val="0D1427A7"/>
    <w:rsid w:val="0D15240A"/>
    <w:rsid w:val="0D197E9F"/>
    <w:rsid w:val="0D1C281C"/>
    <w:rsid w:val="0D2524CB"/>
    <w:rsid w:val="0D260288"/>
    <w:rsid w:val="0D291805"/>
    <w:rsid w:val="0D2C47B3"/>
    <w:rsid w:val="0D2C6F7F"/>
    <w:rsid w:val="0D2F6D0E"/>
    <w:rsid w:val="0D31666E"/>
    <w:rsid w:val="0D3535C7"/>
    <w:rsid w:val="0D377A85"/>
    <w:rsid w:val="0D39476D"/>
    <w:rsid w:val="0D394C97"/>
    <w:rsid w:val="0D3B3BDF"/>
    <w:rsid w:val="0D3B494C"/>
    <w:rsid w:val="0D3B7AD4"/>
    <w:rsid w:val="0D3D0D2D"/>
    <w:rsid w:val="0D3E03C1"/>
    <w:rsid w:val="0D412CC7"/>
    <w:rsid w:val="0D447276"/>
    <w:rsid w:val="0D473783"/>
    <w:rsid w:val="0D481E63"/>
    <w:rsid w:val="0D485133"/>
    <w:rsid w:val="0D4B0BF6"/>
    <w:rsid w:val="0D4C382C"/>
    <w:rsid w:val="0D524ACF"/>
    <w:rsid w:val="0D533DF8"/>
    <w:rsid w:val="0D5372D9"/>
    <w:rsid w:val="0D5530D3"/>
    <w:rsid w:val="0D553231"/>
    <w:rsid w:val="0D58062B"/>
    <w:rsid w:val="0D5A43A4"/>
    <w:rsid w:val="0D5C4A45"/>
    <w:rsid w:val="0D5D1372"/>
    <w:rsid w:val="0D5F5E5E"/>
    <w:rsid w:val="0D611A4C"/>
    <w:rsid w:val="0D6312A0"/>
    <w:rsid w:val="0D631898"/>
    <w:rsid w:val="0D6337CE"/>
    <w:rsid w:val="0D65084A"/>
    <w:rsid w:val="0D6561EC"/>
    <w:rsid w:val="0D696CDD"/>
    <w:rsid w:val="0D6A3A04"/>
    <w:rsid w:val="0D6A518B"/>
    <w:rsid w:val="0D6C6771"/>
    <w:rsid w:val="0D6D6F61"/>
    <w:rsid w:val="0D726F9B"/>
    <w:rsid w:val="0D746BCF"/>
    <w:rsid w:val="0D7511DD"/>
    <w:rsid w:val="0D75742F"/>
    <w:rsid w:val="0D790EFC"/>
    <w:rsid w:val="0D7B4CB6"/>
    <w:rsid w:val="0D7F02AE"/>
    <w:rsid w:val="0D7F21BF"/>
    <w:rsid w:val="0D7F2EEC"/>
    <w:rsid w:val="0D8238FA"/>
    <w:rsid w:val="0D8551F8"/>
    <w:rsid w:val="0D870F11"/>
    <w:rsid w:val="0D8B2920"/>
    <w:rsid w:val="0D8D22EF"/>
    <w:rsid w:val="0D8E3C96"/>
    <w:rsid w:val="0D956F40"/>
    <w:rsid w:val="0D984282"/>
    <w:rsid w:val="0D990806"/>
    <w:rsid w:val="0D9B13ED"/>
    <w:rsid w:val="0D9D0734"/>
    <w:rsid w:val="0D9E6986"/>
    <w:rsid w:val="0D9F2FA6"/>
    <w:rsid w:val="0DA20848"/>
    <w:rsid w:val="0DA315B8"/>
    <w:rsid w:val="0DA4606B"/>
    <w:rsid w:val="0DA8151C"/>
    <w:rsid w:val="0DB61183"/>
    <w:rsid w:val="0DB63468"/>
    <w:rsid w:val="0DB91DA2"/>
    <w:rsid w:val="0DB9633A"/>
    <w:rsid w:val="0DBA61E3"/>
    <w:rsid w:val="0DBC1345"/>
    <w:rsid w:val="0DBE1C7E"/>
    <w:rsid w:val="0DBF6666"/>
    <w:rsid w:val="0DC1143E"/>
    <w:rsid w:val="0DC12892"/>
    <w:rsid w:val="0DC4752C"/>
    <w:rsid w:val="0DC635E4"/>
    <w:rsid w:val="0DCA7910"/>
    <w:rsid w:val="0DCB0DFD"/>
    <w:rsid w:val="0DCC04F2"/>
    <w:rsid w:val="0DCC4E0D"/>
    <w:rsid w:val="0DCD1A67"/>
    <w:rsid w:val="0DD150E7"/>
    <w:rsid w:val="0DD16C7E"/>
    <w:rsid w:val="0DD30730"/>
    <w:rsid w:val="0DDD3A5F"/>
    <w:rsid w:val="0DDE5994"/>
    <w:rsid w:val="0DE13CE3"/>
    <w:rsid w:val="0DE2529F"/>
    <w:rsid w:val="0DE3753A"/>
    <w:rsid w:val="0DE819AF"/>
    <w:rsid w:val="0DEE2EA2"/>
    <w:rsid w:val="0DF11314"/>
    <w:rsid w:val="0DF12D6D"/>
    <w:rsid w:val="0DF713D9"/>
    <w:rsid w:val="0DF85173"/>
    <w:rsid w:val="0DFA24D2"/>
    <w:rsid w:val="0DFA2657"/>
    <w:rsid w:val="0E0112F0"/>
    <w:rsid w:val="0E037A23"/>
    <w:rsid w:val="0E040766"/>
    <w:rsid w:val="0E04215F"/>
    <w:rsid w:val="0E053C19"/>
    <w:rsid w:val="0E054AB3"/>
    <w:rsid w:val="0E061719"/>
    <w:rsid w:val="0E065060"/>
    <w:rsid w:val="0E086573"/>
    <w:rsid w:val="0E0D56C0"/>
    <w:rsid w:val="0E0E7BEA"/>
    <w:rsid w:val="0E10622A"/>
    <w:rsid w:val="0E1108FE"/>
    <w:rsid w:val="0E1903E0"/>
    <w:rsid w:val="0E1A1D89"/>
    <w:rsid w:val="0E1A239E"/>
    <w:rsid w:val="0E1E0299"/>
    <w:rsid w:val="0E205E18"/>
    <w:rsid w:val="0E210AFD"/>
    <w:rsid w:val="0E2C0A09"/>
    <w:rsid w:val="0E2C486C"/>
    <w:rsid w:val="0E2D3511"/>
    <w:rsid w:val="0E2D3866"/>
    <w:rsid w:val="0E2E4257"/>
    <w:rsid w:val="0E2F622F"/>
    <w:rsid w:val="0E320E7D"/>
    <w:rsid w:val="0E337959"/>
    <w:rsid w:val="0E375067"/>
    <w:rsid w:val="0E3825EC"/>
    <w:rsid w:val="0E383AA8"/>
    <w:rsid w:val="0E39220B"/>
    <w:rsid w:val="0E395649"/>
    <w:rsid w:val="0E3B5A87"/>
    <w:rsid w:val="0E3F3599"/>
    <w:rsid w:val="0E461A43"/>
    <w:rsid w:val="0E487986"/>
    <w:rsid w:val="0E4A4418"/>
    <w:rsid w:val="0E4B5567"/>
    <w:rsid w:val="0E4C4D39"/>
    <w:rsid w:val="0E5105B7"/>
    <w:rsid w:val="0E52158E"/>
    <w:rsid w:val="0E526B59"/>
    <w:rsid w:val="0E542A9E"/>
    <w:rsid w:val="0E5520C7"/>
    <w:rsid w:val="0E5B34E8"/>
    <w:rsid w:val="0E5C11CA"/>
    <w:rsid w:val="0E623E63"/>
    <w:rsid w:val="0E631103"/>
    <w:rsid w:val="0E641C80"/>
    <w:rsid w:val="0E6643C3"/>
    <w:rsid w:val="0E686877"/>
    <w:rsid w:val="0E686A3B"/>
    <w:rsid w:val="0E686F94"/>
    <w:rsid w:val="0E69078B"/>
    <w:rsid w:val="0E6D44C1"/>
    <w:rsid w:val="0E6D5EA0"/>
    <w:rsid w:val="0E6E2941"/>
    <w:rsid w:val="0E71409B"/>
    <w:rsid w:val="0E7223B2"/>
    <w:rsid w:val="0E736CD5"/>
    <w:rsid w:val="0E747962"/>
    <w:rsid w:val="0E785AD8"/>
    <w:rsid w:val="0E794CFD"/>
    <w:rsid w:val="0E7A7053"/>
    <w:rsid w:val="0E7B4839"/>
    <w:rsid w:val="0E7C60A3"/>
    <w:rsid w:val="0E7E091A"/>
    <w:rsid w:val="0E7E40C2"/>
    <w:rsid w:val="0E810FC3"/>
    <w:rsid w:val="0E824FE3"/>
    <w:rsid w:val="0E825A8F"/>
    <w:rsid w:val="0E8518F4"/>
    <w:rsid w:val="0E8573E1"/>
    <w:rsid w:val="0E8A5201"/>
    <w:rsid w:val="0E8C2C83"/>
    <w:rsid w:val="0E8D0253"/>
    <w:rsid w:val="0E8E1074"/>
    <w:rsid w:val="0E910299"/>
    <w:rsid w:val="0E91531B"/>
    <w:rsid w:val="0E9336DC"/>
    <w:rsid w:val="0E947D89"/>
    <w:rsid w:val="0E9829EF"/>
    <w:rsid w:val="0E9A14B7"/>
    <w:rsid w:val="0E9E7DBD"/>
    <w:rsid w:val="0E9F2E9D"/>
    <w:rsid w:val="0E9F4FBE"/>
    <w:rsid w:val="0EA42CE9"/>
    <w:rsid w:val="0EA43155"/>
    <w:rsid w:val="0EA60B71"/>
    <w:rsid w:val="0EA77ABC"/>
    <w:rsid w:val="0EAC44C3"/>
    <w:rsid w:val="0EAC5D4A"/>
    <w:rsid w:val="0EAF5DB9"/>
    <w:rsid w:val="0EB21234"/>
    <w:rsid w:val="0EB6726A"/>
    <w:rsid w:val="0EB7163B"/>
    <w:rsid w:val="0EB9789A"/>
    <w:rsid w:val="0EBF1C78"/>
    <w:rsid w:val="0EC266A4"/>
    <w:rsid w:val="0EC57F43"/>
    <w:rsid w:val="0EC95C85"/>
    <w:rsid w:val="0ECF28CA"/>
    <w:rsid w:val="0ED14B39"/>
    <w:rsid w:val="0ED32660"/>
    <w:rsid w:val="0ED41C44"/>
    <w:rsid w:val="0ED44016"/>
    <w:rsid w:val="0ED566F1"/>
    <w:rsid w:val="0EDA313D"/>
    <w:rsid w:val="0EDB7766"/>
    <w:rsid w:val="0EE40647"/>
    <w:rsid w:val="0EEA5241"/>
    <w:rsid w:val="0EEE649D"/>
    <w:rsid w:val="0EF50182"/>
    <w:rsid w:val="0EF778B1"/>
    <w:rsid w:val="0EF83315"/>
    <w:rsid w:val="0EF919AD"/>
    <w:rsid w:val="0EFC0D72"/>
    <w:rsid w:val="0EFD4949"/>
    <w:rsid w:val="0F036C49"/>
    <w:rsid w:val="0F052A35"/>
    <w:rsid w:val="0F091A0A"/>
    <w:rsid w:val="0F0A2C57"/>
    <w:rsid w:val="0F0D5C2E"/>
    <w:rsid w:val="0F0E4A64"/>
    <w:rsid w:val="0F0F3CF9"/>
    <w:rsid w:val="0F160269"/>
    <w:rsid w:val="0F161A7B"/>
    <w:rsid w:val="0F1B7B63"/>
    <w:rsid w:val="0F2574A4"/>
    <w:rsid w:val="0F26411F"/>
    <w:rsid w:val="0F276D10"/>
    <w:rsid w:val="0F2F0787"/>
    <w:rsid w:val="0F2F1860"/>
    <w:rsid w:val="0F335958"/>
    <w:rsid w:val="0F3375A2"/>
    <w:rsid w:val="0F37255A"/>
    <w:rsid w:val="0F3B0F68"/>
    <w:rsid w:val="0F3E0510"/>
    <w:rsid w:val="0F400451"/>
    <w:rsid w:val="0F415680"/>
    <w:rsid w:val="0F424FD6"/>
    <w:rsid w:val="0F4278BE"/>
    <w:rsid w:val="0F433073"/>
    <w:rsid w:val="0F484100"/>
    <w:rsid w:val="0F4B3FBB"/>
    <w:rsid w:val="0F4C0664"/>
    <w:rsid w:val="0F4C1806"/>
    <w:rsid w:val="0F4C1F1A"/>
    <w:rsid w:val="0F4F5A5E"/>
    <w:rsid w:val="0F5352F7"/>
    <w:rsid w:val="0F5E1165"/>
    <w:rsid w:val="0F607C6B"/>
    <w:rsid w:val="0F6232F4"/>
    <w:rsid w:val="0F6459AD"/>
    <w:rsid w:val="0F654906"/>
    <w:rsid w:val="0F6C6610"/>
    <w:rsid w:val="0F6D6A36"/>
    <w:rsid w:val="0F6E5F7B"/>
    <w:rsid w:val="0F6F3994"/>
    <w:rsid w:val="0F7010AD"/>
    <w:rsid w:val="0F73174D"/>
    <w:rsid w:val="0F733AC6"/>
    <w:rsid w:val="0F7620F7"/>
    <w:rsid w:val="0F7714B9"/>
    <w:rsid w:val="0F7B7385"/>
    <w:rsid w:val="0F7C1FFB"/>
    <w:rsid w:val="0F7C2CF7"/>
    <w:rsid w:val="0F7E716B"/>
    <w:rsid w:val="0F7F3D5A"/>
    <w:rsid w:val="0F7F4526"/>
    <w:rsid w:val="0F801386"/>
    <w:rsid w:val="0F8542B7"/>
    <w:rsid w:val="0F8751F8"/>
    <w:rsid w:val="0F8B3309"/>
    <w:rsid w:val="0F8C7160"/>
    <w:rsid w:val="0F8D0424"/>
    <w:rsid w:val="0F8D52E4"/>
    <w:rsid w:val="0F927BD4"/>
    <w:rsid w:val="0F973A36"/>
    <w:rsid w:val="0F977840"/>
    <w:rsid w:val="0F977C35"/>
    <w:rsid w:val="0F9965B5"/>
    <w:rsid w:val="0F9A3CA2"/>
    <w:rsid w:val="0F9B07BA"/>
    <w:rsid w:val="0F9B6917"/>
    <w:rsid w:val="0F9C3D0F"/>
    <w:rsid w:val="0F9D248D"/>
    <w:rsid w:val="0F9D4A1B"/>
    <w:rsid w:val="0FA013F3"/>
    <w:rsid w:val="0FA12699"/>
    <w:rsid w:val="0FA57681"/>
    <w:rsid w:val="0FA67A8D"/>
    <w:rsid w:val="0FA76140"/>
    <w:rsid w:val="0FA96790"/>
    <w:rsid w:val="0FA97864"/>
    <w:rsid w:val="0FAA6444"/>
    <w:rsid w:val="0FAC53A4"/>
    <w:rsid w:val="0FAC5FCE"/>
    <w:rsid w:val="0FAD0FCC"/>
    <w:rsid w:val="0FAD6092"/>
    <w:rsid w:val="0FAE4E7B"/>
    <w:rsid w:val="0FAF60DA"/>
    <w:rsid w:val="0FB00BF3"/>
    <w:rsid w:val="0FB03016"/>
    <w:rsid w:val="0FB30C37"/>
    <w:rsid w:val="0FB47DF7"/>
    <w:rsid w:val="0FB51D65"/>
    <w:rsid w:val="0FB85AFE"/>
    <w:rsid w:val="0FB92993"/>
    <w:rsid w:val="0FC505A6"/>
    <w:rsid w:val="0FC566B6"/>
    <w:rsid w:val="0FC92877"/>
    <w:rsid w:val="0FCA7A2B"/>
    <w:rsid w:val="0FCD4823"/>
    <w:rsid w:val="0FCF1F9E"/>
    <w:rsid w:val="0FCF2DD6"/>
    <w:rsid w:val="0FD25DBB"/>
    <w:rsid w:val="0FD868F1"/>
    <w:rsid w:val="0FD94DB4"/>
    <w:rsid w:val="0FDD12BC"/>
    <w:rsid w:val="0FE07DA9"/>
    <w:rsid w:val="0FE32D76"/>
    <w:rsid w:val="0FE4264A"/>
    <w:rsid w:val="0FE67956"/>
    <w:rsid w:val="0FE926C8"/>
    <w:rsid w:val="0FEB0DE6"/>
    <w:rsid w:val="0FED7751"/>
    <w:rsid w:val="0FF147E5"/>
    <w:rsid w:val="0FF271BF"/>
    <w:rsid w:val="0FF420EE"/>
    <w:rsid w:val="0FF54858"/>
    <w:rsid w:val="0FF7412C"/>
    <w:rsid w:val="0FFC0270"/>
    <w:rsid w:val="0FFC13CF"/>
    <w:rsid w:val="0FFF014F"/>
    <w:rsid w:val="100310AE"/>
    <w:rsid w:val="10051B30"/>
    <w:rsid w:val="10053430"/>
    <w:rsid w:val="10070F3C"/>
    <w:rsid w:val="10071649"/>
    <w:rsid w:val="10074901"/>
    <w:rsid w:val="10083EE3"/>
    <w:rsid w:val="10094338"/>
    <w:rsid w:val="100C0F46"/>
    <w:rsid w:val="1010321E"/>
    <w:rsid w:val="10162AC9"/>
    <w:rsid w:val="10164585"/>
    <w:rsid w:val="10192FA4"/>
    <w:rsid w:val="102122C3"/>
    <w:rsid w:val="1023276E"/>
    <w:rsid w:val="102766B2"/>
    <w:rsid w:val="10280789"/>
    <w:rsid w:val="10306153"/>
    <w:rsid w:val="1034712E"/>
    <w:rsid w:val="103565C0"/>
    <w:rsid w:val="1039779F"/>
    <w:rsid w:val="103A04BC"/>
    <w:rsid w:val="10443CCE"/>
    <w:rsid w:val="1046092A"/>
    <w:rsid w:val="10492F16"/>
    <w:rsid w:val="104A7030"/>
    <w:rsid w:val="104C2E0F"/>
    <w:rsid w:val="104F6B51"/>
    <w:rsid w:val="10503D01"/>
    <w:rsid w:val="10521CAA"/>
    <w:rsid w:val="105442F8"/>
    <w:rsid w:val="10551468"/>
    <w:rsid w:val="1055162D"/>
    <w:rsid w:val="10560798"/>
    <w:rsid w:val="1057106E"/>
    <w:rsid w:val="10596B94"/>
    <w:rsid w:val="10616E64"/>
    <w:rsid w:val="10642A04"/>
    <w:rsid w:val="10665746"/>
    <w:rsid w:val="106C5EE0"/>
    <w:rsid w:val="106F3254"/>
    <w:rsid w:val="10714AF1"/>
    <w:rsid w:val="1074088A"/>
    <w:rsid w:val="107664F1"/>
    <w:rsid w:val="1077421C"/>
    <w:rsid w:val="10787A72"/>
    <w:rsid w:val="108160C4"/>
    <w:rsid w:val="10832326"/>
    <w:rsid w:val="10833605"/>
    <w:rsid w:val="10861B7B"/>
    <w:rsid w:val="1088747A"/>
    <w:rsid w:val="108C06FC"/>
    <w:rsid w:val="108F255A"/>
    <w:rsid w:val="1093274B"/>
    <w:rsid w:val="10936B2D"/>
    <w:rsid w:val="10944070"/>
    <w:rsid w:val="10945C59"/>
    <w:rsid w:val="10954E1C"/>
    <w:rsid w:val="109C777D"/>
    <w:rsid w:val="109D6C5D"/>
    <w:rsid w:val="10A0243A"/>
    <w:rsid w:val="10A0643D"/>
    <w:rsid w:val="10A07CE0"/>
    <w:rsid w:val="10A17B3A"/>
    <w:rsid w:val="10A341D3"/>
    <w:rsid w:val="10A569F1"/>
    <w:rsid w:val="10B01C76"/>
    <w:rsid w:val="10B1175B"/>
    <w:rsid w:val="10B37A88"/>
    <w:rsid w:val="10B540E9"/>
    <w:rsid w:val="10B556E7"/>
    <w:rsid w:val="10B565D2"/>
    <w:rsid w:val="10B70866"/>
    <w:rsid w:val="10B97633"/>
    <w:rsid w:val="10BB33AB"/>
    <w:rsid w:val="10BD632E"/>
    <w:rsid w:val="10C02E59"/>
    <w:rsid w:val="10C35F3C"/>
    <w:rsid w:val="10C36704"/>
    <w:rsid w:val="10CB548C"/>
    <w:rsid w:val="10CB7FC1"/>
    <w:rsid w:val="10CD1330"/>
    <w:rsid w:val="10CD546A"/>
    <w:rsid w:val="10D343E0"/>
    <w:rsid w:val="10D36F9D"/>
    <w:rsid w:val="10D456D7"/>
    <w:rsid w:val="10D633F7"/>
    <w:rsid w:val="10D726AD"/>
    <w:rsid w:val="10D84C90"/>
    <w:rsid w:val="10D86053"/>
    <w:rsid w:val="10D91329"/>
    <w:rsid w:val="10D91D9A"/>
    <w:rsid w:val="10D95B1E"/>
    <w:rsid w:val="10D95F27"/>
    <w:rsid w:val="10DA0F83"/>
    <w:rsid w:val="10DD72DD"/>
    <w:rsid w:val="10E534EE"/>
    <w:rsid w:val="10E741A0"/>
    <w:rsid w:val="10EB702B"/>
    <w:rsid w:val="10EB73E2"/>
    <w:rsid w:val="10F22B45"/>
    <w:rsid w:val="10F246E4"/>
    <w:rsid w:val="10F34F3A"/>
    <w:rsid w:val="10F36FE9"/>
    <w:rsid w:val="10F863AD"/>
    <w:rsid w:val="10FC6CAB"/>
    <w:rsid w:val="10FF0663"/>
    <w:rsid w:val="10FF1B1E"/>
    <w:rsid w:val="110079F0"/>
    <w:rsid w:val="1106294C"/>
    <w:rsid w:val="11072530"/>
    <w:rsid w:val="110F1BF5"/>
    <w:rsid w:val="11144EB5"/>
    <w:rsid w:val="11146F5F"/>
    <w:rsid w:val="11162AD5"/>
    <w:rsid w:val="11180E59"/>
    <w:rsid w:val="11182FF7"/>
    <w:rsid w:val="111F7DDE"/>
    <w:rsid w:val="11203B56"/>
    <w:rsid w:val="11233620"/>
    <w:rsid w:val="112505E0"/>
    <w:rsid w:val="11253A74"/>
    <w:rsid w:val="11270A79"/>
    <w:rsid w:val="11286C4C"/>
    <w:rsid w:val="112C6AFF"/>
    <w:rsid w:val="112F5E54"/>
    <w:rsid w:val="11312ED4"/>
    <w:rsid w:val="11333889"/>
    <w:rsid w:val="11347746"/>
    <w:rsid w:val="11380DED"/>
    <w:rsid w:val="113B598B"/>
    <w:rsid w:val="113E2021"/>
    <w:rsid w:val="113F6686"/>
    <w:rsid w:val="1143662A"/>
    <w:rsid w:val="1145441B"/>
    <w:rsid w:val="114710E3"/>
    <w:rsid w:val="1148338F"/>
    <w:rsid w:val="114B5C83"/>
    <w:rsid w:val="114E06C3"/>
    <w:rsid w:val="114E7D12"/>
    <w:rsid w:val="114F72F7"/>
    <w:rsid w:val="11527A1F"/>
    <w:rsid w:val="11560282"/>
    <w:rsid w:val="11573E51"/>
    <w:rsid w:val="11592BC4"/>
    <w:rsid w:val="11596BFB"/>
    <w:rsid w:val="115E01DA"/>
    <w:rsid w:val="11603F53"/>
    <w:rsid w:val="11616084"/>
    <w:rsid w:val="11643A43"/>
    <w:rsid w:val="11652671"/>
    <w:rsid w:val="11714485"/>
    <w:rsid w:val="11714B72"/>
    <w:rsid w:val="117203DF"/>
    <w:rsid w:val="1173012A"/>
    <w:rsid w:val="11744BA1"/>
    <w:rsid w:val="11764921"/>
    <w:rsid w:val="11785740"/>
    <w:rsid w:val="11791358"/>
    <w:rsid w:val="117C030B"/>
    <w:rsid w:val="117C24C6"/>
    <w:rsid w:val="117D2CC9"/>
    <w:rsid w:val="117D4B05"/>
    <w:rsid w:val="117D68B3"/>
    <w:rsid w:val="117E43BE"/>
    <w:rsid w:val="1182352F"/>
    <w:rsid w:val="11885B1E"/>
    <w:rsid w:val="118C1FAA"/>
    <w:rsid w:val="118F143A"/>
    <w:rsid w:val="11905445"/>
    <w:rsid w:val="11907AF4"/>
    <w:rsid w:val="119111AD"/>
    <w:rsid w:val="1191235E"/>
    <w:rsid w:val="11912C8C"/>
    <w:rsid w:val="11970B06"/>
    <w:rsid w:val="119A52D3"/>
    <w:rsid w:val="119A6114"/>
    <w:rsid w:val="119D295C"/>
    <w:rsid w:val="11A10A3F"/>
    <w:rsid w:val="11A55A8B"/>
    <w:rsid w:val="11A6405B"/>
    <w:rsid w:val="11A64463"/>
    <w:rsid w:val="11A958FA"/>
    <w:rsid w:val="11A9772F"/>
    <w:rsid w:val="11AC7198"/>
    <w:rsid w:val="11B141AF"/>
    <w:rsid w:val="11B4417A"/>
    <w:rsid w:val="11B45ED9"/>
    <w:rsid w:val="11B8179E"/>
    <w:rsid w:val="11B85BDF"/>
    <w:rsid w:val="11B9386B"/>
    <w:rsid w:val="11B9536A"/>
    <w:rsid w:val="11BE206B"/>
    <w:rsid w:val="11BE255D"/>
    <w:rsid w:val="11BE50BF"/>
    <w:rsid w:val="11C0204D"/>
    <w:rsid w:val="11C04EF9"/>
    <w:rsid w:val="11C10E95"/>
    <w:rsid w:val="11C14A4A"/>
    <w:rsid w:val="11C22CB3"/>
    <w:rsid w:val="11C34224"/>
    <w:rsid w:val="11C40985"/>
    <w:rsid w:val="11C6025A"/>
    <w:rsid w:val="11C72224"/>
    <w:rsid w:val="11C82C16"/>
    <w:rsid w:val="11CC15E8"/>
    <w:rsid w:val="11CD1F8E"/>
    <w:rsid w:val="11CE2BF8"/>
    <w:rsid w:val="11D25072"/>
    <w:rsid w:val="11D46BEE"/>
    <w:rsid w:val="11D62B30"/>
    <w:rsid w:val="11D64215"/>
    <w:rsid w:val="11D81D3B"/>
    <w:rsid w:val="11DC42DA"/>
    <w:rsid w:val="11DD30EF"/>
    <w:rsid w:val="11DE3611"/>
    <w:rsid w:val="11DE69E6"/>
    <w:rsid w:val="11E4016C"/>
    <w:rsid w:val="11EB455B"/>
    <w:rsid w:val="11ED59FE"/>
    <w:rsid w:val="11EE1BF7"/>
    <w:rsid w:val="11EE3A92"/>
    <w:rsid w:val="11EE7A8F"/>
    <w:rsid w:val="11EF443E"/>
    <w:rsid w:val="11F06ED9"/>
    <w:rsid w:val="11F156DD"/>
    <w:rsid w:val="11F37C8B"/>
    <w:rsid w:val="11F879B4"/>
    <w:rsid w:val="11FA3B64"/>
    <w:rsid w:val="11FD5C0C"/>
    <w:rsid w:val="11FD5C45"/>
    <w:rsid w:val="12026137"/>
    <w:rsid w:val="1203054D"/>
    <w:rsid w:val="12096398"/>
    <w:rsid w:val="120C6161"/>
    <w:rsid w:val="120E1C01"/>
    <w:rsid w:val="12117DB8"/>
    <w:rsid w:val="121201B1"/>
    <w:rsid w:val="12143720"/>
    <w:rsid w:val="12150027"/>
    <w:rsid w:val="12150C80"/>
    <w:rsid w:val="121604EF"/>
    <w:rsid w:val="12161C0A"/>
    <w:rsid w:val="12196D1F"/>
    <w:rsid w:val="121A0E27"/>
    <w:rsid w:val="121D0000"/>
    <w:rsid w:val="121E5D7B"/>
    <w:rsid w:val="121F6837"/>
    <w:rsid w:val="122140D5"/>
    <w:rsid w:val="12237953"/>
    <w:rsid w:val="122429BE"/>
    <w:rsid w:val="12290296"/>
    <w:rsid w:val="122A3364"/>
    <w:rsid w:val="122A35F0"/>
    <w:rsid w:val="122C7AC7"/>
    <w:rsid w:val="122E6C54"/>
    <w:rsid w:val="123A0C48"/>
    <w:rsid w:val="123A4027"/>
    <w:rsid w:val="123C2DAE"/>
    <w:rsid w:val="123C7C3F"/>
    <w:rsid w:val="123E4294"/>
    <w:rsid w:val="123F7F5B"/>
    <w:rsid w:val="12405B40"/>
    <w:rsid w:val="12435D4E"/>
    <w:rsid w:val="12441194"/>
    <w:rsid w:val="12462458"/>
    <w:rsid w:val="12463148"/>
    <w:rsid w:val="124719D0"/>
    <w:rsid w:val="12484F46"/>
    <w:rsid w:val="124D097B"/>
    <w:rsid w:val="124D63DC"/>
    <w:rsid w:val="125067AE"/>
    <w:rsid w:val="12532B2B"/>
    <w:rsid w:val="12552EA6"/>
    <w:rsid w:val="125663E9"/>
    <w:rsid w:val="12573328"/>
    <w:rsid w:val="12574A3F"/>
    <w:rsid w:val="125940EF"/>
    <w:rsid w:val="125F078F"/>
    <w:rsid w:val="12736907"/>
    <w:rsid w:val="12750576"/>
    <w:rsid w:val="1275294E"/>
    <w:rsid w:val="127557DC"/>
    <w:rsid w:val="12764CFD"/>
    <w:rsid w:val="12802757"/>
    <w:rsid w:val="12857DF5"/>
    <w:rsid w:val="128819B3"/>
    <w:rsid w:val="12883ACE"/>
    <w:rsid w:val="128A572B"/>
    <w:rsid w:val="128B4FFF"/>
    <w:rsid w:val="128D18BA"/>
    <w:rsid w:val="128D40E6"/>
    <w:rsid w:val="128D521B"/>
    <w:rsid w:val="128D566F"/>
    <w:rsid w:val="128D73B3"/>
    <w:rsid w:val="128E318D"/>
    <w:rsid w:val="12955B87"/>
    <w:rsid w:val="12983AEE"/>
    <w:rsid w:val="129B16E6"/>
    <w:rsid w:val="12A0052E"/>
    <w:rsid w:val="12A435D1"/>
    <w:rsid w:val="12A45341"/>
    <w:rsid w:val="12A6008B"/>
    <w:rsid w:val="12A67F01"/>
    <w:rsid w:val="12A7615B"/>
    <w:rsid w:val="12A834CC"/>
    <w:rsid w:val="12A85A44"/>
    <w:rsid w:val="12AB56A1"/>
    <w:rsid w:val="12AB79D1"/>
    <w:rsid w:val="12AD7CE7"/>
    <w:rsid w:val="12B05109"/>
    <w:rsid w:val="12B114CA"/>
    <w:rsid w:val="12B604C9"/>
    <w:rsid w:val="12B624C0"/>
    <w:rsid w:val="12B93C1F"/>
    <w:rsid w:val="12B94E17"/>
    <w:rsid w:val="12BD3DE5"/>
    <w:rsid w:val="12C00F44"/>
    <w:rsid w:val="12C23D93"/>
    <w:rsid w:val="12C30C3D"/>
    <w:rsid w:val="12C37F04"/>
    <w:rsid w:val="12C53B58"/>
    <w:rsid w:val="12C53BCE"/>
    <w:rsid w:val="12C86253"/>
    <w:rsid w:val="12CA2825"/>
    <w:rsid w:val="12CD6386"/>
    <w:rsid w:val="12CD736E"/>
    <w:rsid w:val="12CE5F87"/>
    <w:rsid w:val="12CF0EF6"/>
    <w:rsid w:val="12D201DF"/>
    <w:rsid w:val="12D336DC"/>
    <w:rsid w:val="12D75A95"/>
    <w:rsid w:val="12D944AE"/>
    <w:rsid w:val="12DA26B1"/>
    <w:rsid w:val="12E15A3E"/>
    <w:rsid w:val="12E24B8D"/>
    <w:rsid w:val="12E510A2"/>
    <w:rsid w:val="12E82889"/>
    <w:rsid w:val="12ED611E"/>
    <w:rsid w:val="12F10346"/>
    <w:rsid w:val="12F13BDA"/>
    <w:rsid w:val="12F168FD"/>
    <w:rsid w:val="12F40504"/>
    <w:rsid w:val="12F43940"/>
    <w:rsid w:val="12FA14E1"/>
    <w:rsid w:val="12FA1BE1"/>
    <w:rsid w:val="12FD60C7"/>
    <w:rsid w:val="130152C1"/>
    <w:rsid w:val="13033665"/>
    <w:rsid w:val="13045244"/>
    <w:rsid w:val="13054693"/>
    <w:rsid w:val="13064306"/>
    <w:rsid w:val="13085A55"/>
    <w:rsid w:val="130A48EC"/>
    <w:rsid w:val="130C0321"/>
    <w:rsid w:val="130D063A"/>
    <w:rsid w:val="130E3DC3"/>
    <w:rsid w:val="130E5F8B"/>
    <w:rsid w:val="13132F28"/>
    <w:rsid w:val="13135720"/>
    <w:rsid w:val="13144FF5"/>
    <w:rsid w:val="13175F49"/>
    <w:rsid w:val="13182D37"/>
    <w:rsid w:val="131A636E"/>
    <w:rsid w:val="131D631C"/>
    <w:rsid w:val="131D7D56"/>
    <w:rsid w:val="13232472"/>
    <w:rsid w:val="13260177"/>
    <w:rsid w:val="13270770"/>
    <w:rsid w:val="132E5675"/>
    <w:rsid w:val="13307A8C"/>
    <w:rsid w:val="13333553"/>
    <w:rsid w:val="13345697"/>
    <w:rsid w:val="13363F67"/>
    <w:rsid w:val="13394A5B"/>
    <w:rsid w:val="133A2503"/>
    <w:rsid w:val="133A2520"/>
    <w:rsid w:val="133C3814"/>
    <w:rsid w:val="133E2C8E"/>
    <w:rsid w:val="13441D7E"/>
    <w:rsid w:val="1347360E"/>
    <w:rsid w:val="134751D6"/>
    <w:rsid w:val="13482EF0"/>
    <w:rsid w:val="134A4EBA"/>
    <w:rsid w:val="134A5393"/>
    <w:rsid w:val="134D114A"/>
    <w:rsid w:val="134F2A9B"/>
    <w:rsid w:val="134F7473"/>
    <w:rsid w:val="13510A26"/>
    <w:rsid w:val="13511DA5"/>
    <w:rsid w:val="13534A93"/>
    <w:rsid w:val="135360C6"/>
    <w:rsid w:val="13547AE7"/>
    <w:rsid w:val="13586FA8"/>
    <w:rsid w:val="135A0A2D"/>
    <w:rsid w:val="135B6ED0"/>
    <w:rsid w:val="135B774B"/>
    <w:rsid w:val="135D3CC0"/>
    <w:rsid w:val="13631807"/>
    <w:rsid w:val="13655850"/>
    <w:rsid w:val="13676A08"/>
    <w:rsid w:val="136B12D2"/>
    <w:rsid w:val="136B28C4"/>
    <w:rsid w:val="136B7A31"/>
    <w:rsid w:val="136E7F4E"/>
    <w:rsid w:val="13735B90"/>
    <w:rsid w:val="13757A9A"/>
    <w:rsid w:val="13791725"/>
    <w:rsid w:val="13797C0E"/>
    <w:rsid w:val="137B32C6"/>
    <w:rsid w:val="13813C8B"/>
    <w:rsid w:val="13865861"/>
    <w:rsid w:val="13887E17"/>
    <w:rsid w:val="138D5479"/>
    <w:rsid w:val="1391354B"/>
    <w:rsid w:val="1393060F"/>
    <w:rsid w:val="139323BD"/>
    <w:rsid w:val="13941508"/>
    <w:rsid w:val="13960100"/>
    <w:rsid w:val="13990B43"/>
    <w:rsid w:val="139917B9"/>
    <w:rsid w:val="139A16DC"/>
    <w:rsid w:val="139E2609"/>
    <w:rsid w:val="13A10F7E"/>
    <w:rsid w:val="13A17599"/>
    <w:rsid w:val="13A35B89"/>
    <w:rsid w:val="13A54AAB"/>
    <w:rsid w:val="13A64A2C"/>
    <w:rsid w:val="13AC4534"/>
    <w:rsid w:val="13AC5554"/>
    <w:rsid w:val="13AD62F5"/>
    <w:rsid w:val="13AE1AF6"/>
    <w:rsid w:val="13B10783"/>
    <w:rsid w:val="13B174FD"/>
    <w:rsid w:val="13B40F3C"/>
    <w:rsid w:val="13B41253"/>
    <w:rsid w:val="13B60A9A"/>
    <w:rsid w:val="13B7634D"/>
    <w:rsid w:val="13B87923"/>
    <w:rsid w:val="13B92469"/>
    <w:rsid w:val="13BA49DD"/>
    <w:rsid w:val="13BA5B9C"/>
    <w:rsid w:val="13BD38DE"/>
    <w:rsid w:val="13BF22AD"/>
    <w:rsid w:val="13C16FB5"/>
    <w:rsid w:val="13C52C06"/>
    <w:rsid w:val="13C709FC"/>
    <w:rsid w:val="13C95DDF"/>
    <w:rsid w:val="13CB1159"/>
    <w:rsid w:val="13CE3E4A"/>
    <w:rsid w:val="13D10E76"/>
    <w:rsid w:val="13D55115"/>
    <w:rsid w:val="13D626FD"/>
    <w:rsid w:val="13DA2891"/>
    <w:rsid w:val="13E03204"/>
    <w:rsid w:val="13E16DF6"/>
    <w:rsid w:val="13E408E3"/>
    <w:rsid w:val="13E470BD"/>
    <w:rsid w:val="13E764D3"/>
    <w:rsid w:val="13E76BAD"/>
    <w:rsid w:val="13E96481"/>
    <w:rsid w:val="13EA2EEA"/>
    <w:rsid w:val="13EB2FEF"/>
    <w:rsid w:val="13EC5CCF"/>
    <w:rsid w:val="13F069D5"/>
    <w:rsid w:val="13F51B73"/>
    <w:rsid w:val="13F5320C"/>
    <w:rsid w:val="13F73CF3"/>
    <w:rsid w:val="13FA243C"/>
    <w:rsid w:val="13FA2D6F"/>
    <w:rsid w:val="13FD244D"/>
    <w:rsid w:val="13FF46A1"/>
    <w:rsid w:val="14005579"/>
    <w:rsid w:val="14022AB9"/>
    <w:rsid w:val="14053AC6"/>
    <w:rsid w:val="14074B59"/>
    <w:rsid w:val="140F7791"/>
    <w:rsid w:val="141352AC"/>
    <w:rsid w:val="141675CC"/>
    <w:rsid w:val="14184CCE"/>
    <w:rsid w:val="1419029D"/>
    <w:rsid w:val="141A69DF"/>
    <w:rsid w:val="141D437D"/>
    <w:rsid w:val="141E388D"/>
    <w:rsid w:val="141F3BEC"/>
    <w:rsid w:val="14223333"/>
    <w:rsid w:val="14223741"/>
    <w:rsid w:val="14236B78"/>
    <w:rsid w:val="1424395D"/>
    <w:rsid w:val="142A1221"/>
    <w:rsid w:val="142D06FC"/>
    <w:rsid w:val="142D4720"/>
    <w:rsid w:val="143010DA"/>
    <w:rsid w:val="14305644"/>
    <w:rsid w:val="143105E6"/>
    <w:rsid w:val="1432420A"/>
    <w:rsid w:val="14332D38"/>
    <w:rsid w:val="14337768"/>
    <w:rsid w:val="143B19BD"/>
    <w:rsid w:val="143B3788"/>
    <w:rsid w:val="143F1DC3"/>
    <w:rsid w:val="14411777"/>
    <w:rsid w:val="14444E30"/>
    <w:rsid w:val="14463CEB"/>
    <w:rsid w:val="14487210"/>
    <w:rsid w:val="144E4536"/>
    <w:rsid w:val="14501818"/>
    <w:rsid w:val="14515320"/>
    <w:rsid w:val="14522412"/>
    <w:rsid w:val="145456AE"/>
    <w:rsid w:val="14564F85"/>
    <w:rsid w:val="1457192E"/>
    <w:rsid w:val="145A112D"/>
    <w:rsid w:val="145C15FA"/>
    <w:rsid w:val="145D2F4E"/>
    <w:rsid w:val="145D645F"/>
    <w:rsid w:val="145F04F1"/>
    <w:rsid w:val="14617862"/>
    <w:rsid w:val="14626A0F"/>
    <w:rsid w:val="14685286"/>
    <w:rsid w:val="146B2F00"/>
    <w:rsid w:val="146C2287"/>
    <w:rsid w:val="146E4BD8"/>
    <w:rsid w:val="146E5B22"/>
    <w:rsid w:val="14737FD8"/>
    <w:rsid w:val="1475188E"/>
    <w:rsid w:val="147541B9"/>
    <w:rsid w:val="14754E7C"/>
    <w:rsid w:val="14773050"/>
    <w:rsid w:val="14774840"/>
    <w:rsid w:val="147775D4"/>
    <w:rsid w:val="147C484D"/>
    <w:rsid w:val="147C72F5"/>
    <w:rsid w:val="147F019E"/>
    <w:rsid w:val="148019BE"/>
    <w:rsid w:val="1481784B"/>
    <w:rsid w:val="1487057A"/>
    <w:rsid w:val="148D1BB2"/>
    <w:rsid w:val="148E4E24"/>
    <w:rsid w:val="14906F08"/>
    <w:rsid w:val="149208D1"/>
    <w:rsid w:val="14951D9C"/>
    <w:rsid w:val="149634DA"/>
    <w:rsid w:val="149C34F4"/>
    <w:rsid w:val="149C35A5"/>
    <w:rsid w:val="149D27C0"/>
    <w:rsid w:val="149E0B67"/>
    <w:rsid w:val="149F0BA0"/>
    <w:rsid w:val="149F4D92"/>
    <w:rsid w:val="14A02886"/>
    <w:rsid w:val="14A20163"/>
    <w:rsid w:val="14A36843"/>
    <w:rsid w:val="14A449C1"/>
    <w:rsid w:val="14A62AA7"/>
    <w:rsid w:val="14A66120"/>
    <w:rsid w:val="14A800EA"/>
    <w:rsid w:val="14A83BE9"/>
    <w:rsid w:val="14AE3227"/>
    <w:rsid w:val="14AF3F89"/>
    <w:rsid w:val="14B051F1"/>
    <w:rsid w:val="14B22D17"/>
    <w:rsid w:val="14B24AC5"/>
    <w:rsid w:val="14B24FEB"/>
    <w:rsid w:val="14B33CC0"/>
    <w:rsid w:val="14B33CD1"/>
    <w:rsid w:val="14B40F43"/>
    <w:rsid w:val="14B62BB4"/>
    <w:rsid w:val="14BA4B8C"/>
    <w:rsid w:val="14BD2963"/>
    <w:rsid w:val="14BE2DBB"/>
    <w:rsid w:val="14C64A14"/>
    <w:rsid w:val="14C723B3"/>
    <w:rsid w:val="14CB1944"/>
    <w:rsid w:val="14CC3CF3"/>
    <w:rsid w:val="14CF34DC"/>
    <w:rsid w:val="14D137FF"/>
    <w:rsid w:val="14D7452C"/>
    <w:rsid w:val="14DA0F4C"/>
    <w:rsid w:val="14DA4DB7"/>
    <w:rsid w:val="14DC7B1F"/>
    <w:rsid w:val="14DD1AB6"/>
    <w:rsid w:val="14E0186E"/>
    <w:rsid w:val="14E01935"/>
    <w:rsid w:val="14E11B35"/>
    <w:rsid w:val="14E16560"/>
    <w:rsid w:val="14E23902"/>
    <w:rsid w:val="14E55B80"/>
    <w:rsid w:val="14E667B5"/>
    <w:rsid w:val="14E824F6"/>
    <w:rsid w:val="14E85945"/>
    <w:rsid w:val="14EB28C4"/>
    <w:rsid w:val="14EE2CD6"/>
    <w:rsid w:val="14EE5932"/>
    <w:rsid w:val="14EF0CB9"/>
    <w:rsid w:val="14F01339"/>
    <w:rsid w:val="14F14C6C"/>
    <w:rsid w:val="14F42874"/>
    <w:rsid w:val="14F6771E"/>
    <w:rsid w:val="14F85D63"/>
    <w:rsid w:val="14FE466D"/>
    <w:rsid w:val="15004F33"/>
    <w:rsid w:val="15035321"/>
    <w:rsid w:val="15070C74"/>
    <w:rsid w:val="150720A5"/>
    <w:rsid w:val="150742CC"/>
    <w:rsid w:val="150B0F4E"/>
    <w:rsid w:val="150C68CB"/>
    <w:rsid w:val="150E4052"/>
    <w:rsid w:val="150E7DB3"/>
    <w:rsid w:val="150F1F18"/>
    <w:rsid w:val="151107E9"/>
    <w:rsid w:val="15111718"/>
    <w:rsid w:val="151134EB"/>
    <w:rsid w:val="15194812"/>
    <w:rsid w:val="151B7F62"/>
    <w:rsid w:val="151E5BFA"/>
    <w:rsid w:val="151F48BA"/>
    <w:rsid w:val="151F6582"/>
    <w:rsid w:val="15204004"/>
    <w:rsid w:val="15243C83"/>
    <w:rsid w:val="152709CA"/>
    <w:rsid w:val="152810E0"/>
    <w:rsid w:val="1528122B"/>
    <w:rsid w:val="152C27D1"/>
    <w:rsid w:val="152D1B5C"/>
    <w:rsid w:val="152F442C"/>
    <w:rsid w:val="1530058B"/>
    <w:rsid w:val="15332768"/>
    <w:rsid w:val="153542FD"/>
    <w:rsid w:val="153F3306"/>
    <w:rsid w:val="154047C7"/>
    <w:rsid w:val="15406575"/>
    <w:rsid w:val="1542409B"/>
    <w:rsid w:val="154445A7"/>
    <w:rsid w:val="154D055B"/>
    <w:rsid w:val="15520056"/>
    <w:rsid w:val="15532C0C"/>
    <w:rsid w:val="15564769"/>
    <w:rsid w:val="15571295"/>
    <w:rsid w:val="155713D3"/>
    <w:rsid w:val="155A79F3"/>
    <w:rsid w:val="155B69E2"/>
    <w:rsid w:val="155D0ED5"/>
    <w:rsid w:val="15600CFF"/>
    <w:rsid w:val="15630852"/>
    <w:rsid w:val="15640D94"/>
    <w:rsid w:val="15652BA6"/>
    <w:rsid w:val="156631A1"/>
    <w:rsid w:val="156644BF"/>
    <w:rsid w:val="156649BE"/>
    <w:rsid w:val="15677D6D"/>
    <w:rsid w:val="156E154A"/>
    <w:rsid w:val="156E1E72"/>
    <w:rsid w:val="15710E36"/>
    <w:rsid w:val="15712BD2"/>
    <w:rsid w:val="1571672E"/>
    <w:rsid w:val="15783B7A"/>
    <w:rsid w:val="1579415B"/>
    <w:rsid w:val="157B6E07"/>
    <w:rsid w:val="157C224F"/>
    <w:rsid w:val="1582044D"/>
    <w:rsid w:val="15824529"/>
    <w:rsid w:val="158361F9"/>
    <w:rsid w:val="15885E17"/>
    <w:rsid w:val="158B190C"/>
    <w:rsid w:val="158C5B08"/>
    <w:rsid w:val="158F6504"/>
    <w:rsid w:val="15914CC3"/>
    <w:rsid w:val="1591737D"/>
    <w:rsid w:val="1594241D"/>
    <w:rsid w:val="15953ACD"/>
    <w:rsid w:val="15973CBB"/>
    <w:rsid w:val="159A15BB"/>
    <w:rsid w:val="159A594E"/>
    <w:rsid w:val="159B2FC6"/>
    <w:rsid w:val="159B47C0"/>
    <w:rsid w:val="15A053BA"/>
    <w:rsid w:val="15A10744"/>
    <w:rsid w:val="15A20FDE"/>
    <w:rsid w:val="15A33865"/>
    <w:rsid w:val="15A540D4"/>
    <w:rsid w:val="15A5462A"/>
    <w:rsid w:val="15A55E27"/>
    <w:rsid w:val="15A8618D"/>
    <w:rsid w:val="15A873CC"/>
    <w:rsid w:val="15AA54E5"/>
    <w:rsid w:val="15AB63F8"/>
    <w:rsid w:val="15AD54BA"/>
    <w:rsid w:val="15B00789"/>
    <w:rsid w:val="15B17473"/>
    <w:rsid w:val="15B25CFA"/>
    <w:rsid w:val="15B433AB"/>
    <w:rsid w:val="15B91E83"/>
    <w:rsid w:val="15B93562"/>
    <w:rsid w:val="15BD7BC5"/>
    <w:rsid w:val="15BF2D45"/>
    <w:rsid w:val="15C05A47"/>
    <w:rsid w:val="15C16120"/>
    <w:rsid w:val="15C31E85"/>
    <w:rsid w:val="15C70D95"/>
    <w:rsid w:val="15CA6179"/>
    <w:rsid w:val="15CC70C4"/>
    <w:rsid w:val="15D4540B"/>
    <w:rsid w:val="15D52DB7"/>
    <w:rsid w:val="15D62A35"/>
    <w:rsid w:val="15D91C92"/>
    <w:rsid w:val="15DA32CD"/>
    <w:rsid w:val="15E0299E"/>
    <w:rsid w:val="15E173E0"/>
    <w:rsid w:val="15E32BD1"/>
    <w:rsid w:val="15E4344E"/>
    <w:rsid w:val="15E72E94"/>
    <w:rsid w:val="15E90153"/>
    <w:rsid w:val="15EE4223"/>
    <w:rsid w:val="15F17A8E"/>
    <w:rsid w:val="15F23975"/>
    <w:rsid w:val="15F33726"/>
    <w:rsid w:val="15F56EE5"/>
    <w:rsid w:val="15F81323"/>
    <w:rsid w:val="15F85484"/>
    <w:rsid w:val="15FB7D21"/>
    <w:rsid w:val="15FD7C9B"/>
    <w:rsid w:val="15FF01DE"/>
    <w:rsid w:val="16032597"/>
    <w:rsid w:val="16054894"/>
    <w:rsid w:val="160624AC"/>
    <w:rsid w:val="160939A2"/>
    <w:rsid w:val="160C0EF3"/>
    <w:rsid w:val="160D7DE5"/>
    <w:rsid w:val="160F4592"/>
    <w:rsid w:val="161B0E9B"/>
    <w:rsid w:val="161B1AEA"/>
    <w:rsid w:val="161D4F06"/>
    <w:rsid w:val="161F50E8"/>
    <w:rsid w:val="16225C7A"/>
    <w:rsid w:val="16252D8C"/>
    <w:rsid w:val="162A09C4"/>
    <w:rsid w:val="162A0ACF"/>
    <w:rsid w:val="162B2DCF"/>
    <w:rsid w:val="162F6B8D"/>
    <w:rsid w:val="16327340"/>
    <w:rsid w:val="16347DEB"/>
    <w:rsid w:val="16355417"/>
    <w:rsid w:val="1638549E"/>
    <w:rsid w:val="163B1BD0"/>
    <w:rsid w:val="163B39F0"/>
    <w:rsid w:val="163C4F8E"/>
    <w:rsid w:val="163F682C"/>
    <w:rsid w:val="16464E0E"/>
    <w:rsid w:val="164C4E8A"/>
    <w:rsid w:val="164F0587"/>
    <w:rsid w:val="1651628C"/>
    <w:rsid w:val="16527B8A"/>
    <w:rsid w:val="16556050"/>
    <w:rsid w:val="16556630"/>
    <w:rsid w:val="1656195D"/>
    <w:rsid w:val="16573B76"/>
    <w:rsid w:val="165B4E1E"/>
    <w:rsid w:val="165D7392"/>
    <w:rsid w:val="166778AC"/>
    <w:rsid w:val="166874AC"/>
    <w:rsid w:val="16691AFB"/>
    <w:rsid w:val="166C5148"/>
    <w:rsid w:val="16710E2A"/>
    <w:rsid w:val="167122B2"/>
    <w:rsid w:val="16716B52"/>
    <w:rsid w:val="16760468"/>
    <w:rsid w:val="16792558"/>
    <w:rsid w:val="168358C5"/>
    <w:rsid w:val="1684002A"/>
    <w:rsid w:val="16862EA9"/>
    <w:rsid w:val="168856BA"/>
    <w:rsid w:val="168E230D"/>
    <w:rsid w:val="16907953"/>
    <w:rsid w:val="169227C3"/>
    <w:rsid w:val="16927A58"/>
    <w:rsid w:val="16944D8D"/>
    <w:rsid w:val="169C3162"/>
    <w:rsid w:val="169E3141"/>
    <w:rsid w:val="169E7575"/>
    <w:rsid w:val="169F45CB"/>
    <w:rsid w:val="16A029FF"/>
    <w:rsid w:val="16A14939"/>
    <w:rsid w:val="16A22DDF"/>
    <w:rsid w:val="16A231A0"/>
    <w:rsid w:val="16A5385F"/>
    <w:rsid w:val="16A74423"/>
    <w:rsid w:val="16A862B7"/>
    <w:rsid w:val="16A96E08"/>
    <w:rsid w:val="16AA0B06"/>
    <w:rsid w:val="16AC4287"/>
    <w:rsid w:val="16AE5760"/>
    <w:rsid w:val="16B11B51"/>
    <w:rsid w:val="16B354D6"/>
    <w:rsid w:val="16B64C75"/>
    <w:rsid w:val="16B801B8"/>
    <w:rsid w:val="16B965DF"/>
    <w:rsid w:val="16BA2B41"/>
    <w:rsid w:val="16C92D0C"/>
    <w:rsid w:val="16CB0C86"/>
    <w:rsid w:val="16CC0EE9"/>
    <w:rsid w:val="16CC5716"/>
    <w:rsid w:val="16CF0C36"/>
    <w:rsid w:val="16D17FCD"/>
    <w:rsid w:val="16D33D32"/>
    <w:rsid w:val="16D42FC1"/>
    <w:rsid w:val="16D44EAD"/>
    <w:rsid w:val="16D604E9"/>
    <w:rsid w:val="16D72B67"/>
    <w:rsid w:val="16DD4225"/>
    <w:rsid w:val="16DD7CCD"/>
    <w:rsid w:val="16DE1BA1"/>
    <w:rsid w:val="16DE675F"/>
    <w:rsid w:val="16DF3906"/>
    <w:rsid w:val="16E02EA6"/>
    <w:rsid w:val="16E366AD"/>
    <w:rsid w:val="16E40C2B"/>
    <w:rsid w:val="16E55626"/>
    <w:rsid w:val="16E938B9"/>
    <w:rsid w:val="16EA2C3C"/>
    <w:rsid w:val="16EB16E0"/>
    <w:rsid w:val="16EB3AE3"/>
    <w:rsid w:val="16F71978"/>
    <w:rsid w:val="16F77107"/>
    <w:rsid w:val="16F94C2D"/>
    <w:rsid w:val="17001223"/>
    <w:rsid w:val="17035963"/>
    <w:rsid w:val="170512F9"/>
    <w:rsid w:val="17062CF0"/>
    <w:rsid w:val="170D1C37"/>
    <w:rsid w:val="1710444A"/>
    <w:rsid w:val="17112D88"/>
    <w:rsid w:val="17164887"/>
    <w:rsid w:val="171A4BA4"/>
    <w:rsid w:val="171E3CC4"/>
    <w:rsid w:val="171F21BA"/>
    <w:rsid w:val="17233A58"/>
    <w:rsid w:val="17236B6E"/>
    <w:rsid w:val="172750CA"/>
    <w:rsid w:val="172A36BB"/>
    <w:rsid w:val="172B3A97"/>
    <w:rsid w:val="172B7A91"/>
    <w:rsid w:val="173139F9"/>
    <w:rsid w:val="173214BD"/>
    <w:rsid w:val="17361318"/>
    <w:rsid w:val="17365757"/>
    <w:rsid w:val="17366DF5"/>
    <w:rsid w:val="17395CE1"/>
    <w:rsid w:val="173C0FBE"/>
    <w:rsid w:val="17484E78"/>
    <w:rsid w:val="17485BB5"/>
    <w:rsid w:val="17491133"/>
    <w:rsid w:val="17492653"/>
    <w:rsid w:val="174A00CC"/>
    <w:rsid w:val="174A4D64"/>
    <w:rsid w:val="174B066F"/>
    <w:rsid w:val="174C6434"/>
    <w:rsid w:val="17510F09"/>
    <w:rsid w:val="17516A68"/>
    <w:rsid w:val="1753065D"/>
    <w:rsid w:val="175319F0"/>
    <w:rsid w:val="17534F96"/>
    <w:rsid w:val="17537C38"/>
    <w:rsid w:val="17547C89"/>
    <w:rsid w:val="175512FB"/>
    <w:rsid w:val="17580853"/>
    <w:rsid w:val="175B72BA"/>
    <w:rsid w:val="175D340E"/>
    <w:rsid w:val="175D6736"/>
    <w:rsid w:val="175E7C09"/>
    <w:rsid w:val="1761766E"/>
    <w:rsid w:val="176273F5"/>
    <w:rsid w:val="176B60C2"/>
    <w:rsid w:val="176C3109"/>
    <w:rsid w:val="17716EB9"/>
    <w:rsid w:val="17752F41"/>
    <w:rsid w:val="177568F1"/>
    <w:rsid w:val="17760A9D"/>
    <w:rsid w:val="17761610"/>
    <w:rsid w:val="177B2653"/>
    <w:rsid w:val="177C22F4"/>
    <w:rsid w:val="177D31A2"/>
    <w:rsid w:val="177E005E"/>
    <w:rsid w:val="178118A3"/>
    <w:rsid w:val="17812DA9"/>
    <w:rsid w:val="1787048B"/>
    <w:rsid w:val="17884926"/>
    <w:rsid w:val="17892455"/>
    <w:rsid w:val="178931AF"/>
    <w:rsid w:val="17894443"/>
    <w:rsid w:val="17911214"/>
    <w:rsid w:val="17923E2E"/>
    <w:rsid w:val="17984026"/>
    <w:rsid w:val="179C16EA"/>
    <w:rsid w:val="179D6EB9"/>
    <w:rsid w:val="179E210A"/>
    <w:rsid w:val="179F240A"/>
    <w:rsid w:val="17A038D0"/>
    <w:rsid w:val="17A04A6D"/>
    <w:rsid w:val="17A518D1"/>
    <w:rsid w:val="17A56B63"/>
    <w:rsid w:val="17A73375"/>
    <w:rsid w:val="17AB1154"/>
    <w:rsid w:val="17AB4E48"/>
    <w:rsid w:val="17AB5B57"/>
    <w:rsid w:val="17AC48A1"/>
    <w:rsid w:val="17AD77C6"/>
    <w:rsid w:val="17B172B6"/>
    <w:rsid w:val="17B62B1E"/>
    <w:rsid w:val="17B80644"/>
    <w:rsid w:val="17B863DB"/>
    <w:rsid w:val="17BA50B0"/>
    <w:rsid w:val="17BC010D"/>
    <w:rsid w:val="17BC1520"/>
    <w:rsid w:val="17BC2031"/>
    <w:rsid w:val="17BD2C4C"/>
    <w:rsid w:val="17BD3EAD"/>
    <w:rsid w:val="17BE5517"/>
    <w:rsid w:val="17C0439E"/>
    <w:rsid w:val="17C14C07"/>
    <w:rsid w:val="17C31ECC"/>
    <w:rsid w:val="17C37864"/>
    <w:rsid w:val="17C74D2B"/>
    <w:rsid w:val="17CA65CA"/>
    <w:rsid w:val="17CB6EEE"/>
    <w:rsid w:val="17CF37B2"/>
    <w:rsid w:val="17D02F97"/>
    <w:rsid w:val="17D25606"/>
    <w:rsid w:val="17D41D8D"/>
    <w:rsid w:val="17D42FA4"/>
    <w:rsid w:val="17D80CE7"/>
    <w:rsid w:val="17DD2552"/>
    <w:rsid w:val="17DD6237"/>
    <w:rsid w:val="17E32B65"/>
    <w:rsid w:val="17E5069C"/>
    <w:rsid w:val="17EA645F"/>
    <w:rsid w:val="17EA75FE"/>
    <w:rsid w:val="17EC02EE"/>
    <w:rsid w:val="17ED5969"/>
    <w:rsid w:val="17EF76E0"/>
    <w:rsid w:val="17F61C73"/>
    <w:rsid w:val="17F67EE0"/>
    <w:rsid w:val="17FD0599"/>
    <w:rsid w:val="18020665"/>
    <w:rsid w:val="18032921"/>
    <w:rsid w:val="18036821"/>
    <w:rsid w:val="18037F78"/>
    <w:rsid w:val="180469AD"/>
    <w:rsid w:val="1806208F"/>
    <w:rsid w:val="180841A7"/>
    <w:rsid w:val="180B5BD0"/>
    <w:rsid w:val="180E4708"/>
    <w:rsid w:val="180F609F"/>
    <w:rsid w:val="1810194F"/>
    <w:rsid w:val="18115F57"/>
    <w:rsid w:val="1812425C"/>
    <w:rsid w:val="18157652"/>
    <w:rsid w:val="18186732"/>
    <w:rsid w:val="181E1769"/>
    <w:rsid w:val="181F1BA8"/>
    <w:rsid w:val="181F2A8C"/>
    <w:rsid w:val="181F42DC"/>
    <w:rsid w:val="182106EB"/>
    <w:rsid w:val="182107EE"/>
    <w:rsid w:val="18237463"/>
    <w:rsid w:val="18273A1C"/>
    <w:rsid w:val="182932F0"/>
    <w:rsid w:val="182A7068"/>
    <w:rsid w:val="182A79BD"/>
    <w:rsid w:val="182B03A9"/>
    <w:rsid w:val="182E139A"/>
    <w:rsid w:val="18313813"/>
    <w:rsid w:val="18325244"/>
    <w:rsid w:val="18327E5D"/>
    <w:rsid w:val="18353FBD"/>
    <w:rsid w:val="18360EED"/>
    <w:rsid w:val="183904B5"/>
    <w:rsid w:val="183A334C"/>
    <w:rsid w:val="183C741A"/>
    <w:rsid w:val="183E5008"/>
    <w:rsid w:val="183F7EBD"/>
    <w:rsid w:val="18424965"/>
    <w:rsid w:val="18436E37"/>
    <w:rsid w:val="18450C27"/>
    <w:rsid w:val="1845125E"/>
    <w:rsid w:val="18484BF2"/>
    <w:rsid w:val="1849606F"/>
    <w:rsid w:val="184C3928"/>
    <w:rsid w:val="184C5231"/>
    <w:rsid w:val="184E71FB"/>
    <w:rsid w:val="184F4218"/>
    <w:rsid w:val="185179DA"/>
    <w:rsid w:val="18530048"/>
    <w:rsid w:val="18574301"/>
    <w:rsid w:val="185909D8"/>
    <w:rsid w:val="185C5C23"/>
    <w:rsid w:val="185C66B6"/>
    <w:rsid w:val="185C72A1"/>
    <w:rsid w:val="185C766D"/>
    <w:rsid w:val="18635698"/>
    <w:rsid w:val="18644553"/>
    <w:rsid w:val="18645DFB"/>
    <w:rsid w:val="18690202"/>
    <w:rsid w:val="186A1692"/>
    <w:rsid w:val="18703FEB"/>
    <w:rsid w:val="187320D8"/>
    <w:rsid w:val="187335D3"/>
    <w:rsid w:val="1873518C"/>
    <w:rsid w:val="18735DEA"/>
    <w:rsid w:val="1876405C"/>
    <w:rsid w:val="1878533B"/>
    <w:rsid w:val="18787DD4"/>
    <w:rsid w:val="187B4B1A"/>
    <w:rsid w:val="187E3370"/>
    <w:rsid w:val="18812916"/>
    <w:rsid w:val="18814D8E"/>
    <w:rsid w:val="1883582B"/>
    <w:rsid w:val="1885338A"/>
    <w:rsid w:val="18856B65"/>
    <w:rsid w:val="188600A6"/>
    <w:rsid w:val="188672E5"/>
    <w:rsid w:val="18891FE1"/>
    <w:rsid w:val="188A1003"/>
    <w:rsid w:val="188C616C"/>
    <w:rsid w:val="188E75F7"/>
    <w:rsid w:val="18900AC7"/>
    <w:rsid w:val="189A0259"/>
    <w:rsid w:val="189A07A3"/>
    <w:rsid w:val="189A7F5A"/>
    <w:rsid w:val="189D6309"/>
    <w:rsid w:val="189F0E66"/>
    <w:rsid w:val="189F2F32"/>
    <w:rsid w:val="18A233F9"/>
    <w:rsid w:val="18A40BC9"/>
    <w:rsid w:val="18A4404A"/>
    <w:rsid w:val="18A46E1B"/>
    <w:rsid w:val="18AA1D66"/>
    <w:rsid w:val="18AC7845"/>
    <w:rsid w:val="18AD1688"/>
    <w:rsid w:val="18AD5CD7"/>
    <w:rsid w:val="18B15653"/>
    <w:rsid w:val="18B2778A"/>
    <w:rsid w:val="18B31AE0"/>
    <w:rsid w:val="18B85AF0"/>
    <w:rsid w:val="18B96041"/>
    <w:rsid w:val="18BB6F56"/>
    <w:rsid w:val="18BC4D98"/>
    <w:rsid w:val="18BD448F"/>
    <w:rsid w:val="18BF0AFC"/>
    <w:rsid w:val="18C17990"/>
    <w:rsid w:val="18C43019"/>
    <w:rsid w:val="18C53255"/>
    <w:rsid w:val="18D22414"/>
    <w:rsid w:val="18D92991"/>
    <w:rsid w:val="18DD0A0A"/>
    <w:rsid w:val="18DF3DF9"/>
    <w:rsid w:val="18DF69CF"/>
    <w:rsid w:val="18E11E1D"/>
    <w:rsid w:val="18E2154F"/>
    <w:rsid w:val="18E60586"/>
    <w:rsid w:val="18E61FB0"/>
    <w:rsid w:val="18E6320F"/>
    <w:rsid w:val="18E76BBE"/>
    <w:rsid w:val="18ED18AD"/>
    <w:rsid w:val="18F04A41"/>
    <w:rsid w:val="18F07E0F"/>
    <w:rsid w:val="18F22749"/>
    <w:rsid w:val="18F343C3"/>
    <w:rsid w:val="18F425D2"/>
    <w:rsid w:val="18F90F15"/>
    <w:rsid w:val="18FD1551"/>
    <w:rsid w:val="18FD7C58"/>
    <w:rsid w:val="18FF1FE6"/>
    <w:rsid w:val="18FF22A3"/>
    <w:rsid w:val="190052B7"/>
    <w:rsid w:val="190478B9"/>
    <w:rsid w:val="19093825"/>
    <w:rsid w:val="190B4A31"/>
    <w:rsid w:val="190B6E9A"/>
    <w:rsid w:val="191044B0"/>
    <w:rsid w:val="19157D18"/>
    <w:rsid w:val="19180EE3"/>
    <w:rsid w:val="191A00EC"/>
    <w:rsid w:val="191A1B23"/>
    <w:rsid w:val="191C36D2"/>
    <w:rsid w:val="191D4AA9"/>
    <w:rsid w:val="191E60EB"/>
    <w:rsid w:val="191F60D1"/>
    <w:rsid w:val="19234B09"/>
    <w:rsid w:val="19235F91"/>
    <w:rsid w:val="19261401"/>
    <w:rsid w:val="19287A4C"/>
    <w:rsid w:val="19295EFD"/>
    <w:rsid w:val="192B3098"/>
    <w:rsid w:val="192E7B16"/>
    <w:rsid w:val="192F0DDA"/>
    <w:rsid w:val="1934019F"/>
    <w:rsid w:val="1934680E"/>
    <w:rsid w:val="193C7D98"/>
    <w:rsid w:val="193E5934"/>
    <w:rsid w:val="193F691B"/>
    <w:rsid w:val="19405417"/>
    <w:rsid w:val="1944322E"/>
    <w:rsid w:val="19444656"/>
    <w:rsid w:val="194B0FA6"/>
    <w:rsid w:val="194B1614"/>
    <w:rsid w:val="194D2ED9"/>
    <w:rsid w:val="194E381A"/>
    <w:rsid w:val="194E3D7F"/>
    <w:rsid w:val="19501D01"/>
    <w:rsid w:val="19503293"/>
    <w:rsid w:val="19507276"/>
    <w:rsid w:val="195108FE"/>
    <w:rsid w:val="19556B26"/>
    <w:rsid w:val="19561D2A"/>
    <w:rsid w:val="19570A04"/>
    <w:rsid w:val="19575C3B"/>
    <w:rsid w:val="195818BD"/>
    <w:rsid w:val="195B6425"/>
    <w:rsid w:val="195E772F"/>
    <w:rsid w:val="195F5B00"/>
    <w:rsid w:val="196656B5"/>
    <w:rsid w:val="196A2016"/>
    <w:rsid w:val="196A40DF"/>
    <w:rsid w:val="196A6E90"/>
    <w:rsid w:val="196C579A"/>
    <w:rsid w:val="196E6F2D"/>
    <w:rsid w:val="196F12BF"/>
    <w:rsid w:val="196F505A"/>
    <w:rsid w:val="19713283"/>
    <w:rsid w:val="197626C7"/>
    <w:rsid w:val="19771B7E"/>
    <w:rsid w:val="1978270E"/>
    <w:rsid w:val="197832BB"/>
    <w:rsid w:val="19797D33"/>
    <w:rsid w:val="197C6F7C"/>
    <w:rsid w:val="197D1199"/>
    <w:rsid w:val="197E19BA"/>
    <w:rsid w:val="197E1AE5"/>
    <w:rsid w:val="19834C82"/>
    <w:rsid w:val="198B5109"/>
    <w:rsid w:val="198D3850"/>
    <w:rsid w:val="198D3D53"/>
    <w:rsid w:val="198E4B81"/>
    <w:rsid w:val="1990115C"/>
    <w:rsid w:val="199112ED"/>
    <w:rsid w:val="19917B9B"/>
    <w:rsid w:val="19933CF7"/>
    <w:rsid w:val="19940015"/>
    <w:rsid w:val="199724DC"/>
    <w:rsid w:val="19996254"/>
    <w:rsid w:val="199E02DB"/>
    <w:rsid w:val="199E7D0E"/>
    <w:rsid w:val="199F4104"/>
    <w:rsid w:val="19A0575A"/>
    <w:rsid w:val="19A25A77"/>
    <w:rsid w:val="19A8293B"/>
    <w:rsid w:val="19A835F6"/>
    <w:rsid w:val="19A87467"/>
    <w:rsid w:val="19AD2AC9"/>
    <w:rsid w:val="19B53F0E"/>
    <w:rsid w:val="19BC09CE"/>
    <w:rsid w:val="19BD1D87"/>
    <w:rsid w:val="19BD55BE"/>
    <w:rsid w:val="19C43D22"/>
    <w:rsid w:val="19C80E36"/>
    <w:rsid w:val="19C812F2"/>
    <w:rsid w:val="19C9189F"/>
    <w:rsid w:val="19CD2BD2"/>
    <w:rsid w:val="19CE053E"/>
    <w:rsid w:val="19CF5048"/>
    <w:rsid w:val="19D164F6"/>
    <w:rsid w:val="19D84BCB"/>
    <w:rsid w:val="19D91AA4"/>
    <w:rsid w:val="19DB2CD4"/>
    <w:rsid w:val="19DB4ABE"/>
    <w:rsid w:val="19DC4392"/>
    <w:rsid w:val="19DC681F"/>
    <w:rsid w:val="19E2098A"/>
    <w:rsid w:val="19E25E4D"/>
    <w:rsid w:val="19E75028"/>
    <w:rsid w:val="19E951A2"/>
    <w:rsid w:val="19EA4D01"/>
    <w:rsid w:val="19EB3D17"/>
    <w:rsid w:val="19ED37F3"/>
    <w:rsid w:val="19ED761E"/>
    <w:rsid w:val="19EF056A"/>
    <w:rsid w:val="19F17E3E"/>
    <w:rsid w:val="19F313E0"/>
    <w:rsid w:val="19F33BB6"/>
    <w:rsid w:val="19F41571"/>
    <w:rsid w:val="19F8128C"/>
    <w:rsid w:val="19F84783"/>
    <w:rsid w:val="19F91BA9"/>
    <w:rsid w:val="19FA39E2"/>
    <w:rsid w:val="19FB7430"/>
    <w:rsid w:val="1A002777"/>
    <w:rsid w:val="1A0062D3"/>
    <w:rsid w:val="1A017C31"/>
    <w:rsid w:val="1A034E46"/>
    <w:rsid w:val="1A051077"/>
    <w:rsid w:val="1A070FB6"/>
    <w:rsid w:val="1A075639"/>
    <w:rsid w:val="1A0758B3"/>
    <w:rsid w:val="1A0A1B55"/>
    <w:rsid w:val="1A0E176C"/>
    <w:rsid w:val="1A125838"/>
    <w:rsid w:val="1A125FC4"/>
    <w:rsid w:val="1A126270"/>
    <w:rsid w:val="1A13135A"/>
    <w:rsid w:val="1A150428"/>
    <w:rsid w:val="1A1518A7"/>
    <w:rsid w:val="1A1659DE"/>
    <w:rsid w:val="1A174C8B"/>
    <w:rsid w:val="1A1B761A"/>
    <w:rsid w:val="1A1C75EB"/>
    <w:rsid w:val="1A1D3D1C"/>
    <w:rsid w:val="1A1F0E4F"/>
    <w:rsid w:val="1A2226ED"/>
    <w:rsid w:val="1A253783"/>
    <w:rsid w:val="1A2C651A"/>
    <w:rsid w:val="1A2E4BEE"/>
    <w:rsid w:val="1A2F2C04"/>
    <w:rsid w:val="1A303C4E"/>
    <w:rsid w:val="1A321C65"/>
    <w:rsid w:val="1A36270D"/>
    <w:rsid w:val="1A3710EF"/>
    <w:rsid w:val="1A383CBF"/>
    <w:rsid w:val="1A3A3318"/>
    <w:rsid w:val="1A3C0EA8"/>
    <w:rsid w:val="1A3C64D5"/>
    <w:rsid w:val="1A416255"/>
    <w:rsid w:val="1A44069A"/>
    <w:rsid w:val="1A440A45"/>
    <w:rsid w:val="1A46472D"/>
    <w:rsid w:val="1A472F13"/>
    <w:rsid w:val="1A475CB0"/>
    <w:rsid w:val="1A491D05"/>
    <w:rsid w:val="1A4B6A50"/>
    <w:rsid w:val="1A4D1646"/>
    <w:rsid w:val="1A4E3466"/>
    <w:rsid w:val="1A5062BE"/>
    <w:rsid w:val="1A5161A8"/>
    <w:rsid w:val="1A527F2F"/>
    <w:rsid w:val="1A564331"/>
    <w:rsid w:val="1A587539"/>
    <w:rsid w:val="1A587EBD"/>
    <w:rsid w:val="1A5C01AF"/>
    <w:rsid w:val="1A5E04C2"/>
    <w:rsid w:val="1A5E5161"/>
    <w:rsid w:val="1A625AA8"/>
    <w:rsid w:val="1A633C55"/>
    <w:rsid w:val="1A6B59BF"/>
    <w:rsid w:val="1A6F1374"/>
    <w:rsid w:val="1A6F2E2A"/>
    <w:rsid w:val="1A736AA5"/>
    <w:rsid w:val="1A7556B4"/>
    <w:rsid w:val="1A784897"/>
    <w:rsid w:val="1A787E51"/>
    <w:rsid w:val="1A7A6085"/>
    <w:rsid w:val="1A7C5269"/>
    <w:rsid w:val="1A7F47B4"/>
    <w:rsid w:val="1A822199"/>
    <w:rsid w:val="1A864952"/>
    <w:rsid w:val="1A864A2A"/>
    <w:rsid w:val="1A871B22"/>
    <w:rsid w:val="1A873131"/>
    <w:rsid w:val="1A8B2E61"/>
    <w:rsid w:val="1A90602C"/>
    <w:rsid w:val="1A912767"/>
    <w:rsid w:val="1A9649C0"/>
    <w:rsid w:val="1A973A3F"/>
    <w:rsid w:val="1A983C7A"/>
    <w:rsid w:val="1A9B6306"/>
    <w:rsid w:val="1A9C30FB"/>
    <w:rsid w:val="1A9C791D"/>
    <w:rsid w:val="1A9E24D0"/>
    <w:rsid w:val="1AA255DC"/>
    <w:rsid w:val="1AA71C0E"/>
    <w:rsid w:val="1AA80500"/>
    <w:rsid w:val="1AA83D73"/>
    <w:rsid w:val="1AAD37C3"/>
    <w:rsid w:val="1AAE3F81"/>
    <w:rsid w:val="1AB7575B"/>
    <w:rsid w:val="1AB87183"/>
    <w:rsid w:val="1AB9136D"/>
    <w:rsid w:val="1AB960FB"/>
    <w:rsid w:val="1ABC2453"/>
    <w:rsid w:val="1ABC669E"/>
    <w:rsid w:val="1ABE3DD7"/>
    <w:rsid w:val="1AC1141D"/>
    <w:rsid w:val="1AC42F89"/>
    <w:rsid w:val="1AC5209E"/>
    <w:rsid w:val="1AC923A6"/>
    <w:rsid w:val="1ACA3F92"/>
    <w:rsid w:val="1ACD2659"/>
    <w:rsid w:val="1AD03EF7"/>
    <w:rsid w:val="1AD32329"/>
    <w:rsid w:val="1AD35BAB"/>
    <w:rsid w:val="1AD35C6E"/>
    <w:rsid w:val="1AD50526"/>
    <w:rsid w:val="1AD57583"/>
    <w:rsid w:val="1AD80145"/>
    <w:rsid w:val="1ADD17B3"/>
    <w:rsid w:val="1ADF0415"/>
    <w:rsid w:val="1AE07CD3"/>
    <w:rsid w:val="1AE41750"/>
    <w:rsid w:val="1AEA6843"/>
    <w:rsid w:val="1AF20B1F"/>
    <w:rsid w:val="1AF349B2"/>
    <w:rsid w:val="1AF7185B"/>
    <w:rsid w:val="1AF73D50"/>
    <w:rsid w:val="1AF8344E"/>
    <w:rsid w:val="1AFB2319"/>
    <w:rsid w:val="1AFD19F9"/>
    <w:rsid w:val="1AFF1C1D"/>
    <w:rsid w:val="1AFF47DC"/>
    <w:rsid w:val="1B0533B5"/>
    <w:rsid w:val="1B0B2B6E"/>
    <w:rsid w:val="1B0B6928"/>
    <w:rsid w:val="1B0C42DA"/>
    <w:rsid w:val="1B116FBF"/>
    <w:rsid w:val="1B184FD3"/>
    <w:rsid w:val="1B195A91"/>
    <w:rsid w:val="1B1A7868"/>
    <w:rsid w:val="1B1A7D3B"/>
    <w:rsid w:val="1B1F1860"/>
    <w:rsid w:val="1B283D33"/>
    <w:rsid w:val="1B2C36F3"/>
    <w:rsid w:val="1B2D4292"/>
    <w:rsid w:val="1B2F4D01"/>
    <w:rsid w:val="1B30555A"/>
    <w:rsid w:val="1B316012"/>
    <w:rsid w:val="1B34092A"/>
    <w:rsid w:val="1B340930"/>
    <w:rsid w:val="1B355133"/>
    <w:rsid w:val="1B355FB1"/>
    <w:rsid w:val="1B361E84"/>
    <w:rsid w:val="1B372DF9"/>
    <w:rsid w:val="1B372E7F"/>
    <w:rsid w:val="1B374995"/>
    <w:rsid w:val="1B382713"/>
    <w:rsid w:val="1B3E70B3"/>
    <w:rsid w:val="1B402CC7"/>
    <w:rsid w:val="1B4244BD"/>
    <w:rsid w:val="1B4755BD"/>
    <w:rsid w:val="1B4779ED"/>
    <w:rsid w:val="1B481D2D"/>
    <w:rsid w:val="1B484D14"/>
    <w:rsid w:val="1B490BB9"/>
    <w:rsid w:val="1B4A0A10"/>
    <w:rsid w:val="1B4B5A1A"/>
    <w:rsid w:val="1B4D1E3D"/>
    <w:rsid w:val="1B4E4FF8"/>
    <w:rsid w:val="1B4E6B43"/>
    <w:rsid w:val="1B4F3923"/>
    <w:rsid w:val="1B505EC9"/>
    <w:rsid w:val="1B520855"/>
    <w:rsid w:val="1B526478"/>
    <w:rsid w:val="1B5342A8"/>
    <w:rsid w:val="1B54283C"/>
    <w:rsid w:val="1B561283"/>
    <w:rsid w:val="1B575FEE"/>
    <w:rsid w:val="1B5804E6"/>
    <w:rsid w:val="1B5B53A5"/>
    <w:rsid w:val="1B5B5EB7"/>
    <w:rsid w:val="1B5E13BC"/>
    <w:rsid w:val="1B676A58"/>
    <w:rsid w:val="1B682381"/>
    <w:rsid w:val="1B6A7409"/>
    <w:rsid w:val="1B6B2C4E"/>
    <w:rsid w:val="1B6D082C"/>
    <w:rsid w:val="1B6E3F3B"/>
    <w:rsid w:val="1B701236"/>
    <w:rsid w:val="1B7066B1"/>
    <w:rsid w:val="1B74431A"/>
    <w:rsid w:val="1B7D7D1C"/>
    <w:rsid w:val="1B7F1479"/>
    <w:rsid w:val="1B812C53"/>
    <w:rsid w:val="1B817F50"/>
    <w:rsid w:val="1B856F22"/>
    <w:rsid w:val="1B861465"/>
    <w:rsid w:val="1B86769F"/>
    <w:rsid w:val="1B885A59"/>
    <w:rsid w:val="1B89584A"/>
    <w:rsid w:val="1B8B5FB2"/>
    <w:rsid w:val="1B9041C4"/>
    <w:rsid w:val="1B912A8E"/>
    <w:rsid w:val="1B92161B"/>
    <w:rsid w:val="1B9326B9"/>
    <w:rsid w:val="1B965141"/>
    <w:rsid w:val="1B9923C6"/>
    <w:rsid w:val="1B9957FA"/>
    <w:rsid w:val="1B9B4505"/>
    <w:rsid w:val="1B9C6851"/>
    <w:rsid w:val="1B9D03EF"/>
    <w:rsid w:val="1B9D5C82"/>
    <w:rsid w:val="1B9E2247"/>
    <w:rsid w:val="1B9E4FCD"/>
    <w:rsid w:val="1B9F5150"/>
    <w:rsid w:val="1B9F6C57"/>
    <w:rsid w:val="1BA0091E"/>
    <w:rsid w:val="1BA612C4"/>
    <w:rsid w:val="1BA86CEF"/>
    <w:rsid w:val="1BAA36B8"/>
    <w:rsid w:val="1BAA5929"/>
    <w:rsid w:val="1BB11F7A"/>
    <w:rsid w:val="1BB14981"/>
    <w:rsid w:val="1BB21914"/>
    <w:rsid w:val="1BB440C2"/>
    <w:rsid w:val="1BB66AA0"/>
    <w:rsid w:val="1BB97274"/>
    <w:rsid w:val="1BBE4697"/>
    <w:rsid w:val="1BC17CE4"/>
    <w:rsid w:val="1BC22B56"/>
    <w:rsid w:val="1BC25F36"/>
    <w:rsid w:val="1BC6523C"/>
    <w:rsid w:val="1BC670A8"/>
    <w:rsid w:val="1BC778E5"/>
    <w:rsid w:val="1BC835EB"/>
    <w:rsid w:val="1BC900DD"/>
    <w:rsid w:val="1BC93D4E"/>
    <w:rsid w:val="1BCA64AE"/>
    <w:rsid w:val="1BCE1A9A"/>
    <w:rsid w:val="1BD0205E"/>
    <w:rsid w:val="1BD13D1E"/>
    <w:rsid w:val="1BD143DB"/>
    <w:rsid w:val="1BD75695"/>
    <w:rsid w:val="1BD904CF"/>
    <w:rsid w:val="1BE124DA"/>
    <w:rsid w:val="1BEC1023"/>
    <w:rsid w:val="1BEC3B21"/>
    <w:rsid w:val="1BED0CB7"/>
    <w:rsid w:val="1BF03088"/>
    <w:rsid w:val="1BF15B4E"/>
    <w:rsid w:val="1BF16D3F"/>
    <w:rsid w:val="1BF37822"/>
    <w:rsid w:val="1BF66489"/>
    <w:rsid w:val="1BF711F2"/>
    <w:rsid w:val="1BF95C95"/>
    <w:rsid w:val="1BFB340E"/>
    <w:rsid w:val="1BFB76E9"/>
    <w:rsid w:val="1BFC5AAE"/>
    <w:rsid w:val="1BFF026A"/>
    <w:rsid w:val="1C0246CA"/>
    <w:rsid w:val="1C0A0DCE"/>
    <w:rsid w:val="1C0E117B"/>
    <w:rsid w:val="1C12643A"/>
    <w:rsid w:val="1C153B46"/>
    <w:rsid w:val="1C1719A5"/>
    <w:rsid w:val="1C1800C6"/>
    <w:rsid w:val="1C1A6397"/>
    <w:rsid w:val="1C1B1EB3"/>
    <w:rsid w:val="1C1B49BE"/>
    <w:rsid w:val="1C1B5289"/>
    <w:rsid w:val="1C1B73F4"/>
    <w:rsid w:val="1C1E60FF"/>
    <w:rsid w:val="1C1F53F9"/>
    <w:rsid w:val="1C1F7302"/>
    <w:rsid w:val="1C214E4B"/>
    <w:rsid w:val="1C217D6F"/>
    <w:rsid w:val="1C2344FA"/>
    <w:rsid w:val="1C27450B"/>
    <w:rsid w:val="1C2776CE"/>
    <w:rsid w:val="1C2A6B7D"/>
    <w:rsid w:val="1C2B0109"/>
    <w:rsid w:val="1C303687"/>
    <w:rsid w:val="1C316C17"/>
    <w:rsid w:val="1C323A00"/>
    <w:rsid w:val="1C344E69"/>
    <w:rsid w:val="1C35689F"/>
    <w:rsid w:val="1C362480"/>
    <w:rsid w:val="1C3A2086"/>
    <w:rsid w:val="1C3C5FC4"/>
    <w:rsid w:val="1C3E1946"/>
    <w:rsid w:val="1C404D4C"/>
    <w:rsid w:val="1C416D2E"/>
    <w:rsid w:val="1C4701E9"/>
    <w:rsid w:val="1C4C1CA3"/>
    <w:rsid w:val="1C4E1577"/>
    <w:rsid w:val="1C556159"/>
    <w:rsid w:val="1C5E10A4"/>
    <w:rsid w:val="1C5F62DB"/>
    <w:rsid w:val="1C605742"/>
    <w:rsid w:val="1C60673F"/>
    <w:rsid w:val="1C625023"/>
    <w:rsid w:val="1C670A0A"/>
    <w:rsid w:val="1C671593"/>
    <w:rsid w:val="1C694603"/>
    <w:rsid w:val="1C71170A"/>
    <w:rsid w:val="1C7314B7"/>
    <w:rsid w:val="1C755751"/>
    <w:rsid w:val="1C7B4336"/>
    <w:rsid w:val="1C7B5173"/>
    <w:rsid w:val="1C814E2B"/>
    <w:rsid w:val="1C856F63"/>
    <w:rsid w:val="1C881DD1"/>
    <w:rsid w:val="1C8A32C8"/>
    <w:rsid w:val="1C8D3B5D"/>
    <w:rsid w:val="1C8E085E"/>
    <w:rsid w:val="1C8F393E"/>
    <w:rsid w:val="1C916898"/>
    <w:rsid w:val="1C9D24FF"/>
    <w:rsid w:val="1C9E65AF"/>
    <w:rsid w:val="1CA61F76"/>
    <w:rsid w:val="1CAD790D"/>
    <w:rsid w:val="1CB33AD0"/>
    <w:rsid w:val="1CB42ED7"/>
    <w:rsid w:val="1CB82B08"/>
    <w:rsid w:val="1CBA49A5"/>
    <w:rsid w:val="1CBF7741"/>
    <w:rsid w:val="1CC15952"/>
    <w:rsid w:val="1CC730D8"/>
    <w:rsid w:val="1CC83D02"/>
    <w:rsid w:val="1CC9252D"/>
    <w:rsid w:val="1CD16FE2"/>
    <w:rsid w:val="1CD423AD"/>
    <w:rsid w:val="1CD4262D"/>
    <w:rsid w:val="1CD852E5"/>
    <w:rsid w:val="1CDA2C1F"/>
    <w:rsid w:val="1CDB1FA6"/>
    <w:rsid w:val="1CE026DF"/>
    <w:rsid w:val="1CE05ADF"/>
    <w:rsid w:val="1CE11DDF"/>
    <w:rsid w:val="1CE35769"/>
    <w:rsid w:val="1CE45EBD"/>
    <w:rsid w:val="1CE5253C"/>
    <w:rsid w:val="1CE62E8D"/>
    <w:rsid w:val="1CEF7374"/>
    <w:rsid w:val="1CF00B40"/>
    <w:rsid w:val="1CF53CD6"/>
    <w:rsid w:val="1CF62275"/>
    <w:rsid w:val="1CF95853"/>
    <w:rsid w:val="1CFB4AC9"/>
    <w:rsid w:val="1CFC7225"/>
    <w:rsid w:val="1CFD2714"/>
    <w:rsid w:val="1CFD5B5B"/>
    <w:rsid w:val="1CFF1F30"/>
    <w:rsid w:val="1CFF4540"/>
    <w:rsid w:val="1D045634"/>
    <w:rsid w:val="1D0460DA"/>
    <w:rsid w:val="1D061E52"/>
    <w:rsid w:val="1D06434B"/>
    <w:rsid w:val="1D074B62"/>
    <w:rsid w:val="1D0927BE"/>
    <w:rsid w:val="1D0A0FEB"/>
    <w:rsid w:val="1D0B38D5"/>
    <w:rsid w:val="1D0C7C1D"/>
    <w:rsid w:val="1D0E51AB"/>
    <w:rsid w:val="1D0E7586"/>
    <w:rsid w:val="1D100575"/>
    <w:rsid w:val="1D177931"/>
    <w:rsid w:val="1D1A123D"/>
    <w:rsid w:val="1D1A5D3F"/>
    <w:rsid w:val="1D1A69AC"/>
    <w:rsid w:val="1D1C76CA"/>
    <w:rsid w:val="1D1D198D"/>
    <w:rsid w:val="1D1D776D"/>
    <w:rsid w:val="1D1F1166"/>
    <w:rsid w:val="1D28163E"/>
    <w:rsid w:val="1D295BE8"/>
    <w:rsid w:val="1D2D55E0"/>
    <w:rsid w:val="1D2D6DBF"/>
    <w:rsid w:val="1D3627CF"/>
    <w:rsid w:val="1D371499"/>
    <w:rsid w:val="1D3764AF"/>
    <w:rsid w:val="1D3A1416"/>
    <w:rsid w:val="1D3A4C2A"/>
    <w:rsid w:val="1D3B2EB4"/>
    <w:rsid w:val="1D3D0BD8"/>
    <w:rsid w:val="1D3F7112"/>
    <w:rsid w:val="1D441161"/>
    <w:rsid w:val="1D454098"/>
    <w:rsid w:val="1D46645F"/>
    <w:rsid w:val="1D4B7B0A"/>
    <w:rsid w:val="1D4D7A81"/>
    <w:rsid w:val="1D4E32DC"/>
    <w:rsid w:val="1D4E5730"/>
    <w:rsid w:val="1D5232E9"/>
    <w:rsid w:val="1D531447"/>
    <w:rsid w:val="1D552DD9"/>
    <w:rsid w:val="1D591300"/>
    <w:rsid w:val="1D5C1A72"/>
    <w:rsid w:val="1D5C4E63"/>
    <w:rsid w:val="1D5E3F3F"/>
    <w:rsid w:val="1D626BE7"/>
    <w:rsid w:val="1D6372A4"/>
    <w:rsid w:val="1D65301C"/>
    <w:rsid w:val="1D6C06BE"/>
    <w:rsid w:val="1D700511"/>
    <w:rsid w:val="1D72392A"/>
    <w:rsid w:val="1D73376B"/>
    <w:rsid w:val="1D7451DF"/>
    <w:rsid w:val="1D754F97"/>
    <w:rsid w:val="1D775BC6"/>
    <w:rsid w:val="1D776E3D"/>
    <w:rsid w:val="1D79207C"/>
    <w:rsid w:val="1D7952DA"/>
    <w:rsid w:val="1D795BBA"/>
    <w:rsid w:val="1D8513D4"/>
    <w:rsid w:val="1D854D1D"/>
    <w:rsid w:val="1D8722BA"/>
    <w:rsid w:val="1D8744A4"/>
    <w:rsid w:val="1D894CFF"/>
    <w:rsid w:val="1D8A7A2D"/>
    <w:rsid w:val="1D8C066F"/>
    <w:rsid w:val="1D8C6DCC"/>
    <w:rsid w:val="1D8E2F80"/>
    <w:rsid w:val="1D8E6687"/>
    <w:rsid w:val="1D8E6DA1"/>
    <w:rsid w:val="1D8F5E47"/>
    <w:rsid w:val="1D90501C"/>
    <w:rsid w:val="1D94745E"/>
    <w:rsid w:val="1D96118B"/>
    <w:rsid w:val="1D9969DE"/>
    <w:rsid w:val="1DA061E9"/>
    <w:rsid w:val="1DA13929"/>
    <w:rsid w:val="1DA17384"/>
    <w:rsid w:val="1DA30FB6"/>
    <w:rsid w:val="1DA348BC"/>
    <w:rsid w:val="1DA5678B"/>
    <w:rsid w:val="1DAC0B18"/>
    <w:rsid w:val="1DAE68E6"/>
    <w:rsid w:val="1DB00386"/>
    <w:rsid w:val="1DB32CAB"/>
    <w:rsid w:val="1DB43A4F"/>
    <w:rsid w:val="1DB63509"/>
    <w:rsid w:val="1DB76BA3"/>
    <w:rsid w:val="1DB83150"/>
    <w:rsid w:val="1DB90D3B"/>
    <w:rsid w:val="1DB976EA"/>
    <w:rsid w:val="1DC03C12"/>
    <w:rsid w:val="1DC27638"/>
    <w:rsid w:val="1DC43CB7"/>
    <w:rsid w:val="1DC47C3A"/>
    <w:rsid w:val="1DC545A9"/>
    <w:rsid w:val="1DC7238D"/>
    <w:rsid w:val="1DC74A9A"/>
    <w:rsid w:val="1DCA0A85"/>
    <w:rsid w:val="1DCD348A"/>
    <w:rsid w:val="1DCE08FF"/>
    <w:rsid w:val="1DCF493A"/>
    <w:rsid w:val="1DD0333D"/>
    <w:rsid w:val="1DD27F86"/>
    <w:rsid w:val="1DD52D35"/>
    <w:rsid w:val="1DD71FDB"/>
    <w:rsid w:val="1DD737EE"/>
    <w:rsid w:val="1DD83E34"/>
    <w:rsid w:val="1DD93C5B"/>
    <w:rsid w:val="1DD957B9"/>
    <w:rsid w:val="1DDA47CB"/>
    <w:rsid w:val="1DDF53F2"/>
    <w:rsid w:val="1DE54561"/>
    <w:rsid w:val="1DE60E22"/>
    <w:rsid w:val="1DE6651B"/>
    <w:rsid w:val="1DEC3A0B"/>
    <w:rsid w:val="1DEC3DC4"/>
    <w:rsid w:val="1DEC79B8"/>
    <w:rsid w:val="1DEE2903"/>
    <w:rsid w:val="1DEE45E2"/>
    <w:rsid w:val="1DEE6320"/>
    <w:rsid w:val="1DEF0B38"/>
    <w:rsid w:val="1DF22493"/>
    <w:rsid w:val="1DF428D0"/>
    <w:rsid w:val="1DF45A14"/>
    <w:rsid w:val="1DF84523"/>
    <w:rsid w:val="1DF92ADB"/>
    <w:rsid w:val="1DF97CAB"/>
    <w:rsid w:val="1DFA3675"/>
    <w:rsid w:val="1DFB74DD"/>
    <w:rsid w:val="1DFD6C80"/>
    <w:rsid w:val="1E032835"/>
    <w:rsid w:val="1E0B184C"/>
    <w:rsid w:val="1E0E6C5D"/>
    <w:rsid w:val="1E1112E1"/>
    <w:rsid w:val="1E1152B2"/>
    <w:rsid w:val="1E124827"/>
    <w:rsid w:val="1E1479E6"/>
    <w:rsid w:val="1E1672D0"/>
    <w:rsid w:val="1E17452C"/>
    <w:rsid w:val="1E1B1141"/>
    <w:rsid w:val="1E1B7B7F"/>
    <w:rsid w:val="1E1D6378"/>
    <w:rsid w:val="1E1E766F"/>
    <w:rsid w:val="1E214C7C"/>
    <w:rsid w:val="1E221B78"/>
    <w:rsid w:val="1E2307E2"/>
    <w:rsid w:val="1E2702D2"/>
    <w:rsid w:val="1E2960B1"/>
    <w:rsid w:val="1E2C3B3A"/>
    <w:rsid w:val="1E2D78C5"/>
    <w:rsid w:val="1E3121FA"/>
    <w:rsid w:val="1E3365A1"/>
    <w:rsid w:val="1E366995"/>
    <w:rsid w:val="1E370EAD"/>
    <w:rsid w:val="1E390E35"/>
    <w:rsid w:val="1E3B4F1D"/>
    <w:rsid w:val="1E3D5D61"/>
    <w:rsid w:val="1E3D713A"/>
    <w:rsid w:val="1E407273"/>
    <w:rsid w:val="1E4079BA"/>
    <w:rsid w:val="1E43368C"/>
    <w:rsid w:val="1E447674"/>
    <w:rsid w:val="1E4605ED"/>
    <w:rsid w:val="1E4965F0"/>
    <w:rsid w:val="1E4C7F89"/>
    <w:rsid w:val="1E4F15D7"/>
    <w:rsid w:val="1E556CA9"/>
    <w:rsid w:val="1E5631FD"/>
    <w:rsid w:val="1E57048B"/>
    <w:rsid w:val="1E577E70"/>
    <w:rsid w:val="1E59012D"/>
    <w:rsid w:val="1E5C390A"/>
    <w:rsid w:val="1E5D56CB"/>
    <w:rsid w:val="1E6029D2"/>
    <w:rsid w:val="1E60445F"/>
    <w:rsid w:val="1E605592"/>
    <w:rsid w:val="1E635082"/>
    <w:rsid w:val="1E69654F"/>
    <w:rsid w:val="1E6A6411"/>
    <w:rsid w:val="1E6A69C7"/>
    <w:rsid w:val="1E6B6530"/>
    <w:rsid w:val="1E6B65BD"/>
    <w:rsid w:val="1E6C03DB"/>
    <w:rsid w:val="1E6E5F01"/>
    <w:rsid w:val="1E6F15A7"/>
    <w:rsid w:val="1E770609"/>
    <w:rsid w:val="1E7D6144"/>
    <w:rsid w:val="1E7D7EF2"/>
    <w:rsid w:val="1E7E5C49"/>
    <w:rsid w:val="1E7F63AB"/>
    <w:rsid w:val="1E805D91"/>
    <w:rsid w:val="1E8306C4"/>
    <w:rsid w:val="1E8374D5"/>
    <w:rsid w:val="1E8532D9"/>
    <w:rsid w:val="1E8A0CAA"/>
    <w:rsid w:val="1E8A6AB3"/>
    <w:rsid w:val="1E8C0C0F"/>
    <w:rsid w:val="1E8C204D"/>
    <w:rsid w:val="1E8D7230"/>
    <w:rsid w:val="1E8E6E6E"/>
    <w:rsid w:val="1E8F2EFD"/>
    <w:rsid w:val="1E8F40C9"/>
    <w:rsid w:val="1E901008"/>
    <w:rsid w:val="1E933BB9"/>
    <w:rsid w:val="1E940FFC"/>
    <w:rsid w:val="1E990EF4"/>
    <w:rsid w:val="1E9B2A6E"/>
    <w:rsid w:val="1E9D2342"/>
    <w:rsid w:val="1E9F190B"/>
    <w:rsid w:val="1EA137D0"/>
    <w:rsid w:val="1EA16957"/>
    <w:rsid w:val="1EA212A1"/>
    <w:rsid w:val="1EA21F87"/>
    <w:rsid w:val="1EA2337A"/>
    <w:rsid w:val="1EA23C70"/>
    <w:rsid w:val="1EA25B19"/>
    <w:rsid w:val="1EA30E10"/>
    <w:rsid w:val="1EA91914"/>
    <w:rsid w:val="1EA9506E"/>
    <w:rsid w:val="1EA9518B"/>
    <w:rsid w:val="1EAB08DB"/>
    <w:rsid w:val="1EAD0D24"/>
    <w:rsid w:val="1EAE09F3"/>
    <w:rsid w:val="1EAE38EF"/>
    <w:rsid w:val="1EAF7CCA"/>
    <w:rsid w:val="1EB15957"/>
    <w:rsid w:val="1EB34612"/>
    <w:rsid w:val="1EB626F3"/>
    <w:rsid w:val="1EB7274A"/>
    <w:rsid w:val="1EB7387D"/>
    <w:rsid w:val="1EB84E0F"/>
    <w:rsid w:val="1EB97505"/>
    <w:rsid w:val="1EBB25E9"/>
    <w:rsid w:val="1EBD3B62"/>
    <w:rsid w:val="1EBE6CC7"/>
    <w:rsid w:val="1EC21DA9"/>
    <w:rsid w:val="1EC22E41"/>
    <w:rsid w:val="1EC3611C"/>
    <w:rsid w:val="1EC91389"/>
    <w:rsid w:val="1EC97403"/>
    <w:rsid w:val="1ECA499A"/>
    <w:rsid w:val="1ED02286"/>
    <w:rsid w:val="1ED04422"/>
    <w:rsid w:val="1ED20F33"/>
    <w:rsid w:val="1ED63AA6"/>
    <w:rsid w:val="1EDC02C9"/>
    <w:rsid w:val="1EDC0740"/>
    <w:rsid w:val="1EDC39A8"/>
    <w:rsid w:val="1EDC6954"/>
    <w:rsid w:val="1EDE421C"/>
    <w:rsid w:val="1EDE7164"/>
    <w:rsid w:val="1EE12D63"/>
    <w:rsid w:val="1EE52B7A"/>
    <w:rsid w:val="1EE541C2"/>
    <w:rsid w:val="1EEA172F"/>
    <w:rsid w:val="1EEA264E"/>
    <w:rsid w:val="1EED3748"/>
    <w:rsid w:val="1EEF5A4A"/>
    <w:rsid w:val="1EF43C94"/>
    <w:rsid w:val="1EF84A9A"/>
    <w:rsid w:val="1EF923F9"/>
    <w:rsid w:val="1EFB350D"/>
    <w:rsid w:val="1EFD2C73"/>
    <w:rsid w:val="1EFF726E"/>
    <w:rsid w:val="1F016396"/>
    <w:rsid w:val="1F07169F"/>
    <w:rsid w:val="1F071E17"/>
    <w:rsid w:val="1F0979D8"/>
    <w:rsid w:val="1F0A621B"/>
    <w:rsid w:val="1F0A6898"/>
    <w:rsid w:val="1F0B2C36"/>
    <w:rsid w:val="1F0F6ACB"/>
    <w:rsid w:val="1F103654"/>
    <w:rsid w:val="1F122ED5"/>
    <w:rsid w:val="1F1545CE"/>
    <w:rsid w:val="1F185E1F"/>
    <w:rsid w:val="1F1A072D"/>
    <w:rsid w:val="1F1C3BAF"/>
    <w:rsid w:val="1F280FFC"/>
    <w:rsid w:val="1F2A2D15"/>
    <w:rsid w:val="1F2A5578"/>
    <w:rsid w:val="1F2A6FDB"/>
    <w:rsid w:val="1F2F7DF9"/>
    <w:rsid w:val="1F3057AF"/>
    <w:rsid w:val="1F316591"/>
    <w:rsid w:val="1F330EF8"/>
    <w:rsid w:val="1F3755EF"/>
    <w:rsid w:val="1F3B455E"/>
    <w:rsid w:val="1F473964"/>
    <w:rsid w:val="1F476D6C"/>
    <w:rsid w:val="1F49711F"/>
    <w:rsid w:val="1F4B0A1A"/>
    <w:rsid w:val="1F5046A9"/>
    <w:rsid w:val="1F5215B3"/>
    <w:rsid w:val="1F557ECC"/>
    <w:rsid w:val="1F576995"/>
    <w:rsid w:val="1F5E6B3E"/>
    <w:rsid w:val="1F611DC7"/>
    <w:rsid w:val="1F613FCB"/>
    <w:rsid w:val="1F633166"/>
    <w:rsid w:val="1F6410B2"/>
    <w:rsid w:val="1F66497B"/>
    <w:rsid w:val="1F674FCD"/>
    <w:rsid w:val="1F692600"/>
    <w:rsid w:val="1F6D0617"/>
    <w:rsid w:val="1F6D1814"/>
    <w:rsid w:val="1F6D256E"/>
    <w:rsid w:val="1F6F0CDC"/>
    <w:rsid w:val="1F724F50"/>
    <w:rsid w:val="1F783B0B"/>
    <w:rsid w:val="1F786939"/>
    <w:rsid w:val="1F7A59EB"/>
    <w:rsid w:val="1F811E74"/>
    <w:rsid w:val="1F854932"/>
    <w:rsid w:val="1F8B663F"/>
    <w:rsid w:val="1F91463F"/>
    <w:rsid w:val="1F9341DA"/>
    <w:rsid w:val="1F934711"/>
    <w:rsid w:val="1F97758B"/>
    <w:rsid w:val="1F9A59D4"/>
    <w:rsid w:val="1F9C5663"/>
    <w:rsid w:val="1F9F34E0"/>
    <w:rsid w:val="1FA32EFF"/>
    <w:rsid w:val="1FA566E6"/>
    <w:rsid w:val="1FA63478"/>
    <w:rsid w:val="1FA819C5"/>
    <w:rsid w:val="1FA93387"/>
    <w:rsid w:val="1FA94D17"/>
    <w:rsid w:val="1FAF17BB"/>
    <w:rsid w:val="1FB44C60"/>
    <w:rsid w:val="1FB55EAB"/>
    <w:rsid w:val="1FB62CA9"/>
    <w:rsid w:val="1FB72C07"/>
    <w:rsid w:val="1FB738D7"/>
    <w:rsid w:val="1FB97B85"/>
    <w:rsid w:val="1FBA7A5F"/>
    <w:rsid w:val="1FBE0451"/>
    <w:rsid w:val="1FBE07C2"/>
    <w:rsid w:val="1FBE7AD7"/>
    <w:rsid w:val="1FC00DC0"/>
    <w:rsid w:val="1FC115AD"/>
    <w:rsid w:val="1FC3214F"/>
    <w:rsid w:val="1FC34757"/>
    <w:rsid w:val="1FC55C00"/>
    <w:rsid w:val="1FC61BF5"/>
    <w:rsid w:val="1FC63B1B"/>
    <w:rsid w:val="1FC81641"/>
    <w:rsid w:val="1FD163B2"/>
    <w:rsid w:val="1FD53D5E"/>
    <w:rsid w:val="1FD717E3"/>
    <w:rsid w:val="1FD72F5C"/>
    <w:rsid w:val="1FD73AE0"/>
    <w:rsid w:val="1FD87CD3"/>
    <w:rsid w:val="1FDA0CFB"/>
    <w:rsid w:val="1FDD257B"/>
    <w:rsid w:val="1FDF62FC"/>
    <w:rsid w:val="1FE06C19"/>
    <w:rsid w:val="1FEF4E1F"/>
    <w:rsid w:val="1FFA1460"/>
    <w:rsid w:val="1FFF29DC"/>
    <w:rsid w:val="1FFF65F1"/>
    <w:rsid w:val="2000093B"/>
    <w:rsid w:val="200123A8"/>
    <w:rsid w:val="20013309"/>
    <w:rsid w:val="20075E26"/>
    <w:rsid w:val="200D380F"/>
    <w:rsid w:val="20136BAE"/>
    <w:rsid w:val="201A6D1A"/>
    <w:rsid w:val="201B0F10"/>
    <w:rsid w:val="201C7BDE"/>
    <w:rsid w:val="201E5649"/>
    <w:rsid w:val="201F3AB1"/>
    <w:rsid w:val="20240EB1"/>
    <w:rsid w:val="20243710"/>
    <w:rsid w:val="202C15A0"/>
    <w:rsid w:val="20315D12"/>
    <w:rsid w:val="20331A97"/>
    <w:rsid w:val="20332C02"/>
    <w:rsid w:val="20335368"/>
    <w:rsid w:val="203942EC"/>
    <w:rsid w:val="203A6AF5"/>
    <w:rsid w:val="203E169A"/>
    <w:rsid w:val="20404F8E"/>
    <w:rsid w:val="20417A84"/>
    <w:rsid w:val="20476A09"/>
    <w:rsid w:val="2049095D"/>
    <w:rsid w:val="204B31C8"/>
    <w:rsid w:val="204E48E5"/>
    <w:rsid w:val="204E69C8"/>
    <w:rsid w:val="204F13EA"/>
    <w:rsid w:val="20567EE3"/>
    <w:rsid w:val="205A4F56"/>
    <w:rsid w:val="2065007F"/>
    <w:rsid w:val="20653333"/>
    <w:rsid w:val="20654122"/>
    <w:rsid w:val="206633C2"/>
    <w:rsid w:val="206650A3"/>
    <w:rsid w:val="206704AD"/>
    <w:rsid w:val="20672C08"/>
    <w:rsid w:val="206763B8"/>
    <w:rsid w:val="206858CC"/>
    <w:rsid w:val="206873D7"/>
    <w:rsid w:val="20690D0F"/>
    <w:rsid w:val="2069136F"/>
    <w:rsid w:val="206C1BB2"/>
    <w:rsid w:val="20705B7B"/>
    <w:rsid w:val="20721F24"/>
    <w:rsid w:val="207402A9"/>
    <w:rsid w:val="20765C82"/>
    <w:rsid w:val="20775E12"/>
    <w:rsid w:val="20787AAB"/>
    <w:rsid w:val="207B3BE4"/>
    <w:rsid w:val="207B7134"/>
    <w:rsid w:val="20811994"/>
    <w:rsid w:val="208522FE"/>
    <w:rsid w:val="20861B5E"/>
    <w:rsid w:val="208778AB"/>
    <w:rsid w:val="20880DD0"/>
    <w:rsid w:val="2088779C"/>
    <w:rsid w:val="2089132B"/>
    <w:rsid w:val="208B7AE9"/>
    <w:rsid w:val="208F215E"/>
    <w:rsid w:val="209234A5"/>
    <w:rsid w:val="20967C00"/>
    <w:rsid w:val="20975B0A"/>
    <w:rsid w:val="209761A3"/>
    <w:rsid w:val="20977E55"/>
    <w:rsid w:val="20996D8A"/>
    <w:rsid w:val="209A6D96"/>
    <w:rsid w:val="209D3567"/>
    <w:rsid w:val="209F69C0"/>
    <w:rsid w:val="20A24975"/>
    <w:rsid w:val="20A536B4"/>
    <w:rsid w:val="20A55229"/>
    <w:rsid w:val="20A6689E"/>
    <w:rsid w:val="20A70791"/>
    <w:rsid w:val="20A70B24"/>
    <w:rsid w:val="20A756FA"/>
    <w:rsid w:val="20AA343C"/>
    <w:rsid w:val="20AB1647"/>
    <w:rsid w:val="20AC0F62"/>
    <w:rsid w:val="20AC2032"/>
    <w:rsid w:val="20AE0E17"/>
    <w:rsid w:val="20B0213D"/>
    <w:rsid w:val="20B441BB"/>
    <w:rsid w:val="20B86B19"/>
    <w:rsid w:val="20BA544B"/>
    <w:rsid w:val="20BB1A72"/>
    <w:rsid w:val="20BB50DE"/>
    <w:rsid w:val="20BD6CCC"/>
    <w:rsid w:val="20C04BEB"/>
    <w:rsid w:val="20C279F7"/>
    <w:rsid w:val="20C30808"/>
    <w:rsid w:val="20C462AC"/>
    <w:rsid w:val="20C52024"/>
    <w:rsid w:val="20C96D55"/>
    <w:rsid w:val="20CA1C8D"/>
    <w:rsid w:val="20CA5655"/>
    <w:rsid w:val="20CE6405"/>
    <w:rsid w:val="20D02463"/>
    <w:rsid w:val="20D0362E"/>
    <w:rsid w:val="20D07FE6"/>
    <w:rsid w:val="20D12777"/>
    <w:rsid w:val="20D16D8E"/>
    <w:rsid w:val="20D44FA5"/>
    <w:rsid w:val="20D52134"/>
    <w:rsid w:val="20D66813"/>
    <w:rsid w:val="20DA0A53"/>
    <w:rsid w:val="20DC1495"/>
    <w:rsid w:val="20DF7B97"/>
    <w:rsid w:val="20E270AD"/>
    <w:rsid w:val="20E67145"/>
    <w:rsid w:val="20EA2DE0"/>
    <w:rsid w:val="20EB38A2"/>
    <w:rsid w:val="20F17831"/>
    <w:rsid w:val="20F42F16"/>
    <w:rsid w:val="20F913EB"/>
    <w:rsid w:val="20FA3253"/>
    <w:rsid w:val="21023E03"/>
    <w:rsid w:val="21027AC0"/>
    <w:rsid w:val="210353F4"/>
    <w:rsid w:val="210A7453"/>
    <w:rsid w:val="210B0BB4"/>
    <w:rsid w:val="210D0E63"/>
    <w:rsid w:val="211071A8"/>
    <w:rsid w:val="21124DA1"/>
    <w:rsid w:val="21125D0B"/>
    <w:rsid w:val="2112756C"/>
    <w:rsid w:val="21144ECB"/>
    <w:rsid w:val="21162880"/>
    <w:rsid w:val="21182391"/>
    <w:rsid w:val="211E5A88"/>
    <w:rsid w:val="2120572C"/>
    <w:rsid w:val="21233EFC"/>
    <w:rsid w:val="212A1E87"/>
    <w:rsid w:val="212A6B10"/>
    <w:rsid w:val="212B7C92"/>
    <w:rsid w:val="21304CAC"/>
    <w:rsid w:val="21311386"/>
    <w:rsid w:val="21311BB1"/>
    <w:rsid w:val="21313216"/>
    <w:rsid w:val="21332E39"/>
    <w:rsid w:val="21350F58"/>
    <w:rsid w:val="21354AB4"/>
    <w:rsid w:val="2137340A"/>
    <w:rsid w:val="213D24B6"/>
    <w:rsid w:val="213D7E0C"/>
    <w:rsid w:val="213F3B84"/>
    <w:rsid w:val="214007BA"/>
    <w:rsid w:val="214744F0"/>
    <w:rsid w:val="21491658"/>
    <w:rsid w:val="214967B1"/>
    <w:rsid w:val="214C1BA5"/>
    <w:rsid w:val="214C7695"/>
    <w:rsid w:val="214D2322"/>
    <w:rsid w:val="21521FC6"/>
    <w:rsid w:val="21526F9E"/>
    <w:rsid w:val="21595108"/>
    <w:rsid w:val="215C292F"/>
    <w:rsid w:val="215C64E4"/>
    <w:rsid w:val="215D593E"/>
    <w:rsid w:val="215D6B5F"/>
    <w:rsid w:val="215E0A6B"/>
    <w:rsid w:val="215F2E38"/>
    <w:rsid w:val="216A0908"/>
    <w:rsid w:val="216C4D54"/>
    <w:rsid w:val="21713EAC"/>
    <w:rsid w:val="217575A6"/>
    <w:rsid w:val="21787096"/>
    <w:rsid w:val="217C6861"/>
    <w:rsid w:val="217D32FC"/>
    <w:rsid w:val="21801D99"/>
    <w:rsid w:val="21851803"/>
    <w:rsid w:val="218B4AA6"/>
    <w:rsid w:val="218D22ED"/>
    <w:rsid w:val="218E2416"/>
    <w:rsid w:val="219000FD"/>
    <w:rsid w:val="21901F20"/>
    <w:rsid w:val="2191541A"/>
    <w:rsid w:val="21937A2C"/>
    <w:rsid w:val="21937B25"/>
    <w:rsid w:val="21975AA2"/>
    <w:rsid w:val="2197751D"/>
    <w:rsid w:val="2198296A"/>
    <w:rsid w:val="219859DA"/>
    <w:rsid w:val="219C57B1"/>
    <w:rsid w:val="21A03BFD"/>
    <w:rsid w:val="21A040F6"/>
    <w:rsid w:val="21A1085F"/>
    <w:rsid w:val="21A35A6C"/>
    <w:rsid w:val="21AD1492"/>
    <w:rsid w:val="21AD60A2"/>
    <w:rsid w:val="21B04CAB"/>
    <w:rsid w:val="21B25BA7"/>
    <w:rsid w:val="21B275B1"/>
    <w:rsid w:val="21B555B2"/>
    <w:rsid w:val="21B60ED2"/>
    <w:rsid w:val="21B71E09"/>
    <w:rsid w:val="21B806E9"/>
    <w:rsid w:val="21B93243"/>
    <w:rsid w:val="21B96FAA"/>
    <w:rsid w:val="21BA76AF"/>
    <w:rsid w:val="21BB3976"/>
    <w:rsid w:val="21BC6F83"/>
    <w:rsid w:val="21C07E88"/>
    <w:rsid w:val="21C12129"/>
    <w:rsid w:val="21C46A05"/>
    <w:rsid w:val="21C56B9B"/>
    <w:rsid w:val="21C92069"/>
    <w:rsid w:val="21CA767A"/>
    <w:rsid w:val="21CE038A"/>
    <w:rsid w:val="21D00DD1"/>
    <w:rsid w:val="21D02FF1"/>
    <w:rsid w:val="21D400D2"/>
    <w:rsid w:val="21D6210F"/>
    <w:rsid w:val="21D66BEB"/>
    <w:rsid w:val="21DA2739"/>
    <w:rsid w:val="21DB3B36"/>
    <w:rsid w:val="21DC46B3"/>
    <w:rsid w:val="21DC5719"/>
    <w:rsid w:val="21DF0B2C"/>
    <w:rsid w:val="21E32308"/>
    <w:rsid w:val="21E54896"/>
    <w:rsid w:val="21E840AF"/>
    <w:rsid w:val="21E848E6"/>
    <w:rsid w:val="21EE0560"/>
    <w:rsid w:val="21EE40BD"/>
    <w:rsid w:val="21F34025"/>
    <w:rsid w:val="21F7445F"/>
    <w:rsid w:val="21F7620D"/>
    <w:rsid w:val="21FE4BB3"/>
    <w:rsid w:val="21FE612E"/>
    <w:rsid w:val="21FE6183"/>
    <w:rsid w:val="22012ECD"/>
    <w:rsid w:val="22017F50"/>
    <w:rsid w:val="22043FA2"/>
    <w:rsid w:val="22054BE7"/>
    <w:rsid w:val="22056B7C"/>
    <w:rsid w:val="220D313B"/>
    <w:rsid w:val="22140129"/>
    <w:rsid w:val="22153965"/>
    <w:rsid w:val="221624EC"/>
    <w:rsid w:val="2217565E"/>
    <w:rsid w:val="22192CB2"/>
    <w:rsid w:val="221955E9"/>
    <w:rsid w:val="221A3BA5"/>
    <w:rsid w:val="221E7C3E"/>
    <w:rsid w:val="222238BE"/>
    <w:rsid w:val="22252CAE"/>
    <w:rsid w:val="2226180A"/>
    <w:rsid w:val="22263B0C"/>
    <w:rsid w:val="22266AF2"/>
    <w:rsid w:val="22277D3E"/>
    <w:rsid w:val="222A213F"/>
    <w:rsid w:val="222D76A8"/>
    <w:rsid w:val="222E2F45"/>
    <w:rsid w:val="22352F4F"/>
    <w:rsid w:val="22363671"/>
    <w:rsid w:val="22375C1B"/>
    <w:rsid w:val="22385313"/>
    <w:rsid w:val="223B7A22"/>
    <w:rsid w:val="223E7AE5"/>
    <w:rsid w:val="22427065"/>
    <w:rsid w:val="22431452"/>
    <w:rsid w:val="22433EBD"/>
    <w:rsid w:val="22460F43"/>
    <w:rsid w:val="22463424"/>
    <w:rsid w:val="22465314"/>
    <w:rsid w:val="224C502C"/>
    <w:rsid w:val="224F2E41"/>
    <w:rsid w:val="22517514"/>
    <w:rsid w:val="22555CE4"/>
    <w:rsid w:val="22560F30"/>
    <w:rsid w:val="225718ED"/>
    <w:rsid w:val="225A611B"/>
    <w:rsid w:val="225E5729"/>
    <w:rsid w:val="22625BDA"/>
    <w:rsid w:val="22637523"/>
    <w:rsid w:val="2265634C"/>
    <w:rsid w:val="226C6F30"/>
    <w:rsid w:val="226D1E44"/>
    <w:rsid w:val="226D569F"/>
    <w:rsid w:val="2270087B"/>
    <w:rsid w:val="22713A98"/>
    <w:rsid w:val="22730B95"/>
    <w:rsid w:val="22733BE6"/>
    <w:rsid w:val="22736739"/>
    <w:rsid w:val="227C036D"/>
    <w:rsid w:val="227E6135"/>
    <w:rsid w:val="227F2E1F"/>
    <w:rsid w:val="22841D6C"/>
    <w:rsid w:val="22877C26"/>
    <w:rsid w:val="2288785B"/>
    <w:rsid w:val="22907833"/>
    <w:rsid w:val="229254B9"/>
    <w:rsid w:val="229439E4"/>
    <w:rsid w:val="22945646"/>
    <w:rsid w:val="2298059A"/>
    <w:rsid w:val="22982778"/>
    <w:rsid w:val="22995516"/>
    <w:rsid w:val="22995A51"/>
    <w:rsid w:val="229972C4"/>
    <w:rsid w:val="229B1C77"/>
    <w:rsid w:val="229E0D7F"/>
    <w:rsid w:val="22A22F0F"/>
    <w:rsid w:val="22A5210D"/>
    <w:rsid w:val="22A75271"/>
    <w:rsid w:val="22A77C33"/>
    <w:rsid w:val="22AA7723"/>
    <w:rsid w:val="22AB3233"/>
    <w:rsid w:val="22AC0E77"/>
    <w:rsid w:val="22AE046B"/>
    <w:rsid w:val="22AE1613"/>
    <w:rsid w:val="22AE25CF"/>
    <w:rsid w:val="22B06944"/>
    <w:rsid w:val="22B112C7"/>
    <w:rsid w:val="22B2040C"/>
    <w:rsid w:val="22B32320"/>
    <w:rsid w:val="22B61C24"/>
    <w:rsid w:val="22B9629C"/>
    <w:rsid w:val="22BB286C"/>
    <w:rsid w:val="22BC05F6"/>
    <w:rsid w:val="22BC52A3"/>
    <w:rsid w:val="22C21E72"/>
    <w:rsid w:val="22C408FD"/>
    <w:rsid w:val="22C7245F"/>
    <w:rsid w:val="22C87D48"/>
    <w:rsid w:val="22C90A12"/>
    <w:rsid w:val="22CB1764"/>
    <w:rsid w:val="22CB49AB"/>
    <w:rsid w:val="22CC58EC"/>
    <w:rsid w:val="22D03751"/>
    <w:rsid w:val="22D201B3"/>
    <w:rsid w:val="22DE6B74"/>
    <w:rsid w:val="22DF2874"/>
    <w:rsid w:val="22DF48EB"/>
    <w:rsid w:val="22DF4FCB"/>
    <w:rsid w:val="22E04EA6"/>
    <w:rsid w:val="22E06CA1"/>
    <w:rsid w:val="22E06F9D"/>
    <w:rsid w:val="22E417D9"/>
    <w:rsid w:val="22E5250A"/>
    <w:rsid w:val="22E54545"/>
    <w:rsid w:val="22E753E8"/>
    <w:rsid w:val="22E75D67"/>
    <w:rsid w:val="22EC370E"/>
    <w:rsid w:val="22EC47DA"/>
    <w:rsid w:val="22EC77A0"/>
    <w:rsid w:val="22F2130F"/>
    <w:rsid w:val="22F34C27"/>
    <w:rsid w:val="22F52430"/>
    <w:rsid w:val="22F62969"/>
    <w:rsid w:val="22F759C7"/>
    <w:rsid w:val="23007343"/>
    <w:rsid w:val="23007E70"/>
    <w:rsid w:val="23023B05"/>
    <w:rsid w:val="23036E66"/>
    <w:rsid w:val="23062E84"/>
    <w:rsid w:val="230727E6"/>
    <w:rsid w:val="230C4BEE"/>
    <w:rsid w:val="230C73BA"/>
    <w:rsid w:val="230E7243"/>
    <w:rsid w:val="2312270F"/>
    <w:rsid w:val="23137077"/>
    <w:rsid w:val="231518D0"/>
    <w:rsid w:val="23155396"/>
    <w:rsid w:val="231B3426"/>
    <w:rsid w:val="231B4A22"/>
    <w:rsid w:val="231F1EFE"/>
    <w:rsid w:val="2321692B"/>
    <w:rsid w:val="23231740"/>
    <w:rsid w:val="23255C59"/>
    <w:rsid w:val="23257084"/>
    <w:rsid w:val="23262B22"/>
    <w:rsid w:val="23296EA3"/>
    <w:rsid w:val="232A0AB3"/>
    <w:rsid w:val="232A66A0"/>
    <w:rsid w:val="232A704C"/>
    <w:rsid w:val="232E66E7"/>
    <w:rsid w:val="232E7BA6"/>
    <w:rsid w:val="232F3539"/>
    <w:rsid w:val="23304E16"/>
    <w:rsid w:val="233232D9"/>
    <w:rsid w:val="233B1496"/>
    <w:rsid w:val="23403B01"/>
    <w:rsid w:val="23445482"/>
    <w:rsid w:val="23461778"/>
    <w:rsid w:val="2347257A"/>
    <w:rsid w:val="234B2DF4"/>
    <w:rsid w:val="23531B69"/>
    <w:rsid w:val="23544A14"/>
    <w:rsid w:val="2355768F"/>
    <w:rsid w:val="235633E8"/>
    <w:rsid w:val="23566201"/>
    <w:rsid w:val="23575213"/>
    <w:rsid w:val="235A2EF8"/>
    <w:rsid w:val="235A4332"/>
    <w:rsid w:val="235B4D91"/>
    <w:rsid w:val="235D3079"/>
    <w:rsid w:val="235D6307"/>
    <w:rsid w:val="236349A6"/>
    <w:rsid w:val="23637C6E"/>
    <w:rsid w:val="2364702A"/>
    <w:rsid w:val="23671885"/>
    <w:rsid w:val="236A01BA"/>
    <w:rsid w:val="236C258D"/>
    <w:rsid w:val="236E0751"/>
    <w:rsid w:val="23701545"/>
    <w:rsid w:val="23721EFF"/>
    <w:rsid w:val="237333D1"/>
    <w:rsid w:val="237E25F9"/>
    <w:rsid w:val="23846CCE"/>
    <w:rsid w:val="2387314F"/>
    <w:rsid w:val="238B48E2"/>
    <w:rsid w:val="238E1173"/>
    <w:rsid w:val="239058B1"/>
    <w:rsid w:val="23940243"/>
    <w:rsid w:val="23974406"/>
    <w:rsid w:val="239B7E0C"/>
    <w:rsid w:val="239E5971"/>
    <w:rsid w:val="23A13A78"/>
    <w:rsid w:val="23A25897"/>
    <w:rsid w:val="23A338CC"/>
    <w:rsid w:val="23A41382"/>
    <w:rsid w:val="23A673A1"/>
    <w:rsid w:val="23AA2015"/>
    <w:rsid w:val="23AB41E0"/>
    <w:rsid w:val="23AE04D8"/>
    <w:rsid w:val="23AF2995"/>
    <w:rsid w:val="23BA2046"/>
    <w:rsid w:val="23BC14BC"/>
    <w:rsid w:val="23BC1F32"/>
    <w:rsid w:val="23BD0463"/>
    <w:rsid w:val="23BF5806"/>
    <w:rsid w:val="23BF6052"/>
    <w:rsid w:val="23C44815"/>
    <w:rsid w:val="23C44FB3"/>
    <w:rsid w:val="23C65741"/>
    <w:rsid w:val="23CC006D"/>
    <w:rsid w:val="23CE48C5"/>
    <w:rsid w:val="23CF4876"/>
    <w:rsid w:val="23D27B4F"/>
    <w:rsid w:val="23D43CB0"/>
    <w:rsid w:val="23D63784"/>
    <w:rsid w:val="23DD1433"/>
    <w:rsid w:val="23DE58D7"/>
    <w:rsid w:val="23E03035"/>
    <w:rsid w:val="23E33F1F"/>
    <w:rsid w:val="23E80F9D"/>
    <w:rsid w:val="23E97DD8"/>
    <w:rsid w:val="23ED5B1A"/>
    <w:rsid w:val="23EE2D6D"/>
    <w:rsid w:val="23EF4E37"/>
    <w:rsid w:val="23F665D1"/>
    <w:rsid w:val="23F8731C"/>
    <w:rsid w:val="23FA6DCE"/>
    <w:rsid w:val="23FC5135"/>
    <w:rsid w:val="23FE23D5"/>
    <w:rsid w:val="23FF584D"/>
    <w:rsid w:val="23FF75FB"/>
    <w:rsid w:val="24003A9F"/>
    <w:rsid w:val="24014989"/>
    <w:rsid w:val="240567A3"/>
    <w:rsid w:val="240712BD"/>
    <w:rsid w:val="24082954"/>
    <w:rsid w:val="240A0745"/>
    <w:rsid w:val="240B377E"/>
    <w:rsid w:val="240F6DE3"/>
    <w:rsid w:val="2418246B"/>
    <w:rsid w:val="241906BD"/>
    <w:rsid w:val="24191BAC"/>
    <w:rsid w:val="24207C9D"/>
    <w:rsid w:val="242605BF"/>
    <w:rsid w:val="24260868"/>
    <w:rsid w:val="242D1FB6"/>
    <w:rsid w:val="243130C2"/>
    <w:rsid w:val="24316771"/>
    <w:rsid w:val="2432122E"/>
    <w:rsid w:val="24341354"/>
    <w:rsid w:val="24357A9A"/>
    <w:rsid w:val="243A24EA"/>
    <w:rsid w:val="243C08FE"/>
    <w:rsid w:val="243C5C81"/>
    <w:rsid w:val="24403FA5"/>
    <w:rsid w:val="244201DE"/>
    <w:rsid w:val="24424BB7"/>
    <w:rsid w:val="24435A75"/>
    <w:rsid w:val="24452B0D"/>
    <w:rsid w:val="244616B0"/>
    <w:rsid w:val="244A6810"/>
    <w:rsid w:val="244C24FA"/>
    <w:rsid w:val="244E61C3"/>
    <w:rsid w:val="2451306F"/>
    <w:rsid w:val="24564B5F"/>
    <w:rsid w:val="24591C56"/>
    <w:rsid w:val="245949D9"/>
    <w:rsid w:val="24597EC1"/>
    <w:rsid w:val="245C4A4D"/>
    <w:rsid w:val="245D6C90"/>
    <w:rsid w:val="245F1806"/>
    <w:rsid w:val="246833F2"/>
    <w:rsid w:val="246A0918"/>
    <w:rsid w:val="246A7BB7"/>
    <w:rsid w:val="24702233"/>
    <w:rsid w:val="2471674B"/>
    <w:rsid w:val="24724271"/>
    <w:rsid w:val="24822706"/>
    <w:rsid w:val="248336B8"/>
    <w:rsid w:val="24871919"/>
    <w:rsid w:val="24873E0E"/>
    <w:rsid w:val="24891FF9"/>
    <w:rsid w:val="248A6B40"/>
    <w:rsid w:val="248F097F"/>
    <w:rsid w:val="248F35BD"/>
    <w:rsid w:val="2493543B"/>
    <w:rsid w:val="24970EB9"/>
    <w:rsid w:val="24975A86"/>
    <w:rsid w:val="249A3799"/>
    <w:rsid w:val="249B0A45"/>
    <w:rsid w:val="249D12EE"/>
    <w:rsid w:val="249E778E"/>
    <w:rsid w:val="249F1DA8"/>
    <w:rsid w:val="24A23B50"/>
    <w:rsid w:val="24A452CF"/>
    <w:rsid w:val="24A550D6"/>
    <w:rsid w:val="24A81A41"/>
    <w:rsid w:val="24AE331C"/>
    <w:rsid w:val="24AE5E71"/>
    <w:rsid w:val="24B44D1C"/>
    <w:rsid w:val="24B7268F"/>
    <w:rsid w:val="24B73489"/>
    <w:rsid w:val="24BB4B30"/>
    <w:rsid w:val="24BC12B2"/>
    <w:rsid w:val="24BC4AAF"/>
    <w:rsid w:val="24BF0DFB"/>
    <w:rsid w:val="24C149F1"/>
    <w:rsid w:val="24C31462"/>
    <w:rsid w:val="24C3687B"/>
    <w:rsid w:val="24C525F3"/>
    <w:rsid w:val="24C5387B"/>
    <w:rsid w:val="24C7636B"/>
    <w:rsid w:val="24CE51E5"/>
    <w:rsid w:val="24D02E70"/>
    <w:rsid w:val="24D26ABE"/>
    <w:rsid w:val="24DA0379"/>
    <w:rsid w:val="24DA2126"/>
    <w:rsid w:val="24DD5930"/>
    <w:rsid w:val="24DE1906"/>
    <w:rsid w:val="24DE6178"/>
    <w:rsid w:val="24DF6A5C"/>
    <w:rsid w:val="24E25475"/>
    <w:rsid w:val="24E35B5E"/>
    <w:rsid w:val="24E57A23"/>
    <w:rsid w:val="24E707BB"/>
    <w:rsid w:val="24E75C74"/>
    <w:rsid w:val="24E940BD"/>
    <w:rsid w:val="24EC44F2"/>
    <w:rsid w:val="24EC5A70"/>
    <w:rsid w:val="24EF20B0"/>
    <w:rsid w:val="24F024AC"/>
    <w:rsid w:val="24F10465"/>
    <w:rsid w:val="24F2250B"/>
    <w:rsid w:val="24F44A16"/>
    <w:rsid w:val="24F812DE"/>
    <w:rsid w:val="24FC6017"/>
    <w:rsid w:val="24FF3D57"/>
    <w:rsid w:val="25012300"/>
    <w:rsid w:val="25050C41"/>
    <w:rsid w:val="250749B9"/>
    <w:rsid w:val="250A58A6"/>
    <w:rsid w:val="250B0E8A"/>
    <w:rsid w:val="250C47D8"/>
    <w:rsid w:val="250C7D8E"/>
    <w:rsid w:val="250D6B8E"/>
    <w:rsid w:val="2510370D"/>
    <w:rsid w:val="25111514"/>
    <w:rsid w:val="2511300B"/>
    <w:rsid w:val="251213F3"/>
    <w:rsid w:val="251568FE"/>
    <w:rsid w:val="25176A64"/>
    <w:rsid w:val="25186BC6"/>
    <w:rsid w:val="251874A9"/>
    <w:rsid w:val="25195420"/>
    <w:rsid w:val="251A61EE"/>
    <w:rsid w:val="251D6507"/>
    <w:rsid w:val="251F58E7"/>
    <w:rsid w:val="251F7217"/>
    <w:rsid w:val="25205A7B"/>
    <w:rsid w:val="2521373D"/>
    <w:rsid w:val="252235B9"/>
    <w:rsid w:val="252512E3"/>
    <w:rsid w:val="25255B52"/>
    <w:rsid w:val="25273FA6"/>
    <w:rsid w:val="25275B62"/>
    <w:rsid w:val="252855A9"/>
    <w:rsid w:val="252A2082"/>
    <w:rsid w:val="252D66C4"/>
    <w:rsid w:val="252E1F46"/>
    <w:rsid w:val="25307648"/>
    <w:rsid w:val="25345717"/>
    <w:rsid w:val="253A5D6A"/>
    <w:rsid w:val="253B3938"/>
    <w:rsid w:val="253E6EE8"/>
    <w:rsid w:val="253F5542"/>
    <w:rsid w:val="25440C67"/>
    <w:rsid w:val="25450D64"/>
    <w:rsid w:val="254864B8"/>
    <w:rsid w:val="254B5200"/>
    <w:rsid w:val="254B750F"/>
    <w:rsid w:val="254E6CF6"/>
    <w:rsid w:val="25501377"/>
    <w:rsid w:val="25545ECB"/>
    <w:rsid w:val="2555743C"/>
    <w:rsid w:val="255612F9"/>
    <w:rsid w:val="255645D6"/>
    <w:rsid w:val="25577D2D"/>
    <w:rsid w:val="255B0E4A"/>
    <w:rsid w:val="255B3A55"/>
    <w:rsid w:val="255F5F06"/>
    <w:rsid w:val="256030FE"/>
    <w:rsid w:val="25626AB1"/>
    <w:rsid w:val="2564524E"/>
    <w:rsid w:val="25675BF4"/>
    <w:rsid w:val="25684F6F"/>
    <w:rsid w:val="25695674"/>
    <w:rsid w:val="2569607E"/>
    <w:rsid w:val="256E2FC7"/>
    <w:rsid w:val="2570167D"/>
    <w:rsid w:val="25747514"/>
    <w:rsid w:val="25777114"/>
    <w:rsid w:val="257D2D6C"/>
    <w:rsid w:val="257D4229"/>
    <w:rsid w:val="257D6213"/>
    <w:rsid w:val="257E35F2"/>
    <w:rsid w:val="258028E7"/>
    <w:rsid w:val="25836DF8"/>
    <w:rsid w:val="25867FD4"/>
    <w:rsid w:val="25891872"/>
    <w:rsid w:val="258B64D5"/>
    <w:rsid w:val="258F5D6D"/>
    <w:rsid w:val="259124D5"/>
    <w:rsid w:val="25973D3D"/>
    <w:rsid w:val="25985DC5"/>
    <w:rsid w:val="259A6750"/>
    <w:rsid w:val="259B7D8E"/>
    <w:rsid w:val="259C49A4"/>
    <w:rsid w:val="259D2EFF"/>
    <w:rsid w:val="259E3CA4"/>
    <w:rsid w:val="259E3D50"/>
    <w:rsid w:val="259E6D5D"/>
    <w:rsid w:val="25A16A9A"/>
    <w:rsid w:val="25A25AC5"/>
    <w:rsid w:val="25A501B3"/>
    <w:rsid w:val="25AB1F4C"/>
    <w:rsid w:val="25AE548C"/>
    <w:rsid w:val="25AF3943"/>
    <w:rsid w:val="25BA0CE6"/>
    <w:rsid w:val="25BA69D0"/>
    <w:rsid w:val="25C22574"/>
    <w:rsid w:val="25C32DEA"/>
    <w:rsid w:val="25C40AFC"/>
    <w:rsid w:val="25C425D5"/>
    <w:rsid w:val="25C432AB"/>
    <w:rsid w:val="25C51B79"/>
    <w:rsid w:val="25C61FDD"/>
    <w:rsid w:val="25C86071"/>
    <w:rsid w:val="25CA0807"/>
    <w:rsid w:val="25D01C7E"/>
    <w:rsid w:val="25D07B0D"/>
    <w:rsid w:val="25D30CB7"/>
    <w:rsid w:val="25D550D5"/>
    <w:rsid w:val="25D92115"/>
    <w:rsid w:val="25D945F2"/>
    <w:rsid w:val="25DB3C35"/>
    <w:rsid w:val="25DC327A"/>
    <w:rsid w:val="25DD71A2"/>
    <w:rsid w:val="25E115C5"/>
    <w:rsid w:val="25EB5F88"/>
    <w:rsid w:val="25F0369F"/>
    <w:rsid w:val="25F04DA1"/>
    <w:rsid w:val="25F24B85"/>
    <w:rsid w:val="25F50E16"/>
    <w:rsid w:val="25F712C5"/>
    <w:rsid w:val="25F7180F"/>
    <w:rsid w:val="260027FA"/>
    <w:rsid w:val="260171AB"/>
    <w:rsid w:val="2603690C"/>
    <w:rsid w:val="26062EC3"/>
    <w:rsid w:val="26085CCE"/>
    <w:rsid w:val="2609650F"/>
    <w:rsid w:val="260B04D9"/>
    <w:rsid w:val="260C0705"/>
    <w:rsid w:val="260C1BC9"/>
    <w:rsid w:val="260C6BAE"/>
    <w:rsid w:val="26111B2B"/>
    <w:rsid w:val="2611309B"/>
    <w:rsid w:val="2615607C"/>
    <w:rsid w:val="261768D5"/>
    <w:rsid w:val="26192BC5"/>
    <w:rsid w:val="261965D2"/>
    <w:rsid w:val="261973F8"/>
    <w:rsid w:val="261A3D91"/>
    <w:rsid w:val="261A4062"/>
    <w:rsid w:val="261B1DA5"/>
    <w:rsid w:val="261D1200"/>
    <w:rsid w:val="26207761"/>
    <w:rsid w:val="26262ACB"/>
    <w:rsid w:val="26292C6F"/>
    <w:rsid w:val="26301CEE"/>
    <w:rsid w:val="26323CB8"/>
    <w:rsid w:val="263472B0"/>
    <w:rsid w:val="26382E7A"/>
    <w:rsid w:val="263A2B6C"/>
    <w:rsid w:val="263C1E46"/>
    <w:rsid w:val="263D5A8F"/>
    <w:rsid w:val="263D5F72"/>
    <w:rsid w:val="263F16B0"/>
    <w:rsid w:val="26410236"/>
    <w:rsid w:val="26425A45"/>
    <w:rsid w:val="264627A8"/>
    <w:rsid w:val="264A25D0"/>
    <w:rsid w:val="264C636A"/>
    <w:rsid w:val="264E443C"/>
    <w:rsid w:val="264F7292"/>
    <w:rsid w:val="2650413E"/>
    <w:rsid w:val="26505429"/>
    <w:rsid w:val="265167AB"/>
    <w:rsid w:val="26521DEA"/>
    <w:rsid w:val="2652435A"/>
    <w:rsid w:val="26527EB6"/>
    <w:rsid w:val="26551BE3"/>
    <w:rsid w:val="26554716"/>
    <w:rsid w:val="265561EE"/>
    <w:rsid w:val="265B4C4C"/>
    <w:rsid w:val="265C2277"/>
    <w:rsid w:val="265D302C"/>
    <w:rsid w:val="265E2CFF"/>
    <w:rsid w:val="265E4AAD"/>
    <w:rsid w:val="26605FFB"/>
    <w:rsid w:val="266329C3"/>
    <w:rsid w:val="26641F84"/>
    <w:rsid w:val="2665408D"/>
    <w:rsid w:val="26657A78"/>
    <w:rsid w:val="2668018F"/>
    <w:rsid w:val="26684BBB"/>
    <w:rsid w:val="266876DA"/>
    <w:rsid w:val="266958E1"/>
    <w:rsid w:val="266B1C57"/>
    <w:rsid w:val="266C303E"/>
    <w:rsid w:val="266E38D2"/>
    <w:rsid w:val="266F20C5"/>
    <w:rsid w:val="26703528"/>
    <w:rsid w:val="267036F1"/>
    <w:rsid w:val="26785FC6"/>
    <w:rsid w:val="2679147C"/>
    <w:rsid w:val="267C59DE"/>
    <w:rsid w:val="267F5D1A"/>
    <w:rsid w:val="268162BD"/>
    <w:rsid w:val="26826D43"/>
    <w:rsid w:val="2683004A"/>
    <w:rsid w:val="2685097B"/>
    <w:rsid w:val="26865DB2"/>
    <w:rsid w:val="268753A9"/>
    <w:rsid w:val="26881AC0"/>
    <w:rsid w:val="268918C3"/>
    <w:rsid w:val="268A0303"/>
    <w:rsid w:val="268B1FBB"/>
    <w:rsid w:val="268C54AA"/>
    <w:rsid w:val="268D42F7"/>
    <w:rsid w:val="269074A6"/>
    <w:rsid w:val="26921D05"/>
    <w:rsid w:val="26964247"/>
    <w:rsid w:val="269C3827"/>
    <w:rsid w:val="26A050C5"/>
    <w:rsid w:val="26A2263D"/>
    <w:rsid w:val="26A31DA5"/>
    <w:rsid w:val="26A34723"/>
    <w:rsid w:val="26A673A7"/>
    <w:rsid w:val="26A81B4E"/>
    <w:rsid w:val="26A83F7A"/>
    <w:rsid w:val="26A93DBD"/>
    <w:rsid w:val="26A96CF8"/>
    <w:rsid w:val="26AD2D58"/>
    <w:rsid w:val="26AF70B6"/>
    <w:rsid w:val="26B01D01"/>
    <w:rsid w:val="26B24DF9"/>
    <w:rsid w:val="26B268AD"/>
    <w:rsid w:val="26B537F7"/>
    <w:rsid w:val="26B83AD1"/>
    <w:rsid w:val="26BA2A03"/>
    <w:rsid w:val="26BB3CAD"/>
    <w:rsid w:val="26BB59F0"/>
    <w:rsid w:val="26BF6963"/>
    <w:rsid w:val="26C032E4"/>
    <w:rsid w:val="26C857C0"/>
    <w:rsid w:val="26CF7759"/>
    <w:rsid w:val="26D01432"/>
    <w:rsid w:val="26D34AC6"/>
    <w:rsid w:val="26D367BA"/>
    <w:rsid w:val="26D43511"/>
    <w:rsid w:val="26D542B4"/>
    <w:rsid w:val="26DB0388"/>
    <w:rsid w:val="26DB4E49"/>
    <w:rsid w:val="26DC54DA"/>
    <w:rsid w:val="26E1123A"/>
    <w:rsid w:val="26E23174"/>
    <w:rsid w:val="26E458E4"/>
    <w:rsid w:val="26E56AB4"/>
    <w:rsid w:val="26E67C3F"/>
    <w:rsid w:val="26EA27E4"/>
    <w:rsid w:val="26EF1C2D"/>
    <w:rsid w:val="26F5784F"/>
    <w:rsid w:val="26F64CE5"/>
    <w:rsid w:val="26F70488"/>
    <w:rsid w:val="26F76CD7"/>
    <w:rsid w:val="26FB67A0"/>
    <w:rsid w:val="270424BD"/>
    <w:rsid w:val="27051181"/>
    <w:rsid w:val="27074ADD"/>
    <w:rsid w:val="27086AFF"/>
    <w:rsid w:val="27092CBA"/>
    <w:rsid w:val="270946C7"/>
    <w:rsid w:val="270B4386"/>
    <w:rsid w:val="270B6785"/>
    <w:rsid w:val="270F224B"/>
    <w:rsid w:val="27120756"/>
    <w:rsid w:val="2714406E"/>
    <w:rsid w:val="27145C05"/>
    <w:rsid w:val="2715500B"/>
    <w:rsid w:val="27177B58"/>
    <w:rsid w:val="271879BD"/>
    <w:rsid w:val="271C09CA"/>
    <w:rsid w:val="271C2662"/>
    <w:rsid w:val="271E423C"/>
    <w:rsid w:val="27202195"/>
    <w:rsid w:val="27223D2C"/>
    <w:rsid w:val="27253A77"/>
    <w:rsid w:val="27257320"/>
    <w:rsid w:val="27265523"/>
    <w:rsid w:val="272A7B5E"/>
    <w:rsid w:val="272B79BF"/>
    <w:rsid w:val="272C09B3"/>
    <w:rsid w:val="272E26D1"/>
    <w:rsid w:val="27324B05"/>
    <w:rsid w:val="27327DEE"/>
    <w:rsid w:val="273432C3"/>
    <w:rsid w:val="273715BB"/>
    <w:rsid w:val="273754CA"/>
    <w:rsid w:val="27391BED"/>
    <w:rsid w:val="273C17A5"/>
    <w:rsid w:val="273C2B8C"/>
    <w:rsid w:val="27400656"/>
    <w:rsid w:val="274243CE"/>
    <w:rsid w:val="27457308"/>
    <w:rsid w:val="27457CE6"/>
    <w:rsid w:val="274A0BC1"/>
    <w:rsid w:val="274B107D"/>
    <w:rsid w:val="274D7754"/>
    <w:rsid w:val="27527201"/>
    <w:rsid w:val="27531FA3"/>
    <w:rsid w:val="27556697"/>
    <w:rsid w:val="27557FF2"/>
    <w:rsid w:val="27576187"/>
    <w:rsid w:val="275D3B45"/>
    <w:rsid w:val="275D6B12"/>
    <w:rsid w:val="275F20BD"/>
    <w:rsid w:val="27610546"/>
    <w:rsid w:val="27675BFD"/>
    <w:rsid w:val="276B20F9"/>
    <w:rsid w:val="276F01DF"/>
    <w:rsid w:val="27720A00"/>
    <w:rsid w:val="27741A6F"/>
    <w:rsid w:val="2774342E"/>
    <w:rsid w:val="277552FA"/>
    <w:rsid w:val="27762A6A"/>
    <w:rsid w:val="27765E26"/>
    <w:rsid w:val="277827FC"/>
    <w:rsid w:val="277E1619"/>
    <w:rsid w:val="277F117F"/>
    <w:rsid w:val="278038A5"/>
    <w:rsid w:val="2782182C"/>
    <w:rsid w:val="27871DE1"/>
    <w:rsid w:val="2788187A"/>
    <w:rsid w:val="278B7923"/>
    <w:rsid w:val="278E3170"/>
    <w:rsid w:val="27920BF3"/>
    <w:rsid w:val="27951737"/>
    <w:rsid w:val="2795508D"/>
    <w:rsid w:val="27962D71"/>
    <w:rsid w:val="27981819"/>
    <w:rsid w:val="279965DE"/>
    <w:rsid w:val="279A3400"/>
    <w:rsid w:val="279B3ADF"/>
    <w:rsid w:val="279C29FA"/>
    <w:rsid w:val="279C3F58"/>
    <w:rsid w:val="279D4976"/>
    <w:rsid w:val="27A0235E"/>
    <w:rsid w:val="27A14466"/>
    <w:rsid w:val="27A32D39"/>
    <w:rsid w:val="27A40BE5"/>
    <w:rsid w:val="27A47742"/>
    <w:rsid w:val="27A8017B"/>
    <w:rsid w:val="27AC5CEC"/>
    <w:rsid w:val="27B04DAB"/>
    <w:rsid w:val="27B10E77"/>
    <w:rsid w:val="27B312EA"/>
    <w:rsid w:val="27BC5F2F"/>
    <w:rsid w:val="27BF3329"/>
    <w:rsid w:val="27C13896"/>
    <w:rsid w:val="27CC4352"/>
    <w:rsid w:val="27CD3A4E"/>
    <w:rsid w:val="27D030DF"/>
    <w:rsid w:val="27D229DD"/>
    <w:rsid w:val="27D33539"/>
    <w:rsid w:val="27D475F6"/>
    <w:rsid w:val="27DC1439"/>
    <w:rsid w:val="27DD5EA5"/>
    <w:rsid w:val="27E172DB"/>
    <w:rsid w:val="27E24973"/>
    <w:rsid w:val="27E431B3"/>
    <w:rsid w:val="27E61398"/>
    <w:rsid w:val="27E86D24"/>
    <w:rsid w:val="27E930E8"/>
    <w:rsid w:val="27EA1826"/>
    <w:rsid w:val="27EA18BA"/>
    <w:rsid w:val="27EC0C1C"/>
    <w:rsid w:val="27F06FC2"/>
    <w:rsid w:val="27F31225"/>
    <w:rsid w:val="27F356C9"/>
    <w:rsid w:val="27F60BCC"/>
    <w:rsid w:val="27F76781"/>
    <w:rsid w:val="27F93DF0"/>
    <w:rsid w:val="27FA33B3"/>
    <w:rsid w:val="27FA406D"/>
    <w:rsid w:val="27FB71F4"/>
    <w:rsid w:val="27FC4264"/>
    <w:rsid w:val="27FC583D"/>
    <w:rsid w:val="27FD3378"/>
    <w:rsid w:val="28003E99"/>
    <w:rsid w:val="28007EDF"/>
    <w:rsid w:val="2801318C"/>
    <w:rsid w:val="28020864"/>
    <w:rsid w:val="28042914"/>
    <w:rsid w:val="280830DD"/>
    <w:rsid w:val="280C355A"/>
    <w:rsid w:val="280E5B93"/>
    <w:rsid w:val="28100029"/>
    <w:rsid w:val="28113CA1"/>
    <w:rsid w:val="28143DCE"/>
    <w:rsid w:val="2814474E"/>
    <w:rsid w:val="28157B9B"/>
    <w:rsid w:val="28181DFB"/>
    <w:rsid w:val="28193EEF"/>
    <w:rsid w:val="281B5982"/>
    <w:rsid w:val="281C5263"/>
    <w:rsid w:val="281C6EFA"/>
    <w:rsid w:val="28212CAA"/>
    <w:rsid w:val="28217D52"/>
    <w:rsid w:val="28237C75"/>
    <w:rsid w:val="28252FC9"/>
    <w:rsid w:val="28264DBC"/>
    <w:rsid w:val="2826784C"/>
    <w:rsid w:val="28276146"/>
    <w:rsid w:val="28281240"/>
    <w:rsid w:val="2829433D"/>
    <w:rsid w:val="282D2EAA"/>
    <w:rsid w:val="282D4C5B"/>
    <w:rsid w:val="283033C9"/>
    <w:rsid w:val="28334AE0"/>
    <w:rsid w:val="283B0F9B"/>
    <w:rsid w:val="28412892"/>
    <w:rsid w:val="284321AC"/>
    <w:rsid w:val="28456EEE"/>
    <w:rsid w:val="28463A4A"/>
    <w:rsid w:val="28466CC3"/>
    <w:rsid w:val="284866D5"/>
    <w:rsid w:val="284A157D"/>
    <w:rsid w:val="284B2E0F"/>
    <w:rsid w:val="284B72B3"/>
    <w:rsid w:val="284C26C7"/>
    <w:rsid w:val="284E0E06"/>
    <w:rsid w:val="28505519"/>
    <w:rsid w:val="28516BFB"/>
    <w:rsid w:val="285617B1"/>
    <w:rsid w:val="28565CB0"/>
    <w:rsid w:val="28596ACC"/>
    <w:rsid w:val="285D2B42"/>
    <w:rsid w:val="285E6FE6"/>
    <w:rsid w:val="28615DEC"/>
    <w:rsid w:val="286272C1"/>
    <w:rsid w:val="28691660"/>
    <w:rsid w:val="28693AB4"/>
    <w:rsid w:val="2869466F"/>
    <w:rsid w:val="286B525F"/>
    <w:rsid w:val="286D6653"/>
    <w:rsid w:val="28701A4C"/>
    <w:rsid w:val="287336B8"/>
    <w:rsid w:val="287700A8"/>
    <w:rsid w:val="28795B14"/>
    <w:rsid w:val="2879797C"/>
    <w:rsid w:val="287B3596"/>
    <w:rsid w:val="28801A1C"/>
    <w:rsid w:val="28806F6C"/>
    <w:rsid w:val="28814F20"/>
    <w:rsid w:val="288223CA"/>
    <w:rsid w:val="288248E5"/>
    <w:rsid w:val="28831186"/>
    <w:rsid w:val="2886653D"/>
    <w:rsid w:val="288B5901"/>
    <w:rsid w:val="28932352"/>
    <w:rsid w:val="2893792B"/>
    <w:rsid w:val="289B3D96"/>
    <w:rsid w:val="289B46FE"/>
    <w:rsid w:val="28A00E9D"/>
    <w:rsid w:val="28A22908"/>
    <w:rsid w:val="28A236DD"/>
    <w:rsid w:val="28A246F2"/>
    <w:rsid w:val="28A606A1"/>
    <w:rsid w:val="28A747DA"/>
    <w:rsid w:val="28A864B3"/>
    <w:rsid w:val="28B07E64"/>
    <w:rsid w:val="28B174B0"/>
    <w:rsid w:val="28B3342D"/>
    <w:rsid w:val="28B731C1"/>
    <w:rsid w:val="28B93CA4"/>
    <w:rsid w:val="28B942E4"/>
    <w:rsid w:val="28BA45D3"/>
    <w:rsid w:val="28BC3D0D"/>
    <w:rsid w:val="28BE40D2"/>
    <w:rsid w:val="28C12668"/>
    <w:rsid w:val="28C1287C"/>
    <w:rsid w:val="28C73AD3"/>
    <w:rsid w:val="28C7463C"/>
    <w:rsid w:val="28C7710B"/>
    <w:rsid w:val="28CC786B"/>
    <w:rsid w:val="28CD0EEF"/>
    <w:rsid w:val="28CD7000"/>
    <w:rsid w:val="28CE0C7F"/>
    <w:rsid w:val="28D01566"/>
    <w:rsid w:val="28D20F89"/>
    <w:rsid w:val="28D24C7D"/>
    <w:rsid w:val="28D252DE"/>
    <w:rsid w:val="28D510D6"/>
    <w:rsid w:val="28D82151"/>
    <w:rsid w:val="28D84A6E"/>
    <w:rsid w:val="28D90563"/>
    <w:rsid w:val="28DC798B"/>
    <w:rsid w:val="28DE1BEB"/>
    <w:rsid w:val="28E07756"/>
    <w:rsid w:val="28E26517"/>
    <w:rsid w:val="28E84B02"/>
    <w:rsid w:val="28EB29C2"/>
    <w:rsid w:val="28EF47C3"/>
    <w:rsid w:val="28F15BC1"/>
    <w:rsid w:val="28F235A8"/>
    <w:rsid w:val="28FD165D"/>
    <w:rsid w:val="29016925"/>
    <w:rsid w:val="2902139A"/>
    <w:rsid w:val="29057462"/>
    <w:rsid w:val="29072B7B"/>
    <w:rsid w:val="290817D7"/>
    <w:rsid w:val="29092BB0"/>
    <w:rsid w:val="290A0F1C"/>
    <w:rsid w:val="290A24FA"/>
    <w:rsid w:val="290C63C8"/>
    <w:rsid w:val="290E1C11"/>
    <w:rsid w:val="2916400A"/>
    <w:rsid w:val="291833B1"/>
    <w:rsid w:val="29193817"/>
    <w:rsid w:val="291B37FE"/>
    <w:rsid w:val="291C6606"/>
    <w:rsid w:val="291F125C"/>
    <w:rsid w:val="29231FDE"/>
    <w:rsid w:val="292567A3"/>
    <w:rsid w:val="29257B04"/>
    <w:rsid w:val="29260FCF"/>
    <w:rsid w:val="2927139B"/>
    <w:rsid w:val="29290A3E"/>
    <w:rsid w:val="292B0441"/>
    <w:rsid w:val="292E4C0A"/>
    <w:rsid w:val="29301186"/>
    <w:rsid w:val="2935652B"/>
    <w:rsid w:val="293641E5"/>
    <w:rsid w:val="2936586D"/>
    <w:rsid w:val="29371CFA"/>
    <w:rsid w:val="293863CA"/>
    <w:rsid w:val="293A674B"/>
    <w:rsid w:val="293C3C55"/>
    <w:rsid w:val="293C40C5"/>
    <w:rsid w:val="293F67E2"/>
    <w:rsid w:val="294423CE"/>
    <w:rsid w:val="294B522A"/>
    <w:rsid w:val="294D1FF0"/>
    <w:rsid w:val="294F692F"/>
    <w:rsid w:val="295403E9"/>
    <w:rsid w:val="295977AD"/>
    <w:rsid w:val="29600B3C"/>
    <w:rsid w:val="29616EE5"/>
    <w:rsid w:val="29617949"/>
    <w:rsid w:val="29630DE1"/>
    <w:rsid w:val="29741E6F"/>
    <w:rsid w:val="2975161B"/>
    <w:rsid w:val="297B4554"/>
    <w:rsid w:val="297E2D89"/>
    <w:rsid w:val="297E6092"/>
    <w:rsid w:val="29815870"/>
    <w:rsid w:val="298252D6"/>
    <w:rsid w:val="29827170"/>
    <w:rsid w:val="29827AF3"/>
    <w:rsid w:val="29846F05"/>
    <w:rsid w:val="29866E77"/>
    <w:rsid w:val="298A03C7"/>
    <w:rsid w:val="298C4FDE"/>
    <w:rsid w:val="298E2223"/>
    <w:rsid w:val="298E5928"/>
    <w:rsid w:val="298F39F4"/>
    <w:rsid w:val="29901C36"/>
    <w:rsid w:val="2992527F"/>
    <w:rsid w:val="29930F11"/>
    <w:rsid w:val="29937085"/>
    <w:rsid w:val="299370B1"/>
    <w:rsid w:val="29943481"/>
    <w:rsid w:val="29974FDC"/>
    <w:rsid w:val="29977BD0"/>
    <w:rsid w:val="29992C4D"/>
    <w:rsid w:val="299A5C74"/>
    <w:rsid w:val="299B0C39"/>
    <w:rsid w:val="299B2C5B"/>
    <w:rsid w:val="299D65DA"/>
    <w:rsid w:val="299D769A"/>
    <w:rsid w:val="299E22EA"/>
    <w:rsid w:val="29A172BF"/>
    <w:rsid w:val="29A22F02"/>
    <w:rsid w:val="29AB4140"/>
    <w:rsid w:val="29AB4524"/>
    <w:rsid w:val="29B03871"/>
    <w:rsid w:val="29B36470"/>
    <w:rsid w:val="29B6120E"/>
    <w:rsid w:val="29BB05EE"/>
    <w:rsid w:val="29BB12DF"/>
    <w:rsid w:val="29BC0A6C"/>
    <w:rsid w:val="29BD784F"/>
    <w:rsid w:val="29BE22CF"/>
    <w:rsid w:val="29C0782D"/>
    <w:rsid w:val="29C07A49"/>
    <w:rsid w:val="29C26D69"/>
    <w:rsid w:val="29C31A99"/>
    <w:rsid w:val="29C4731D"/>
    <w:rsid w:val="29C81F87"/>
    <w:rsid w:val="29C9356B"/>
    <w:rsid w:val="29CB14DD"/>
    <w:rsid w:val="29CD0BE6"/>
    <w:rsid w:val="29CF3359"/>
    <w:rsid w:val="29CF390F"/>
    <w:rsid w:val="29D04EE7"/>
    <w:rsid w:val="29D05CC2"/>
    <w:rsid w:val="29D778DF"/>
    <w:rsid w:val="29D92DDC"/>
    <w:rsid w:val="29DA08EE"/>
    <w:rsid w:val="29DB05EB"/>
    <w:rsid w:val="29E4095D"/>
    <w:rsid w:val="29E96D83"/>
    <w:rsid w:val="29EC20B3"/>
    <w:rsid w:val="29ED1ABA"/>
    <w:rsid w:val="29EE7A91"/>
    <w:rsid w:val="29EE7EF6"/>
    <w:rsid w:val="29F169A3"/>
    <w:rsid w:val="29F22840"/>
    <w:rsid w:val="29F24529"/>
    <w:rsid w:val="29F31D30"/>
    <w:rsid w:val="29F47AC1"/>
    <w:rsid w:val="29F47AD8"/>
    <w:rsid w:val="29F911A1"/>
    <w:rsid w:val="29F943FE"/>
    <w:rsid w:val="29FA0F90"/>
    <w:rsid w:val="29FC6F26"/>
    <w:rsid w:val="29FE7992"/>
    <w:rsid w:val="29FF23D6"/>
    <w:rsid w:val="2A0000BA"/>
    <w:rsid w:val="2A031BF8"/>
    <w:rsid w:val="2A077209"/>
    <w:rsid w:val="2A0A2FB7"/>
    <w:rsid w:val="2A0A67CB"/>
    <w:rsid w:val="2A0C72AA"/>
    <w:rsid w:val="2A0E01D3"/>
    <w:rsid w:val="2A10017D"/>
    <w:rsid w:val="2A106CEB"/>
    <w:rsid w:val="2A111E36"/>
    <w:rsid w:val="2A11529A"/>
    <w:rsid w:val="2A127EDC"/>
    <w:rsid w:val="2A1D315E"/>
    <w:rsid w:val="2A1D3313"/>
    <w:rsid w:val="2A1F0D01"/>
    <w:rsid w:val="2A224043"/>
    <w:rsid w:val="2A25677B"/>
    <w:rsid w:val="2A257775"/>
    <w:rsid w:val="2A2B114A"/>
    <w:rsid w:val="2A2F6C47"/>
    <w:rsid w:val="2A334FE6"/>
    <w:rsid w:val="2A396F45"/>
    <w:rsid w:val="2A3C4F67"/>
    <w:rsid w:val="2A3F39B4"/>
    <w:rsid w:val="2A3F4408"/>
    <w:rsid w:val="2A3F76D7"/>
    <w:rsid w:val="2A417165"/>
    <w:rsid w:val="2A4346E5"/>
    <w:rsid w:val="2A467D32"/>
    <w:rsid w:val="2A48451A"/>
    <w:rsid w:val="2A4B4C4B"/>
    <w:rsid w:val="2A4C1DA2"/>
    <w:rsid w:val="2A4E1E0C"/>
    <w:rsid w:val="2A5301BB"/>
    <w:rsid w:val="2A53196C"/>
    <w:rsid w:val="2A5632BA"/>
    <w:rsid w:val="2A5A3DCA"/>
    <w:rsid w:val="2A5A558B"/>
    <w:rsid w:val="2A5C1E01"/>
    <w:rsid w:val="2A5D1CE6"/>
    <w:rsid w:val="2A5E015A"/>
    <w:rsid w:val="2A602374"/>
    <w:rsid w:val="2A64465C"/>
    <w:rsid w:val="2A65451B"/>
    <w:rsid w:val="2A66573A"/>
    <w:rsid w:val="2A6A4A85"/>
    <w:rsid w:val="2A6B27C4"/>
    <w:rsid w:val="2A6C4C05"/>
    <w:rsid w:val="2A701253"/>
    <w:rsid w:val="2A7522B0"/>
    <w:rsid w:val="2A775238"/>
    <w:rsid w:val="2A776ADB"/>
    <w:rsid w:val="2A796685"/>
    <w:rsid w:val="2A7B21DE"/>
    <w:rsid w:val="2A7D7667"/>
    <w:rsid w:val="2A8042F3"/>
    <w:rsid w:val="2A8249EA"/>
    <w:rsid w:val="2A846D98"/>
    <w:rsid w:val="2A8675BA"/>
    <w:rsid w:val="2A88031D"/>
    <w:rsid w:val="2A8915FC"/>
    <w:rsid w:val="2A8A3B98"/>
    <w:rsid w:val="2A8A4081"/>
    <w:rsid w:val="2A8A76D4"/>
    <w:rsid w:val="2A8C2373"/>
    <w:rsid w:val="2A8D770F"/>
    <w:rsid w:val="2A903F3E"/>
    <w:rsid w:val="2A911B76"/>
    <w:rsid w:val="2A993CEC"/>
    <w:rsid w:val="2A9B0E68"/>
    <w:rsid w:val="2A9C5BA4"/>
    <w:rsid w:val="2A9E7B6E"/>
    <w:rsid w:val="2A9F7442"/>
    <w:rsid w:val="2AA053D3"/>
    <w:rsid w:val="2AA210AA"/>
    <w:rsid w:val="2AA64C74"/>
    <w:rsid w:val="2AA809EC"/>
    <w:rsid w:val="2AAA5685"/>
    <w:rsid w:val="2AAA7BA1"/>
    <w:rsid w:val="2AAB212A"/>
    <w:rsid w:val="2AAD3909"/>
    <w:rsid w:val="2AAD4DE0"/>
    <w:rsid w:val="2AAF0CCC"/>
    <w:rsid w:val="2AB23619"/>
    <w:rsid w:val="2AB37BEB"/>
    <w:rsid w:val="2AB43FE7"/>
    <w:rsid w:val="2AB61CF8"/>
    <w:rsid w:val="2AB638DA"/>
    <w:rsid w:val="2AB7478C"/>
    <w:rsid w:val="2AB815FA"/>
    <w:rsid w:val="2ABC0DA7"/>
    <w:rsid w:val="2AC06748"/>
    <w:rsid w:val="2AC12166"/>
    <w:rsid w:val="2AC17D6C"/>
    <w:rsid w:val="2AC23DD4"/>
    <w:rsid w:val="2AC45B74"/>
    <w:rsid w:val="2AC82E3D"/>
    <w:rsid w:val="2AC83C3E"/>
    <w:rsid w:val="2ACB5CCA"/>
    <w:rsid w:val="2ACC71A4"/>
    <w:rsid w:val="2ACE7C22"/>
    <w:rsid w:val="2ACF443A"/>
    <w:rsid w:val="2ACF55A8"/>
    <w:rsid w:val="2AD00E92"/>
    <w:rsid w:val="2AD27817"/>
    <w:rsid w:val="2AD510B6"/>
    <w:rsid w:val="2AD72BD7"/>
    <w:rsid w:val="2ADA74B8"/>
    <w:rsid w:val="2ADB161A"/>
    <w:rsid w:val="2ADF3CE2"/>
    <w:rsid w:val="2ADF5544"/>
    <w:rsid w:val="2AE1465E"/>
    <w:rsid w:val="2AE412F9"/>
    <w:rsid w:val="2AE52F54"/>
    <w:rsid w:val="2AE6435A"/>
    <w:rsid w:val="2AEA2E66"/>
    <w:rsid w:val="2AEC1795"/>
    <w:rsid w:val="2AED3CDA"/>
    <w:rsid w:val="2AED6FB6"/>
    <w:rsid w:val="2AF03EA0"/>
    <w:rsid w:val="2AF07C9E"/>
    <w:rsid w:val="2AF24FBD"/>
    <w:rsid w:val="2AF3120F"/>
    <w:rsid w:val="2AFB4FCE"/>
    <w:rsid w:val="2AFB66EE"/>
    <w:rsid w:val="2AFB7B1F"/>
    <w:rsid w:val="2AFE060C"/>
    <w:rsid w:val="2AFF1E1F"/>
    <w:rsid w:val="2B017743"/>
    <w:rsid w:val="2B02448C"/>
    <w:rsid w:val="2B026E61"/>
    <w:rsid w:val="2B057BED"/>
    <w:rsid w:val="2B0C2F93"/>
    <w:rsid w:val="2B0F3150"/>
    <w:rsid w:val="2B1008E9"/>
    <w:rsid w:val="2B110343"/>
    <w:rsid w:val="2B112E65"/>
    <w:rsid w:val="2B22254D"/>
    <w:rsid w:val="2B2253B5"/>
    <w:rsid w:val="2B22542D"/>
    <w:rsid w:val="2B233BF4"/>
    <w:rsid w:val="2B237879"/>
    <w:rsid w:val="2B2B2C64"/>
    <w:rsid w:val="2B2B4324"/>
    <w:rsid w:val="2B2D1B46"/>
    <w:rsid w:val="2B320534"/>
    <w:rsid w:val="2B322F74"/>
    <w:rsid w:val="2B3240CA"/>
    <w:rsid w:val="2B324CAE"/>
    <w:rsid w:val="2B3260B1"/>
    <w:rsid w:val="2B345E58"/>
    <w:rsid w:val="2B371D32"/>
    <w:rsid w:val="2B383644"/>
    <w:rsid w:val="2B400888"/>
    <w:rsid w:val="2B400C25"/>
    <w:rsid w:val="2B411080"/>
    <w:rsid w:val="2B451FAB"/>
    <w:rsid w:val="2B455813"/>
    <w:rsid w:val="2B4632FB"/>
    <w:rsid w:val="2B496BF1"/>
    <w:rsid w:val="2B4C0426"/>
    <w:rsid w:val="2B4C7FF1"/>
    <w:rsid w:val="2B4F2EB5"/>
    <w:rsid w:val="2B5564E3"/>
    <w:rsid w:val="2B567FC0"/>
    <w:rsid w:val="2B595843"/>
    <w:rsid w:val="2B5D0C4B"/>
    <w:rsid w:val="2B5D5D69"/>
    <w:rsid w:val="2B5E2ABB"/>
    <w:rsid w:val="2B6131BB"/>
    <w:rsid w:val="2B620383"/>
    <w:rsid w:val="2B620444"/>
    <w:rsid w:val="2B66646D"/>
    <w:rsid w:val="2B6922CC"/>
    <w:rsid w:val="2B710417"/>
    <w:rsid w:val="2B7147FB"/>
    <w:rsid w:val="2B731E6F"/>
    <w:rsid w:val="2B733BFA"/>
    <w:rsid w:val="2B756C92"/>
    <w:rsid w:val="2B7743FF"/>
    <w:rsid w:val="2B801885"/>
    <w:rsid w:val="2B810700"/>
    <w:rsid w:val="2B871975"/>
    <w:rsid w:val="2B8E7BD8"/>
    <w:rsid w:val="2B914308"/>
    <w:rsid w:val="2B920E72"/>
    <w:rsid w:val="2B9710A5"/>
    <w:rsid w:val="2B97160E"/>
    <w:rsid w:val="2B986D37"/>
    <w:rsid w:val="2B9A1336"/>
    <w:rsid w:val="2B9E22B8"/>
    <w:rsid w:val="2B9F0D41"/>
    <w:rsid w:val="2B9F3B9D"/>
    <w:rsid w:val="2B9F5C77"/>
    <w:rsid w:val="2BA20BBA"/>
    <w:rsid w:val="2BA94A1C"/>
    <w:rsid w:val="2BAA2911"/>
    <w:rsid w:val="2BB0186A"/>
    <w:rsid w:val="2BB05500"/>
    <w:rsid w:val="2BB21C87"/>
    <w:rsid w:val="2BB37649"/>
    <w:rsid w:val="2BB804D8"/>
    <w:rsid w:val="2BC74EA2"/>
    <w:rsid w:val="2BCA04EF"/>
    <w:rsid w:val="2BCA25F3"/>
    <w:rsid w:val="2BCA4992"/>
    <w:rsid w:val="2BCB017A"/>
    <w:rsid w:val="2BCE1D39"/>
    <w:rsid w:val="2BCF1FA9"/>
    <w:rsid w:val="2BCF797D"/>
    <w:rsid w:val="2BD11C26"/>
    <w:rsid w:val="2BD140EA"/>
    <w:rsid w:val="2BD44EDD"/>
    <w:rsid w:val="2BD91C86"/>
    <w:rsid w:val="2BDA2547"/>
    <w:rsid w:val="2BDA6C77"/>
    <w:rsid w:val="2BDB094E"/>
    <w:rsid w:val="2BE048B9"/>
    <w:rsid w:val="2BE05F64"/>
    <w:rsid w:val="2BE1058A"/>
    <w:rsid w:val="2BE20377"/>
    <w:rsid w:val="2BE213E3"/>
    <w:rsid w:val="2BE406A0"/>
    <w:rsid w:val="2BE408E7"/>
    <w:rsid w:val="2BE81F12"/>
    <w:rsid w:val="2BE946A2"/>
    <w:rsid w:val="2BEC4909"/>
    <w:rsid w:val="2BED37C5"/>
    <w:rsid w:val="2BF04284"/>
    <w:rsid w:val="2BF52C5B"/>
    <w:rsid w:val="2BF9048C"/>
    <w:rsid w:val="2BF96001"/>
    <w:rsid w:val="2BFA0DD4"/>
    <w:rsid w:val="2BFA2CA5"/>
    <w:rsid w:val="2BFB2D9E"/>
    <w:rsid w:val="2BFC011B"/>
    <w:rsid w:val="2BFC07F2"/>
    <w:rsid w:val="2BFD20B9"/>
    <w:rsid w:val="2BFF16C1"/>
    <w:rsid w:val="2C0356F1"/>
    <w:rsid w:val="2C040A80"/>
    <w:rsid w:val="2C047EA4"/>
    <w:rsid w:val="2C0561C1"/>
    <w:rsid w:val="2C092FD8"/>
    <w:rsid w:val="2C09480C"/>
    <w:rsid w:val="2C134385"/>
    <w:rsid w:val="2C155C0E"/>
    <w:rsid w:val="2C160F16"/>
    <w:rsid w:val="2C161678"/>
    <w:rsid w:val="2C16669B"/>
    <w:rsid w:val="2C181352"/>
    <w:rsid w:val="2C186781"/>
    <w:rsid w:val="2C1B6A7A"/>
    <w:rsid w:val="2C1F23F7"/>
    <w:rsid w:val="2C227DAF"/>
    <w:rsid w:val="2C2644FF"/>
    <w:rsid w:val="2C284379"/>
    <w:rsid w:val="2C390B3E"/>
    <w:rsid w:val="2C3A38C6"/>
    <w:rsid w:val="2C4047CC"/>
    <w:rsid w:val="2C42472D"/>
    <w:rsid w:val="2C463468"/>
    <w:rsid w:val="2C4A06F9"/>
    <w:rsid w:val="2C4A407F"/>
    <w:rsid w:val="2C4A5A28"/>
    <w:rsid w:val="2C4A75ED"/>
    <w:rsid w:val="2C4D6498"/>
    <w:rsid w:val="2C4F4C4A"/>
    <w:rsid w:val="2C5032C8"/>
    <w:rsid w:val="2C5069B9"/>
    <w:rsid w:val="2C532937"/>
    <w:rsid w:val="2C533F8D"/>
    <w:rsid w:val="2C581EC7"/>
    <w:rsid w:val="2C6157FB"/>
    <w:rsid w:val="2C642F8C"/>
    <w:rsid w:val="2C646F21"/>
    <w:rsid w:val="2C657FCC"/>
    <w:rsid w:val="2C660D94"/>
    <w:rsid w:val="2C6900DF"/>
    <w:rsid w:val="2C6B0363"/>
    <w:rsid w:val="2C6C35FF"/>
    <w:rsid w:val="2C74066F"/>
    <w:rsid w:val="2C743BDD"/>
    <w:rsid w:val="2C757847"/>
    <w:rsid w:val="2C781C69"/>
    <w:rsid w:val="2C7B66AC"/>
    <w:rsid w:val="2C7E1477"/>
    <w:rsid w:val="2C7E592F"/>
    <w:rsid w:val="2C81735D"/>
    <w:rsid w:val="2C823618"/>
    <w:rsid w:val="2C8243FE"/>
    <w:rsid w:val="2C825CBC"/>
    <w:rsid w:val="2C855616"/>
    <w:rsid w:val="2C870E25"/>
    <w:rsid w:val="2C8965FC"/>
    <w:rsid w:val="2C8C4404"/>
    <w:rsid w:val="2C9254B0"/>
    <w:rsid w:val="2C934AB1"/>
    <w:rsid w:val="2C946880"/>
    <w:rsid w:val="2C963139"/>
    <w:rsid w:val="2C9805ED"/>
    <w:rsid w:val="2C98683F"/>
    <w:rsid w:val="2C9E3670"/>
    <w:rsid w:val="2CA246E6"/>
    <w:rsid w:val="2CA376BD"/>
    <w:rsid w:val="2CA37E2A"/>
    <w:rsid w:val="2CA864DD"/>
    <w:rsid w:val="2CA95249"/>
    <w:rsid w:val="2CA95A59"/>
    <w:rsid w:val="2CAB5AB7"/>
    <w:rsid w:val="2CAE7E10"/>
    <w:rsid w:val="2CAF5E03"/>
    <w:rsid w:val="2CB05936"/>
    <w:rsid w:val="2CB155DC"/>
    <w:rsid w:val="2CB30023"/>
    <w:rsid w:val="2CB376CC"/>
    <w:rsid w:val="2CB41FE0"/>
    <w:rsid w:val="2CB5119F"/>
    <w:rsid w:val="2CB73169"/>
    <w:rsid w:val="2CBA55C3"/>
    <w:rsid w:val="2CBB0A3C"/>
    <w:rsid w:val="2CBB21F3"/>
    <w:rsid w:val="2CBC6D61"/>
    <w:rsid w:val="2CBE6699"/>
    <w:rsid w:val="2CBF5469"/>
    <w:rsid w:val="2CC01041"/>
    <w:rsid w:val="2CC05405"/>
    <w:rsid w:val="2CC23042"/>
    <w:rsid w:val="2CC32E65"/>
    <w:rsid w:val="2CC40194"/>
    <w:rsid w:val="2CC633AC"/>
    <w:rsid w:val="2CC961F6"/>
    <w:rsid w:val="2CCB594F"/>
    <w:rsid w:val="2CCF22A3"/>
    <w:rsid w:val="2CD258AD"/>
    <w:rsid w:val="2CD409F1"/>
    <w:rsid w:val="2CD567AE"/>
    <w:rsid w:val="2CD7457D"/>
    <w:rsid w:val="2CE128E7"/>
    <w:rsid w:val="2CE43832"/>
    <w:rsid w:val="2CE774CF"/>
    <w:rsid w:val="2CE80378"/>
    <w:rsid w:val="2CEB4601"/>
    <w:rsid w:val="2CEC1852"/>
    <w:rsid w:val="2CEE645F"/>
    <w:rsid w:val="2CF20C00"/>
    <w:rsid w:val="2CF27D6E"/>
    <w:rsid w:val="2CF3049A"/>
    <w:rsid w:val="2CF4616C"/>
    <w:rsid w:val="2CF62EBF"/>
    <w:rsid w:val="2CF63A4E"/>
    <w:rsid w:val="2CFD0613"/>
    <w:rsid w:val="2D0008A2"/>
    <w:rsid w:val="2D03420D"/>
    <w:rsid w:val="2D046867"/>
    <w:rsid w:val="2D047A30"/>
    <w:rsid w:val="2D052BBD"/>
    <w:rsid w:val="2D067921"/>
    <w:rsid w:val="2D073B24"/>
    <w:rsid w:val="2D076635"/>
    <w:rsid w:val="2D077E77"/>
    <w:rsid w:val="2D093859"/>
    <w:rsid w:val="2D094618"/>
    <w:rsid w:val="2D0A14EA"/>
    <w:rsid w:val="2D0A5E6F"/>
    <w:rsid w:val="2D0C395D"/>
    <w:rsid w:val="2D0D0E29"/>
    <w:rsid w:val="2D0D36B6"/>
    <w:rsid w:val="2D113FD1"/>
    <w:rsid w:val="2D117E87"/>
    <w:rsid w:val="2D1331F2"/>
    <w:rsid w:val="2D1672BD"/>
    <w:rsid w:val="2D181915"/>
    <w:rsid w:val="2D1B36F8"/>
    <w:rsid w:val="2D1C667C"/>
    <w:rsid w:val="2D1F51C0"/>
    <w:rsid w:val="2D216834"/>
    <w:rsid w:val="2D27217A"/>
    <w:rsid w:val="2D286629"/>
    <w:rsid w:val="2D2B1461"/>
    <w:rsid w:val="2D2B320F"/>
    <w:rsid w:val="2D2B4AE5"/>
    <w:rsid w:val="2D322E67"/>
    <w:rsid w:val="2D3252A7"/>
    <w:rsid w:val="2D332FD8"/>
    <w:rsid w:val="2D34709F"/>
    <w:rsid w:val="2D384C14"/>
    <w:rsid w:val="2D385058"/>
    <w:rsid w:val="2D397B30"/>
    <w:rsid w:val="2D4114FA"/>
    <w:rsid w:val="2D485B6F"/>
    <w:rsid w:val="2D490419"/>
    <w:rsid w:val="2D4A2852"/>
    <w:rsid w:val="2D4B60C5"/>
    <w:rsid w:val="2D4C1B03"/>
    <w:rsid w:val="2D4C30D8"/>
    <w:rsid w:val="2D4D3CEA"/>
    <w:rsid w:val="2D4E128C"/>
    <w:rsid w:val="2D4E2249"/>
    <w:rsid w:val="2D500BE8"/>
    <w:rsid w:val="2D507025"/>
    <w:rsid w:val="2D5704A8"/>
    <w:rsid w:val="2D57339D"/>
    <w:rsid w:val="2D58588B"/>
    <w:rsid w:val="2D590427"/>
    <w:rsid w:val="2D5A4EE0"/>
    <w:rsid w:val="2D5D6367"/>
    <w:rsid w:val="2D5F4F35"/>
    <w:rsid w:val="2D601BFF"/>
    <w:rsid w:val="2D677229"/>
    <w:rsid w:val="2D761817"/>
    <w:rsid w:val="2D776B6B"/>
    <w:rsid w:val="2D79041E"/>
    <w:rsid w:val="2D7C3712"/>
    <w:rsid w:val="2D7C3A6A"/>
    <w:rsid w:val="2D7D64C6"/>
    <w:rsid w:val="2D7E15C5"/>
    <w:rsid w:val="2D7E77E3"/>
    <w:rsid w:val="2D7F0974"/>
    <w:rsid w:val="2D7F711E"/>
    <w:rsid w:val="2D805FC4"/>
    <w:rsid w:val="2D8079FF"/>
    <w:rsid w:val="2D834DF9"/>
    <w:rsid w:val="2D856DC3"/>
    <w:rsid w:val="2D8828F9"/>
    <w:rsid w:val="2D8A1297"/>
    <w:rsid w:val="2D923707"/>
    <w:rsid w:val="2D934476"/>
    <w:rsid w:val="2D945258"/>
    <w:rsid w:val="2D956230"/>
    <w:rsid w:val="2D967FC7"/>
    <w:rsid w:val="2D9769D7"/>
    <w:rsid w:val="2D9855AA"/>
    <w:rsid w:val="2D986AF6"/>
    <w:rsid w:val="2D9A5B20"/>
    <w:rsid w:val="2D9D7584"/>
    <w:rsid w:val="2DA0414B"/>
    <w:rsid w:val="2DA211F4"/>
    <w:rsid w:val="2DA21C90"/>
    <w:rsid w:val="2DA66D1D"/>
    <w:rsid w:val="2DB4238F"/>
    <w:rsid w:val="2DB7083A"/>
    <w:rsid w:val="2DBC5231"/>
    <w:rsid w:val="2DC63DFF"/>
    <w:rsid w:val="2DC66C9F"/>
    <w:rsid w:val="2DC727D9"/>
    <w:rsid w:val="2DCA65B0"/>
    <w:rsid w:val="2DCE4B33"/>
    <w:rsid w:val="2DD00881"/>
    <w:rsid w:val="2DD02422"/>
    <w:rsid w:val="2DD02A6D"/>
    <w:rsid w:val="2DD04A0F"/>
    <w:rsid w:val="2DD1218E"/>
    <w:rsid w:val="2DDA61FF"/>
    <w:rsid w:val="2DDB3571"/>
    <w:rsid w:val="2DDD47BF"/>
    <w:rsid w:val="2DDF24D4"/>
    <w:rsid w:val="2DDF4725"/>
    <w:rsid w:val="2DE25FC3"/>
    <w:rsid w:val="2DE37F6B"/>
    <w:rsid w:val="2DE906FD"/>
    <w:rsid w:val="2DE955A4"/>
    <w:rsid w:val="2DEC6E42"/>
    <w:rsid w:val="2DEE4968"/>
    <w:rsid w:val="2DEE54AD"/>
    <w:rsid w:val="2DF36ECD"/>
    <w:rsid w:val="2DF6502F"/>
    <w:rsid w:val="2DF7711A"/>
    <w:rsid w:val="2DF81343"/>
    <w:rsid w:val="2DFC2A7D"/>
    <w:rsid w:val="2DFC68EC"/>
    <w:rsid w:val="2DFE26D1"/>
    <w:rsid w:val="2E0265F2"/>
    <w:rsid w:val="2E032FF4"/>
    <w:rsid w:val="2E0974D4"/>
    <w:rsid w:val="2E0979F4"/>
    <w:rsid w:val="2E0A551A"/>
    <w:rsid w:val="2E0D0382"/>
    <w:rsid w:val="2E0D29F7"/>
    <w:rsid w:val="2E0F337C"/>
    <w:rsid w:val="2E1168A9"/>
    <w:rsid w:val="2E1343CF"/>
    <w:rsid w:val="2E171EE4"/>
    <w:rsid w:val="2E1778CE"/>
    <w:rsid w:val="2E223D5F"/>
    <w:rsid w:val="2E2376DA"/>
    <w:rsid w:val="2E246D5C"/>
    <w:rsid w:val="2E264A4D"/>
    <w:rsid w:val="2E2A76AB"/>
    <w:rsid w:val="2E2D4BB0"/>
    <w:rsid w:val="2E304F81"/>
    <w:rsid w:val="2E330E03"/>
    <w:rsid w:val="2E3335ED"/>
    <w:rsid w:val="2E35102B"/>
    <w:rsid w:val="2E35154B"/>
    <w:rsid w:val="2E372EE9"/>
    <w:rsid w:val="2E381580"/>
    <w:rsid w:val="2E3F1B98"/>
    <w:rsid w:val="2E422F06"/>
    <w:rsid w:val="2E446289"/>
    <w:rsid w:val="2E4769FA"/>
    <w:rsid w:val="2E4B167D"/>
    <w:rsid w:val="2E4D35E1"/>
    <w:rsid w:val="2E51112E"/>
    <w:rsid w:val="2E541BB2"/>
    <w:rsid w:val="2E5506CC"/>
    <w:rsid w:val="2E581484"/>
    <w:rsid w:val="2E5D564A"/>
    <w:rsid w:val="2E5E0675"/>
    <w:rsid w:val="2E6248C1"/>
    <w:rsid w:val="2E652751"/>
    <w:rsid w:val="2E660EB2"/>
    <w:rsid w:val="2E675EFF"/>
    <w:rsid w:val="2E693F13"/>
    <w:rsid w:val="2E6D62BA"/>
    <w:rsid w:val="2E701821"/>
    <w:rsid w:val="2E731311"/>
    <w:rsid w:val="2E743A4E"/>
    <w:rsid w:val="2E747EC0"/>
    <w:rsid w:val="2E753313"/>
    <w:rsid w:val="2E7653E4"/>
    <w:rsid w:val="2E77532F"/>
    <w:rsid w:val="2E7B5FF2"/>
    <w:rsid w:val="2E80154D"/>
    <w:rsid w:val="2E835C24"/>
    <w:rsid w:val="2E866557"/>
    <w:rsid w:val="2E883A4F"/>
    <w:rsid w:val="2E8C2A38"/>
    <w:rsid w:val="2E8E1CA7"/>
    <w:rsid w:val="2E914B1C"/>
    <w:rsid w:val="2E9255E9"/>
    <w:rsid w:val="2E954DE4"/>
    <w:rsid w:val="2E992048"/>
    <w:rsid w:val="2E9C2616"/>
    <w:rsid w:val="2E9D0C90"/>
    <w:rsid w:val="2E9D36A9"/>
    <w:rsid w:val="2E9F55FB"/>
    <w:rsid w:val="2EA13FA6"/>
    <w:rsid w:val="2EB931C8"/>
    <w:rsid w:val="2EBA4F4A"/>
    <w:rsid w:val="2EBE2BC7"/>
    <w:rsid w:val="2EC5452D"/>
    <w:rsid w:val="2EC62329"/>
    <w:rsid w:val="2ECA08DB"/>
    <w:rsid w:val="2ECB5686"/>
    <w:rsid w:val="2ECC254B"/>
    <w:rsid w:val="2ECC2782"/>
    <w:rsid w:val="2ED1135B"/>
    <w:rsid w:val="2ED27C0C"/>
    <w:rsid w:val="2ED52B51"/>
    <w:rsid w:val="2ED52EBC"/>
    <w:rsid w:val="2ED67FE6"/>
    <w:rsid w:val="2ED80338"/>
    <w:rsid w:val="2EDA0ADA"/>
    <w:rsid w:val="2EDF0755"/>
    <w:rsid w:val="2EDF69A7"/>
    <w:rsid w:val="2EE205AD"/>
    <w:rsid w:val="2EE61BA3"/>
    <w:rsid w:val="2EE7404E"/>
    <w:rsid w:val="2EE91FB0"/>
    <w:rsid w:val="2EF030B9"/>
    <w:rsid w:val="2EF0789F"/>
    <w:rsid w:val="2EF31870"/>
    <w:rsid w:val="2EF567CD"/>
    <w:rsid w:val="2EF83BB4"/>
    <w:rsid w:val="2EF84F00"/>
    <w:rsid w:val="2EFA6EB3"/>
    <w:rsid w:val="2F001197"/>
    <w:rsid w:val="2F013082"/>
    <w:rsid w:val="2F030DBB"/>
    <w:rsid w:val="2F032008"/>
    <w:rsid w:val="2F044A53"/>
    <w:rsid w:val="2F046B74"/>
    <w:rsid w:val="2F067A90"/>
    <w:rsid w:val="2F0A0A37"/>
    <w:rsid w:val="2F0D19B3"/>
    <w:rsid w:val="2F0F64BF"/>
    <w:rsid w:val="2F104DB2"/>
    <w:rsid w:val="2F126434"/>
    <w:rsid w:val="2F1526D4"/>
    <w:rsid w:val="2F1555DA"/>
    <w:rsid w:val="2F177F34"/>
    <w:rsid w:val="2F1946CD"/>
    <w:rsid w:val="2F1A5BB2"/>
    <w:rsid w:val="2F1A68FC"/>
    <w:rsid w:val="2F1E5623"/>
    <w:rsid w:val="2F1F0B51"/>
    <w:rsid w:val="2F1F2366"/>
    <w:rsid w:val="2F232A39"/>
    <w:rsid w:val="2F261D4F"/>
    <w:rsid w:val="2F2C7FA2"/>
    <w:rsid w:val="2F2D4557"/>
    <w:rsid w:val="2F306C81"/>
    <w:rsid w:val="2F307202"/>
    <w:rsid w:val="2F307DD8"/>
    <w:rsid w:val="2F3165B5"/>
    <w:rsid w:val="2F326AD7"/>
    <w:rsid w:val="2F331211"/>
    <w:rsid w:val="2F37233F"/>
    <w:rsid w:val="2F38535E"/>
    <w:rsid w:val="2F38589F"/>
    <w:rsid w:val="2F3960B7"/>
    <w:rsid w:val="2F3E25D5"/>
    <w:rsid w:val="2F3E7229"/>
    <w:rsid w:val="2F450711"/>
    <w:rsid w:val="2F4963D7"/>
    <w:rsid w:val="2F4A06DF"/>
    <w:rsid w:val="2F4F3166"/>
    <w:rsid w:val="2F544C9F"/>
    <w:rsid w:val="2F556569"/>
    <w:rsid w:val="2F5831B9"/>
    <w:rsid w:val="2F5A1798"/>
    <w:rsid w:val="2F5B602D"/>
    <w:rsid w:val="2F5C3B54"/>
    <w:rsid w:val="2F693540"/>
    <w:rsid w:val="2F6A2098"/>
    <w:rsid w:val="2F6A2714"/>
    <w:rsid w:val="2F6A6270"/>
    <w:rsid w:val="2F720653"/>
    <w:rsid w:val="2F740DDF"/>
    <w:rsid w:val="2F750B5E"/>
    <w:rsid w:val="2F75797B"/>
    <w:rsid w:val="2F7662CF"/>
    <w:rsid w:val="2F767D5E"/>
    <w:rsid w:val="2F776BDF"/>
    <w:rsid w:val="2F79763D"/>
    <w:rsid w:val="2F7A1780"/>
    <w:rsid w:val="2F7A2912"/>
    <w:rsid w:val="2F7B4064"/>
    <w:rsid w:val="2F7C5FE4"/>
    <w:rsid w:val="2F8325F2"/>
    <w:rsid w:val="2F84055F"/>
    <w:rsid w:val="2F845640"/>
    <w:rsid w:val="2F854E58"/>
    <w:rsid w:val="2F876CED"/>
    <w:rsid w:val="2F877ACB"/>
    <w:rsid w:val="2F890455"/>
    <w:rsid w:val="2F8A0DD8"/>
    <w:rsid w:val="2F8A6913"/>
    <w:rsid w:val="2F90296F"/>
    <w:rsid w:val="2F913C64"/>
    <w:rsid w:val="2F943A58"/>
    <w:rsid w:val="2F964024"/>
    <w:rsid w:val="2F975095"/>
    <w:rsid w:val="2F9A1EDE"/>
    <w:rsid w:val="2F9A23E4"/>
    <w:rsid w:val="2F9B5FC8"/>
    <w:rsid w:val="2F9C4D38"/>
    <w:rsid w:val="2F9F57A9"/>
    <w:rsid w:val="2FA26BD6"/>
    <w:rsid w:val="2FA37509"/>
    <w:rsid w:val="2FAD2601"/>
    <w:rsid w:val="2FAE6E78"/>
    <w:rsid w:val="2FAE7E46"/>
    <w:rsid w:val="2FAF1ED5"/>
    <w:rsid w:val="2FB014A5"/>
    <w:rsid w:val="2FB34935"/>
    <w:rsid w:val="2FB50F12"/>
    <w:rsid w:val="2FB60047"/>
    <w:rsid w:val="2FB71DF4"/>
    <w:rsid w:val="2FBA257F"/>
    <w:rsid w:val="2FBB224C"/>
    <w:rsid w:val="2FBD1650"/>
    <w:rsid w:val="2FBE648A"/>
    <w:rsid w:val="2FC12670"/>
    <w:rsid w:val="2FC33162"/>
    <w:rsid w:val="2FC5097D"/>
    <w:rsid w:val="2FC80CEF"/>
    <w:rsid w:val="2FC949D8"/>
    <w:rsid w:val="2FCA2796"/>
    <w:rsid w:val="2FCC3F2D"/>
    <w:rsid w:val="2FCC64ED"/>
    <w:rsid w:val="2FD25150"/>
    <w:rsid w:val="2FDA7060"/>
    <w:rsid w:val="2FDB562D"/>
    <w:rsid w:val="2FDC582D"/>
    <w:rsid w:val="2FDD1764"/>
    <w:rsid w:val="2FDF00BE"/>
    <w:rsid w:val="2FDF40CE"/>
    <w:rsid w:val="2FDF70B1"/>
    <w:rsid w:val="2FE042A2"/>
    <w:rsid w:val="2FE3008C"/>
    <w:rsid w:val="2FE31AD2"/>
    <w:rsid w:val="2FE44EF2"/>
    <w:rsid w:val="2FE57FED"/>
    <w:rsid w:val="2FE639AC"/>
    <w:rsid w:val="2FE754B2"/>
    <w:rsid w:val="2FE91C1D"/>
    <w:rsid w:val="2FEE2BD4"/>
    <w:rsid w:val="2FF15572"/>
    <w:rsid w:val="2FF24EFE"/>
    <w:rsid w:val="2FF33C01"/>
    <w:rsid w:val="2FF658B2"/>
    <w:rsid w:val="2FF722AB"/>
    <w:rsid w:val="2FF75AC1"/>
    <w:rsid w:val="2FF80C51"/>
    <w:rsid w:val="2FF975F4"/>
    <w:rsid w:val="2FFD4B48"/>
    <w:rsid w:val="30000378"/>
    <w:rsid w:val="3000145C"/>
    <w:rsid w:val="30045DA6"/>
    <w:rsid w:val="300920DF"/>
    <w:rsid w:val="300A468C"/>
    <w:rsid w:val="300E4A4E"/>
    <w:rsid w:val="300F506A"/>
    <w:rsid w:val="3011493E"/>
    <w:rsid w:val="3014044A"/>
    <w:rsid w:val="3014213E"/>
    <w:rsid w:val="30176F2B"/>
    <w:rsid w:val="301C45B8"/>
    <w:rsid w:val="301D1535"/>
    <w:rsid w:val="301D57D9"/>
    <w:rsid w:val="3025663B"/>
    <w:rsid w:val="30261F05"/>
    <w:rsid w:val="3027403C"/>
    <w:rsid w:val="302A0CFD"/>
    <w:rsid w:val="302E3742"/>
    <w:rsid w:val="30306FC0"/>
    <w:rsid w:val="30322337"/>
    <w:rsid w:val="303643A5"/>
    <w:rsid w:val="30385CF4"/>
    <w:rsid w:val="303D2FBD"/>
    <w:rsid w:val="303E6F6E"/>
    <w:rsid w:val="30422576"/>
    <w:rsid w:val="304431D9"/>
    <w:rsid w:val="30444164"/>
    <w:rsid w:val="30446AC1"/>
    <w:rsid w:val="304C0763"/>
    <w:rsid w:val="304C5976"/>
    <w:rsid w:val="304D261A"/>
    <w:rsid w:val="304E7940"/>
    <w:rsid w:val="304F4CB4"/>
    <w:rsid w:val="304F70D9"/>
    <w:rsid w:val="3050190A"/>
    <w:rsid w:val="3054085C"/>
    <w:rsid w:val="30541D62"/>
    <w:rsid w:val="30550F92"/>
    <w:rsid w:val="30574AD6"/>
    <w:rsid w:val="305B01E7"/>
    <w:rsid w:val="305D7F28"/>
    <w:rsid w:val="305F2BE6"/>
    <w:rsid w:val="30607673"/>
    <w:rsid w:val="30643164"/>
    <w:rsid w:val="30653E97"/>
    <w:rsid w:val="306C5C5C"/>
    <w:rsid w:val="306E5202"/>
    <w:rsid w:val="3072234F"/>
    <w:rsid w:val="3073442A"/>
    <w:rsid w:val="30791505"/>
    <w:rsid w:val="30794AD2"/>
    <w:rsid w:val="307A654C"/>
    <w:rsid w:val="307B44AD"/>
    <w:rsid w:val="307D5566"/>
    <w:rsid w:val="307D6477"/>
    <w:rsid w:val="308315F8"/>
    <w:rsid w:val="30842B40"/>
    <w:rsid w:val="308570DA"/>
    <w:rsid w:val="308B483B"/>
    <w:rsid w:val="308E1337"/>
    <w:rsid w:val="308F7AAE"/>
    <w:rsid w:val="30920528"/>
    <w:rsid w:val="30924E08"/>
    <w:rsid w:val="309431D3"/>
    <w:rsid w:val="309612E7"/>
    <w:rsid w:val="30996493"/>
    <w:rsid w:val="309A3536"/>
    <w:rsid w:val="309D1DF6"/>
    <w:rsid w:val="309D61D2"/>
    <w:rsid w:val="309F560C"/>
    <w:rsid w:val="309F63EE"/>
    <w:rsid w:val="30A64CB9"/>
    <w:rsid w:val="30A80093"/>
    <w:rsid w:val="30A91870"/>
    <w:rsid w:val="30AA20C0"/>
    <w:rsid w:val="30B0659C"/>
    <w:rsid w:val="30B15C8B"/>
    <w:rsid w:val="30B36C76"/>
    <w:rsid w:val="30B5335F"/>
    <w:rsid w:val="30B55E06"/>
    <w:rsid w:val="30B56F12"/>
    <w:rsid w:val="30BA4464"/>
    <w:rsid w:val="30BB4A5C"/>
    <w:rsid w:val="30BC0D4E"/>
    <w:rsid w:val="30BC20C9"/>
    <w:rsid w:val="30BC2BB1"/>
    <w:rsid w:val="30BE1F06"/>
    <w:rsid w:val="30BF3918"/>
    <w:rsid w:val="30C26BCA"/>
    <w:rsid w:val="30C82D10"/>
    <w:rsid w:val="30C931A8"/>
    <w:rsid w:val="30CB71E3"/>
    <w:rsid w:val="30D140CD"/>
    <w:rsid w:val="30D16B10"/>
    <w:rsid w:val="30D36A54"/>
    <w:rsid w:val="30D740CD"/>
    <w:rsid w:val="30DD613A"/>
    <w:rsid w:val="30E01968"/>
    <w:rsid w:val="30E061E9"/>
    <w:rsid w:val="30E11879"/>
    <w:rsid w:val="30E25BAB"/>
    <w:rsid w:val="30E31C34"/>
    <w:rsid w:val="30E3452C"/>
    <w:rsid w:val="30E53485"/>
    <w:rsid w:val="30EF1562"/>
    <w:rsid w:val="30F24E44"/>
    <w:rsid w:val="30F31D2D"/>
    <w:rsid w:val="30F60C4E"/>
    <w:rsid w:val="30F76F6D"/>
    <w:rsid w:val="30FC55EE"/>
    <w:rsid w:val="30FC739C"/>
    <w:rsid w:val="30FD1F8A"/>
    <w:rsid w:val="310001E4"/>
    <w:rsid w:val="3101658E"/>
    <w:rsid w:val="31085D41"/>
    <w:rsid w:val="310A4903"/>
    <w:rsid w:val="31104BF6"/>
    <w:rsid w:val="31111523"/>
    <w:rsid w:val="311478E8"/>
    <w:rsid w:val="31175080"/>
    <w:rsid w:val="311F1543"/>
    <w:rsid w:val="3122560F"/>
    <w:rsid w:val="312276B8"/>
    <w:rsid w:val="31232ECD"/>
    <w:rsid w:val="31247734"/>
    <w:rsid w:val="31293F09"/>
    <w:rsid w:val="31294486"/>
    <w:rsid w:val="31317835"/>
    <w:rsid w:val="31333F1A"/>
    <w:rsid w:val="31375048"/>
    <w:rsid w:val="313B746E"/>
    <w:rsid w:val="313E4F24"/>
    <w:rsid w:val="313E79B5"/>
    <w:rsid w:val="313F0277"/>
    <w:rsid w:val="31412AD5"/>
    <w:rsid w:val="314132AE"/>
    <w:rsid w:val="31416861"/>
    <w:rsid w:val="31436D79"/>
    <w:rsid w:val="31446DC8"/>
    <w:rsid w:val="31457899"/>
    <w:rsid w:val="31462208"/>
    <w:rsid w:val="31476A7C"/>
    <w:rsid w:val="314B35BA"/>
    <w:rsid w:val="314C10B5"/>
    <w:rsid w:val="314C3951"/>
    <w:rsid w:val="314F32D9"/>
    <w:rsid w:val="315241CD"/>
    <w:rsid w:val="31552AFA"/>
    <w:rsid w:val="315545D9"/>
    <w:rsid w:val="31592A40"/>
    <w:rsid w:val="316118F5"/>
    <w:rsid w:val="31611B5D"/>
    <w:rsid w:val="3165602B"/>
    <w:rsid w:val="316810BC"/>
    <w:rsid w:val="31683242"/>
    <w:rsid w:val="31685FD9"/>
    <w:rsid w:val="316C3231"/>
    <w:rsid w:val="317038E6"/>
    <w:rsid w:val="31713198"/>
    <w:rsid w:val="3172765E"/>
    <w:rsid w:val="31751CAD"/>
    <w:rsid w:val="317653A0"/>
    <w:rsid w:val="31786694"/>
    <w:rsid w:val="31794F27"/>
    <w:rsid w:val="317C06D1"/>
    <w:rsid w:val="317C2F79"/>
    <w:rsid w:val="31813D45"/>
    <w:rsid w:val="318273B2"/>
    <w:rsid w:val="31882E93"/>
    <w:rsid w:val="3188521B"/>
    <w:rsid w:val="31886E82"/>
    <w:rsid w:val="318A784B"/>
    <w:rsid w:val="31903F88"/>
    <w:rsid w:val="319402AC"/>
    <w:rsid w:val="319A7EC3"/>
    <w:rsid w:val="319B15C5"/>
    <w:rsid w:val="319B7F3C"/>
    <w:rsid w:val="319C1B8D"/>
    <w:rsid w:val="319E48F7"/>
    <w:rsid w:val="31A03839"/>
    <w:rsid w:val="31A06B2F"/>
    <w:rsid w:val="31A20133"/>
    <w:rsid w:val="31A30E2A"/>
    <w:rsid w:val="31A3616C"/>
    <w:rsid w:val="31AA7796"/>
    <w:rsid w:val="31AC47B4"/>
    <w:rsid w:val="31AF440F"/>
    <w:rsid w:val="31B22151"/>
    <w:rsid w:val="31B743AC"/>
    <w:rsid w:val="31B770FA"/>
    <w:rsid w:val="31B775D5"/>
    <w:rsid w:val="31B90A07"/>
    <w:rsid w:val="31BD0757"/>
    <w:rsid w:val="31BD1947"/>
    <w:rsid w:val="31BE4BB7"/>
    <w:rsid w:val="31BF7AB5"/>
    <w:rsid w:val="31C37EBA"/>
    <w:rsid w:val="31C90389"/>
    <w:rsid w:val="31C91466"/>
    <w:rsid w:val="31CE2C88"/>
    <w:rsid w:val="31D23CD7"/>
    <w:rsid w:val="31D25E0E"/>
    <w:rsid w:val="31D46E2A"/>
    <w:rsid w:val="31D71BB7"/>
    <w:rsid w:val="31D90049"/>
    <w:rsid w:val="31DB16A7"/>
    <w:rsid w:val="31DB4CF3"/>
    <w:rsid w:val="31DE3900"/>
    <w:rsid w:val="31DF79A9"/>
    <w:rsid w:val="31E02CAA"/>
    <w:rsid w:val="31E42B95"/>
    <w:rsid w:val="31E54CFF"/>
    <w:rsid w:val="31E57E30"/>
    <w:rsid w:val="31E62340"/>
    <w:rsid w:val="31E81862"/>
    <w:rsid w:val="31E926F4"/>
    <w:rsid w:val="31EC0AD5"/>
    <w:rsid w:val="31EC0B97"/>
    <w:rsid w:val="31F118D5"/>
    <w:rsid w:val="31F25A33"/>
    <w:rsid w:val="31F42769"/>
    <w:rsid w:val="31F606DF"/>
    <w:rsid w:val="31F83B65"/>
    <w:rsid w:val="31F938DC"/>
    <w:rsid w:val="31FD242F"/>
    <w:rsid w:val="31FE2EEA"/>
    <w:rsid w:val="32000BEE"/>
    <w:rsid w:val="32004C6A"/>
    <w:rsid w:val="320457AA"/>
    <w:rsid w:val="320555C9"/>
    <w:rsid w:val="321150C9"/>
    <w:rsid w:val="32117A42"/>
    <w:rsid w:val="3212499D"/>
    <w:rsid w:val="3216448E"/>
    <w:rsid w:val="32187C27"/>
    <w:rsid w:val="321B1AA4"/>
    <w:rsid w:val="321E198F"/>
    <w:rsid w:val="321F21C3"/>
    <w:rsid w:val="3225683B"/>
    <w:rsid w:val="322915BC"/>
    <w:rsid w:val="32292413"/>
    <w:rsid w:val="322A0B44"/>
    <w:rsid w:val="322A1672"/>
    <w:rsid w:val="322B34A2"/>
    <w:rsid w:val="322C7FDF"/>
    <w:rsid w:val="32306BC5"/>
    <w:rsid w:val="3231094A"/>
    <w:rsid w:val="323127C9"/>
    <w:rsid w:val="323301CA"/>
    <w:rsid w:val="32345A4F"/>
    <w:rsid w:val="323668DE"/>
    <w:rsid w:val="3237195E"/>
    <w:rsid w:val="32374733"/>
    <w:rsid w:val="32384935"/>
    <w:rsid w:val="32394B5E"/>
    <w:rsid w:val="323A1010"/>
    <w:rsid w:val="323A4881"/>
    <w:rsid w:val="323C72AF"/>
    <w:rsid w:val="323D275B"/>
    <w:rsid w:val="323F14D3"/>
    <w:rsid w:val="32406D33"/>
    <w:rsid w:val="3241644C"/>
    <w:rsid w:val="32423185"/>
    <w:rsid w:val="32495498"/>
    <w:rsid w:val="324A5B8B"/>
    <w:rsid w:val="324C6101"/>
    <w:rsid w:val="324D6FF0"/>
    <w:rsid w:val="32505363"/>
    <w:rsid w:val="3255145A"/>
    <w:rsid w:val="32580F24"/>
    <w:rsid w:val="325A081E"/>
    <w:rsid w:val="325B59D6"/>
    <w:rsid w:val="325D7F2C"/>
    <w:rsid w:val="325E7967"/>
    <w:rsid w:val="3269009B"/>
    <w:rsid w:val="32690A61"/>
    <w:rsid w:val="32695D86"/>
    <w:rsid w:val="32771AA4"/>
    <w:rsid w:val="32772716"/>
    <w:rsid w:val="327B0795"/>
    <w:rsid w:val="327D17AF"/>
    <w:rsid w:val="327E1DBD"/>
    <w:rsid w:val="327E61A3"/>
    <w:rsid w:val="32800130"/>
    <w:rsid w:val="3281224F"/>
    <w:rsid w:val="328164AA"/>
    <w:rsid w:val="32841E6F"/>
    <w:rsid w:val="328903DE"/>
    <w:rsid w:val="32894E43"/>
    <w:rsid w:val="32895429"/>
    <w:rsid w:val="328C6723"/>
    <w:rsid w:val="328C72C2"/>
    <w:rsid w:val="32932A38"/>
    <w:rsid w:val="3293642C"/>
    <w:rsid w:val="32962F2D"/>
    <w:rsid w:val="329655CE"/>
    <w:rsid w:val="32987720"/>
    <w:rsid w:val="329B37EE"/>
    <w:rsid w:val="329D20FC"/>
    <w:rsid w:val="32A0100A"/>
    <w:rsid w:val="32A4229E"/>
    <w:rsid w:val="32A61CB5"/>
    <w:rsid w:val="32A75F94"/>
    <w:rsid w:val="32A855A3"/>
    <w:rsid w:val="32A93D55"/>
    <w:rsid w:val="32AA30FD"/>
    <w:rsid w:val="32AA4F69"/>
    <w:rsid w:val="32AA6D7D"/>
    <w:rsid w:val="32AD0009"/>
    <w:rsid w:val="32AF52B4"/>
    <w:rsid w:val="32AF749E"/>
    <w:rsid w:val="32B126A5"/>
    <w:rsid w:val="32B32B72"/>
    <w:rsid w:val="32B9519B"/>
    <w:rsid w:val="32BB5A92"/>
    <w:rsid w:val="32C03AD8"/>
    <w:rsid w:val="32C1089D"/>
    <w:rsid w:val="32C21624"/>
    <w:rsid w:val="32C22FB9"/>
    <w:rsid w:val="32C72338"/>
    <w:rsid w:val="32C8721F"/>
    <w:rsid w:val="32C877B1"/>
    <w:rsid w:val="32C91825"/>
    <w:rsid w:val="32CC2BF6"/>
    <w:rsid w:val="32D12BF6"/>
    <w:rsid w:val="32D16607"/>
    <w:rsid w:val="32D238A7"/>
    <w:rsid w:val="32D44057"/>
    <w:rsid w:val="32D44840"/>
    <w:rsid w:val="32D53197"/>
    <w:rsid w:val="32D92872"/>
    <w:rsid w:val="32DC19B9"/>
    <w:rsid w:val="32E04ED3"/>
    <w:rsid w:val="32E437AA"/>
    <w:rsid w:val="32E451DD"/>
    <w:rsid w:val="32E60DC0"/>
    <w:rsid w:val="32EA7EF6"/>
    <w:rsid w:val="32EF33D3"/>
    <w:rsid w:val="32EF3736"/>
    <w:rsid w:val="32F06457"/>
    <w:rsid w:val="32F14451"/>
    <w:rsid w:val="32F9331E"/>
    <w:rsid w:val="32FA3EF3"/>
    <w:rsid w:val="32FE389F"/>
    <w:rsid w:val="33013C3F"/>
    <w:rsid w:val="3305017C"/>
    <w:rsid w:val="33062754"/>
    <w:rsid w:val="33083279"/>
    <w:rsid w:val="330A655D"/>
    <w:rsid w:val="330B033D"/>
    <w:rsid w:val="330B17E7"/>
    <w:rsid w:val="330C2E13"/>
    <w:rsid w:val="330C7658"/>
    <w:rsid w:val="3310787F"/>
    <w:rsid w:val="3314166D"/>
    <w:rsid w:val="33143FD4"/>
    <w:rsid w:val="3316046C"/>
    <w:rsid w:val="33182487"/>
    <w:rsid w:val="33185E5D"/>
    <w:rsid w:val="331C10FB"/>
    <w:rsid w:val="331F6161"/>
    <w:rsid w:val="332151F3"/>
    <w:rsid w:val="33221016"/>
    <w:rsid w:val="33232C6E"/>
    <w:rsid w:val="332365E6"/>
    <w:rsid w:val="332901F1"/>
    <w:rsid w:val="3329356C"/>
    <w:rsid w:val="332A2CC6"/>
    <w:rsid w:val="332B7C07"/>
    <w:rsid w:val="332F1C41"/>
    <w:rsid w:val="332F29F3"/>
    <w:rsid w:val="33302DB0"/>
    <w:rsid w:val="333149A9"/>
    <w:rsid w:val="33322665"/>
    <w:rsid w:val="33364265"/>
    <w:rsid w:val="333A54BE"/>
    <w:rsid w:val="333C43C8"/>
    <w:rsid w:val="333D35C2"/>
    <w:rsid w:val="333F5C66"/>
    <w:rsid w:val="33403D89"/>
    <w:rsid w:val="334377A2"/>
    <w:rsid w:val="33441409"/>
    <w:rsid w:val="334424E5"/>
    <w:rsid w:val="334654EB"/>
    <w:rsid w:val="3349161B"/>
    <w:rsid w:val="334B63B9"/>
    <w:rsid w:val="334B70EC"/>
    <w:rsid w:val="334E6C17"/>
    <w:rsid w:val="335330BB"/>
    <w:rsid w:val="335545A5"/>
    <w:rsid w:val="33557448"/>
    <w:rsid w:val="33566357"/>
    <w:rsid w:val="33597AF2"/>
    <w:rsid w:val="335C05C6"/>
    <w:rsid w:val="33613E2E"/>
    <w:rsid w:val="33632FC0"/>
    <w:rsid w:val="33633703"/>
    <w:rsid w:val="33644712"/>
    <w:rsid w:val="33685C64"/>
    <w:rsid w:val="33685CB5"/>
    <w:rsid w:val="33696823"/>
    <w:rsid w:val="336A1AA6"/>
    <w:rsid w:val="336A77B9"/>
    <w:rsid w:val="337413A2"/>
    <w:rsid w:val="337551E4"/>
    <w:rsid w:val="33780223"/>
    <w:rsid w:val="337827C8"/>
    <w:rsid w:val="33790C23"/>
    <w:rsid w:val="337A75D3"/>
    <w:rsid w:val="337C059E"/>
    <w:rsid w:val="337C47C4"/>
    <w:rsid w:val="337C6572"/>
    <w:rsid w:val="337D415E"/>
    <w:rsid w:val="337E49F5"/>
    <w:rsid w:val="337F08CE"/>
    <w:rsid w:val="338156D7"/>
    <w:rsid w:val="3382278D"/>
    <w:rsid w:val="33831FE4"/>
    <w:rsid w:val="3384387D"/>
    <w:rsid w:val="338711F5"/>
    <w:rsid w:val="338806E6"/>
    <w:rsid w:val="3389609A"/>
    <w:rsid w:val="33915F02"/>
    <w:rsid w:val="3394740D"/>
    <w:rsid w:val="3394778E"/>
    <w:rsid w:val="339C1ED9"/>
    <w:rsid w:val="339C4E66"/>
    <w:rsid w:val="33A50288"/>
    <w:rsid w:val="33A52733"/>
    <w:rsid w:val="33A61841"/>
    <w:rsid w:val="33A87381"/>
    <w:rsid w:val="33A90FAA"/>
    <w:rsid w:val="33A91753"/>
    <w:rsid w:val="33AA1532"/>
    <w:rsid w:val="33AA2F0D"/>
    <w:rsid w:val="33AC3B3F"/>
    <w:rsid w:val="33AE3832"/>
    <w:rsid w:val="33AE7B2B"/>
    <w:rsid w:val="33AF6E15"/>
    <w:rsid w:val="33B11047"/>
    <w:rsid w:val="33B201E6"/>
    <w:rsid w:val="33B52B22"/>
    <w:rsid w:val="33BA709B"/>
    <w:rsid w:val="33BC4DA5"/>
    <w:rsid w:val="33C07C3D"/>
    <w:rsid w:val="33C45A54"/>
    <w:rsid w:val="33CB28F0"/>
    <w:rsid w:val="33CC0CA1"/>
    <w:rsid w:val="33CF0D98"/>
    <w:rsid w:val="33D13672"/>
    <w:rsid w:val="33D463AE"/>
    <w:rsid w:val="33D742CB"/>
    <w:rsid w:val="33D957F9"/>
    <w:rsid w:val="33DA5E2D"/>
    <w:rsid w:val="33DA7A96"/>
    <w:rsid w:val="33E14710"/>
    <w:rsid w:val="33E56BD7"/>
    <w:rsid w:val="33E845A0"/>
    <w:rsid w:val="33E914DA"/>
    <w:rsid w:val="33EA1172"/>
    <w:rsid w:val="33F06ACD"/>
    <w:rsid w:val="33F53E6D"/>
    <w:rsid w:val="33F557A9"/>
    <w:rsid w:val="33FE4A0F"/>
    <w:rsid w:val="34007075"/>
    <w:rsid w:val="340266AE"/>
    <w:rsid w:val="34033296"/>
    <w:rsid w:val="3408546F"/>
    <w:rsid w:val="34090109"/>
    <w:rsid w:val="340D1073"/>
    <w:rsid w:val="340D4035"/>
    <w:rsid w:val="340E12E0"/>
    <w:rsid w:val="34111E81"/>
    <w:rsid w:val="34181968"/>
    <w:rsid w:val="341B797A"/>
    <w:rsid w:val="341C184C"/>
    <w:rsid w:val="341E7629"/>
    <w:rsid w:val="34210B83"/>
    <w:rsid w:val="34217A3E"/>
    <w:rsid w:val="342235BE"/>
    <w:rsid w:val="34230A24"/>
    <w:rsid w:val="342A2472"/>
    <w:rsid w:val="342A3DB8"/>
    <w:rsid w:val="342F1837"/>
    <w:rsid w:val="34300AC9"/>
    <w:rsid w:val="34311A53"/>
    <w:rsid w:val="34335D09"/>
    <w:rsid w:val="34353CDE"/>
    <w:rsid w:val="34371F8B"/>
    <w:rsid w:val="343721C5"/>
    <w:rsid w:val="343E049B"/>
    <w:rsid w:val="34420E37"/>
    <w:rsid w:val="34422A8F"/>
    <w:rsid w:val="34466ECA"/>
    <w:rsid w:val="344872FE"/>
    <w:rsid w:val="34496D9C"/>
    <w:rsid w:val="344B382A"/>
    <w:rsid w:val="345117A4"/>
    <w:rsid w:val="34512159"/>
    <w:rsid w:val="34517705"/>
    <w:rsid w:val="3452158A"/>
    <w:rsid w:val="34535A3D"/>
    <w:rsid w:val="34554A7C"/>
    <w:rsid w:val="346349AD"/>
    <w:rsid w:val="34645BEE"/>
    <w:rsid w:val="346516EC"/>
    <w:rsid w:val="34693844"/>
    <w:rsid w:val="346A0232"/>
    <w:rsid w:val="346A0D66"/>
    <w:rsid w:val="346B5853"/>
    <w:rsid w:val="346C4839"/>
    <w:rsid w:val="346E235E"/>
    <w:rsid w:val="34725A71"/>
    <w:rsid w:val="34734C29"/>
    <w:rsid w:val="347375CD"/>
    <w:rsid w:val="3475596E"/>
    <w:rsid w:val="3476054F"/>
    <w:rsid w:val="34781263"/>
    <w:rsid w:val="3478345D"/>
    <w:rsid w:val="347B5013"/>
    <w:rsid w:val="34800275"/>
    <w:rsid w:val="348151C9"/>
    <w:rsid w:val="34861A27"/>
    <w:rsid w:val="348953EB"/>
    <w:rsid w:val="34897AD4"/>
    <w:rsid w:val="34916186"/>
    <w:rsid w:val="34933476"/>
    <w:rsid w:val="3498057E"/>
    <w:rsid w:val="349B3FFF"/>
    <w:rsid w:val="349B7CA4"/>
    <w:rsid w:val="349E34C9"/>
    <w:rsid w:val="349E4221"/>
    <w:rsid w:val="349E4BE0"/>
    <w:rsid w:val="34A44C2E"/>
    <w:rsid w:val="34A4776C"/>
    <w:rsid w:val="34A75871"/>
    <w:rsid w:val="34A80487"/>
    <w:rsid w:val="34A83397"/>
    <w:rsid w:val="34A915E9"/>
    <w:rsid w:val="34A95487"/>
    <w:rsid w:val="34AD3D33"/>
    <w:rsid w:val="34B00C68"/>
    <w:rsid w:val="34B14617"/>
    <w:rsid w:val="34B41D3C"/>
    <w:rsid w:val="34B53B34"/>
    <w:rsid w:val="34B77B6C"/>
    <w:rsid w:val="34BA34E1"/>
    <w:rsid w:val="34BE22C9"/>
    <w:rsid w:val="34C13252"/>
    <w:rsid w:val="34C132DD"/>
    <w:rsid w:val="34C1658B"/>
    <w:rsid w:val="34C22C1F"/>
    <w:rsid w:val="34C56653"/>
    <w:rsid w:val="34CD6267"/>
    <w:rsid w:val="34D24677"/>
    <w:rsid w:val="34D65EF4"/>
    <w:rsid w:val="34D7445E"/>
    <w:rsid w:val="34DA1486"/>
    <w:rsid w:val="34DF500B"/>
    <w:rsid w:val="34E214A6"/>
    <w:rsid w:val="34E44283"/>
    <w:rsid w:val="34E75EFE"/>
    <w:rsid w:val="34EB719A"/>
    <w:rsid w:val="34EC3BCC"/>
    <w:rsid w:val="34F11CC9"/>
    <w:rsid w:val="34F32864"/>
    <w:rsid w:val="34F36D08"/>
    <w:rsid w:val="34FB250A"/>
    <w:rsid w:val="35042CC3"/>
    <w:rsid w:val="35043DC3"/>
    <w:rsid w:val="350465CA"/>
    <w:rsid w:val="35046CC6"/>
    <w:rsid w:val="3507761D"/>
    <w:rsid w:val="350902DA"/>
    <w:rsid w:val="350925AA"/>
    <w:rsid w:val="350D7169"/>
    <w:rsid w:val="35125F65"/>
    <w:rsid w:val="3513129C"/>
    <w:rsid w:val="35194603"/>
    <w:rsid w:val="35216B3A"/>
    <w:rsid w:val="3523207C"/>
    <w:rsid w:val="35245792"/>
    <w:rsid w:val="352549E8"/>
    <w:rsid w:val="3529097C"/>
    <w:rsid w:val="352A1B02"/>
    <w:rsid w:val="352D1C43"/>
    <w:rsid w:val="35300EB8"/>
    <w:rsid w:val="35317C1B"/>
    <w:rsid w:val="35326549"/>
    <w:rsid w:val="35332A06"/>
    <w:rsid w:val="3535462F"/>
    <w:rsid w:val="35375DCA"/>
    <w:rsid w:val="353A0493"/>
    <w:rsid w:val="353A2617"/>
    <w:rsid w:val="353A2FC1"/>
    <w:rsid w:val="353B2A8E"/>
    <w:rsid w:val="353B420D"/>
    <w:rsid w:val="353B4DCC"/>
    <w:rsid w:val="353D07AE"/>
    <w:rsid w:val="353D7715"/>
    <w:rsid w:val="353E254F"/>
    <w:rsid w:val="353F5AA9"/>
    <w:rsid w:val="35403C47"/>
    <w:rsid w:val="35447AF0"/>
    <w:rsid w:val="354602AF"/>
    <w:rsid w:val="35463623"/>
    <w:rsid w:val="35474007"/>
    <w:rsid w:val="354C3FB0"/>
    <w:rsid w:val="354D6418"/>
    <w:rsid w:val="354F3741"/>
    <w:rsid w:val="3550384E"/>
    <w:rsid w:val="355073D2"/>
    <w:rsid w:val="35543D0E"/>
    <w:rsid w:val="35551771"/>
    <w:rsid w:val="35554087"/>
    <w:rsid w:val="35592909"/>
    <w:rsid w:val="355A2F26"/>
    <w:rsid w:val="355E1079"/>
    <w:rsid w:val="355E6877"/>
    <w:rsid w:val="35637FFA"/>
    <w:rsid w:val="35676AD0"/>
    <w:rsid w:val="35683DE9"/>
    <w:rsid w:val="356A3560"/>
    <w:rsid w:val="356C3D69"/>
    <w:rsid w:val="356D5162"/>
    <w:rsid w:val="35745BB7"/>
    <w:rsid w:val="357A11D7"/>
    <w:rsid w:val="357C0C5A"/>
    <w:rsid w:val="357E5712"/>
    <w:rsid w:val="357F2005"/>
    <w:rsid w:val="357F3F9F"/>
    <w:rsid w:val="35814314"/>
    <w:rsid w:val="3583008C"/>
    <w:rsid w:val="35831E3A"/>
    <w:rsid w:val="35841546"/>
    <w:rsid w:val="35851FFB"/>
    <w:rsid w:val="35893CA7"/>
    <w:rsid w:val="358A4A94"/>
    <w:rsid w:val="358F7A72"/>
    <w:rsid w:val="359075B3"/>
    <w:rsid w:val="35917BB6"/>
    <w:rsid w:val="35926C9F"/>
    <w:rsid w:val="35935AB3"/>
    <w:rsid w:val="35943BF2"/>
    <w:rsid w:val="35955717"/>
    <w:rsid w:val="3595788B"/>
    <w:rsid w:val="359978AF"/>
    <w:rsid w:val="359A3628"/>
    <w:rsid w:val="359D18F5"/>
    <w:rsid w:val="359E0185"/>
    <w:rsid w:val="359F12EA"/>
    <w:rsid w:val="35A2668C"/>
    <w:rsid w:val="35A52541"/>
    <w:rsid w:val="35A52744"/>
    <w:rsid w:val="35A60463"/>
    <w:rsid w:val="35A6316A"/>
    <w:rsid w:val="35A73A02"/>
    <w:rsid w:val="35A804C7"/>
    <w:rsid w:val="35A93837"/>
    <w:rsid w:val="35AD335B"/>
    <w:rsid w:val="35AD5109"/>
    <w:rsid w:val="35B13F23"/>
    <w:rsid w:val="35B23761"/>
    <w:rsid w:val="35B5220F"/>
    <w:rsid w:val="35B67BED"/>
    <w:rsid w:val="35B76CDF"/>
    <w:rsid w:val="35B91D00"/>
    <w:rsid w:val="35BB2BFA"/>
    <w:rsid w:val="35BD5FEF"/>
    <w:rsid w:val="35BE0A09"/>
    <w:rsid w:val="35C10BB4"/>
    <w:rsid w:val="35C24D90"/>
    <w:rsid w:val="35C275C5"/>
    <w:rsid w:val="35C30488"/>
    <w:rsid w:val="35C56F25"/>
    <w:rsid w:val="35C6579A"/>
    <w:rsid w:val="35C70191"/>
    <w:rsid w:val="35C834C5"/>
    <w:rsid w:val="35C9101D"/>
    <w:rsid w:val="35CB1A33"/>
    <w:rsid w:val="35CB433F"/>
    <w:rsid w:val="35CC49F1"/>
    <w:rsid w:val="35CF0315"/>
    <w:rsid w:val="35D55B97"/>
    <w:rsid w:val="35D63A22"/>
    <w:rsid w:val="35D741C5"/>
    <w:rsid w:val="35D80506"/>
    <w:rsid w:val="35D84F41"/>
    <w:rsid w:val="35DC2FD9"/>
    <w:rsid w:val="35DF529E"/>
    <w:rsid w:val="35E068EC"/>
    <w:rsid w:val="35E14DB3"/>
    <w:rsid w:val="35E328D9"/>
    <w:rsid w:val="35E43DC6"/>
    <w:rsid w:val="35E72B42"/>
    <w:rsid w:val="35EA0FD5"/>
    <w:rsid w:val="35EB3CA1"/>
    <w:rsid w:val="35F209B7"/>
    <w:rsid w:val="35F52FBE"/>
    <w:rsid w:val="35F60956"/>
    <w:rsid w:val="35F911DA"/>
    <w:rsid w:val="35FB1E93"/>
    <w:rsid w:val="35FC1A16"/>
    <w:rsid w:val="35FD2E78"/>
    <w:rsid w:val="35FF6D24"/>
    <w:rsid w:val="360311CD"/>
    <w:rsid w:val="36056EBE"/>
    <w:rsid w:val="360579A8"/>
    <w:rsid w:val="3607357B"/>
    <w:rsid w:val="360C16BF"/>
    <w:rsid w:val="360C16FF"/>
    <w:rsid w:val="360E4973"/>
    <w:rsid w:val="36120389"/>
    <w:rsid w:val="36140CE4"/>
    <w:rsid w:val="36153039"/>
    <w:rsid w:val="36171DC5"/>
    <w:rsid w:val="361B02C4"/>
    <w:rsid w:val="361E50BE"/>
    <w:rsid w:val="361F4560"/>
    <w:rsid w:val="36211653"/>
    <w:rsid w:val="362209D9"/>
    <w:rsid w:val="36224C9F"/>
    <w:rsid w:val="362457D0"/>
    <w:rsid w:val="36252EF1"/>
    <w:rsid w:val="3628478F"/>
    <w:rsid w:val="36297735"/>
    <w:rsid w:val="362B15AA"/>
    <w:rsid w:val="36301896"/>
    <w:rsid w:val="363708B7"/>
    <w:rsid w:val="36381843"/>
    <w:rsid w:val="36381C8C"/>
    <w:rsid w:val="363E114E"/>
    <w:rsid w:val="363F0B98"/>
    <w:rsid w:val="364062B6"/>
    <w:rsid w:val="36407D2B"/>
    <w:rsid w:val="36426DD1"/>
    <w:rsid w:val="364315C9"/>
    <w:rsid w:val="36462E68"/>
    <w:rsid w:val="36465ABD"/>
    <w:rsid w:val="36497BA9"/>
    <w:rsid w:val="364A64F1"/>
    <w:rsid w:val="364A7544"/>
    <w:rsid w:val="365347C1"/>
    <w:rsid w:val="365E28A7"/>
    <w:rsid w:val="365E66BF"/>
    <w:rsid w:val="365F3AC2"/>
    <w:rsid w:val="366129A3"/>
    <w:rsid w:val="36637EBD"/>
    <w:rsid w:val="36697372"/>
    <w:rsid w:val="366A18C5"/>
    <w:rsid w:val="366A4DA8"/>
    <w:rsid w:val="366A59F1"/>
    <w:rsid w:val="366B7875"/>
    <w:rsid w:val="366C2DB2"/>
    <w:rsid w:val="366C4D38"/>
    <w:rsid w:val="366C4FC4"/>
    <w:rsid w:val="366C6D72"/>
    <w:rsid w:val="366F5B26"/>
    <w:rsid w:val="367062CD"/>
    <w:rsid w:val="367073EC"/>
    <w:rsid w:val="36721EAF"/>
    <w:rsid w:val="36740896"/>
    <w:rsid w:val="36767402"/>
    <w:rsid w:val="36772E7D"/>
    <w:rsid w:val="367953FD"/>
    <w:rsid w:val="367C0606"/>
    <w:rsid w:val="367F0C43"/>
    <w:rsid w:val="36825AC2"/>
    <w:rsid w:val="36835E6A"/>
    <w:rsid w:val="368823F7"/>
    <w:rsid w:val="36885F0C"/>
    <w:rsid w:val="36915399"/>
    <w:rsid w:val="369201BD"/>
    <w:rsid w:val="36921BD8"/>
    <w:rsid w:val="36932551"/>
    <w:rsid w:val="36974BC9"/>
    <w:rsid w:val="369915A3"/>
    <w:rsid w:val="36A33190"/>
    <w:rsid w:val="36A4241F"/>
    <w:rsid w:val="36A65799"/>
    <w:rsid w:val="36A7129F"/>
    <w:rsid w:val="36AF13A4"/>
    <w:rsid w:val="36AF4EB1"/>
    <w:rsid w:val="36B111EC"/>
    <w:rsid w:val="36B47DFB"/>
    <w:rsid w:val="36B5259C"/>
    <w:rsid w:val="36BA1FE3"/>
    <w:rsid w:val="36BB4550"/>
    <w:rsid w:val="36BD4AD5"/>
    <w:rsid w:val="36BD75CE"/>
    <w:rsid w:val="36C43915"/>
    <w:rsid w:val="36C95A44"/>
    <w:rsid w:val="36CA012B"/>
    <w:rsid w:val="36CA2854"/>
    <w:rsid w:val="36CD3ED9"/>
    <w:rsid w:val="36CE1162"/>
    <w:rsid w:val="36D057F1"/>
    <w:rsid w:val="36D64427"/>
    <w:rsid w:val="36D66745"/>
    <w:rsid w:val="36D84407"/>
    <w:rsid w:val="36D87CBE"/>
    <w:rsid w:val="36DA5A27"/>
    <w:rsid w:val="36DC2DA4"/>
    <w:rsid w:val="36DD25F3"/>
    <w:rsid w:val="36E1046E"/>
    <w:rsid w:val="36E153B6"/>
    <w:rsid w:val="36E27034"/>
    <w:rsid w:val="36E37D41"/>
    <w:rsid w:val="36E546D9"/>
    <w:rsid w:val="36E737AD"/>
    <w:rsid w:val="36E80655"/>
    <w:rsid w:val="36E80F06"/>
    <w:rsid w:val="36ED3550"/>
    <w:rsid w:val="36ED4BFB"/>
    <w:rsid w:val="36ED7149"/>
    <w:rsid w:val="36F108D7"/>
    <w:rsid w:val="36F10EA4"/>
    <w:rsid w:val="36F36BC4"/>
    <w:rsid w:val="36F54FB9"/>
    <w:rsid w:val="36F65093"/>
    <w:rsid w:val="36FA45E6"/>
    <w:rsid w:val="36FA5CD0"/>
    <w:rsid w:val="36FF73C4"/>
    <w:rsid w:val="37004142"/>
    <w:rsid w:val="37006181"/>
    <w:rsid w:val="3703255C"/>
    <w:rsid w:val="3706434A"/>
    <w:rsid w:val="37077B1B"/>
    <w:rsid w:val="3709653B"/>
    <w:rsid w:val="37097B82"/>
    <w:rsid w:val="370F0246"/>
    <w:rsid w:val="371071DD"/>
    <w:rsid w:val="37112ECC"/>
    <w:rsid w:val="37165E7F"/>
    <w:rsid w:val="371B2546"/>
    <w:rsid w:val="371C75DC"/>
    <w:rsid w:val="371F052C"/>
    <w:rsid w:val="372305F5"/>
    <w:rsid w:val="372320FD"/>
    <w:rsid w:val="37253AA9"/>
    <w:rsid w:val="37263D8F"/>
    <w:rsid w:val="37270050"/>
    <w:rsid w:val="37274674"/>
    <w:rsid w:val="372B4B9D"/>
    <w:rsid w:val="3732021F"/>
    <w:rsid w:val="373344E9"/>
    <w:rsid w:val="373768BF"/>
    <w:rsid w:val="3738129A"/>
    <w:rsid w:val="373D0B64"/>
    <w:rsid w:val="373D24BC"/>
    <w:rsid w:val="373E73F0"/>
    <w:rsid w:val="37415C9F"/>
    <w:rsid w:val="374458C4"/>
    <w:rsid w:val="37462F7F"/>
    <w:rsid w:val="374A4272"/>
    <w:rsid w:val="374C1D00"/>
    <w:rsid w:val="374D19B0"/>
    <w:rsid w:val="374E115D"/>
    <w:rsid w:val="374F55FB"/>
    <w:rsid w:val="37507DF7"/>
    <w:rsid w:val="37516A6B"/>
    <w:rsid w:val="37527847"/>
    <w:rsid w:val="37543B31"/>
    <w:rsid w:val="375B076E"/>
    <w:rsid w:val="375C26A9"/>
    <w:rsid w:val="376024BC"/>
    <w:rsid w:val="3760340A"/>
    <w:rsid w:val="3764214E"/>
    <w:rsid w:val="37660D8E"/>
    <w:rsid w:val="37676F39"/>
    <w:rsid w:val="37680B6F"/>
    <w:rsid w:val="376A5D3B"/>
    <w:rsid w:val="376C32B7"/>
    <w:rsid w:val="377063EE"/>
    <w:rsid w:val="37721F02"/>
    <w:rsid w:val="377339A6"/>
    <w:rsid w:val="37736125"/>
    <w:rsid w:val="377452C9"/>
    <w:rsid w:val="377508E9"/>
    <w:rsid w:val="377732DB"/>
    <w:rsid w:val="37796E30"/>
    <w:rsid w:val="377A3394"/>
    <w:rsid w:val="377C2FE5"/>
    <w:rsid w:val="377C3142"/>
    <w:rsid w:val="377F5EAA"/>
    <w:rsid w:val="378043EE"/>
    <w:rsid w:val="37807B4E"/>
    <w:rsid w:val="37831EDE"/>
    <w:rsid w:val="3785254F"/>
    <w:rsid w:val="3786206E"/>
    <w:rsid w:val="37873738"/>
    <w:rsid w:val="378B3806"/>
    <w:rsid w:val="378B59BD"/>
    <w:rsid w:val="378E1DCF"/>
    <w:rsid w:val="378F6932"/>
    <w:rsid w:val="379103F0"/>
    <w:rsid w:val="3795382C"/>
    <w:rsid w:val="37982C1F"/>
    <w:rsid w:val="379871CF"/>
    <w:rsid w:val="379D7D88"/>
    <w:rsid w:val="379E0F58"/>
    <w:rsid w:val="379E1CEA"/>
    <w:rsid w:val="37A13EFE"/>
    <w:rsid w:val="37A14B37"/>
    <w:rsid w:val="37A65886"/>
    <w:rsid w:val="37A82DFB"/>
    <w:rsid w:val="37B10BFC"/>
    <w:rsid w:val="37B40D87"/>
    <w:rsid w:val="37B40EE6"/>
    <w:rsid w:val="37BA22B3"/>
    <w:rsid w:val="37BC2953"/>
    <w:rsid w:val="37BC7885"/>
    <w:rsid w:val="37BE5A6B"/>
    <w:rsid w:val="37C009B4"/>
    <w:rsid w:val="37C11CAA"/>
    <w:rsid w:val="37C903B8"/>
    <w:rsid w:val="37C970A1"/>
    <w:rsid w:val="37CC074C"/>
    <w:rsid w:val="37CD3840"/>
    <w:rsid w:val="37CD61BB"/>
    <w:rsid w:val="37CF0597"/>
    <w:rsid w:val="37DE4F22"/>
    <w:rsid w:val="37DF17C6"/>
    <w:rsid w:val="37DF533F"/>
    <w:rsid w:val="37E0700D"/>
    <w:rsid w:val="37E368AB"/>
    <w:rsid w:val="37E57347"/>
    <w:rsid w:val="37E61D9D"/>
    <w:rsid w:val="37EB236A"/>
    <w:rsid w:val="37EC63D7"/>
    <w:rsid w:val="37EF0CEC"/>
    <w:rsid w:val="37F11D36"/>
    <w:rsid w:val="37F27B20"/>
    <w:rsid w:val="37F512E0"/>
    <w:rsid w:val="37F7493E"/>
    <w:rsid w:val="37F84BA2"/>
    <w:rsid w:val="37FE39FA"/>
    <w:rsid w:val="37FF4403"/>
    <w:rsid w:val="3801173C"/>
    <w:rsid w:val="38024FC0"/>
    <w:rsid w:val="38025224"/>
    <w:rsid w:val="380D7280"/>
    <w:rsid w:val="380E6AD7"/>
    <w:rsid w:val="38107A84"/>
    <w:rsid w:val="38110A73"/>
    <w:rsid w:val="381330AE"/>
    <w:rsid w:val="38136BAD"/>
    <w:rsid w:val="381B1CE2"/>
    <w:rsid w:val="381B5941"/>
    <w:rsid w:val="382341ED"/>
    <w:rsid w:val="382457BD"/>
    <w:rsid w:val="38245C7A"/>
    <w:rsid w:val="3825233F"/>
    <w:rsid w:val="38260528"/>
    <w:rsid w:val="38262F51"/>
    <w:rsid w:val="38286CC9"/>
    <w:rsid w:val="382C480C"/>
    <w:rsid w:val="38305B7D"/>
    <w:rsid w:val="383078BE"/>
    <w:rsid w:val="383251D2"/>
    <w:rsid w:val="38342BB6"/>
    <w:rsid w:val="3835665C"/>
    <w:rsid w:val="383A5D84"/>
    <w:rsid w:val="383A69FC"/>
    <w:rsid w:val="383C2774"/>
    <w:rsid w:val="383E5A2C"/>
    <w:rsid w:val="38425357"/>
    <w:rsid w:val="38445662"/>
    <w:rsid w:val="38486DD2"/>
    <w:rsid w:val="38496AB6"/>
    <w:rsid w:val="384F4255"/>
    <w:rsid w:val="38543F62"/>
    <w:rsid w:val="38576D8C"/>
    <w:rsid w:val="385921AE"/>
    <w:rsid w:val="385C20A3"/>
    <w:rsid w:val="385C2E16"/>
    <w:rsid w:val="385D7FD9"/>
    <w:rsid w:val="3862196A"/>
    <w:rsid w:val="3867341F"/>
    <w:rsid w:val="3868489D"/>
    <w:rsid w:val="386C2902"/>
    <w:rsid w:val="386C73AD"/>
    <w:rsid w:val="386F1322"/>
    <w:rsid w:val="386F2FDB"/>
    <w:rsid w:val="387504DB"/>
    <w:rsid w:val="38760244"/>
    <w:rsid w:val="38780BCD"/>
    <w:rsid w:val="387876BE"/>
    <w:rsid w:val="387B0596"/>
    <w:rsid w:val="387C0DC3"/>
    <w:rsid w:val="387D35DB"/>
    <w:rsid w:val="388036FE"/>
    <w:rsid w:val="38806B05"/>
    <w:rsid w:val="38814CB4"/>
    <w:rsid w:val="388222D8"/>
    <w:rsid w:val="38853746"/>
    <w:rsid w:val="38853C70"/>
    <w:rsid w:val="38877E93"/>
    <w:rsid w:val="388A31F4"/>
    <w:rsid w:val="388C0E59"/>
    <w:rsid w:val="388E3C42"/>
    <w:rsid w:val="388E7474"/>
    <w:rsid w:val="388F5EDF"/>
    <w:rsid w:val="388F63A4"/>
    <w:rsid w:val="389417BE"/>
    <w:rsid w:val="38967818"/>
    <w:rsid w:val="3897177A"/>
    <w:rsid w:val="38984528"/>
    <w:rsid w:val="38995E18"/>
    <w:rsid w:val="389E72BA"/>
    <w:rsid w:val="38A012CF"/>
    <w:rsid w:val="38A345A1"/>
    <w:rsid w:val="38A65E3F"/>
    <w:rsid w:val="38A665D6"/>
    <w:rsid w:val="38A724B8"/>
    <w:rsid w:val="38A962FD"/>
    <w:rsid w:val="38AD2B1A"/>
    <w:rsid w:val="38AD71F2"/>
    <w:rsid w:val="38B024B5"/>
    <w:rsid w:val="38B20AA1"/>
    <w:rsid w:val="38B40FA6"/>
    <w:rsid w:val="38B60778"/>
    <w:rsid w:val="38BA04C3"/>
    <w:rsid w:val="38BA44F4"/>
    <w:rsid w:val="38BD4D31"/>
    <w:rsid w:val="38BD77D9"/>
    <w:rsid w:val="38BE46F1"/>
    <w:rsid w:val="38BF41F0"/>
    <w:rsid w:val="38C70290"/>
    <w:rsid w:val="38CC17C5"/>
    <w:rsid w:val="38CC1D4A"/>
    <w:rsid w:val="38CD7855"/>
    <w:rsid w:val="38CE4551"/>
    <w:rsid w:val="38CE7AAE"/>
    <w:rsid w:val="38D3208F"/>
    <w:rsid w:val="38D46E50"/>
    <w:rsid w:val="38D9136F"/>
    <w:rsid w:val="38E0213B"/>
    <w:rsid w:val="38E20B5A"/>
    <w:rsid w:val="38E74F9E"/>
    <w:rsid w:val="38E8238E"/>
    <w:rsid w:val="38E83D3E"/>
    <w:rsid w:val="38E946AA"/>
    <w:rsid w:val="38F04B43"/>
    <w:rsid w:val="38F138AE"/>
    <w:rsid w:val="38F25D05"/>
    <w:rsid w:val="38F33471"/>
    <w:rsid w:val="38F64C26"/>
    <w:rsid w:val="38F80142"/>
    <w:rsid w:val="38F95ED9"/>
    <w:rsid w:val="39047C4E"/>
    <w:rsid w:val="39071FA1"/>
    <w:rsid w:val="390A0F1B"/>
    <w:rsid w:val="390B0AC4"/>
    <w:rsid w:val="390D33AE"/>
    <w:rsid w:val="390E19B0"/>
    <w:rsid w:val="390E4110"/>
    <w:rsid w:val="39141307"/>
    <w:rsid w:val="39142266"/>
    <w:rsid w:val="391559F8"/>
    <w:rsid w:val="391760C5"/>
    <w:rsid w:val="39192E48"/>
    <w:rsid w:val="391C1D4B"/>
    <w:rsid w:val="391C61B4"/>
    <w:rsid w:val="391E43D2"/>
    <w:rsid w:val="392031F0"/>
    <w:rsid w:val="392456E2"/>
    <w:rsid w:val="3927715C"/>
    <w:rsid w:val="392A2FD6"/>
    <w:rsid w:val="392B16D0"/>
    <w:rsid w:val="392D53F8"/>
    <w:rsid w:val="392E2444"/>
    <w:rsid w:val="393022D9"/>
    <w:rsid w:val="3930586A"/>
    <w:rsid w:val="39333B77"/>
    <w:rsid w:val="39362A24"/>
    <w:rsid w:val="393B20E7"/>
    <w:rsid w:val="393E7D4C"/>
    <w:rsid w:val="393F63C7"/>
    <w:rsid w:val="3943392E"/>
    <w:rsid w:val="39455658"/>
    <w:rsid w:val="394915ED"/>
    <w:rsid w:val="394A64EB"/>
    <w:rsid w:val="394B4808"/>
    <w:rsid w:val="3950297B"/>
    <w:rsid w:val="39504729"/>
    <w:rsid w:val="3951702C"/>
    <w:rsid w:val="39565AB7"/>
    <w:rsid w:val="39575A9B"/>
    <w:rsid w:val="39581830"/>
    <w:rsid w:val="39590103"/>
    <w:rsid w:val="395A124F"/>
    <w:rsid w:val="395D3917"/>
    <w:rsid w:val="395F2BBE"/>
    <w:rsid w:val="39663F4D"/>
    <w:rsid w:val="39667831"/>
    <w:rsid w:val="39675A64"/>
    <w:rsid w:val="39680A5C"/>
    <w:rsid w:val="39685848"/>
    <w:rsid w:val="396E2E01"/>
    <w:rsid w:val="397111FD"/>
    <w:rsid w:val="3971426C"/>
    <w:rsid w:val="3972255F"/>
    <w:rsid w:val="39724BBB"/>
    <w:rsid w:val="39734283"/>
    <w:rsid w:val="397436B8"/>
    <w:rsid w:val="39754D59"/>
    <w:rsid w:val="39755F3E"/>
    <w:rsid w:val="39761CB6"/>
    <w:rsid w:val="397B0155"/>
    <w:rsid w:val="39807457"/>
    <w:rsid w:val="39811FCF"/>
    <w:rsid w:val="398379A6"/>
    <w:rsid w:val="398642F2"/>
    <w:rsid w:val="39893797"/>
    <w:rsid w:val="398A5494"/>
    <w:rsid w:val="398D73DC"/>
    <w:rsid w:val="398E7BC5"/>
    <w:rsid w:val="398E7D16"/>
    <w:rsid w:val="39940D2E"/>
    <w:rsid w:val="3994233F"/>
    <w:rsid w:val="3994587F"/>
    <w:rsid w:val="3997136C"/>
    <w:rsid w:val="399A7FF8"/>
    <w:rsid w:val="39A11502"/>
    <w:rsid w:val="39A23994"/>
    <w:rsid w:val="39A305F6"/>
    <w:rsid w:val="39A36BA3"/>
    <w:rsid w:val="39AA433B"/>
    <w:rsid w:val="39AC3BCB"/>
    <w:rsid w:val="39AC67D1"/>
    <w:rsid w:val="39AD1BA6"/>
    <w:rsid w:val="39B37086"/>
    <w:rsid w:val="39B373CE"/>
    <w:rsid w:val="39B47EDA"/>
    <w:rsid w:val="39B8407C"/>
    <w:rsid w:val="39C10951"/>
    <w:rsid w:val="39C173AA"/>
    <w:rsid w:val="39C253C4"/>
    <w:rsid w:val="39C308B6"/>
    <w:rsid w:val="39C33E93"/>
    <w:rsid w:val="39C41070"/>
    <w:rsid w:val="39C90532"/>
    <w:rsid w:val="39C944DB"/>
    <w:rsid w:val="39CB333D"/>
    <w:rsid w:val="39CB4009"/>
    <w:rsid w:val="39CE564E"/>
    <w:rsid w:val="39D32C64"/>
    <w:rsid w:val="39D34F91"/>
    <w:rsid w:val="39D43185"/>
    <w:rsid w:val="39D64D72"/>
    <w:rsid w:val="39D701A2"/>
    <w:rsid w:val="39D740E4"/>
    <w:rsid w:val="39D96B6D"/>
    <w:rsid w:val="39DA6512"/>
    <w:rsid w:val="39DC0A54"/>
    <w:rsid w:val="39DD6037"/>
    <w:rsid w:val="39E559B6"/>
    <w:rsid w:val="39EA5E6A"/>
    <w:rsid w:val="39EA7C89"/>
    <w:rsid w:val="39ED35E3"/>
    <w:rsid w:val="39ED5E10"/>
    <w:rsid w:val="39F33336"/>
    <w:rsid w:val="39F74BA5"/>
    <w:rsid w:val="39F94DC1"/>
    <w:rsid w:val="39F96906"/>
    <w:rsid w:val="39FF2B78"/>
    <w:rsid w:val="3A002C28"/>
    <w:rsid w:val="3A011FC6"/>
    <w:rsid w:val="3A030073"/>
    <w:rsid w:val="3A053904"/>
    <w:rsid w:val="3A0B0650"/>
    <w:rsid w:val="3A0E7BC6"/>
    <w:rsid w:val="3A133271"/>
    <w:rsid w:val="3A142B51"/>
    <w:rsid w:val="3A145757"/>
    <w:rsid w:val="3A172CDE"/>
    <w:rsid w:val="3A190217"/>
    <w:rsid w:val="3A1A4D37"/>
    <w:rsid w:val="3A1D66C3"/>
    <w:rsid w:val="3A1D77C7"/>
    <w:rsid w:val="3A222AD8"/>
    <w:rsid w:val="3A2357BF"/>
    <w:rsid w:val="3A244A4C"/>
    <w:rsid w:val="3A2469E6"/>
    <w:rsid w:val="3A2A31CC"/>
    <w:rsid w:val="3A2F38ED"/>
    <w:rsid w:val="3A2F3AEC"/>
    <w:rsid w:val="3A322081"/>
    <w:rsid w:val="3A326D9D"/>
    <w:rsid w:val="3A3758E9"/>
    <w:rsid w:val="3A3B4233"/>
    <w:rsid w:val="3A3C6A5B"/>
    <w:rsid w:val="3A3F5066"/>
    <w:rsid w:val="3A4240DA"/>
    <w:rsid w:val="3A42432D"/>
    <w:rsid w:val="3A43603C"/>
    <w:rsid w:val="3A4E7899"/>
    <w:rsid w:val="3A500759"/>
    <w:rsid w:val="3A51097F"/>
    <w:rsid w:val="3A5174E9"/>
    <w:rsid w:val="3A522172"/>
    <w:rsid w:val="3A523120"/>
    <w:rsid w:val="3A53737F"/>
    <w:rsid w:val="3A5405D4"/>
    <w:rsid w:val="3A54308A"/>
    <w:rsid w:val="3A55571C"/>
    <w:rsid w:val="3A555D6F"/>
    <w:rsid w:val="3A5615EE"/>
    <w:rsid w:val="3A581CFB"/>
    <w:rsid w:val="3A5C6624"/>
    <w:rsid w:val="3A6201F5"/>
    <w:rsid w:val="3A6212CC"/>
    <w:rsid w:val="3A63644F"/>
    <w:rsid w:val="3A64708C"/>
    <w:rsid w:val="3A72529B"/>
    <w:rsid w:val="3A756463"/>
    <w:rsid w:val="3A774B09"/>
    <w:rsid w:val="3A780855"/>
    <w:rsid w:val="3A783242"/>
    <w:rsid w:val="3A7903BF"/>
    <w:rsid w:val="3A794B9A"/>
    <w:rsid w:val="3A7B57D6"/>
    <w:rsid w:val="3A821244"/>
    <w:rsid w:val="3A824DB6"/>
    <w:rsid w:val="3A836841"/>
    <w:rsid w:val="3A844874"/>
    <w:rsid w:val="3A844DE6"/>
    <w:rsid w:val="3A881CA1"/>
    <w:rsid w:val="3A8B5A8C"/>
    <w:rsid w:val="3A8D7822"/>
    <w:rsid w:val="3A8F2034"/>
    <w:rsid w:val="3A8F5F3B"/>
    <w:rsid w:val="3A930BD6"/>
    <w:rsid w:val="3A981121"/>
    <w:rsid w:val="3A994487"/>
    <w:rsid w:val="3A9968B2"/>
    <w:rsid w:val="3A9A41B8"/>
    <w:rsid w:val="3A9B514C"/>
    <w:rsid w:val="3A9E2A1F"/>
    <w:rsid w:val="3A9E3BC4"/>
    <w:rsid w:val="3A9E4479"/>
    <w:rsid w:val="3AA20FB4"/>
    <w:rsid w:val="3AA229ED"/>
    <w:rsid w:val="3AA50AA5"/>
    <w:rsid w:val="3AA51585"/>
    <w:rsid w:val="3AA5781E"/>
    <w:rsid w:val="3AA72495"/>
    <w:rsid w:val="3AAE636A"/>
    <w:rsid w:val="3AAF722D"/>
    <w:rsid w:val="3AB1520D"/>
    <w:rsid w:val="3AB17449"/>
    <w:rsid w:val="3AB225CB"/>
    <w:rsid w:val="3AB371FF"/>
    <w:rsid w:val="3AB60B96"/>
    <w:rsid w:val="3AC0768C"/>
    <w:rsid w:val="3AC54CA3"/>
    <w:rsid w:val="3AC56A51"/>
    <w:rsid w:val="3AC62D54"/>
    <w:rsid w:val="3AC76A43"/>
    <w:rsid w:val="3AC80F9C"/>
    <w:rsid w:val="3ACB6CF7"/>
    <w:rsid w:val="3ACE2C03"/>
    <w:rsid w:val="3ACF7486"/>
    <w:rsid w:val="3AD2773C"/>
    <w:rsid w:val="3AD27884"/>
    <w:rsid w:val="3AD5329A"/>
    <w:rsid w:val="3AD535AC"/>
    <w:rsid w:val="3ADA6EE3"/>
    <w:rsid w:val="3ADC131D"/>
    <w:rsid w:val="3AE02561"/>
    <w:rsid w:val="3AE0388B"/>
    <w:rsid w:val="3AE10452"/>
    <w:rsid w:val="3AE363D1"/>
    <w:rsid w:val="3AE43A31"/>
    <w:rsid w:val="3AE50E19"/>
    <w:rsid w:val="3AE6240D"/>
    <w:rsid w:val="3AE651D0"/>
    <w:rsid w:val="3AE669DE"/>
    <w:rsid w:val="3AEC106A"/>
    <w:rsid w:val="3AEC6309"/>
    <w:rsid w:val="3AEF4686"/>
    <w:rsid w:val="3AF14F0A"/>
    <w:rsid w:val="3AF2201B"/>
    <w:rsid w:val="3AF360B8"/>
    <w:rsid w:val="3AF64E5C"/>
    <w:rsid w:val="3AF70BD4"/>
    <w:rsid w:val="3AF70CF9"/>
    <w:rsid w:val="3AF72C7D"/>
    <w:rsid w:val="3AF743D9"/>
    <w:rsid w:val="3AF94C21"/>
    <w:rsid w:val="3AFB6295"/>
    <w:rsid w:val="3AFE3AA8"/>
    <w:rsid w:val="3AFF79B7"/>
    <w:rsid w:val="3B01176E"/>
    <w:rsid w:val="3B041787"/>
    <w:rsid w:val="3B042005"/>
    <w:rsid w:val="3B043A1D"/>
    <w:rsid w:val="3B05410B"/>
    <w:rsid w:val="3B082CE0"/>
    <w:rsid w:val="3B0E6089"/>
    <w:rsid w:val="3B0F23C2"/>
    <w:rsid w:val="3B12084B"/>
    <w:rsid w:val="3B131EB2"/>
    <w:rsid w:val="3B135A0E"/>
    <w:rsid w:val="3B14592F"/>
    <w:rsid w:val="3B1459FC"/>
    <w:rsid w:val="3B1672AC"/>
    <w:rsid w:val="3B17312B"/>
    <w:rsid w:val="3B1B2B15"/>
    <w:rsid w:val="3B1C18BE"/>
    <w:rsid w:val="3B1E7ADC"/>
    <w:rsid w:val="3B2051CE"/>
    <w:rsid w:val="3B244560"/>
    <w:rsid w:val="3B246312"/>
    <w:rsid w:val="3B2A4B2F"/>
    <w:rsid w:val="3B2D4C0E"/>
    <w:rsid w:val="3B314F27"/>
    <w:rsid w:val="3B3360B0"/>
    <w:rsid w:val="3B365C3F"/>
    <w:rsid w:val="3B381698"/>
    <w:rsid w:val="3B394FD0"/>
    <w:rsid w:val="3B3A4B50"/>
    <w:rsid w:val="3B3A52B3"/>
    <w:rsid w:val="3B3A743F"/>
    <w:rsid w:val="3B3F51A6"/>
    <w:rsid w:val="3B413C0F"/>
    <w:rsid w:val="3B433806"/>
    <w:rsid w:val="3B4475A9"/>
    <w:rsid w:val="3B470949"/>
    <w:rsid w:val="3B4756B8"/>
    <w:rsid w:val="3B4772A2"/>
    <w:rsid w:val="3B4C0518"/>
    <w:rsid w:val="3B4D5E70"/>
    <w:rsid w:val="3B4F0A10"/>
    <w:rsid w:val="3B4F1638"/>
    <w:rsid w:val="3B533262"/>
    <w:rsid w:val="3B555CB7"/>
    <w:rsid w:val="3B590718"/>
    <w:rsid w:val="3B5978C2"/>
    <w:rsid w:val="3B5A16C6"/>
    <w:rsid w:val="3B5A1996"/>
    <w:rsid w:val="3B5C42B8"/>
    <w:rsid w:val="3B5D0CF7"/>
    <w:rsid w:val="3B614894"/>
    <w:rsid w:val="3B62588A"/>
    <w:rsid w:val="3B626D17"/>
    <w:rsid w:val="3B660234"/>
    <w:rsid w:val="3B6637BE"/>
    <w:rsid w:val="3B674ACC"/>
    <w:rsid w:val="3B675695"/>
    <w:rsid w:val="3B675CEC"/>
    <w:rsid w:val="3B6875C3"/>
    <w:rsid w:val="3B6D7A52"/>
    <w:rsid w:val="3B720521"/>
    <w:rsid w:val="3B7357DF"/>
    <w:rsid w:val="3B7519E6"/>
    <w:rsid w:val="3B7578A3"/>
    <w:rsid w:val="3B762441"/>
    <w:rsid w:val="3B7636BD"/>
    <w:rsid w:val="3B7D61A1"/>
    <w:rsid w:val="3B7F01E6"/>
    <w:rsid w:val="3B813FF0"/>
    <w:rsid w:val="3B81506E"/>
    <w:rsid w:val="3B8310C3"/>
    <w:rsid w:val="3B834FA0"/>
    <w:rsid w:val="3B846F8C"/>
    <w:rsid w:val="3B852106"/>
    <w:rsid w:val="3B852FBB"/>
    <w:rsid w:val="3B8E2986"/>
    <w:rsid w:val="3B913E23"/>
    <w:rsid w:val="3B952CE7"/>
    <w:rsid w:val="3B9B3B03"/>
    <w:rsid w:val="3B9D352A"/>
    <w:rsid w:val="3B9F7287"/>
    <w:rsid w:val="3BA0301A"/>
    <w:rsid w:val="3BA74056"/>
    <w:rsid w:val="3BA94E2C"/>
    <w:rsid w:val="3BAB4D14"/>
    <w:rsid w:val="3BAC6CD4"/>
    <w:rsid w:val="3BAD4A9A"/>
    <w:rsid w:val="3BAF581D"/>
    <w:rsid w:val="3BB05953"/>
    <w:rsid w:val="3BB262A8"/>
    <w:rsid w:val="3BB45184"/>
    <w:rsid w:val="3BB54D17"/>
    <w:rsid w:val="3BB63761"/>
    <w:rsid w:val="3BB64BF1"/>
    <w:rsid w:val="3BB66A0E"/>
    <w:rsid w:val="3BB72278"/>
    <w:rsid w:val="3BB92BBD"/>
    <w:rsid w:val="3BBB499C"/>
    <w:rsid w:val="3BBC21FE"/>
    <w:rsid w:val="3BBF0E96"/>
    <w:rsid w:val="3BBF13FA"/>
    <w:rsid w:val="3BC1546A"/>
    <w:rsid w:val="3BC2023A"/>
    <w:rsid w:val="3BCB0097"/>
    <w:rsid w:val="3BCB1A2A"/>
    <w:rsid w:val="3BCD1EBD"/>
    <w:rsid w:val="3BCE5993"/>
    <w:rsid w:val="3BD14849"/>
    <w:rsid w:val="3BD1622F"/>
    <w:rsid w:val="3BD166C5"/>
    <w:rsid w:val="3BD218D5"/>
    <w:rsid w:val="3BD4087B"/>
    <w:rsid w:val="3BD614B7"/>
    <w:rsid w:val="3BD72EE0"/>
    <w:rsid w:val="3BDE1B40"/>
    <w:rsid w:val="3BDF3DFC"/>
    <w:rsid w:val="3BDF4683"/>
    <w:rsid w:val="3BE13BE9"/>
    <w:rsid w:val="3BE13D5E"/>
    <w:rsid w:val="3BE41159"/>
    <w:rsid w:val="3BEA58E2"/>
    <w:rsid w:val="3BEC1462"/>
    <w:rsid w:val="3BF279CB"/>
    <w:rsid w:val="3BF32220"/>
    <w:rsid w:val="3BF342A7"/>
    <w:rsid w:val="3BF55114"/>
    <w:rsid w:val="3BF5780A"/>
    <w:rsid w:val="3BF65ED8"/>
    <w:rsid w:val="3BF73DCB"/>
    <w:rsid w:val="3BF955EF"/>
    <w:rsid w:val="3BFA14B5"/>
    <w:rsid w:val="3BFE0815"/>
    <w:rsid w:val="3BFE3489"/>
    <w:rsid w:val="3BFF41E4"/>
    <w:rsid w:val="3C003718"/>
    <w:rsid w:val="3C011F6E"/>
    <w:rsid w:val="3C067E6D"/>
    <w:rsid w:val="3C0A4492"/>
    <w:rsid w:val="3C0D5E90"/>
    <w:rsid w:val="3C126EBA"/>
    <w:rsid w:val="3C140BE7"/>
    <w:rsid w:val="3C1B79A0"/>
    <w:rsid w:val="3C243F5C"/>
    <w:rsid w:val="3C255832"/>
    <w:rsid w:val="3C2726E5"/>
    <w:rsid w:val="3C291261"/>
    <w:rsid w:val="3C2D5E53"/>
    <w:rsid w:val="3C2E5B0C"/>
    <w:rsid w:val="3C2E6A41"/>
    <w:rsid w:val="3C2F3E9D"/>
    <w:rsid w:val="3C333E8E"/>
    <w:rsid w:val="3C33731A"/>
    <w:rsid w:val="3C3757AA"/>
    <w:rsid w:val="3C3C020C"/>
    <w:rsid w:val="3C3E2F5F"/>
    <w:rsid w:val="3C3F26F8"/>
    <w:rsid w:val="3C3F5B3D"/>
    <w:rsid w:val="3C4147FD"/>
    <w:rsid w:val="3C43337E"/>
    <w:rsid w:val="3C475CC3"/>
    <w:rsid w:val="3C4B11D8"/>
    <w:rsid w:val="3C4B742A"/>
    <w:rsid w:val="3C4D1430"/>
    <w:rsid w:val="3C4E0CC8"/>
    <w:rsid w:val="3C4F3D2C"/>
    <w:rsid w:val="3C552323"/>
    <w:rsid w:val="3C573507"/>
    <w:rsid w:val="3C603046"/>
    <w:rsid w:val="3C6151F9"/>
    <w:rsid w:val="3C647CED"/>
    <w:rsid w:val="3C654647"/>
    <w:rsid w:val="3C677353"/>
    <w:rsid w:val="3C6C4377"/>
    <w:rsid w:val="3C6D3E4D"/>
    <w:rsid w:val="3C6F3B83"/>
    <w:rsid w:val="3C7544A7"/>
    <w:rsid w:val="3C7626F9"/>
    <w:rsid w:val="3C7828B2"/>
    <w:rsid w:val="3C7C75E3"/>
    <w:rsid w:val="3C7F70D3"/>
    <w:rsid w:val="3C805A59"/>
    <w:rsid w:val="3C810CF9"/>
    <w:rsid w:val="3C817A7A"/>
    <w:rsid w:val="3C834E15"/>
    <w:rsid w:val="3C836D16"/>
    <w:rsid w:val="3C874AB0"/>
    <w:rsid w:val="3C8A164C"/>
    <w:rsid w:val="3C8A75AA"/>
    <w:rsid w:val="3C8D24ED"/>
    <w:rsid w:val="3C8E3C87"/>
    <w:rsid w:val="3C8E442E"/>
    <w:rsid w:val="3C8E5B9D"/>
    <w:rsid w:val="3C903924"/>
    <w:rsid w:val="3C925A4B"/>
    <w:rsid w:val="3C931EBE"/>
    <w:rsid w:val="3C9428EE"/>
    <w:rsid w:val="3C953DDC"/>
    <w:rsid w:val="3C985013"/>
    <w:rsid w:val="3C9A300A"/>
    <w:rsid w:val="3C9A3D45"/>
    <w:rsid w:val="3C9C3CE4"/>
    <w:rsid w:val="3C9E6DCB"/>
    <w:rsid w:val="3CA32DC2"/>
    <w:rsid w:val="3CA54D8C"/>
    <w:rsid w:val="3CA849D7"/>
    <w:rsid w:val="3CA870AD"/>
    <w:rsid w:val="3CA9148B"/>
    <w:rsid w:val="3CAB0C8B"/>
    <w:rsid w:val="3CAB308A"/>
    <w:rsid w:val="3CAB3574"/>
    <w:rsid w:val="3CAC611A"/>
    <w:rsid w:val="3CAD1C84"/>
    <w:rsid w:val="3CAD6E9A"/>
    <w:rsid w:val="3CAE3557"/>
    <w:rsid w:val="3CB06697"/>
    <w:rsid w:val="3CB13741"/>
    <w:rsid w:val="3CB45473"/>
    <w:rsid w:val="3CB50FD8"/>
    <w:rsid w:val="3CB83707"/>
    <w:rsid w:val="3CC61CFF"/>
    <w:rsid w:val="3CC74704"/>
    <w:rsid w:val="3CC8422F"/>
    <w:rsid w:val="3CC904E9"/>
    <w:rsid w:val="3CCA118E"/>
    <w:rsid w:val="3CCB479D"/>
    <w:rsid w:val="3CCD6091"/>
    <w:rsid w:val="3CD87369"/>
    <w:rsid w:val="3CDC49E2"/>
    <w:rsid w:val="3CE079B0"/>
    <w:rsid w:val="3CE21F03"/>
    <w:rsid w:val="3CE22405"/>
    <w:rsid w:val="3CE25F1F"/>
    <w:rsid w:val="3CE65A62"/>
    <w:rsid w:val="3CE70839"/>
    <w:rsid w:val="3CE83126"/>
    <w:rsid w:val="3CE9745B"/>
    <w:rsid w:val="3CEB33F8"/>
    <w:rsid w:val="3CEC1573"/>
    <w:rsid w:val="3CED2111"/>
    <w:rsid w:val="3CEE297C"/>
    <w:rsid w:val="3CEE7EE2"/>
    <w:rsid w:val="3CF02B3F"/>
    <w:rsid w:val="3CF655E7"/>
    <w:rsid w:val="3CFB2BFE"/>
    <w:rsid w:val="3CFD0DF0"/>
    <w:rsid w:val="3CFD6976"/>
    <w:rsid w:val="3CFE42CE"/>
    <w:rsid w:val="3CFE5B16"/>
    <w:rsid w:val="3D0213C9"/>
    <w:rsid w:val="3D05207B"/>
    <w:rsid w:val="3D053A7C"/>
    <w:rsid w:val="3D094571"/>
    <w:rsid w:val="3D0B4A4E"/>
    <w:rsid w:val="3D0C4895"/>
    <w:rsid w:val="3D0D2931"/>
    <w:rsid w:val="3D100584"/>
    <w:rsid w:val="3D104F55"/>
    <w:rsid w:val="3D121CF5"/>
    <w:rsid w:val="3D166D5D"/>
    <w:rsid w:val="3D1859BB"/>
    <w:rsid w:val="3D185EA1"/>
    <w:rsid w:val="3D19589D"/>
    <w:rsid w:val="3D1B1286"/>
    <w:rsid w:val="3D1B3D51"/>
    <w:rsid w:val="3D1C3A6B"/>
    <w:rsid w:val="3D1D6E95"/>
    <w:rsid w:val="3D1E4B3E"/>
    <w:rsid w:val="3D204EED"/>
    <w:rsid w:val="3D231A2F"/>
    <w:rsid w:val="3D232155"/>
    <w:rsid w:val="3D2757A1"/>
    <w:rsid w:val="3D2A4D8E"/>
    <w:rsid w:val="3D2E6EA5"/>
    <w:rsid w:val="3D307B88"/>
    <w:rsid w:val="3D314871"/>
    <w:rsid w:val="3D3C24E8"/>
    <w:rsid w:val="3D3D6575"/>
    <w:rsid w:val="3D3D6BCC"/>
    <w:rsid w:val="3D3D6E92"/>
    <w:rsid w:val="3D3E037F"/>
    <w:rsid w:val="3D4010D7"/>
    <w:rsid w:val="3D404AB5"/>
    <w:rsid w:val="3D41766C"/>
    <w:rsid w:val="3D445684"/>
    <w:rsid w:val="3D4471C6"/>
    <w:rsid w:val="3D4553F5"/>
    <w:rsid w:val="3D4A4188"/>
    <w:rsid w:val="3D4C00E4"/>
    <w:rsid w:val="3D4F1BEB"/>
    <w:rsid w:val="3D4F421D"/>
    <w:rsid w:val="3D51592D"/>
    <w:rsid w:val="3D5812DD"/>
    <w:rsid w:val="3D595B76"/>
    <w:rsid w:val="3D5F318D"/>
    <w:rsid w:val="3D5F35D0"/>
    <w:rsid w:val="3D635879"/>
    <w:rsid w:val="3D6478B5"/>
    <w:rsid w:val="3D6858D5"/>
    <w:rsid w:val="3D686BE0"/>
    <w:rsid w:val="3D6B0A8B"/>
    <w:rsid w:val="3D6D72AC"/>
    <w:rsid w:val="3D7306A2"/>
    <w:rsid w:val="3D751FCF"/>
    <w:rsid w:val="3D7A6218"/>
    <w:rsid w:val="3D7B789B"/>
    <w:rsid w:val="3D7D39C6"/>
    <w:rsid w:val="3D827DBA"/>
    <w:rsid w:val="3D8507E0"/>
    <w:rsid w:val="3D851D0D"/>
    <w:rsid w:val="3D8570AA"/>
    <w:rsid w:val="3D863E59"/>
    <w:rsid w:val="3D867814"/>
    <w:rsid w:val="3D8B31BB"/>
    <w:rsid w:val="3D8C4848"/>
    <w:rsid w:val="3D8E1842"/>
    <w:rsid w:val="3D8E3295"/>
    <w:rsid w:val="3D8E38E0"/>
    <w:rsid w:val="3D8E5820"/>
    <w:rsid w:val="3D904A01"/>
    <w:rsid w:val="3D9077EA"/>
    <w:rsid w:val="3D9324BB"/>
    <w:rsid w:val="3D935C56"/>
    <w:rsid w:val="3D950ED5"/>
    <w:rsid w:val="3D974A3A"/>
    <w:rsid w:val="3D9B2B19"/>
    <w:rsid w:val="3D9D087F"/>
    <w:rsid w:val="3D9D62A6"/>
    <w:rsid w:val="3D9F0F5F"/>
    <w:rsid w:val="3D9F3413"/>
    <w:rsid w:val="3D9F495F"/>
    <w:rsid w:val="3DA142EB"/>
    <w:rsid w:val="3DA90EF9"/>
    <w:rsid w:val="3DAB697F"/>
    <w:rsid w:val="3DAF540A"/>
    <w:rsid w:val="3DB00360"/>
    <w:rsid w:val="3DB841CB"/>
    <w:rsid w:val="3DBA5E38"/>
    <w:rsid w:val="3DBB1BA6"/>
    <w:rsid w:val="3DBC58A9"/>
    <w:rsid w:val="3DC31907"/>
    <w:rsid w:val="3DC523E1"/>
    <w:rsid w:val="3DC52E68"/>
    <w:rsid w:val="3DC54A86"/>
    <w:rsid w:val="3DC54FBA"/>
    <w:rsid w:val="3DC643AC"/>
    <w:rsid w:val="3DC803BD"/>
    <w:rsid w:val="3DC86B46"/>
    <w:rsid w:val="3DC92CFC"/>
    <w:rsid w:val="3DCB524C"/>
    <w:rsid w:val="3DCB58C2"/>
    <w:rsid w:val="3DCF2E79"/>
    <w:rsid w:val="3DD01D33"/>
    <w:rsid w:val="3DD07B05"/>
    <w:rsid w:val="3DD42B85"/>
    <w:rsid w:val="3DD70031"/>
    <w:rsid w:val="3DD851B4"/>
    <w:rsid w:val="3DDB7244"/>
    <w:rsid w:val="3DDC1A74"/>
    <w:rsid w:val="3DDD05AD"/>
    <w:rsid w:val="3DDE4FF9"/>
    <w:rsid w:val="3DDF4B52"/>
    <w:rsid w:val="3DE04C2E"/>
    <w:rsid w:val="3DE0577E"/>
    <w:rsid w:val="3DE11F6F"/>
    <w:rsid w:val="3DE21C10"/>
    <w:rsid w:val="3DE2632D"/>
    <w:rsid w:val="3DE548B0"/>
    <w:rsid w:val="3DE55EB2"/>
    <w:rsid w:val="3DEB7F24"/>
    <w:rsid w:val="3DED13A8"/>
    <w:rsid w:val="3DED4400"/>
    <w:rsid w:val="3DEF013E"/>
    <w:rsid w:val="3DF07218"/>
    <w:rsid w:val="3DF24001"/>
    <w:rsid w:val="3DF338B5"/>
    <w:rsid w:val="3DF96E5F"/>
    <w:rsid w:val="3DFA4AB4"/>
    <w:rsid w:val="3DFB03D8"/>
    <w:rsid w:val="3DFC5657"/>
    <w:rsid w:val="3DFE24BD"/>
    <w:rsid w:val="3E003AE4"/>
    <w:rsid w:val="3E00614B"/>
    <w:rsid w:val="3E006490"/>
    <w:rsid w:val="3E0071A5"/>
    <w:rsid w:val="3E047890"/>
    <w:rsid w:val="3E053AD9"/>
    <w:rsid w:val="3E057611"/>
    <w:rsid w:val="3E066150"/>
    <w:rsid w:val="3E076A19"/>
    <w:rsid w:val="3E09490F"/>
    <w:rsid w:val="3E094923"/>
    <w:rsid w:val="3E0A3DC3"/>
    <w:rsid w:val="3E0B19A5"/>
    <w:rsid w:val="3E0B6E71"/>
    <w:rsid w:val="3E1039CB"/>
    <w:rsid w:val="3E130E62"/>
    <w:rsid w:val="3E1403F5"/>
    <w:rsid w:val="3E150160"/>
    <w:rsid w:val="3E162F6E"/>
    <w:rsid w:val="3E173924"/>
    <w:rsid w:val="3E173A67"/>
    <w:rsid w:val="3E17434F"/>
    <w:rsid w:val="3E197B99"/>
    <w:rsid w:val="3E200ADF"/>
    <w:rsid w:val="3E224186"/>
    <w:rsid w:val="3E22456F"/>
    <w:rsid w:val="3E246184"/>
    <w:rsid w:val="3E2642DC"/>
    <w:rsid w:val="3E2D460A"/>
    <w:rsid w:val="3E2F1ADA"/>
    <w:rsid w:val="3E300A32"/>
    <w:rsid w:val="3E30494E"/>
    <w:rsid w:val="3E321E4F"/>
    <w:rsid w:val="3E35544A"/>
    <w:rsid w:val="3E3B474C"/>
    <w:rsid w:val="3E3B796C"/>
    <w:rsid w:val="3E3C34CE"/>
    <w:rsid w:val="3E3C796E"/>
    <w:rsid w:val="3E42624E"/>
    <w:rsid w:val="3E473341"/>
    <w:rsid w:val="3E474B17"/>
    <w:rsid w:val="3E483C21"/>
    <w:rsid w:val="3E4B7E2B"/>
    <w:rsid w:val="3E4D7B46"/>
    <w:rsid w:val="3E502AD5"/>
    <w:rsid w:val="3E52518D"/>
    <w:rsid w:val="3E526FAD"/>
    <w:rsid w:val="3E563125"/>
    <w:rsid w:val="3E57610A"/>
    <w:rsid w:val="3E580CE6"/>
    <w:rsid w:val="3E5A1844"/>
    <w:rsid w:val="3E5C147A"/>
    <w:rsid w:val="3E5F4AA5"/>
    <w:rsid w:val="3E5F5CE2"/>
    <w:rsid w:val="3E622809"/>
    <w:rsid w:val="3E62722A"/>
    <w:rsid w:val="3E6B5B61"/>
    <w:rsid w:val="3E72445E"/>
    <w:rsid w:val="3E7561B1"/>
    <w:rsid w:val="3E773849"/>
    <w:rsid w:val="3E7B7D16"/>
    <w:rsid w:val="3E7E7BB4"/>
    <w:rsid w:val="3E8310FD"/>
    <w:rsid w:val="3E84016A"/>
    <w:rsid w:val="3E854E75"/>
    <w:rsid w:val="3E86735F"/>
    <w:rsid w:val="3E8A6F8D"/>
    <w:rsid w:val="3E8B2071"/>
    <w:rsid w:val="3E8B5FF3"/>
    <w:rsid w:val="3E8B7D8E"/>
    <w:rsid w:val="3E8C6401"/>
    <w:rsid w:val="3E8D1F7B"/>
    <w:rsid w:val="3E8F6B4B"/>
    <w:rsid w:val="3E954801"/>
    <w:rsid w:val="3E955D97"/>
    <w:rsid w:val="3E990745"/>
    <w:rsid w:val="3E9A6446"/>
    <w:rsid w:val="3E9B47D7"/>
    <w:rsid w:val="3E9D33F3"/>
    <w:rsid w:val="3EA12152"/>
    <w:rsid w:val="3EA6717E"/>
    <w:rsid w:val="3EAB0A31"/>
    <w:rsid w:val="3EAB197A"/>
    <w:rsid w:val="3EAC4C2C"/>
    <w:rsid w:val="3EB10EEF"/>
    <w:rsid w:val="3EB174D3"/>
    <w:rsid w:val="3EB60367"/>
    <w:rsid w:val="3EB63817"/>
    <w:rsid w:val="3EB75E9C"/>
    <w:rsid w:val="3EB87251"/>
    <w:rsid w:val="3EB91796"/>
    <w:rsid w:val="3EB92D6E"/>
    <w:rsid w:val="3EBA0559"/>
    <w:rsid w:val="3EBB4189"/>
    <w:rsid w:val="3EBF1A09"/>
    <w:rsid w:val="3EBF3F87"/>
    <w:rsid w:val="3EBF5484"/>
    <w:rsid w:val="3EC02D0B"/>
    <w:rsid w:val="3EC321EE"/>
    <w:rsid w:val="3EC80BF5"/>
    <w:rsid w:val="3EC95D86"/>
    <w:rsid w:val="3ECB2BF0"/>
    <w:rsid w:val="3ECD202D"/>
    <w:rsid w:val="3ED050BD"/>
    <w:rsid w:val="3ED15B5B"/>
    <w:rsid w:val="3ED41958"/>
    <w:rsid w:val="3EDB6A38"/>
    <w:rsid w:val="3EDC25BB"/>
    <w:rsid w:val="3EDE5FEE"/>
    <w:rsid w:val="3EE0646F"/>
    <w:rsid w:val="3EE1621B"/>
    <w:rsid w:val="3EE22010"/>
    <w:rsid w:val="3EE53B65"/>
    <w:rsid w:val="3EE56B45"/>
    <w:rsid w:val="3EEA2505"/>
    <w:rsid w:val="3EEB1504"/>
    <w:rsid w:val="3EEB2467"/>
    <w:rsid w:val="3EED6576"/>
    <w:rsid w:val="3EF040BC"/>
    <w:rsid w:val="3EF22F19"/>
    <w:rsid w:val="3EF7319B"/>
    <w:rsid w:val="3EFA2B3E"/>
    <w:rsid w:val="3EFB4B24"/>
    <w:rsid w:val="3EFC3DC5"/>
    <w:rsid w:val="3EFD17C1"/>
    <w:rsid w:val="3EFD69CE"/>
    <w:rsid w:val="3EFE4C27"/>
    <w:rsid w:val="3EFF274B"/>
    <w:rsid w:val="3F031E9B"/>
    <w:rsid w:val="3F040C3C"/>
    <w:rsid w:val="3F0826B6"/>
    <w:rsid w:val="3F0D5847"/>
    <w:rsid w:val="3F100B54"/>
    <w:rsid w:val="3F110C6C"/>
    <w:rsid w:val="3F1210E4"/>
    <w:rsid w:val="3F12323C"/>
    <w:rsid w:val="3F131C24"/>
    <w:rsid w:val="3F1D650A"/>
    <w:rsid w:val="3F1E0E25"/>
    <w:rsid w:val="3F21053C"/>
    <w:rsid w:val="3F214472"/>
    <w:rsid w:val="3F260AC0"/>
    <w:rsid w:val="3F295E75"/>
    <w:rsid w:val="3F2B565F"/>
    <w:rsid w:val="3F2C3F45"/>
    <w:rsid w:val="3F2E3B78"/>
    <w:rsid w:val="3F2E5303"/>
    <w:rsid w:val="3F36100B"/>
    <w:rsid w:val="3F36247B"/>
    <w:rsid w:val="3F375A43"/>
    <w:rsid w:val="3F394A59"/>
    <w:rsid w:val="3F395C5F"/>
    <w:rsid w:val="3F3A0B1A"/>
    <w:rsid w:val="3F3B4C3C"/>
    <w:rsid w:val="3F3E44BE"/>
    <w:rsid w:val="3F3F333C"/>
    <w:rsid w:val="3F400F22"/>
    <w:rsid w:val="3F45783C"/>
    <w:rsid w:val="3F497EB1"/>
    <w:rsid w:val="3F4A34F3"/>
    <w:rsid w:val="3F4C1DC3"/>
    <w:rsid w:val="3F4C5C20"/>
    <w:rsid w:val="3F5374CE"/>
    <w:rsid w:val="3F5401F2"/>
    <w:rsid w:val="3F547A3D"/>
    <w:rsid w:val="3F5572DE"/>
    <w:rsid w:val="3F5577E0"/>
    <w:rsid w:val="3F5811FA"/>
    <w:rsid w:val="3F5B13BB"/>
    <w:rsid w:val="3F5B3D7F"/>
    <w:rsid w:val="3F5B5BD6"/>
    <w:rsid w:val="3F5D7767"/>
    <w:rsid w:val="3F5F3992"/>
    <w:rsid w:val="3F670616"/>
    <w:rsid w:val="3F67457A"/>
    <w:rsid w:val="3F6B2841"/>
    <w:rsid w:val="3F6D24D6"/>
    <w:rsid w:val="3F6D626B"/>
    <w:rsid w:val="3F7041B8"/>
    <w:rsid w:val="3F784E72"/>
    <w:rsid w:val="3F79486F"/>
    <w:rsid w:val="3F7B1D20"/>
    <w:rsid w:val="3F7C1932"/>
    <w:rsid w:val="3F7E3CE4"/>
    <w:rsid w:val="3F7F066D"/>
    <w:rsid w:val="3F8425B7"/>
    <w:rsid w:val="3F84392E"/>
    <w:rsid w:val="3F870A55"/>
    <w:rsid w:val="3F8A3063"/>
    <w:rsid w:val="3F8A4A04"/>
    <w:rsid w:val="3F8C2233"/>
    <w:rsid w:val="3F915055"/>
    <w:rsid w:val="3F9178A4"/>
    <w:rsid w:val="3F935763"/>
    <w:rsid w:val="3F947F45"/>
    <w:rsid w:val="3F981351"/>
    <w:rsid w:val="3F9B3902"/>
    <w:rsid w:val="3F9C6DC6"/>
    <w:rsid w:val="3F9F236E"/>
    <w:rsid w:val="3FA05CDE"/>
    <w:rsid w:val="3FA1535D"/>
    <w:rsid w:val="3FA37CB4"/>
    <w:rsid w:val="3FA40226"/>
    <w:rsid w:val="3FA416A0"/>
    <w:rsid w:val="3FA551B0"/>
    <w:rsid w:val="3FA86638"/>
    <w:rsid w:val="3FA94B93"/>
    <w:rsid w:val="3FAF5251"/>
    <w:rsid w:val="3FAF6784"/>
    <w:rsid w:val="3FB13FB4"/>
    <w:rsid w:val="3FB1678D"/>
    <w:rsid w:val="3FB6237A"/>
    <w:rsid w:val="3FB9033E"/>
    <w:rsid w:val="3FB912A1"/>
    <w:rsid w:val="3FB94BA5"/>
    <w:rsid w:val="3FBA18A9"/>
    <w:rsid w:val="3FBD1C66"/>
    <w:rsid w:val="3FC55304"/>
    <w:rsid w:val="3FC73196"/>
    <w:rsid w:val="3FC736B1"/>
    <w:rsid w:val="3FCC3191"/>
    <w:rsid w:val="3FCD17B6"/>
    <w:rsid w:val="3FCD282A"/>
    <w:rsid w:val="3FCE0156"/>
    <w:rsid w:val="3FCE3BD5"/>
    <w:rsid w:val="3FD17C46"/>
    <w:rsid w:val="3FD6724D"/>
    <w:rsid w:val="3FD7170F"/>
    <w:rsid w:val="3FDB715D"/>
    <w:rsid w:val="3FE1063B"/>
    <w:rsid w:val="3FE16803"/>
    <w:rsid w:val="3FE57645"/>
    <w:rsid w:val="3FE627C5"/>
    <w:rsid w:val="3FE67A7D"/>
    <w:rsid w:val="3FEB39D0"/>
    <w:rsid w:val="3FEF27BC"/>
    <w:rsid w:val="3FF25E6E"/>
    <w:rsid w:val="3FF45B99"/>
    <w:rsid w:val="3FF46A69"/>
    <w:rsid w:val="3FF673A7"/>
    <w:rsid w:val="40003A47"/>
    <w:rsid w:val="400131CD"/>
    <w:rsid w:val="400144E2"/>
    <w:rsid w:val="40025480"/>
    <w:rsid w:val="400B2CF7"/>
    <w:rsid w:val="400F1CB3"/>
    <w:rsid w:val="400F1DB6"/>
    <w:rsid w:val="401258C4"/>
    <w:rsid w:val="40167D4F"/>
    <w:rsid w:val="401C5365"/>
    <w:rsid w:val="401D10DD"/>
    <w:rsid w:val="401E50FF"/>
    <w:rsid w:val="401F275D"/>
    <w:rsid w:val="401F4E55"/>
    <w:rsid w:val="402204A1"/>
    <w:rsid w:val="402539A8"/>
    <w:rsid w:val="4028049C"/>
    <w:rsid w:val="402A6D50"/>
    <w:rsid w:val="402A7653"/>
    <w:rsid w:val="402E5098"/>
    <w:rsid w:val="403008AB"/>
    <w:rsid w:val="40307062"/>
    <w:rsid w:val="40383B92"/>
    <w:rsid w:val="403A2FC0"/>
    <w:rsid w:val="403B098F"/>
    <w:rsid w:val="403D26A1"/>
    <w:rsid w:val="40402324"/>
    <w:rsid w:val="40414DCB"/>
    <w:rsid w:val="4042308D"/>
    <w:rsid w:val="40474EEC"/>
    <w:rsid w:val="404C1BD4"/>
    <w:rsid w:val="404F1D4A"/>
    <w:rsid w:val="404F405D"/>
    <w:rsid w:val="4050426F"/>
    <w:rsid w:val="40504E85"/>
    <w:rsid w:val="405234BB"/>
    <w:rsid w:val="40545272"/>
    <w:rsid w:val="40556AC9"/>
    <w:rsid w:val="405C085C"/>
    <w:rsid w:val="405E0CA1"/>
    <w:rsid w:val="405E3C94"/>
    <w:rsid w:val="405F3257"/>
    <w:rsid w:val="40692574"/>
    <w:rsid w:val="406E2578"/>
    <w:rsid w:val="407B2777"/>
    <w:rsid w:val="407D392A"/>
    <w:rsid w:val="40814AE7"/>
    <w:rsid w:val="40881662"/>
    <w:rsid w:val="40896772"/>
    <w:rsid w:val="408C0FBC"/>
    <w:rsid w:val="408E7341"/>
    <w:rsid w:val="408F4600"/>
    <w:rsid w:val="4090046F"/>
    <w:rsid w:val="40912665"/>
    <w:rsid w:val="409273D5"/>
    <w:rsid w:val="409405F8"/>
    <w:rsid w:val="4095795F"/>
    <w:rsid w:val="409732D4"/>
    <w:rsid w:val="409D7290"/>
    <w:rsid w:val="409E05AF"/>
    <w:rsid w:val="409E66DA"/>
    <w:rsid w:val="40A10D10"/>
    <w:rsid w:val="40A13ABC"/>
    <w:rsid w:val="40A6562D"/>
    <w:rsid w:val="40AD656F"/>
    <w:rsid w:val="40B33E41"/>
    <w:rsid w:val="40B45FC0"/>
    <w:rsid w:val="40B51C9B"/>
    <w:rsid w:val="40BC6B48"/>
    <w:rsid w:val="40BE555C"/>
    <w:rsid w:val="40C22FC0"/>
    <w:rsid w:val="40C23E8F"/>
    <w:rsid w:val="40C61775"/>
    <w:rsid w:val="40CC0F11"/>
    <w:rsid w:val="40CD2F92"/>
    <w:rsid w:val="40CF1620"/>
    <w:rsid w:val="40CF1B6E"/>
    <w:rsid w:val="40CF23D7"/>
    <w:rsid w:val="40CF6F9D"/>
    <w:rsid w:val="40D02DE0"/>
    <w:rsid w:val="40D07A79"/>
    <w:rsid w:val="40D659F7"/>
    <w:rsid w:val="40D7128C"/>
    <w:rsid w:val="40DD6D52"/>
    <w:rsid w:val="40DF5E63"/>
    <w:rsid w:val="40E2450E"/>
    <w:rsid w:val="40E638D8"/>
    <w:rsid w:val="40E750A0"/>
    <w:rsid w:val="40E77274"/>
    <w:rsid w:val="40EA49FF"/>
    <w:rsid w:val="40EC54ED"/>
    <w:rsid w:val="40EF43EC"/>
    <w:rsid w:val="40F17118"/>
    <w:rsid w:val="40F273ED"/>
    <w:rsid w:val="40F47688"/>
    <w:rsid w:val="40F47E2D"/>
    <w:rsid w:val="40F54D89"/>
    <w:rsid w:val="40F72151"/>
    <w:rsid w:val="40F74B9A"/>
    <w:rsid w:val="40FA5839"/>
    <w:rsid w:val="40FE400D"/>
    <w:rsid w:val="410061AC"/>
    <w:rsid w:val="4101455B"/>
    <w:rsid w:val="410A771C"/>
    <w:rsid w:val="410B027C"/>
    <w:rsid w:val="411029F0"/>
    <w:rsid w:val="411372D5"/>
    <w:rsid w:val="4114404A"/>
    <w:rsid w:val="41180CA3"/>
    <w:rsid w:val="411917F4"/>
    <w:rsid w:val="411B1373"/>
    <w:rsid w:val="41211C91"/>
    <w:rsid w:val="41232723"/>
    <w:rsid w:val="4124317D"/>
    <w:rsid w:val="41270465"/>
    <w:rsid w:val="41286F0B"/>
    <w:rsid w:val="4129455A"/>
    <w:rsid w:val="412C1CD5"/>
    <w:rsid w:val="412C6429"/>
    <w:rsid w:val="412D5350"/>
    <w:rsid w:val="412D79B9"/>
    <w:rsid w:val="41321CD8"/>
    <w:rsid w:val="41362456"/>
    <w:rsid w:val="4136341B"/>
    <w:rsid w:val="41367BB2"/>
    <w:rsid w:val="413811ED"/>
    <w:rsid w:val="41387922"/>
    <w:rsid w:val="413977B6"/>
    <w:rsid w:val="413A0B2D"/>
    <w:rsid w:val="413A1BB8"/>
    <w:rsid w:val="413A6496"/>
    <w:rsid w:val="413C30F4"/>
    <w:rsid w:val="413C5593"/>
    <w:rsid w:val="413E3EE9"/>
    <w:rsid w:val="413F0039"/>
    <w:rsid w:val="41410DB1"/>
    <w:rsid w:val="41411263"/>
    <w:rsid w:val="414132AA"/>
    <w:rsid w:val="41425C96"/>
    <w:rsid w:val="41484A97"/>
    <w:rsid w:val="414A0A35"/>
    <w:rsid w:val="414C257F"/>
    <w:rsid w:val="414C2FE2"/>
    <w:rsid w:val="414C60A1"/>
    <w:rsid w:val="414D5C28"/>
    <w:rsid w:val="41536DC3"/>
    <w:rsid w:val="41540B2E"/>
    <w:rsid w:val="415428DD"/>
    <w:rsid w:val="41543FA7"/>
    <w:rsid w:val="41562B98"/>
    <w:rsid w:val="41570055"/>
    <w:rsid w:val="4157145A"/>
    <w:rsid w:val="415835B4"/>
    <w:rsid w:val="4159523E"/>
    <w:rsid w:val="41597DC9"/>
    <w:rsid w:val="415B010F"/>
    <w:rsid w:val="415B61D8"/>
    <w:rsid w:val="415C6413"/>
    <w:rsid w:val="41600E1A"/>
    <w:rsid w:val="416B6DAF"/>
    <w:rsid w:val="416C15D9"/>
    <w:rsid w:val="416C3198"/>
    <w:rsid w:val="416C5E78"/>
    <w:rsid w:val="416D70EF"/>
    <w:rsid w:val="416E6667"/>
    <w:rsid w:val="417317C9"/>
    <w:rsid w:val="4176473A"/>
    <w:rsid w:val="41786A61"/>
    <w:rsid w:val="417967E7"/>
    <w:rsid w:val="417A5A2B"/>
    <w:rsid w:val="417C114C"/>
    <w:rsid w:val="41807B75"/>
    <w:rsid w:val="41810341"/>
    <w:rsid w:val="418479B8"/>
    <w:rsid w:val="418541FB"/>
    <w:rsid w:val="41856869"/>
    <w:rsid w:val="418963BF"/>
    <w:rsid w:val="418A107C"/>
    <w:rsid w:val="418A491B"/>
    <w:rsid w:val="418B5E7D"/>
    <w:rsid w:val="418C2268"/>
    <w:rsid w:val="418D5DEE"/>
    <w:rsid w:val="418E7C8B"/>
    <w:rsid w:val="41901586"/>
    <w:rsid w:val="41974FA5"/>
    <w:rsid w:val="41980462"/>
    <w:rsid w:val="4199356D"/>
    <w:rsid w:val="419A33E4"/>
    <w:rsid w:val="419A6CBB"/>
    <w:rsid w:val="419C4A6C"/>
    <w:rsid w:val="419D3729"/>
    <w:rsid w:val="41A04356"/>
    <w:rsid w:val="41A067F4"/>
    <w:rsid w:val="41A06BDB"/>
    <w:rsid w:val="41A37FCB"/>
    <w:rsid w:val="41A621AE"/>
    <w:rsid w:val="41A6520F"/>
    <w:rsid w:val="41A77BCC"/>
    <w:rsid w:val="41AA1C5A"/>
    <w:rsid w:val="41AF1272"/>
    <w:rsid w:val="41B25E54"/>
    <w:rsid w:val="41B411E1"/>
    <w:rsid w:val="41B4236E"/>
    <w:rsid w:val="41B4781F"/>
    <w:rsid w:val="41B55D1B"/>
    <w:rsid w:val="41B63597"/>
    <w:rsid w:val="41B7340F"/>
    <w:rsid w:val="41B80C5C"/>
    <w:rsid w:val="41B810BD"/>
    <w:rsid w:val="41B95CBD"/>
    <w:rsid w:val="41BB6E00"/>
    <w:rsid w:val="41C30CD7"/>
    <w:rsid w:val="41C61D12"/>
    <w:rsid w:val="41C82DE4"/>
    <w:rsid w:val="41C87080"/>
    <w:rsid w:val="41CA2B9F"/>
    <w:rsid w:val="41CA3EA7"/>
    <w:rsid w:val="41CB4DF1"/>
    <w:rsid w:val="41CC3178"/>
    <w:rsid w:val="41CC7DDB"/>
    <w:rsid w:val="41D05515"/>
    <w:rsid w:val="41D50D2E"/>
    <w:rsid w:val="41D74882"/>
    <w:rsid w:val="41D81760"/>
    <w:rsid w:val="41DF28BD"/>
    <w:rsid w:val="41E14071"/>
    <w:rsid w:val="41E26A4B"/>
    <w:rsid w:val="41E33C60"/>
    <w:rsid w:val="41E52879"/>
    <w:rsid w:val="41E97F8B"/>
    <w:rsid w:val="41EA713F"/>
    <w:rsid w:val="41EB5D1F"/>
    <w:rsid w:val="41ED1624"/>
    <w:rsid w:val="41EE26C9"/>
    <w:rsid w:val="41EE4ADF"/>
    <w:rsid w:val="41F0244C"/>
    <w:rsid w:val="41F14572"/>
    <w:rsid w:val="41F320F5"/>
    <w:rsid w:val="41F33FC2"/>
    <w:rsid w:val="41F504EF"/>
    <w:rsid w:val="41F80D3E"/>
    <w:rsid w:val="41F84884"/>
    <w:rsid w:val="41FA4892"/>
    <w:rsid w:val="41FA52B4"/>
    <w:rsid w:val="41FB6DB9"/>
    <w:rsid w:val="41FC7C22"/>
    <w:rsid w:val="41FE2170"/>
    <w:rsid w:val="420049FD"/>
    <w:rsid w:val="420267DC"/>
    <w:rsid w:val="420460B1"/>
    <w:rsid w:val="42081615"/>
    <w:rsid w:val="42093ABE"/>
    <w:rsid w:val="420A2212"/>
    <w:rsid w:val="420B2ED4"/>
    <w:rsid w:val="420D418B"/>
    <w:rsid w:val="42124237"/>
    <w:rsid w:val="42125AED"/>
    <w:rsid w:val="4212615C"/>
    <w:rsid w:val="42145190"/>
    <w:rsid w:val="42155ED0"/>
    <w:rsid w:val="4216269E"/>
    <w:rsid w:val="421729DE"/>
    <w:rsid w:val="42186000"/>
    <w:rsid w:val="421906CE"/>
    <w:rsid w:val="421A293F"/>
    <w:rsid w:val="421A58D4"/>
    <w:rsid w:val="421B198D"/>
    <w:rsid w:val="421B5630"/>
    <w:rsid w:val="421C5F3B"/>
    <w:rsid w:val="42224789"/>
    <w:rsid w:val="42242413"/>
    <w:rsid w:val="42246753"/>
    <w:rsid w:val="42251930"/>
    <w:rsid w:val="42364826"/>
    <w:rsid w:val="42365072"/>
    <w:rsid w:val="423A41C8"/>
    <w:rsid w:val="423B417B"/>
    <w:rsid w:val="423F7019"/>
    <w:rsid w:val="4242450A"/>
    <w:rsid w:val="42440BA3"/>
    <w:rsid w:val="42444AC6"/>
    <w:rsid w:val="424757AB"/>
    <w:rsid w:val="42482511"/>
    <w:rsid w:val="424A56E4"/>
    <w:rsid w:val="424B568F"/>
    <w:rsid w:val="424C1EAF"/>
    <w:rsid w:val="424D48A7"/>
    <w:rsid w:val="42501F8B"/>
    <w:rsid w:val="4251142E"/>
    <w:rsid w:val="4251506E"/>
    <w:rsid w:val="425451F1"/>
    <w:rsid w:val="4257435F"/>
    <w:rsid w:val="42591487"/>
    <w:rsid w:val="425A6618"/>
    <w:rsid w:val="425D308B"/>
    <w:rsid w:val="425E0413"/>
    <w:rsid w:val="425F1B51"/>
    <w:rsid w:val="42673CBE"/>
    <w:rsid w:val="42693067"/>
    <w:rsid w:val="426C6D1E"/>
    <w:rsid w:val="426E2980"/>
    <w:rsid w:val="426E4935"/>
    <w:rsid w:val="426F3221"/>
    <w:rsid w:val="4271068E"/>
    <w:rsid w:val="42753F2E"/>
    <w:rsid w:val="42756136"/>
    <w:rsid w:val="42766B54"/>
    <w:rsid w:val="42777BF0"/>
    <w:rsid w:val="427A1ACA"/>
    <w:rsid w:val="427B0C7C"/>
    <w:rsid w:val="427C6278"/>
    <w:rsid w:val="4281157F"/>
    <w:rsid w:val="4283535B"/>
    <w:rsid w:val="4283791D"/>
    <w:rsid w:val="4287540F"/>
    <w:rsid w:val="42880A40"/>
    <w:rsid w:val="428D6C68"/>
    <w:rsid w:val="428E1E1E"/>
    <w:rsid w:val="428F7FCF"/>
    <w:rsid w:val="42903769"/>
    <w:rsid w:val="42942E80"/>
    <w:rsid w:val="42944153"/>
    <w:rsid w:val="4295062A"/>
    <w:rsid w:val="42970BED"/>
    <w:rsid w:val="429B4D5F"/>
    <w:rsid w:val="429E0438"/>
    <w:rsid w:val="429F3E3B"/>
    <w:rsid w:val="429F402B"/>
    <w:rsid w:val="42A359F3"/>
    <w:rsid w:val="42A85E8D"/>
    <w:rsid w:val="42AC1F67"/>
    <w:rsid w:val="42B00B95"/>
    <w:rsid w:val="42B215D3"/>
    <w:rsid w:val="42B22EE1"/>
    <w:rsid w:val="42B555FD"/>
    <w:rsid w:val="42BA086A"/>
    <w:rsid w:val="42BC45A7"/>
    <w:rsid w:val="42BD67E8"/>
    <w:rsid w:val="42BE31AA"/>
    <w:rsid w:val="42C121F4"/>
    <w:rsid w:val="42C359AA"/>
    <w:rsid w:val="42C52FD7"/>
    <w:rsid w:val="42C64C0A"/>
    <w:rsid w:val="42C764B6"/>
    <w:rsid w:val="42C768BF"/>
    <w:rsid w:val="42D0072B"/>
    <w:rsid w:val="42D27F5D"/>
    <w:rsid w:val="42D34521"/>
    <w:rsid w:val="42D5453C"/>
    <w:rsid w:val="42D66736"/>
    <w:rsid w:val="42D66C73"/>
    <w:rsid w:val="42D80AF1"/>
    <w:rsid w:val="42DC0DDB"/>
    <w:rsid w:val="42DE34FB"/>
    <w:rsid w:val="42E23C0C"/>
    <w:rsid w:val="42E4268D"/>
    <w:rsid w:val="42E43514"/>
    <w:rsid w:val="42E436CE"/>
    <w:rsid w:val="42E67EAC"/>
    <w:rsid w:val="42E70532"/>
    <w:rsid w:val="42E942DF"/>
    <w:rsid w:val="42EA1B91"/>
    <w:rsid w:val="42EB6C4A"/>
    <w:rsid w:val="42EF2E64"/>
    <w:rsid w:val="42EF4FB3"/>
    <w:rsid w:val="42F078E0"/>
    <w:rsid w:val="42F1683B"/>
    <w:rsid w:val="42FC5F2B"/>
    <w:rsid w:val="42FD47B2"/>
    <w:rsid w:val="42FE4AAC"/>
    <w:rsid w:val="43021DC4"/>
    <w:rsid w:val="43044165"/>
    <w:rsid w:val="43052838"/>
    <w:rsid w:val="430656B0"/>
    <w:rsid w:val="430A4D97"/>
    <w:rsid w:val="430B3E56"/>
    <w:rsid w:val="430C3C05"/>
    <w:rsid w:val="43132D91"/>
    <w:rsid w:val="4315253F"/>
    <w:rsid w:val="43164CCF"/>
    <w:rsid w:val="4317399E"/>
    <w:rsid w:val="43174E68"/>
    <w:rsid w:val="431813AB"/>
    <w:rsid w:val="431B3B2F"/>
    <w:rsid w:val="4322160E"/>
    <w:rsid w:val="43233383"/>
    <w:rsid w:val="43234E4F"/>
    <w:rsid w:val="43236469"/>
    <w:rsid w:val="432664FB"/>
    <w:rsid w:val="4327387A"/>
    <w:rsid w:val="43296A7A"/>
    <w:rsid w:val="432B495E"/>
    <w:rsid w:val="432C320B"/>
    <w:rsid w:val="432D3AD7"/>
    <w:rsid w:val="432D5ADB"/>
    <w:rsid w:val="43317379"/>
    <w:rsid w:val="4333447D"/>
    <w:rsid w:val="4334445E"/>
    <w:rsid w:val="43346407"/>
    <w:rsid w:val="43360F7A"/>
    <w:rsid w:val="43374449"/>
    <w:rsid w:val="433E3692"/>
    <w:rsid w:val="434436DB"/>
    <w:rsid w:val="43456981"/>
    <w:rsid w:val="43466528"/>
    <w:rsid w:val="43470E11"/>
    <w:rsid w:val="434834E3"/>
    <w:rsid w:val="43490CFF"/>
    <w:rsid w:val="43496350"/>
    <w:rsid w:val="434B1DFE"/>
    <w:rsid w:val="434C3C97"/>
    <w:rsid w:val="434C6FF4"/>
    <w:rsid w:val="435242DC"/>
    <w:rsid w:val="4355407A"/>
    <w:rsid w:val="435771A0"/>
    <w:rsid w:val="43580780"/>
    <w:rsid w:val="435917B7"/>
    <w:rsid w:val="435968D0"/>
    <w:rsid w:val="435D02C0"/>
    <w:rsid w:val="435D4A4B"/>
    <w:rsid w:val="435E3EE6"/>
    <w:rsid w:val="435E41F6"/>
    <w:rsid w:val="435E488A"/>
    <w:rsid w:val="436112E1"/>
    <w:rsid w:val="43631FCA"/>
    <w:rsid w:val="43652C7B"/>
    <w:rsid w:val="43675A55"/>
    <w:rsid w:val="43681043"/>
    <w:rsid w:val="436866A7"/>
    <w:rsid w:val="436A5126"/>
    <w:rsid w:val="436E06EB"/>
    <w:rsid w:val="436F1C50"/>
    <w:rsid w:val="436F66AA"/>
    <w:rsid w:val="43700083"/>
    <w:rsid w:val="43712516"/>
    <w:rsid w:val="43770999"/>
    <w:rsid w:val="43771ECC"/>
    <w:rsid w:val="4378324A"/>
    <w:rsid w:val="437A36EB"/>
    <w:rsid w:val="437A6643"/>
    <w:rsid w:val="437B23A2"/>
    <w:rsid w:val="437B7663"/>
    <w:rsid w:val="437C5863"/>
    <w:rsid w:val="438515B1"/>
    <w:rsid w:val="43855C84"/>
    <w:rsid w:val="43881319"/>
    <w:rsid w:val="438A75D9"/>
    <w:rsid w:val="438F5E4E"/>
    <w:rsid w:val="438F6099"/>
    <w:rsid w:val="4390679E"/>
    <w:rsid w:val="43917E18"/>
    <w:rsid w:val="439416B6"/>
    <w:rsid w:val="439711A6"/>
    <w:rsid w:val="43972A9D"/>
    <w:rsid w:val="43972F54"/>
    <w:rsid w:val="439C4B7A"/>
    <w:rsid w:val="439C7C75"/>
    <w:rsid w:val="439F4615"/>
    <w:rsid w:val="43A044FF"/>
    <w:rsid w:val="43A04CA0"/>
    <w:rsid w:val="43A12593"/>
    <w:rsid w:val="43A1330E"/>
    <w:rsid w:val="43A40AF1"/>
    <w:rsid w:val="43A461F6"/>
    <w:rsid w:val="43A750D9"/>
    <w:rsid w:val="43A86110"/>
    <w:rsid w:val="43AC07ED"/>
    <w:rsid w:val="43AD4526"/>
    <w:rsid w:val="43B14016"/>
    <w:rsid w:val="43BA6AE8"/>
    <w:rsid w:val="43BC2CF4"/>
    <w:rsid w:val="43BD17FC"/>
    <w:rsid w:val="43BF6928"/>
    <w:rsid w:val="43C024AB"/>
    <w:rsid w:val="43C11A86"/>
    <w:rsid w:val="43C37940"/>
    <w:rsid w:val="43C52DD9"/>
    <w:rsid w:val="43C718D2"/>
    <w:rsid w:val="43C86379"/>
    <w:rsid w:val="43CA5BC6"/>
    <w:rsid w:val="43CB391D"/>
    <w:rsid w:val="43CB3CBC"/>
    <w:rsid w:val="43CB3DE3"/>
    <w:rsid w:val="43D1387B"/>
    <w:rsid w:val="43D16FFD"/>
    <w:rsid w:val="43D2355D"/>
    <w:rsid w:val="43D36549"/>
    <w:rsid w:val="43D41760"/>
    <w:rsid w:val="43D8569B"/>
    <w:rsid w:val="43D9356D"/>
    <w:rsid w:val="43D9479F"/>
    <w:rsid w:val="43DA67B6"/>
    <w:rsid w:val="43DC49F6"/>
    <w:rsid w:val="43DE0B83"/>
    <w:rsid w:val="43E16EED"/>
    <w:rsid w:val="43E234BF"/>
    <w:rsid w:val="43E2633E"/>
    <w:rsid w:val="43E70E4E"/>
    <w:rsid w:val="43E757F1"/>
    <w:rsid w:val="43EA00B3"/>
    <w:rsid w:val="43EA1508"/>
    <w:rsid w:val="43EA5364"/>
    <w:rsid w:val="43EB34E7"/>
    <w:rsid w:val="43EC72BE"/>
    <w:rsid w:val="43EE526A"/>
    <w:rsid w:val="43F44D34"/>
    <w:rsid w:val="43F61248"/>
    <w:rsid w:val="43F81C45"/>
    <w:rsid w:val="43FC2EE4"/>
    <w:rsid w:val="43FE181D"/>
    <w:rsid w:val="4401215F"/>
    <w:rsid w:val="44016D44"/>
    <w:rsid w:val="44034074"/>
    <w:rsid w:val="440409FA"/>
    <w:rsid w:val="44046630"/>
    <w:rsid w:val="44050603"/>
    <w:rsid w:val="440B5876"/>
    <w:rsid w:val="440D6AFA"/>
    <w:rsid w:val="440E4C73"/>
    <w:rsid w:val="441101DB"/>
    <w:rsid w:val="4411049D"/>
    <w:rsid w:val="441137F1"/>
    <w:rsid w:val="44127B87"/>
    <w:rsid w:val="44130CD4"/>
    <w:rsid w:val="44153270"/>
    <w:rsid w:val="441A2C3A"/>
    <w:rsid w:val="441B4E06"/>
    <w:rsid w:val="441C08BD"/>
    <w:rsid w:val="441D174D"/>
    <w:rsid w:val="441E1F24"/>
    <w:rsid w:val="4425344B"/>
    <w:rsid w:val="44272BFC"/>
    <w:rsid w:val="4427748B"/>
    <w:rsid w:val="4428485C"/>
    <w:rsid w:val="44290655"/>
    <w:rsid w:val="442A5B49"/>
    <w:rsid w:val="442C0D07"/>
    <w:rsid w:val="442D5198"/>
    <w:rsid w:val="442F34C9"/>
    <w:rsid w:val="443600D1"/>
    <w:rsid w:val="443831BD"/>
    <w:rsid w:val="443B224B"/>
    <w:rsid w:val="443C2926"/>
    <w:rsid w:val="44416637"/>
    <w:rsid w:val="444218C6"/>
    <w:rsid w:val="444249CD"/>
    <w:rsid w:val="44437C71"/>
    <w:rsid w:val="444518ED"/>
    <w:rsid w:val="44464FBC"/>
    <w:rsid w:val="444906A4"/>
    <w:rsid w:val="444B751E"/>
    <w:rsid w:val="444C0EE3"/>
    <w:rsid w:val="444C2589"/>
    <w:rsid w:val="444C2E64"/>
    <w:rsid w:val="444E5AC8"/>
    <w:rsid w:val="445009B7"/>
    <w:rsid w:val="44507CD3"/>
    <w:rsid w:val="445177BB"/>
    <w:rsid w:val="44542D53"/>
    <w:rsid w:val="4455528C"/>
    <w:rsid w:val="44562A0B"/>
    <w:rsid w:val="445723BD"/>
    <w:rsid w:val="44591BF5"/>
    <w:rsid w:val="445A20F5"/>
    <w:rsid w:val="445F1EF3"/>
    <w:rsid w:val="445F7F77"/>
    <w:rsid w:val="4461572C"/>
    <w:rsid w:val="44633718"/>
    <w:rsid w:val="446552AC"/>
    <w:rsid w:val="44686170"/>
    <w:rsid w:val="44687B60"/>
    <w:rsid w:val="446A6C18"/>
    <w:rsid w:val="446C63BC"/>
    <w:rsid w:val="446C7895"/>
    <w:rsid w:val="44727C49"/>
    <w:rsid w:val="44760DBC"/>
    <w:rsid w:val="447B2155"/>
    <w:rsid w:val="447E34CE"/>
    <w:rsid w:val="44800CC0"/>
    <w:rsid w:val="448103C2"/>
    <w:rsid w:val="44841F92"/>
    <w:rsid w:val="44894F93"/>
    <w:rsid w:val="448B0D0B"/>
    <w:rsid w:val="44937BC0"/>
    <w:rsid w:val="44940544"/>
    <w:rsid w:val="449565F4"/>
    <w:rsid w:val="44957D62"/>
    <w:rsid w:val="44986F84"/>
    <w:rsid w:val="449E1768"/>
    <w:rsid w:val="44A55A8C"/>
    <w:rsid w:val="44A62271"/>
    <w:rsid w:val="44A666EE"/>
    <w:rsid w:val="44A71A4C"/>
    <w:rsid w:val="44A83E45"/>
    <w:rsid w:val="44AA5435"/>
    <w:rsid w:val="44B042CE"/>
    <w:rsid w:val="44B14502"/>
    <w:rsid w:val="44B30262"/>
    <w:rsid w:val="44B43B53"/>
    <w:rsid w:val="44B62FF7"/>
    <w:rsid w:val="44B96E17"/>
    <w:rsid w:val="44BB7B1F"/>
    <w:rsid w:val="44BF4438"/>
    <w:rsid w:val="44C12732"/>
    <w:rsid w:val="44C22034"/>
    <w:rsid w:val="44C45D51"/>
    <w:rsid w:val="44C534B8"/>
    <w:rsid w:val="44C6368A"/>
    <w:rsid w:val="44C81A04"/>
    <w:rsid w:val="44C95D4D"/>
    <w:rsid w:val="44CD5C33"/>
    <w:rsid w:val="44CE66B5"/>
    <w:rsid w:val="44CF4462"/>
    <w:rsid w:val="44D0671E"/>
    <w:rsid w:val="44D176F2"/>
    <w:rsid w:val="44D35F39"/>
    <w:rsid w:val="44D7121D"/>
    <w:rsid w:val="44D7510C"/>
    <w:rsid w:val="44D7579C"/>
    <w:rsid w:val="44D87296"/>
    <w:rsid w:val="44D90DA7"/>
    <w:rsid w:val="44DD0E3B"/>
    <w:rsid w:val="44DE1833"/>
    <w:rsid w:val="44E034E6"/>
    <w:rsid w:val="44E11E98"/>
    <w:rsid w:val="44E346A3"/>
    <w:rsid w:val="44E623E5"/>
    <w:rsid w:val="44E65893"/>
    <w:rsid w:val="44E67CEF"/>
    <w:rsid w:val="44E73A68"/>
    <w:rsid w:val="44E80FE1"/>
    <w:rsid w:val="44E82B6A"/>
    <w:rsid w:val="44E84227"/>
    <w:rsid w:val="44EB3354"/>
    <w:rsid w:val="44EE5C61"/>
    <w:rsid w:val="44F561CE"/>
    <w:rsid w:val="44F806D5"/>
    <w:rsid w:val="44F84A7C"/>
    <w:rsid w:val="44FB7320"/>
    <w:rsid w:val="45002AEF"/>
    <w:rsid w:val="45010FB7"/>
    <w:rsid w:val="450338D7"/>
    <w:rsid w:val="45096A92"/>
    <w:rsid w:val="450C508D"/>
    <w:rsid w:val="450E23BE"/>
    <w:rsid w:val="45116DAB"/>
    <w:rsid w:val="4518125A"/>
    <w:rsid w:val="45183C8F"/>
    <w:rsid w:val="4519688B"/>
    <w:rsid w:val="451D1C20"/>
    <w:rsid w:val="451E4A16"/>
    <w:rsid w:val="451F3201"/>
    <w:rsid w:val="45211CE7"/>
    <w:rsid w:val="45230F44"/>
    <w:rsid w:val="45244CBC"/>
    <w:rsid w:val="45246FC5"/>
    <w:rsid w:val="452948FF"/>
    <w:rsid w:val="452B5679"/>
    <w:rsid w:val="452B6C46"/>
    <w:rsid w:val="452F5785"/>
    <w:rsid w:val="452F5FE5"/>
    <w:rsid w:val="453142E1"/>
    <w:rsid w:val="45316B66"/>
    <w:rsid w:val="45324B3C"/>
    <w:rsid w:val="45344EFF"/>
    <w:rsid w:val="45370FB2"/>
    <w:rsid w:val="4538593A"/>
    <w:rsid w:val="453F0B9F"/>
    <w:rsid w:val="453F7CD4"/>
    <w:rsid w:val="45442192"/>
    <w:rsid w:val="45466251"/>
    <w:rsid w:val="454669E0"/>
    <w:rsid w:val="45467BF7"/>
    <w:rsid w:val="454924B2"/>
    <w:rsid w:val="454A74FC"/>
    <w:rsid w:val="454B7BE4"/>
    <w:rsid w:val="454D3738"/>
    <w:rsid w:val="45515537"/>
    <w:rsid w:val="45531780"/>
    <w:rsid w:val="45546192"/>
    <w:rsid w:val="45555483"/>
    <w:rsid w:val="455603E1"/>
    <w:rsid w:val="45566B73"/>
    <w:rsid w:val="45576E3F"/>
    <w:rsid w:val="455C26A8"/>
    <w:rsid w:val="455D6F84"/>
    <w:rsid w:val="45621579"/>
    <w:rsid w:val="45660E30"/>
    <w:rsid w:val="456618B9"/>
    <w:rsid w:val="45692A85"/>
    <w:rsid w:val="456A0EBE"/>
    <w:rsid w:val="456A38E2"/>
    <w:rsid w:val="456C7646"/>
    <w:rsid w:val="45735073"/>
    <w:rsid w:val="457479F1"/>
    <w:rsid w:val="45752FCB"/>
    <w:rsid w:val="457640AD"/>
    <w:rsid w:val="45791A4F"/>
    <w:rsid w:val="45854DE0"/>
    <w:rsid w:val="45877724"/>
    <w:rsid w:val="45891586"/>
    <w:rsid w:val="458B205E"/>
    <w:rsid w:val="458B7F8D"/>
    <w:rsid w:val="458C4563"/>
    <w:rsid w:val="458D32E3"/>
    <w:rsid w:val="458D413E"/>
    <w:rsid w:val="458F65D9"/>
    <w:rsid w:val="45924AAF"/>
    <w:rsid w:val="459726E5"/>
    <w:rsid w:val="4598319A"/>
    <w:rsid w:val="459C4979"/>
    <w:rsid w:val="45A100BA"/>
    <w:rsid w:val="45A16D05"/>
    <w:rsid w:val="45A22C1D"/>
    <w:rsid w:val="45A706E8"/>
    <w:rsid w:val="45A831F7"/>
    <w:rsid w:val="45AB389E"/>
    <w:rsid w:val="45B20519"/>
    <w:rsid w:val="45B222C8"/>
    <w:rsid w:val="45B75688"/>
    <w:rsid w:val="45B818DE"/>
    <w:rsid w:val="45B9209E"/>
    <w:rsid w:val="45B93314"/>
    <w:rsid w:val="45BB5620"/>
    <w:rsid w:val="45BC0017"/>
    <w:rsid w:val="45BC4C52"/>
    <w:rsid w:val="45BF4F18"/>
    <w:rsid w:val="45C11531"/>
    <w:rsid w:val="45C43E40"/>
    <w:rsid w:val="45C44937"/>
    <w:rsid w:val="45C5371A"/>
    <w:rsid w:val="45C673B5"/>
    <w:rsid w:val="45C7368D"/>
    <w:rsid w:val="45CC032A"/>
    <w:rsid w:val="45CC15DB"/>
    <w:rsid w:val="45CC461F"/>
    <w:rsid w:val="45D3741A"/>
    <w:rsid w:val="45D521FC"/>
    <w:rsid w:val="45D60C75"/>
    <w:rsid w:val="45D91A13"/>
    <w:rsid w:val="45D95167"/>
    <w:rsid w:val="45D96E12"/>
    <w:rsid w:val="45DE30BD"/>
    <w:rsid w:val="45DF7A69"/>
    <w:rsid w:val="45E87A97"/>
    <w:rsid w:val="45EB652F"/>
    <w:rsid w:val="45EE527D"/>
    <w:rsid w:val="45EF0E26"/>
    <w:rsid w:val="45F14B9E"/>
    <w:rsid w:val="45F4643C"/>
    <w:rsid w:val="45F62703"/>
    <w:rsid w:val="45F744C2"/>
    <w:rsid w:val="45F74E60"/>
    <w:rsid w:val="45FB77F2"/>
    <w:rsid w:val="45FD1795"/>
    <w:rsid w:val="45FE6D38"/>
    <w:rsid w:val="46003033"/>
    <w:rsid w:val="46006B9F"/>
    <w:rsid w:val="46030E09"/>
    <w:rsid w:val="46040D75"/>
    <w:rsid w:val="46052D96"/>
    <w:rsid w:val="460D1265"/>
    <w:rsid w:val="460E646B"/>
    <w:rsid w:val="460E6D93"/>
    <w:rsid w:val="46133C06"/>
    <w:rsid w:val="4614182A"/>
    <w:rsid w:val="46152F37"/>
    <w:rsid w:val="4619543E"/>
    <w:rsid w:val="461A1242"/>
    <w:rsid w:val="461B25BD"/>
    <w:rsid w:val="461D07E8"/>
    <w:rsid w:val="461E55A5"/>
    <w:rsid w:val="4621660C"/>
    <w:rsid w:val="46241129"/>
    <w:rsid w:val="4625758B"/>
    <w:rsid w:val="46263AC6"/>
    <w:rsid w:val="4626675E"/>
    <w:rsid w:val="462738DE"/>
    <w:rsid w:val="46284860"/>
    <w:rsid w:val="462C0809"/>
    <w:rsid w:val="462E5798"/>
    <w:rsid w:val="4631189F"/>
    <w:rsid w:val="4631673D"/>
    <w:rsid w:val="46366A55"/>
    <w:rsid w:val="46380A1F"/>
    <w:rsid w:val="463C1F0E"/>
    <w:rsid w:val="463D1922"/>
    <w:rsid w:val="463E76B1"/>
    <w:rsid w:val="46420BB9"/>
    <w:rsid w:val="46423992"/>
    <w:rsid w:val="4644178C"/>
    <w:rsid w:val="46494DC3"/>
    <w:rsid w:val="464E0451"/>
    <w:rsid w:val="46511841"/>
    <w:rsid w:val="4651388E"/>
    <w:rsid w:val="465718C4"/>
    <w:rsid w:val="465842CD"/>
    <w:rsid w:val="46587F31"/>
    <w:rsid w:val="465C071B"/>
    <w:rsid w:val="465D6B7C"/>
    <w:rsid w:val="465F5AD7"/>
    <w:rsid w:val="4661432D"/>
    <w:rsid w:val="4661533A"/>
    <w:rsid w:val="46642F49"/>
    <w:rsid w:val="466813A5"/>
    <w:rsid w:val="46681D7E"/>
    <w:rsid w:val="46696E2A"/>
    <w:rsid w:val="466E3345"/>
    <w:rsid w:val="466F7E45"/>
    <w:rsid w:val="46703733"/>
    <w:rsid w:val="467250EA"/>
    <w:rsid w:val="46725648"/>
    <w:rsid w:val="46733805"/>
    <w:rsid w:val="46753A21"/>
    <w:rsid w:val="46774A0D"/>
    <w:rsid w:val="4678192D"/>
    <w:rsid w:val="46791483"/>
    <w:rsid w:val="467A46AE"/>
    <w:rsid w:val="467B158E"/>
    <w:rsid w:val="467C05A9"/>
    <w:rsid w:val="467C593B"/>
    <w:rsid w:val="467F21AA"/>
    <w:rsid w:val="468123C6"/>
    <w:rsid w:val="4682208F"/>
    <w:rsid w:val="4682766C"/>
    <w:rsid w:val="46831269"/>
    <w:rsid w:val="46840388"/>
    <w:rsid w:val="4686308E"/>
    <w:rsid w:val="46872DD3"/>
    <w:rsid w:val="46873CC2"/>
    <w:rsid w:val="46880EDE"/>
    <w:rsid w:val="469257C1"/>
    <w:rsid w:val="46932A1F"/>
    <w:rsid w:val="469B3F5D"/>
    <w:rsid w:val="469E2E44"/>
    <w:rsid w:val="469F0303"/>
    <w:rsid w:val="46A00372"/>
    <w:rsid w:val="46A1377E"/>
    <w:rsid w:val="46A211BE"/>
    <w:rsid w:val="46A443CA"/>
    <w:rsid w:val="46A77952"/>
    <w:rsid w:val="46A77F98"/>
    <w:rsid w:val="46B064E9"/>
    <w:rsid w:val="46B1432D"/>
    <w:rsid w:val="46B31780"/>
    <w:rsid w:val="46B67767"/>
    <w:rsid w:val="46B67DB9"/>
    <w:rsid w:val="46BA2461"/>
    <w:rsid w:val="46BA5E25"/>
    <w:rsid w:val="46BA6C65"/>
    <w:rsid w:val="46BB2246"/>
    <w:rsid w:val="46BB51AC"/>
    <w:rsid w:val="46BB6449"/>
    <w:rsid w:val="46C40CB6"/>
    <w:rsid w:val="46C756B1"/>
    <w:rsid w:val="46C82812"/>
    <w:rsid w:val="46C86C65"/>
    <w:rsid w:val="46CA1489"/>
    <w:rsid w:val="46D75F92"/>
    <w:rsid w:val="46DC2672"/>
    <w:rsid w:val="46DC75FC"/>
    <w:rsid w:val="46E110B6"/>
    <w:rsid w:val="46E6047B"/>
    <w:rsid w:val="46E66DCA"/>
    <w:rsid w:val="46E820C4"/>
    <w:rsid w:val="46E841F3"/>
    <w:rsid w:val="46EF4D27"/>
    <w:rsid w:val="46F2611D"/>
    <w:rsid w:val="46F362D0"/>
    <w:rsid w:val="46F80733"/>
    <w:rsid w:val="46F876F5"/>
    <w:rsid w:val="46FF0EB5"/>
    <w:rsid w:val="47017063"/>
    <w:rsid w:val="4702109E"/>
    <w:rsid w:val="470D1EAB"/>
    <w:rsid w:val="470D5323"/>
    <w:rsid w:val="47127B49"/>
    <w:rsid w:val="4714671E"/>
    <w:rsid w:val="47163D7B"/>
    <w:rsid w:val="471728F8"/>
    <w:rsid w:val="471A5AC2"/>
    <w:rsid w:val="471C7F42"/>
    <w:rsid w:val="471D5B4C"/>
    <w:rsid w:val="471F573B"/>
    <w:rsid w:val="472206DD"/>
    <w:rsid w:val="47240FA3"/>
    <w:rsid w:val="47255E82"/>
    <w:rsid w:val="47256CE6"/>
    <w:rsid w:val="472B3A30"/>
    <w:rsid w:val="472D42FC"/>
    <w:rsid w:val="472E5A5B"/>
    <w:rsid w:val="472F21BA"/>
    <w:rsid w:val="47321912"/>
    <w:rsid w:val="47353849"/>
    <w:rsid w:val="47355B33"/>
    <w:rsid w:val="47364A70"/>
    <w:rsid w:val="47395DE1"/>
    <w:rsid w:val="473977CD"/>
    <w:rsid w:val="473B3CC9"/>
    <w:rsid w:val="473E2065"/>
    <w:rsid w:val="47401F74"/>
    <w:rsid w:val="474156B1"/>
    <w:rsid w:val="474305F6"/>
    <w:rsid w:val="474376EE"/>
    <w:rsid w:val="47484214"/>
    <w:rsid w:val="474D22A8"/>
    <w:rsid w:val="474F0E89"/>
    <w:rsid w:val="474F15F0"/>
    <w:rsid w:val="47523D62"/>
    <w:rsid w:val="4753013D"/>
    <w:rsid w:val="475472A3"/>
    <w:rsid w:val="4755115C"/>
    <w:rsid w:val="47557401"/>
    <w:rsid w:val="47582402"/>
    <w:rsid w:val="475A6773"/>
    <w:rsid w:val="475A68B7"/>
    <w:rsid w:val="475A6C56"/>
    <w:rsid w:val="475E00A1"/>
    <w:rsid w:val="47615AEB"/>
    <w:rsid w:val="4763625C"/>
    <w:rsid w:val="47656D35"/>
    <w:rsid w:val="476615BC"/>
    <w:rsid w:val="47687A6B"/>
    <w:rsid w:val="476A3928"/>
    <w:rsid w:val="476D46F8"/>
    <w:rsid w:val="47721723"/>
    <w:rsid w:val="47763C69"/>
    <w:rsid w:val="477E3505"/>
    <w:rsid w:val="477E5B65"/>
    <w:rsid w:val="477F7EC9"/>
    <w:rsid w:val="478E3B70"/>
    <w:rsid w:val="478F67EB"/>
    <w:rsid w:val="47901BF5"/>
    <w:rsid w:val="4791488A"/>
    <w:rsid w:val="47965E76"/>
    <w:rsid w:val="47993F6A"/>
    <w:rsid w:val="479A4F7C"/>
    <w:rsid w:val="47A14940"/>
    <w:rsid w:val="47A65E5C"/>
    <w:rsid w:val="47A81FE0"/>
    <w:rsid w:val="47AA3B29"/>
    <w:rsid w:val="47AA76FA"/>
    <w:rsid w:val="47AC40B7"/>
    <w:rsid w:val="47AD2F6C"/>
    <w:rsid w:val="47AD71EA"/>
    <w:rsid w:val="47AE4EC4"/>
    <w:rsid w:val="47AE6123"/>
    <w:rsid w:val="47B65A6F"/>
    <w:rsid w:val="47B7112F"/>
    <w:rsid w:val="47B71E23"/>
    <w:rsid w:val="47C26B6A"/>
    <w:rsid w:val="47C4195A"/>
    <w:rsid w:val="47C5495A"/>
    <w:rsid w:val="47C71264"/>
    <w:rsid w:val="47C77857"/>
    <w:rsid w:val="47C87EAF"/>
    <w:rsid w:val="47C87FB4"/>
    <w:rsid w:val="47CB7671"/>
    <w:rsid w:val="47CD6C07"/>
    <w:rsid w:val="47CF40EA"/>
    <w:rsid w:val="47CF7F5E"/>
    <w:rsid w:val="47D010B9"/>
    <w:rsid w:val="47D05559"/>
    <w:rsid w:val="47D16EAD"/>
    <w:rsid w:val="47D2311A"/>
    <w:rsid w:val="47D55473"/>
    <w:rsid w:val="47D60649"/>
    <w:rsid w:val="47DE55F6"/>
    <w:rsid w:val="47E30E5E"/>
    <w:rsid w:val="47E66258"/>
    <w:rsid w:val="47E7502D"/>
    <w:rsid w:val="47E80223"/>
    <w:rsid w:val="47EA5D49"/>
    <w:rsid w:val="47EC0C1A"/>
    <w:rsid w:val="47EF745B"/>
    <w:rsid w:val="47F0193F"/>
    <w:rsid w:val="47F37ACB"/>
    <w:rsid w:val="47F701A1"/>
    <w:rsid w:val="47F80F37"/>
    <w:rsid w:val="480037BE"/>
    <w:rsid w:val="480177D1"/>
    <w:rsid w:val="480224E2"/>
    <w:rsid w:val="48023A77"/>
    <w:rsid w:val="4803505C"/>
    <w:rsid w:val="48035B15"/>
    <w:rsid w:val="48050490"/>
    <w:rsid w:val="48054B73"/>
    <w:rsid w:val="48096246"/>
    <w:rsid w:val="480A63EB"/>
    <w:rsid w:val="480C4544"/>
    <w:rsid w:val="480E6E00"/>
    <w:rsid w:val="48111D82"/>
    <w:rsid w:val="481132D5"/>
    <w:rsid w:val="481334F1"/>
    <w:rsid w:val="48135CD5"/>
    <w:rsid w:val="48153579"/>
    <w:rsid w:val="48163D38"/>
    <w:rsid w:val="48171365"/>
    <w:rsid w:val="481B3E57"/>
    <w:rsid w:val="481B4065"/>
    <w:rsid w:val="481C0C4A"/>
    <w:rsid w:val="48213DBB"/>
    <w:rsid w:val="48222AAC"/>
    <w:rsid w:val="48233009"/>
    <w:rsid w:val="482E5F75"/>
    <w:rsid w:val="48325F9D"/>
    <w:rsid w:val="483638DE"/>
    <w:rsid w:val="4839282C"/>
    <w:rsid w:val="48395070"/>
    <w:rsid w:val="483C1A85"/>
    <w:rsid w:val="483D231C"/>
    <w:rsid w:val="483D71EF"/>
    <w:rsid w:val="4840133A"/>
    <w:rsid w:val="48422E0F"/>
    <w:rsid w:val="48455C5F"/>
    <w:rsid w:val="48457423"/>
    <w:rsid w:val="48457D0E"/>
    <w:rsid w:val="484A64B6"/>
    <w:rsid w:val="484B1AB6"/>
    <w:rsid w:val="484C255F"/>
    <w:rsid w:val="48507E4F"/>
    <w:rsid w:val="48514049"/>
    <w:rsid w:val="48515DC8"/>
    <w:rsid w:val="485732C0"/>
    <w:rsid w:val="485809C9"/>
    <w:rsid w:val="485B38B8"/>
    <w:rsid w:val="485E2293"/>
    <w:rsid w:val="48620BC0"/>
    <w:rsid w:val="48623B31"/>
    <w:rsid w:val="486320B5"/>
    <w:rsid w:val="48635489"/>
    <w:rsid w:val="48643D4D"/>
    <w:rsid w:val="48650C1B"/>
    <w:rsid w:val="48651A38"/>
    <w:rsid w:val="48667E96"/>
    <w:rsid w:val="48672F4D"/>
    <w:rsid w:val="486A41CB"/>
    <w:rsid w:val="486C4C9A"/>
    <w:rsid w:val="486E6938"/>
    <w:rsid w:val="486F11F8"/>
    <w:rsid w:val="4870211A"/>
    <w:rsid w:val="48721A5B"/>
    <w:rsid w:val="487845B1"/>
    <w:rsid w:val="48795655"/>
    <w:rsid w:val="487A094A"/>
    <w:rsid w:val="487D678D"/>
    <w:rsid w:val="487D68E3"/>
    <w:rsid w:val="487E4ED2"/>
    <w:rsid w:val="48805AE4"/>
    <w:rsid w:val="48825DB2"/>
    <w:rsid w:val="48840C29"/>
    <w:rsid w:val="488428DB"/>
    <w:rsid w:val="48894203"/>
    <w:rsid w:val="488C00F6"/>
    <w:rsid w:val="488C78DF"/>
    <w:rsid w:val="488D17AC"/>
    <w:rsid w:val="48904333"/>
    <w:rsid w:val="489104B8"/>
    <w:rsid w:val="48971F6C"/>
    <w:rsid w:val="489B2425"/>
    <w:rsid w:val="489E2EA8"/>
    <w:rsid w:val="48A455E2"/>
    <w:rsid w:val="48A56A35"/>
    <w:rsid w:val="48A70109"/>
    <w:rsid w:val="48AF040C"/>
    <w:rsid w:val="48B01349"/>
    <w:rsid w:val="48B12E05"/>
    <w:rsid w:val="48B5518F"/>
    <w:rsid w:val="48B60321"/>
    <w:rsid w:val="48B6136C"/>
    <w:rsid w:val="48B6621F"/>
    <w:rsid w:val="48BA00C6"/>
    <w:rsid w:val="48BA1BBF"/>
    <w:rsid w:val="48BD3661"/>
    <w:rsid w:val="48BD4B8B"/>
    <w:rsid w:val="48C22229"/>
    <w:rsid w:val="48C555CE"/>
    <w:rsid w:val="48C667E1"/>
    <w:rsid w:val="48CA44CF"/>
    <w:rsid w:val="48D056B3"/>
    <w:rsid w:val="48D10ECA"/>
    <w:rsid w:val="48D336FE"/>
    <w:rsid w:val="48D431BC"/>
    <w:rsid w:val="48D569F9"/>
    <w:rsid w:val="48D57E94"/>
    <w:rsid w:val="48D82045"/>
    <w:rsid w:val="48D83DF3"/>
    <w:rsid w:val="48D9376E"/>
    <w:rsid w:val="48DD10FF"/>
    <w:rsid w:val="48DE1680"/>
    <w:rsid w:val="48DE4D02"/>
    <w:rsid w:val="48DF1D38"/>
    <w:rsid w:val="48DF5182"/>
    <w:rsid w:val="48E03C4D"/>
    <w:rsid w:val="48E137E2"/>
    <w:rsid w:val="48E31090"/>
    <w:rsid w:val="48E7009F"/>
    <w:rsid w:val="48E766F3"/>
    <w:rsid w:val="48E94A02"/>
    <w:rsid w:val="48EC51A7"/>
    <w:rsid w:val="48F52CB7"/>
    <w:rsid w:val="48F55816"/>
    <w:rsid w:val="48F81DB7"/>
    <w:rsid w:val="48F84495"/>
    <w:rsid w:val="48FB30B1"/>
    <w:rsid w:val="48FE168D"/>
    <w:rsid w:val="48FE5AEA"/>
    <w:rsid w:val="48FF3E1F"/>
    <w:rsid w:val="48FF722C"/>
    <w:rsid w:val="49013C88"/>
    <w:rsid w:val="49014440"/>
    <w:rsid w:val="4905518A"/>
    <w:rsid w:val="490815FC"/>
    <w:rsid w:val="49090450"/>
    <w:rsid w:val="49101D70"/>
    <w:rsid w:val="49115557"/>
    <w:rsid w:val="49142BE3"/>
    <w:rsid w:val="49156DF5"/>
    <w:rsid w:val="491632AA"/>
    <w:rsid w:val="49174270"/>
    <w:rsid w:val="491C1BF1"/>
    <w:rsid w:val="491C33FB"/>
    <w:rsid w:val="491E014D"/>
    <w:rsid w:val="491E523A"/>
    <w:rsid w:val="491F0141"/>
    <w:rsid w:val="492127D2"/>
    <w:rsid w:val="492267C1"/>
    <w:rsid w:val="49246512"/>
    <w:rsid w:val="49261002"/>
    <w:rsid w:val="49271A61"/>
    <w:rsid w:val="49281554"/>
    <w:rsid w:val="492A6532"/>
    <w:rsid w:val="492E435B"/>
    <w:rsid w:val="49332AA1"/>
    <w:rsid w:val="493337BF"/>
    <w:rsid w:val="49370908"/>
    <w:rsid w:val="49371303"/>
    <w:rsid w:val="493846CE"/>
    <w:rsid w:val="493F0188"/>
    <w:rsid w:val="493F0316"/>
    <w:rsid w:val="493F56BC"/>
    <w:rsid w:val="49433378"/>
    <w:rsid w:val="494D5008"/>
    <w:rsid w:val="495111CB"/>
    <w:rsid w:val="49520049"/>
    <w:rsid w:val="495A502F"/>
    <w:rsid w:val="495B35B2"/>
    <w:rsid w:val="495C2C76"/>
    <w:rsid w:val="495C67D2"/>
    <w:rsid w:val="495E56C0"/>
    <w:rsid w:val="49611227"/>
    <w:rsid w:val="4961542A"/>
    <w:rsid w:val="496268A9"/>
    <w:rsid w:val="49634005"/>
    <w:rsid w:val="49642207"/>
    <w:rsid w:val="496627C9"/>
    <w:rsid w:val="49667F32"/>
    <w:rsid w:val="496978F3"/>
    <w:rsid w:val="496B77C6"/>
    <w:rsid w:val="496C4368"/>
    <w:rsid w:val="496E36CA"/>
    <w:rsid w:val="49733877"/>
    <w:rsid w:val="497555E1"/>
    <w:rsid w:val="49757782"/>
    <w:rsid w:val="497602FE"/>
    <w:rsid w:val="49767F54"/>
    <w:rsid w:val="4977360C"/>
    <w:rsid w:val="49777AB0"/>
    <w:rsid w:val="497C70CB"/>
    <w:rsid w:val="497F6DEB"/>
    <w:rsid w:val="4981448B"/>
    <w:rsid w:val="4982705C"/>
    <w:rsid w:val="4983452C"/>
    <w:rsid w:val="49842232"/>
    <w:rsid w:val="49845D29"/>
    <w:rsid w:val="49853FFB"/>
    <w:rsid w:val="49872331"/>
    <w:rsid w:val="49872BA9"/>
    <w:rsid w:val="498B355B"/>
    <w:rsid w:val="498F5E3A"/>
    <w:rsid w:val="49900B72"/>
    <w:rsid w:val="4991376E"/>
    <w:rsid w:val="499248EA"/>
    <w:rsid w:val="49A27DAC"/>
    <w:rsid w:val="49A632F3"/>
    <w:rsid w:val="49A80C11"/>
    <w:rsid w:val="49A9722F"/>
    <w:rsid w:val="49AB76FB"/>
    <w:rsid w:val="49AC7E75"/>
    <w:rsid w:val="49AE2D18"/>
    <w:rsid w:val="49AE783B"/>
    <w:rsid w:val="49B06023"/>
    <w:rsid w:val="49B5722B"/>
    <w:rsid w:val="49B60D3E"/>
    <w:rsid w:val="49C071EE"/>
    <w:rsid w:val="49C13C88"/>
    <w:rsid w:val="49C33FC0"/>
    <w:rsid w:val="49C51D1F"/>
    <w:rsid w:val="49C64561"/>
    <w:rsid w:val="49C73A6B"/>
    <w:rsid w:val="49C77533"/>
    <w:rsid w:val="49C8030C"/>
    <w:rsid w:val="49C83E68"/>
    <w:rsid w:val="49C901A8"/>
    <w:rsid w:val="49CA3769"/>
    <w:rsid w:val="49CE3624"/>
    <w:rsid w:val="49D320DD"/>
    <w:rsid w:val="49D61D32"/>
    <w:rsid w:val="49DE47D9"/>
    <w:rsid w:val="49E12722"/>
    <w:rsid w:val="49E1317B"/>
    <w:rsid w:val="49E35788"/>
    <w:rsid w:val="49E37AF5"/>
    <w:rsid w:val="49E541FB"/>
    <w:rsid w:val="49E54B4B"/>
    <w:rsid w:val="49E57CBF"/>
    <w:rsid w:val="49EA64D4"/>
    <w:rsid w:val="49EC05BC"/>
    <w:rsid w:val="49ED7A7E"/>
    <w:rsid w:val="49F01C5B"/>
    <w:rsid w:val="49F0470F"/>
    <w:rsid w:val="49F103B5"/>
    <w:rsid w:val="49F478C1"/>
    <w:rsid w:val="49F65021"/>
    <w:rsid w:val="49F76C5D"/>
    <w:rsid w:val="49FD4640"/>
    <w:rsid w:val="49FE4CF1"/>
    <w:rsid w:val="4A027FB0"/>
    <w:rsid w:val="4A050C18"/>
    <w:rsid w:val="4A0519EB"/>
    <w:rsid w:val="4A0550BC"/>
    <w:rsid w:val="4A08476F"/>
    <w:rsid w:val="4A0B5F8C"/>
    <w:rsid w:val="4A0E506B"/>
    <w:rsid w:val="4A1043C2"/>
    <w:rsid w:val="4A1353EF"/>
    <w:rsid w:val="4A140984"/>
    <w:rsid w:val="4A16118F"/>
    <w:rsid w:val="4A16320C"/>
    <w:rsid w:val="4A16451E"/>
    <w:rsid w:val="4A1D6937"/>
    <w:rsid w:val="4A1E01EC"/>
    <w:rsid w:val="4A206F29"/>
    <w:rsid w:val="4A2512E3"/>
    <w:rsid w:val="4A283110"/>
    <w:rsid w:val="4A2A2D74"/>
    <w:rsid w:val="4A2F039D"/>
    <w:rsid w:val="4A315770"/>
    <w:rsid w:val="4A346A99"/>
    <w:rsid w:val="4A363423"/>
    <w:rsid w:val="4A3818BA"/>
    <w:rsid w:val="4A3A5B14"/>
    <w:rsid w:val="4A3D4AEB"/>
    <w:rsid w:val="4A3F35D9"/>
    <w:rsid w:val="4A401DCE"/>
    <w:rsid w:val="4A427319"/>
    <w:rsid w:val="4A431AD6"/>
    <w:rsid w:val="4A433563"/>
    <w:rsid w:val="4A4839B4"/>
    <w:rsid w:val="4A4D7344"/>
    <w:rsid w:val="4A5117A8"/>
    <w:rsid w:val="4A54195E"/>
    <w:rsid w:val="4A56467B"/>
    <w:rsid w:val="4A590F64"/>
    <w:rsid w:val="4A5A13F5"/>
    <w:rsid w:val="4A5A1F60"/>
    <w:rsid w:val="4A5A3314"/>
    <w:rsid w:val="4A5A69B6"/>
    <w:rsid w:val="4A5B4CDC"/>
    <w:rsid w:val="4A5C047E"/>
    <w:rsid w:val="4A625331"/>
    <w:rsid w:val="4A660D15"/>
    <w:rsid w:val="4A672EA1"/>
    <w:rsid w:val="4A6C5DA9"/>
    <w:rsid w:val="4A6D23BA"/>
    <w:rsid w:val="4A6D4A0F"/>
    <w:rsid w:val="4A6F415E"/>
    <w:rsid w:val="4A712751"/>
    <w:rsid w:val="4A745BD3"/>
    <w:rsid w:val="4A7578B3"/>
    <w:rsid w:val="4A782675"/>
    <w:rsid w:val="4A7B35D0"/>
    <w:rsid w:val="4A7D2351"/>
    <w:rsid w:val="4A806386"/>
    <w:rsid w:val="4A875F38"/>
    <w:rsid w:val="4A8A5EEE"/>
    <w:rsid w:val="4A8B0A38"/>
    <w:rsid w:val="4A8B527F"/>
    <w:rsid w:val="4A8B64A2"/>
    <w:rsid w:val="4A8D6194"/>
    <w:rsid w:val="4A90196A"/>
    <w:rsid w:val="4A90687D"/>
    <w:rsid w:val="4A906BB1"/>
    <w:rsid w:val="4A9106FD"/>
    <w:rsid w:val="4A925500"/>
    <w:rsid w:val="4A926D5C"/>
    <w:rsid w:val="4A9406D4"/>
    <w:rsid w:val="4A946440"/>
    <w:rsid w:val="4A957EA7"/>
    <w:rsid w:val="4A9659D6"/>
    <w:rsid w:val="4A9E6251"/>
    <w:rsid w:val="4AA30431"/>
    <w:rsid w:val="4AA5064D"/>
    <w:rsid w:val="4AA723FE"/>
    <w:rsid w:val="4AA92EB4"/>
    <w:rsid w:val="4AAA17BF"/>
    <w:rsid w:val="4AB15C8B"/>
    <w:rsid w:val="4AB2348A"/>
    <w:rsid w:val="4AB42D77"/>
    <w:rsid w:val="4AB60164"/>
    <w:rsid w:val="4AB74CC7"/>
    <w:rsid w:val="4ABF18AA"/>
    <w:rsid w:val="4ABF27B9"/>
    <w:rsid w:val="4AC05ED9"/>
    <w:rsid w:val="4AC7342A"/>
    <w:rsid w:val="4ACB29B0"/>
    <w:rsid w:val="4ACF1D26"/>
    <w:rsid w:val="4AD131E1"/>
    <w:rsid w:val="4AD131F0"/>
    <w:rsid w:val="4AD428FE"/>
    <w:rsid w:val="4AD50D10"/>
    <w:rsid w:val="4AD518A6"/>
    <w:rsid w:val="4AD60806"/>
    <w:rsid w:val="4AD62169"/>
    <w:rsid w:val="4AD759EA"/>
    <w:rsid w:val="4AD9096C"/>
    <w:rsid w:val="4ADD05DC"/>
    <w:rsid w:val="4ADE0BDC"/>
    <w:rsid w:val="4ADE47A4"/>
    <w:rsid w:val="4AE01D4E"/>
    <w:rsid w:val="4AE149A8"/>
    <w:rsid w:val="4AE50D33"/>
    <w:rsid w:val="4AEA2813"/>
    <w:rsid w:val="4AEA416F"/>
    <w:rsid w:val="4AEB7C03"/>
    <w:rsid w:val="4AEE1326"/>
    <w:rsid w:val="4AEE5B50"/>
    <w:rsid w:val="4AF126BD"/>
    <w:rsid w:val="4AF46F7D"/>
    <w:rsid w:val="4AF8782A"/>
    <w:rsid w:val="4AFA2F81"/>
    <w:rsid w:val="4AFC2E3C"/>
    <w:rsid w:val="4AFD2237"/>
    <w:rsid w:val="4B0074A9"/>
    <w:rsid w:val="4B014896"/>
    <w:rsid w:val="4B0215FB"/>
    <w:rsid w:val="4B0259FA"/>
    <w:rsid w:val="4B0426D6"/>
    <w:rsid w:val="4B052E78"/>
    <w:rsid w:val="4B070CD6"/>
    <w:rsid w:val="4B091CBD"/>
    <w:rsid w:val="4B092247"/>
    <w:rsid w:val="4B0A2731"/>
    <w:rsid w:val="4B0B0314"/>
    <w:rsid w:val="4B0B37CB"/>
    <w:rsid w:val="4B0D5465"/>
    <w:rsid w:val="4B0D663F"/>
    <w:rsid w:val="4B0E6A94"/>
    <w:rsid w:val="4B111877"/>
    <w:rsid w:val="4B144018"/>
    <w:rsid w:val="4B1B7794"/>
    <w:rsid w:val="4B1E0B71"/>
    <w:rsid w:val="4B1F004C"/>
    <w:rsid w:val="4B217CD3"/>
    <w:rsid w:val="4B257D95"/>
    <w:rsid w:val="4B26353C"/>
    <w:rsid w:val="4B2809BD"/>
    <w:rsid w:val="4B284252"/>
    <w:rsid w:val="4B2D2916"/>
    <w:rsid w:val="4B2E23F0"/>
    <w:rsid w:val="4B2F28D0"/>
    <w:rsid w:val="4B3078C0"/>
    <w:rsid w:val="4B311B4F"/>
    <w:rsid w:val="4B311D66"/>
    <w:rsid w:val="4B315A3D"/>
    <w:rsid w:val="4B32371E"/>
    <w:rsid w:val="4B3C041F"/>
    <w:rsid w:val="4B3C236E"/>
    <w:rsid w:val="4B4554F8"/>
    <w:rsid w:val="4B456049"/>
    <w:rsid w:val="4B4722BB"/>
    <w:rsid w:val="4B481704"/>
    <w:rsid w:val="4B4C49D3"/>
    <w:rsid w:val="4B4D1904"/>
    <w:rsid w:val="4B4D322A"/>
    <w:rsid w:val="4B4F11E9"/>
    <w:rsid w:val="4B531E57"/>
    <w:rsid w:val="4B5736F5"/>
    <w:rsid w:val="4B5A1437"/>
    <w:rsid w:val="4B5C242D"/>
    <w:rsid w:val="4B5C3543"/>
    <w:rsid w:val="4B5E3949"/>
    <w:rsid w:val="4B5F25AA"/>
    <w:rsid w:val="4B611E98"/>
    <w:rsid w:val="4B653B63"/>
    <w:rsid w:val="4B654AB7"/>
    <w:rsid w:val="4B696336"/>
    <w:rsid w:val="4B6978CC"/>
    <w:rsid w:val="4B6F2159"/>
    <w:rsid w:val="4B702839"/>
    <w:rsid w:val="4B70404F"/>
    <w:rsid w:val="4B711250"/>
    <w:rsid w:val="4B7248D2"/>
    <w:rsid w:val="4B736197"/>
    <w:rsid w:val="4B741453"/>
    <w:rsid w:val="4B751DCD"/>
    <w:rsid w:val="4B755E4C"/>
    <w:rsid w:val="4B79591C"/>
    <w:rsid w:val="4B7D6ED4"/>
    <w:rsid w:val="4B7F304D"/>
    <w:rsid w:val="4B863FDA"/>
    <w:rsid w:val="4B87609A"/>
    <w:rsid w:val="4B8844CF"/>
    <w:rsid w:val="4B8944D0"/>
    <w:rsid w:val="4B937F84"/>
    <w:rsid w:val="4B9A118F"/>
    <w:rsid w:val="4BA22B83"/>
    <w:rsid w:val="4BA2370A"/>
    <w:rsid w:val="4BA319D3"/>
    <w:rsid w:val="4BAA48EB"/>
    <w:rsid w:val="4BAA63E3"/>
    <w:rsid w:val="4BAB1B2B"/>
    <w:rsid w:val="4BAC5DDC"/>
    <w:rsid w:val="4BB059CF"/>
    <w:rsid w:val="4BB25061"/>
    <w:rsid w:val="4BB548C0"/>
    <w:rsid w:val="4BB94E5E"/>
    <w:rsid w:val="4BBA68BA"/>
    <w:rsid w:val="4BBB168F"/>
    <w:rsid w:val="4BBD25B5"/>
    <w:rsid w:val="4BBD5522"/>
    <w:rsid w:val="4BC0220E"/>
    <w:rsid w:val="4BC66AD5"/>
    <w:rsid w:val="4BCA084D"/>
    <w:rsid w:val="4BCA6233"/>
    <w:rsid w:val="4BCB232C"/>
    <w:rsid w:val="4BCC1C4F"/>
    <w:rsid w:val="4BCC3E24"/>
    <w:rsid w:val="4BCC4187"/>
    <w:rsid w:val="4BD23BDD"/>
    <w:rsid w:val="4BD30D4E"/>
    <w:rsid w:val="4BD50ABE"/>
    <w:rsid w:val="4BD72549"/>
    <w:rsid w:val="4BDA4326"/>
    <w:rsid w:val="4BE01E4D"/>
    <w:rsid w:val="4BE07B8E"/>
    <w:rsid w:val="4BE15489"/>
    <w:rsid w:val="4BE255A8"/>
    <w:rsid w:val="4BE258EB"/>
    <w:rsid w:val="4BE31A63"/>
    <w:rsid w:val="4BEB64CF"/>
    <w:rsid w:val="4BED4780"/>
    <w:rsid w:val="4BEE652D"/>
    <w:rsid w:val="4BEF4DD3"/>
    <w:rsid w:val="4BF844ED"/>
    <w:rsid w:val="4C0240CB"/>
    <w:rsid w:val="4C047857"/>
    <w:rsid w:val="4C0521F5"/>
    <w:rsid w:val="4C0807EB"/>
    <w:rsid w:val="4C0846F3"/>
    <w:rsid w:val="4C087D80"/>
    <w:rsid w:val="4C0A5DA5"/>
    <w:rsid w:val="4C0A6135"/>
    <w:rsid w:val="4C0C0983"/>
    <w:rsid w:val="4C0E1539"/>
    <w:rsid w:val="4C0F3C00"/>
    <w:rsid w:val="4C104F98"/>
    <w:rsid w:val="4C106470"/>
    <w:rsid w:val="4C1415E6"/>
    <w:rsid w:val="4C150230"/>
    <w:rsid w:val="4C16330A"/>
    <w:rsid w:val="4C164AFB"/>
    <w:rsid w:val="4C211F55"/>
    <w:rsid w:val="4C21363E"/>
    <w:rsid w:val="4C221EE6"/>
    <w:rsid w:val="4C263D9D"/>
    <w:rsid w:val="4C272AA3"/>
    <w:rsid w:val="4C285091"/>
    <w:rsid w:val="4C286E78"/>
    <w:rsid w:val="4C297B7D"/>
    <w:rsid w:val="4C2D078B"/>
    <w:rsid w:val="4C312D16"/>
    <w:rsid w:val="4C320FBD"/>
    <w:rsid w:val="4C350CC1"/>
    <w:rsid w:val="4C382EC4"/>
    <w:rsid w:val="4C3E6663"/>
    <w:rsid w:val="4C3F315F"/>
    <w:rsid w:val="4C3F4B19"/>
    <w:rsid w:val="4C4079E1"/>
    <w:rsid w:val="4C4113CF"/>
    <w:rsid w:val="4C413C47"/>
    <w:rsid w:val="4C433C79"/>
    <w:rsid w:val="4C457FA8"/>
    <w:rsid w:val="4C484BE0"/>
    <w:rsid w:val="4C571903"/>
    <w:rsid w:val="4C59226D"/>
    <w:rsid w:val="4C5C2F8D"/>
    <w:rsid w:val="4C5C4EA4"/>
    <w:rsid w:val="4C5F185D"/>
    <w:rsid w:val="4C600AB1"/>
    <w:rsid w:val="4C691FD5"/>
    <w:rsid w:val="4C6A60D3"/>
    <w:rsid w:val="4C6A633F"/>
    <w:rsid w:val="4C6B4F7E"/>
    <w:rsid w:val="4C6D6F48"/>
    <w:rsid w:val="4C6E0E52"/>
    <w:rsid w:val="4C7223A4"/>
    <w:rsid w:val="4C7457F0"/>
    <w:rsid w:val="4C77247D"/>
    <w:rsid w:val="4C7A7219"/>
    <w:rsid w:val="4C7B253D"/>
    <w:rsid w:val="4C815E38"/>
    <w:rsid w:val="4C824B9A"/>
    <w:rsid w:val="4C8352FC"/>
    <w:rsid w:val="4C83556E"/>
    <w:rsid w:val="4C844D9B"/>
    <w:rsid w:val="4C866200"/>
    <w:rsid w:val="4C87625C"/>
    <w:rsid w:val="4C877D6B"/>
    <w:rsid w:val="4C8936DD"/>
    <w:rsid w:val="4C8B19F5"/>
    <w:rsid w:val="4C916752"/>
    <w:rsid w:val="4C95573E"/>
    <w:rsid w:val="4C9702F9"/>
    <w:rsid w:val="4C98598E"/>
    <w:rsid w:val="4C9D097D"/>
    <w:rsid w:val="4C9D2B05"/>
    <w:rsid w:val="4C9E5039"/>
    <w:rsid w:val="4C9F6BBC"/>
    <w:rsid w:val="4CA36F8E"/>
    <w:rsid w:val="4CA5038F"/>
    <w:rsid w:val="4CA6104F"/>
    <w:rsid w:val="4CA81517"/>
    <w:rsid w:val="4CA82A4E"/>
    <w:rsid w:val="4CAA57C4"/>
    <w:rsid w:val="4CAD5E4E"/>
    <w:rsid w:val="4CB1450C"/>
    <w:rsid w:val="4CB6269D"/>
    <w:rsid w:val="4CB90865"/>
    <w:rsid w:val="4CBA76CC"/>
    <w:rsid w:val="4CBB5F06"/>
    <w:rsid w:val="4CC45091"/>
    <w:rsid w:val="4CD01462"/>
    <w:rsid w:val="4CD237E9"/>
    <w:rsid w:val="4CD45A75"/>
    <w:rsid w:val="4CD6689C"/>
    <w:rsid w:val="4CD833B7"/>
    <w:rsid w:val="4CDA498C"/>
    <w:rsid w:val="4CDE368B"/>
    <w:rsid w:val="4CDF2A2D"/>
    <w:rsid w:val="4CE1055B"/>
    <w:rsid w:val="4CE171CB"/>
    <w:rsid w:val="4CE2174B"/>
    <w:rsid w:val="4CE21AF1"/>
    <w:rsid w:val="4CE4545C"/>
    <w:rsid w:val="4CE900F5"/>
    <w:rsid w:val="4CEA0D96"/>
    <w:rsid w:val="4CED06E9"/>
    <w:rsid w:val="4CED0F1D"/>
    <w:rsid w:val="4CED4093"/>
    <w:rsid w:val="4CEE2512"/>
    <w:rsid w:val="4CF039D6"/>
    <w:rsid w:val="4CF0529F"/>
    <w:rsid w:val="4CF14F72"/>
    <w:rsid w:val="4CF15754"/>
    <w:rsid w:val="4CF52D7B"/>
    <w:rsid w:val="4CFA203D"/>
    <w:rsid w:val="4CFA7406"/>
    <w:rsid w:val="4CFB6302"/>
    <w:rsid w:val="4CFC2073"/>
    <w:rsid w:val="4CFC7663"/>
    <w:rsid w:val="4D01600E"/>
    <w:rsid w:val="4D0553D3"/>
    <w:rsid w:val="4D066A49"/>
    <w:rsid w:val="4D124C21"/>
    <w:rsid w:val="4D142565"/>
    <w:rsid w:val="4D1473C4"/>
    <w:rsid w:val="4D153452"/>
    <w:rsid w:val="4D19449E"/>
    <w:rsid w:val="4D1C256E"/>
    <w:rsid w:val="4D1D44CA"/>
    <w:rsid w:val="4D2376C0"/>
    <w:rsid w:val="4D243AAB"/>
    <w:rsid w:val="4D2B27CC"/>
    <w:rsid w:val="4D2C18EA"/>
    <w:rsid w:val="4D2F0798"/>
    <w:rsid w:val="4D30352B"/>
    <w:rsid w:val="4D304F8F"/>
    <w:rsid w:val="4D35413B"/>
    <w:rsid w:val="4D396708"/>
    <w:rsid w:val="4D3A3971"/>
    <w:rsid w:val="4D3D45B3"/>
    <w:rsid w:val="4D42045C"/>
    <w:rsid w:val="4D461C73"/>
    <w:rsid w:val="4D4828C8"/>
    <w:rsid w:val="4D4A6C80"/>
    <w:rsid w:val="4D4C33CB"/>
    <w:rsid w:val="4D5024CD"/>
    <w:rsid w:val="4D522188"/>
    <w:rsid w:val="4D553A2D"/>
    <w:rsid w:val="4D566131"/>
    <w:rsid w:val="4D5679DC"/>
    <w:rsid w:val="4D574494"/>
    <w:rsid w:val="4D575BB8"/>
    <w:rsid w:val="4D582C27"/>
    <w:rsid w:val="4D583FCF"/>
    <w:rsid w:val="4D5B3023"/>
    <w:rsid w:val="4D5C7B7E"/>
    <w:rsid w:val="4D5D484D"/>
    <w:rsid w:val="4D5D4A02"/>
    <w:rsid w:val="4D5D68EF"/>
    <w:rsid w:val="4D5E73B1"/>
    <w:rsid w:val="4D601F04"/>
    <w:rsid w:val="4D654BAF"/>
    <w:rsid w:val="4D6711E9"/>
    <w:rsid w:val="4D6935E3"/>
    <w:rsid w:val="4D697D00"/>
    <w:rsid w:val="4D710D02"/>
    <w:rsid w:val="4D735B83"/>
    <w:rsid w:val="4D75253B"/>
    <w:rsid w:val="4D754257"/>
    <w:rsid w:val="4D771049"/>
    <w:rsid w:val="4D772832"/>
    <w:rsid w:val="4D7827BC"/>
    <w:rsid w:val="4D783DF7"/>
    <w:rsid w:val="4D797A97"/>
    <w:rsid w:val="4D7B5D3D"/>
    <w:rsid w:val="4D7F61A4"/>
    <w:rsid w:val="4D810EFD"/>
    <w:rsid w:val="4D83790E"/>
    <w:rsid w:val="4D85735D"/>
    <w:rsid w:val="4D8602C2"/>
    <w:rsid w:val="4D866514"/>
    <w:rsid w:val="4D8712BE"/>
    <w:rsid w:val="4D880FB4"/>
    <w:rsid w:val="4D896C25"/>
    <w:rsid w:val="4D8D2215"/>
    <w:rsid w:val="4D8D2BFC"/>
    <w:rsid w:val="4D8E361A"/>
    <w:rsid w:val="4D8E4CCD"/>
    <w:rsid w:val="4D947A13"/>
    <w:rsid w:val="4D9D79DA"/>
    <w:rsid w:val="4D9E0F3F"/>
    <w:rsid w:val="4D9E3106"/>
    <w:rsid w:val="4D9E6A34"/>
    <w:rsid w:val="4D9E721C"/>
    <w:rsid w:val="4DA02B5D"/>
    <w:rsid w:val="4DA228A7"/>
    <w:rsid w:val="4DA2483A"/>
    <w:rsid w:val="4DA50DCE"/>
    <w:rsid w:val="4DA71D53"/>
    <w:rsid w:val="4DB23A93"/>
    <w:rsid w:val="4DB24313"/>
    <w:rsid w:val="4DB3511F"/>
    <w:rsid w:val="4DB741CB"/>
    <w:rsid w:val="4DB76B0A"/>
    <w:rsid w:val="4DB82445"/>
    <w:rsid w:val="4DB85F8E"/>
    <w:rsid w:val="4DB90182"/>
    <w:rsid w:val="4DBA020E"/>
    <w:rsid w:val="4DBA6BD8"/>
    <w:rsid w:val="4DBA7F6B"/>
    <w:rsid w:val="4DBC3CE3"/>
    <w:rsid w:val="4DC3638F"/>
    <w:rsid w:val="4DC46CA1"/>
    <w:rsid w:val="4DC77DB3"/>
    <w:rsid w:val="4DCB2A58"/>
    <w:rsid w:val="4DCC4422"/>
    <w:rsid w:val="4DCC7F5E"/>
    <w:rsid w:val="4DCD4A89"/>
    <w:rsid w:val="4DD06FA1"/>
    <w:rsid w:val="4DD1609C"/>
    <w:rsid w:val="4DD835B2"/>
    <w:rsid w:val="4DD93D50"/>
    <w:rsid w:val="4DD94895"/>
    <w:rsid w:val="4DDB46DE"/>
    <w:rsid w:val="4DDF2411"/>
    <w:rsid w:val="4DE31663"/>
    <w:rsid w:val="4DE41189"/>
    <w:rsid w:val="4DE50F58"/>
    <w:rsid w:val="4DE535FF"/>
    <w:rsid w:val="4DE60967"/>
    <w:rsid w:val="4DE763B6"/>
    <w:rsid w:val="4DE82D2A"/>
    <w:rsid w:val="4DE9422C"/>
    <w:rsid w:val="4DEA3E2A"/>
    <w:rsid w:val="4DEA6478"/>
    <w:rsid w:val="4DEB696F"/>
    <w:rsid w:val="4DF0617A"/>
    <w:rsid w:val="4DF10658"/>
    <w:rsid w:val="4DF32DFB"/>
    <w:rsid w:val="4DF844BD"/>
    <w:rsid w:val="4E021B56"/>
    <w:rsid w:val="4E0828F5"/>
    <w:rsid w:val="4E082AC0"/>
    <w:rsid w:val="4E090CA6"/>
    <w:rsid w:val="4E101B9D"/>
    <w:rsid w:val="4E102281"/>
    <w:rsid w:val="4E1517BE"/>
    <w:rsid w:val="4E1626A9"/>
    <w:rsid w:val="4E1C4782"/>
    <w:rsid w:val="4E1E04FA"/>
    <w:rsid w:val="4E1E5397"/>
    <w:rsid w:val="4E1F6A45"/>
    <w:rsid w:val="4E21448E"/>
    <w:rsid w:val="4E272E8D"/>
    <w:rsid w:val="4E29031F"/>
    <w:rsid w:val="4E290CD4"/>
    <w:rsid w:val="4E292CD9"/>
    <w:rsid w:val="4E2A0852"/>
    <w:rsid w:val="4E2F2DD1"/>
    <w:rsid w:val="4E2F3DF2"/>
    <w:rsid w:val="4E331BE4"/>
    <w:rsid w:val="4E3715BC"/>
    <w:rsid w:val="4E375C5C"/>
    <w:rsid w:val="4E3F649D"/>
    <w:rsid w:val="4E4168DE"/>
    <w:rsid w:val="4E436DBE"/>
    <w:rsid w:val="4E443F77"/>
    <w:rsid w:val="4E465CA3"/>
    <w:rsid w:val="4E467A51"/>
    <w:rsid w:val="4E4966F7"/>
    <w:rsid w:val="4E4C051F"/>
    <w:rsid w:val="4E4C150B"/>
    <w:rsid w:val="4E4D31D1"/>
    <w:rsid w:val="4E4F0F85"/>
    <w:rsid w:val="4E4F3B28"/>
    <w:rsid w:val="4E512358"/>
    <w:rsid w:val="4E523D53"/>
    <w:rsid w:val="4E54241A"/>
    <w:rsid w:val="4E556FE9"/>
    <w:rsid w:val="4E5728DF"/>
    <w:rsid w:val="4E58553D"/>
    <w:rsid w:val="4E5A0004"/>
    <w:rsid w:val="4E5A224A"/>
    <w:rsid w:val="4E5B57DC"/>
    <w:rsid w:val="4E6012F3"/>
    <w:rsid w:val="4E601AB9"/>
    <w:rsid w:val="4E6040AB"/>
    <w:rsid w:val="4E624C32"/>
    <w:rsid w:val="4E633605"/>
    <w:rsid w:val="4E636D4E"/>
    <w:rsid w:val="4E676345"/>
    <w:rsid w:val="4E69052F"/>
    <w:rsid w:val="4E6D3230"/>
    <w:rsid w:val="4E6F3772"/>
    <w:rsid w:val="4E722F95"/>
    <w:rsid w:val="4E737EB1"/>
    <w:rsid w:val="4E765695"/>
    <w:rsid w:val="4E783250"/>
    <w:rsid w:val="4E7A0A87"/>
    <w:rsid w:val="4E7A5E8A"/>
    <w:rsid w:val="4E7B2225"/>
    <w:rsid w:val="4E7C3473"/>
    <w:rsid w:val="4E7E2684"/>
    <w:rsid w:val="4E7E3E7C"/>
    <w:rsid w:val="4E7E543D"/>
    <w:rsid w:val="4E8062DA"/>
    <w:rsid w:val="4E8118CC"/>
    <w:rsid w:val="4E821B43"/>
    <w:rsid w:val="4E873A3C"/>
    <w:rsid w:val="4E8752CD"/>
    <w:rsid w:val="4E884559"/>
    <w:rsid w:val="4E8B1EE0"/>
    <w:rsid w:val="4E960054"/>
    <w:rsid w:val="4E992F9E"/>
    <w:rsid w:val="4E9A62A5"/>
    <w:rsid w:val="4E9D56D9"/>
    <w:rsid w:val="4EA2112B"/>
    <w:rsid w:val="4EA35073"/>
    <w:rsid w:val="4EA41181"/>
    <w:rsid w:val="4EA46F42"/>
    <w:rsid w:val="4EA8692B"/>
    <w:rsid w:val="4EA93518"/>
    <w:rsid w:val="4EAC1BC5"/>
    <w:rsid w:val="4EAC1FAA"/>
    <w:rsid w:val="4EAD33E4"/>
    <w:rsid w:val="4EAF077C"/>
    <w:rsid w:val="4EB56570"/>
    <w:rsid w:val="4EB96475"/>
    <w:rsid w:val="4EBD1AA2"/>
    <w:rsid w:val="4EBE395D"/>
    <w:rsid w:val="4EC07803"/>
    <w:rsid w:val="4EC15936"/>
    <w:rsid w:val="4EC25E00"/>
    <w:rsid w:val="4EC310A1"/>
    <w:rsid w:val="4EC4226F"/>
    <w:rsid w:val="4EC5306C"/>
    <w:rsid w:val="4EC96C45"/>
    <w:rsid w:val="4ECA0682"/>
    <w:rsid w:val="4ECB0D67"/>
    <w:rsid w:val="4ECB2A7D"/>
    <w:rsid w:val="4ECC264C"/>
    <w:rsid w:val="4ECC6B98"/>
    <w:rsid w:val="4ECE050F"/>
    <w:rsid w:val="4ECE7183"/>
    <w:rsid w:val="4ECF3A6C"/>
    <w:rsid w:val="4ECF5C98"/>
    <w:rsid w:val="4ED145AB"/>
    <w:rsid w:val="4ED17C23"/>
    <w:rsid w:val="4ED244EC"/>
    <w:rsid w:val="4ED81C14"/>
    <w:rsid w:val="4ED92673"/>
    <w:rsid w:val="4ED92A69"/>
    <w:rsid w:val="4EDD1DFE"/>
    <w:rsid w:val="4EE34D02"/>
    <w:rsid w:val="4EE47996"/>
    <w:rsid w:val="4EE540C5"/>
    <w:rsid w:val="4EE72FE2"/>
    <w:rsid w:val="4EE940AA"/>
    <w:rsid w:val="4EE94FAC"/>
    <w:rsid w:val="4EEA5CAC"/>
    <w:rsid w:val="4EEA7FD8"/>
    <w:rsid w:val="4EEB1631"/>
    <w:rsid w:val="4EF063F8"/>
    <w:rsid w:val="4EF37BD9"/>
    <w:rsid w:val="4EF67D19"/>
    <w:rsid w:val="4EF71B04"/>
    <w:rsid w:val="4EF727D8"/>
    <w:rsid w:val="4EF92D15"/>
    <w:rsid w:val="4EFA4595"/>
    <w:rsid w:val="4EFA4B51"/>
    <w:rsid w:val="4EFC4D40"/>
    <w:rsid w:val="4EFD7270"/>
    <w:rsid w:val="4EFF7FF5"/>
    <w:rsid w:val="4F010770"/>
    <w:rsid w:val="4F0373C1"/>
    <w:rsid w:val="4F047EA2"/>
    <w:rsid w:val="4F053468"/>
    <w:rsid w:val="4F065B23"/>
    <w:rsid w:val="4F0F0008"/>
    <w:rsid w:val="4F0F41C9"/>
    <w:rsid w:val="4F113206"/>
    <w:rsid w:val="4F1171AB"/>
    <w:rsid w:val="4F131A98"/>
    <w:rsid w:val="4F155DA1"/>
    <w:rsid w:val="4F165EC1"/>
    <w:rsid w:val="4F1813ED"/>
    <w:rsid w:val="4F18148B"/>
    <w:rsid w:val="4F1B2C8C"/>
    <w:rsid w:val="4F215707"/>
    <w:rsid w:val="4F223243"/>
    <w:rsid w:val="4F265146"/>
    <w:rsid w:val="4F266806"/>
    <w:rsid w:val="4F2D2C7C"/>
    <w:rsid w:val="4F2E29BF"/>
    <w:rsid w:val="4F2F63CC"/>
    <w:rsid w:val="4F3501F1"/>
    <w:rsid w:val="4F350606"/>
    <w:rsid w:val="4F380851"/>
    <w:rsid w:val="4F3B1580"/>
    <w:rsid w:val="4F3E798A"/>
    <w:rsid w:val="4F485B04"/>
    <w:rsid w:val="4F486509"/>
    <w:rsid w:val="4F4E12B3"/>
    <w:rsid w:val="4F4E4E0F"/>
    <w:rsid w:val="4F4F43F0"/>
    <w:rsid w:val="4F506DF4"/>
    <w:rsid w:val="4F51447E"/>
    <w:rsid w:val="4F52018C"/>
    <w:rsid w:val="4F521D5C"/>
    <w:rsid w:val="4F526DE8"/>
    <w:rsid w:val="4F530677"/>
    <w:rsid w:val="4F5607C9"/>
    <w:rsid w:val="4F5835F5"/>
    <w:rsid w:val="4F5B752C"/>
    <w:rsid w:val="4F616B49"/>
    <w:rsid w:val="4F625FBC"/>
    <w:rsid w:val="4F636158"/>
    <w:rsid w:val="4F664600"/>
    <w:rsid w:val="4F666848"/>
    <w:rsid w:val="4F6D44D3"/>
    <w:rsid w:val="4F710AFD"/>
    <w:rsid w:val="4F712E54"/>
    <w:rsid w:val="4F714111"/>
    <w:rsid w:val="4F717FEA"/>
    <w:rsid w:val="4F796AF3"/>
    <w:rsid w:val="4F7C7BCE"/>
    <w:rsid w:val="4F803735"/>
    <w:rsid w:val="4F852047"/>
    <w:rsid w:val="4F894099"/>
    <w:rsid w:val="4F8A23F4"/>
    <w:rsid w:val="4F8A7538"/>
    <w:rsid w:val="4F8A7ED6"/>
    <w:rsid w:val="4F975AE1"/>
    <w:rsid w:val="4F9A34B3"/>
    <w:rsid w:val="4F9E1EF5"/>
    <w:rsid w:val="4F9F009D"/>
    <w:rsid w:val="4FA113E3"/>
    <w:rsid w:val="4FA14194"/>
    <w:rsid w:val="4FA4470B"/>
    <w:rsid w:val="4FA574A8"/>
    <w:rsid w:val="4FA61264"/>
    <w:rsid w:val="4FA76D93"/>
    <w:rsid w:val="4FA830FD"/>
    <w:rsid w:val="4FA96F84"/>
    <w:rsid w:val="4FAC136F"/>
    <w:rsid w:val="4FAC51BF"/>
    <w:rsid w:val="4FAD4BDA"/>
    <w:rsid w:val="4FAE17A8"/>
    <w:rsid w:val="4FB37368"/>
    <w:rsid w:val="4FB4273E"/>
    <w:rsid w:val="4FB52ABC"/>
    <w:rsid w:val="4FB707A4"/>
    <w:rsid w:val="4FBB1D6C"/>
    <w:rsid w:val="4FBD72D0"/>
    <w:rsid w:val="4FC17C1E"/>
    <w:rsid w:val="4FC40DE4"/>
    <w:rsid w:val="4FC459F8"/>
    <w:rsid w:val="4FC4667F"/>
    <w:rsid w:val="4FC6496F"/>
    <w:rsid w:val="4FC70BFD"/>
    <w:rsid w:val="4FC77D89"/>
    <w:rsid w:val="4FC87600"/>
    <w:rsid w:val="4FC90929"/>
    <w:rsid w:val="4FC92BEF"/>
    <w:rsid w:val="4FCA1C5F"/>
    <w:rsid w:val="4FCD6773"/>
    <w:rsid w:val="4FD22436"/>
    <w:rsid w:val="4FD757E5"/>
    <w:rsid w:val="4FD8597B"/>
    <w:rsid w:val="4FD96448"/>
    <w:rsid w:val="4FDA61A2"/>
    <w:rsid w:val="4FDC17DF"/>
    <w:rsid w:val="4FE077F1"/>
    <w:rsid w:val="4FE20CDC"/>
    <w:rsid w:val="4FE400DA"/>
    <w:rsid w:val="4FE50A0C"/>
    <w:rsid w:val="4FE52485"/>
    <w:rsid w:val="4FED5CA2"/>
    <w:rsid w:val="4FF16D2E"/>
    <w:rsid w:val="4FF27E90"/>
    <w:rsid w:val="4FF43314"/>
    <w:rsid w:val="4FF53B27"/>
    <w:rsid w:val="4FF752DC"/>
    <w:rsid w:val="4FF825C9"/>
    <w:rsid w:val="4FFB1A09"/>
    <w:rsid w:val="4FFC0D0F"/>
    <w:rsid w:val="4FFD595B"/>
    <w:rsid w:val="500139E3"/>
    <w:rsid w:val="5003209D"/>
    <w:rsid w:val="50055E16"/>
    <w:rsid w:val="500621E1"/>
    <w:rsid w:val="50067073"/>
    <w:rsid w:val="50096F88"/>
    <w:rsid w:val="500A602F"/>
    <w:rsid w:val="501352E2"/>
    <w:rsid w:val="501364FD"/>
    <w:rsid w:val="50153B7F"/>
    <w:rsid w:val="50172407"/>
    <w:rsid w:val="50183D19"/>
    <w:rsid w:val="50195DF3"/>
    <w:rsid w:val="501B7D45"/>
    <w:rsid w:val="501D04CE"/>
    <w:rsid w:val="501F7E5A"/>
    <w:rsid w:val="50203C86"/>
    <w:rsid w:val="5020757C"/>
    <w:rsid w:val="50221337"/>
    <w:rsid w:val="50253FAD"/>
    <w:rsid w:val="5026719E"/>
    <w:rsid w:val="50281B04"/>
    <w:rsid w:val="50283F8A"/>
    <w:rsid w:val="50295E52"/>
    <w:rsid w:val="502A3B2E"/>
    <w:rsid w:val="502B1A06"/>
    <w:rsid w:val="502E16DF"/>
    <w:rsid w:val="50323E9E"/>
    <w:rsid w:val="50341249"/>
    <w:rsid w:val="503A4330"/>
    <w:rsid w:val="503F0BFC"/>
    <w:rsid w:val="50403400"/>
    <w:rsid w:val="5043427F"/>
    <w:rsid w:val="50450E70"/>
    <w:rsid w:val="50451A62"/>
    <w:rsid w:val="50467C77"/>
    <w:rsid w:val="50492D0E"/>
    <w:rsid w:val="504A1A7A"/>
    <w:rsid w:val="504D22D0"/>
    <w:rsid w:val="504E2135"/>
    <w:rsid w:val="504E6789"/>
    <w:rsid w:val="50502F43"/>
    <w:rsid w:val="50511DCD"/>
    <w:rsid w:val="50526502"/>
    <w:rsid w:val="50537FDF"/>
    <w:rsid w:val="505406EA"/>
    <w:rsid w:val="505418F5"/>
    <w:rsid w:val="5056251F"/>
    <w:rsid w:val="50586E42"/>
    <w:rsid w:val="505A2995"/>
    <w:rsid w:val="505B0B0E"/>
    <w:rsid w:val="505D3BEA"/>
    <w:rsid w:val="506109A5"/>
    <w:rsid w:val="50613A80"/>
    <w:rsid w:val="50614121"/>
    <w:rsid w:val="50631789"/>
    <w:rsid w:val="50667122"/>
    <w:rsid w:val="506A1AE5"/>
    <w:rsid w:val="506C5CA1"/>
    <w:rsid w:val="506E21F3"/>
    <w:rsid w:val="507360DF"/>
    <w:rsid w:val="5075729B"/>
    <w:rsid w:val="5076286F"/>
    <w:rsid w:val="507629FF"/>
    <w:rsid w:val="507708C9"/>
    <w:rsid w:val="507B60D8"/>
    <w:rsid w:val="507D1DDB"/>
    <w:rsid w:val="507E1BB5"/>
    <w:rsid w:val="508071CF"/>
    <w:rsid w:val="50824801"/>
    <w:rsid w:val="50840A0C"/>
    <w:rsid w:val="508464F0"/>
    <w:rsid w:val="50874A7C"/>
    <w:rsid w:val="508A0845"/>
    <w:rsid w:val="508B1CFC"/>
    <w:rsid w:val="508B78D9"/>
    <w:rsid w:val="50904A67"/>
    <w:rsid w:val="509121E9"/>
    <w:rsid w:val="50916612"/>
    <w:rsid w:val="5094271B"/>
    <w:rsid w:val="5098176E"/>
    <w:rsid w:val="509A269F"/>
    <w:rsid w:val="509E3095"/>
    <w:rsid w:val="509F5C1D"/>
    <w:rsid w:val="50A576B2"/>
    <w:rsid w:val="50A66AE7"/>
    <w:rsid w:val="50AA42C7"/>
    <w:rsid w:val="50B00106"/>
    <w:rsid w:val="50B96C00"/>
    <w:rsid w:val="50B97C12"/>
    <w:rsid w:val="50BC0F04"/>
    <w:rsid w:val="50BC4EBF"/>
    <w:rsid w:val="50C0213E"/>
    <w:rsid w:val="50C20A02"/>
    <w:rsid w:val="50C31DB7"/>
    <w:rsid w:val="50C7612E"/>
    <w:rsid w:val="50C81643"/>
    <w:rsid w:val="50CD4459"/>
    <w:rsid w:val="50D049A9"/>
    <w:rsid w:val="50D17AA6"/>
    <w:rsid w:val="50D219EE"/>
    <w:rsid w:val="50D7144B"/>
    <w:rsid w:val="50D94BAC"/>
    <w:rsid w:val="50DB0924"/>
    <w:rsid w:val="50DC1F83"/>
    <w:rsid w:val="50DD37FA"/>
    <w:rsid w:val="50DE39E2"/>
    <w:rsid w:val="50E7307F"/>
    <w:rsid w:val="50EC7FE3"/>
    <w:rsid w:val="50ED0658"/>
    <w:rsid w:val="50ED6651"/>
    <w:rsid w:val="50EE5FD6"/>
    <w:rsid w:val="50F21C26"/>
    <w:rsid w:val="50F472B4"/>
    <w:rsid w:val="50F500CA"/>
    <w:rsid w:val="50F51526"/>
    <w:rsid w:val="50F63299"/>
    <w:rsid w:val="50F814D6"/>
    <w:rsid w:val="50F87F12"/>
    <w:rsid w:val="50FA12AC"/>
    <w:rsid w:val="50FC089B"/>
    <w:rsid w:val="50FD6AED"/>
    <w:rsid w:val="50FE2F41"/>
    <w:rsid w:val="51054B07"/>
    <w:rsid w:val="51056328"/>
    <w:rsid w:val="51081827"/>
    <w:rsid w:val="51081B1D"/>
    <w:rsid w:val="510B76CF"/>
    <w:rsid w:val="510C31D4"/>
    <w:rsid w:val="510D65B9"/>
    <w:rsid w:val="510D731C"/>
    <w:rsid w:val="51134562"/>
    <w:rsid w:val="5115386D"/>
    <w:rsid w:val="51155AAE"/>
    <w:rsid w:val="511A1959"/>
    <w:rsid w:val="511A58F1"/>
    <w:rsid w:val="511B5D12"/>
    <w:rsid w:val="511D55F2"/>
    <w:rsid w:val="511D5897"/>
    <w:rsid w:val="51234079"/>
    <w:rsid w:val="51246B4D"/>
    <w:rsid w:val="51256043"/>
    <w:rsid w:val="512749D4"/>
    <w:rsid w:val="51296EC1"/>
    <w:rsid w:val="51297D8E"/>
    <w:rsid w:val="512D20F5"/>
    <w:rsid w:val="513272DA"/>
    <w:rsid w:val="51340B7A"/>
    <w:rsid w:val="513514A8"/>
    <w:rsid w:val="51387638"/>
    <w:rsid w:val="513A0761"/>
    <w:rsid w:val="513F5357"/>
    <w:rsid w:val="51402E7D"/>
    <w:rsid w:val="51416F08"/>
    <w:rsid w:val="51420BD2"/>
    <w:rsid w:val="514566E6"/>
    <w:rsid w:val="51484FCB"/>
    <w:rsid w:val="514C35D0"/>
    <w:rsid w:val="514C735B"/>
    <w:rsid w:val="514E0A28"/>
    <w:rsid w:val="514F2C74"/>
    <w:rsid w:val="51530621"/>
    <w:rsid w:val="51556929"/>
    <w:rsid w:val="51582A61"/>
    <w:rsid w:val="51595CED"/>
    <w:rsid w:val="515E4AFF"/>
    <w:rsid w:val="515F3303"/>
    <w:rsid w:val="51643789"/>
    <w:rsid w:val="516903A4"/>
    <w:rsid w:val="516A1CA8"/>
    <w:rsid w:val="516E0EFF"/>
    <w:rsid w:val="51711289"/>
    <w:rsid w:val="51735001"/>
    <w:rsid w:val="51782617"/>
    <w:rsid w:val="51791C2D"/>
    <w:rsid w:val="517B1FAE"/>
    <w:rsid w:val="517B639D"/>
    <w:rsid w:val="517D2F40"/>
    <w:rsid w:val="517D3CFB"/>
    <w:rsid w:val="517F464A"/>
    <w:rsid w:val="51806468"/>
    <w:rsid w:val="51827ED6"/>
    <w:rsid w:val="518C1C1F"/>
    <w:rsid w:val="518C47CD"/>
    <w:rsid w:val="518D1861"/>
    <w:rsid w:val="518F150C"/>
    <w:rsid w:val="51903FB3"/>
    <w:rsid w:val="51965337"/>
    <w:rsid w:val="51984A67"/>
    <w:rsid w:val="519A44EF"/>
    <w:rsid w:val="519B1EA6"/>
    <w:rsid w:val="519B6A79"/>
    <w:rsid w:val="519C180B"/>
    <w:rsid w:val="51A05804"/>
    <w:rsid w:val="51A11B6E"/>
    <w:rsid w:val="51A12630"/>
    <w:rsid w:val="51A5345B"/>
    <w:rsid w:val="51A702DD"/>
    <w:rsid w:val="51A8290C"/>
    <w:rsid w:val="51A847DE"/>
    <w:rsid w:val="51AB2904"/>
    <w:rsid w:val="51AC3DF2"/>
    <w:rsid w:val="51B358E2"/>
    <w:rsid w:val="51B41EEC"/>
    <w:rsid w:val="51B82A14"/>
    <w:rsid w:val="51B9296E"/>
    <w:rsid w:val="51BC1258"/>
    <w:rsid w:val="51BD10BB"/>
    <w:rsid w:val="51BD44CE"/>
    <w:rsid w:val="51C94D42"/>
    <w:rsid w:val="51CE5807"/>
    <w:rsid w:val="51D1429F"/>
    <w:rsid w:val="51D2220A"/>
    <w:rsid w:val="51D76030"/>
    <w:rsid w:val="51D80064"/>
    <w:rsid w:val="51D875D1"/>
    <w:rsid w:val="51D8777E"/>
    <w:rsid w:val="51D96C4C"/>
    <w:rsid w:val="51DA16C8"/>
    <w:rsid w:val="51DF2A8C"/>
    <w:rsid w:val="51DF4444"/>
    <w:rsid w:val="51E07F14"/>
    <w:rsid w:val="51E24C0A"/>
    <w:rsid w:val="51E25CE3"/>
    <w:rsid w:val="51E3441C"/>
    <w:rsid w:val="51E414FC"/>
    <w:rsid w:val="51E732F9"/>
    <w:rsid w:val="51F336B6"/>
    <w:rsid w:val="51F34648"/>
    <w:rsid w:val="51F37EF0"/>
    <w:rsid w:val="51FF0643"/>
    <w:rsid w:val="52006B5A"/>
    <w:rsid w:val="52030B51"/>
    <w:rsid w:val="5204544E"/>
    <w:rsid w:val="52071443"/>
    <w:rsid w:val="52093B72"/>
    <w:rsid w:val="52101CFA"/>
    <w:rsid w:val="52110A39"/>
    <w:rsid w:val="521110C4"/>
    <w:rsid w:val="521178E8"/>
    <w:rsid w:val="52176CC7"/>
    <w:rsid w:val="521E0B6A"/>
    <w:rsid w:val="52213BDF"/>
    <w:rsid w:val="52223F36"/>
    <w:rsid w:val="52236509"/>
    <w:rsid w:val="52263E21"/>
    <w:rsid w:val="522848AF"/>
    <w:rsid w:val="52284A8B"/>
    <w:rsid w:val="522A286E"/>
    <w:rsid w:val="522E0F28"/>
    <w:rsid w:val="522E2EB6"/>
    <w:rsid w:val="52302599"/>
    <w:rsid w:val="52302EF2"/>
    <w:rsid w:val="52310D91"/>
    <w:rsid w:val="52350508"/>
    <w:rsid w:val="52365752"/>
    <w:rsid w:val="52382C7E"/>
    <w:rsid w:val="52383B54"/>
    <w:rsid w:val="523A675D"/>
    <w:rsid w:val="523B6118"/>
    <w:rsid w:val="523F2294"/>
    <w:rsid w:val="524023B1"/>
    <w:rsid w:val="52410C5B"/>
    <w:rsid w:val="52416FED"/>
    <w:rsid w:val="524644C3"/>
    <w:rsid w:val="524753FF"/>
    <w:rsid w:val="52486264"/>
    <w:rsid w:val="5249494D"/>
    <w:rsid w:val="524F69B6"/>
    <w:rsid w:val="5252069F"/>
    <w:rsid w:val="52524C16"/>
    <w:rsid w:val="5257047F"/>
    <w:rsid w:val="525A3ACB"/>
    <w:rsid w:val="525E1FE6"/>
    <w:rsid w:val="52635075"/>
    <w:rsid w:val="52707792"/>
    <w:rsid w:val="52726F73"/>
    <w:rsid w:val="52740582"/>
    <w:rsid w:val="52754DA9"/>
    <w:rsid w:val="52770C36"/>
    <w:rsid w:val="5278236D"/>
    <w:rsid w:val="527B3E85"/>
    <w:rsid w:val="527C2856"/>
    <w:rsid w:val="527F1783"/>
    <w:rsid w:val="527F342D"/>
    <w:rsid w:val="528101C5"/>
    <w:rsid w:val="528124CD"/>
    <w:rsid w:val="5281374D"/>
    <w:rsid w:val="52823613"/>
    <w:rsid w:val="52830639"/>
    <w:rsid w:val="52831C36"/>
    <w:rsid w:val="52884ADC"/>
    <w:rsid w:val="528A2602"/>
    <w:rsid w:val="528B1BF6"/>
    <w:rsid w:val="528E38A6"/>
    <w:rsid w:val="528E46E8"/>
    <w:rsid w:val="529600C0"/>
    <w:rsid w:val="52966AAF"/>
    <w:rsid w:val="52990E0E"/>
    <w:rsid w:val="5299445E"/>
    <w:rsid w:val="529D220B"/>
    <w:rsid w:val="52A12F74"/>
    <w:rsid w:val="52A1587A"/>
    <w:rsid w:val="52A25283"/>
    <w:rsid w:val="52A55ECC"/>
    <w:rsid w:val="52A770B3"/>
    <w:rsid w:val="52A92BA3"/>
    <w:rsid w:val="52AA70C1"/>
    <w:rsid w:val="52AB1138"/>
    <w:rsid w:val="52AB2578"/>
    <w:rsid w:val="52AC3207"/>
    <w:rsid w:val="52B244EC"/>
    <w:rsid w:val="52B403CD"/>
    <w:rsid w:val="52B509E5"/>
    <w:rsid w:val="52B64C37"/>
    <w:rsid w:val="52B94C95"/>
    <w:rsid w:val="52B9726B"/>
    <w:rsid w:val="52C11B7E"/>
    <w:rsid w:val="52C237DC"/>
    <w:rsid w:val="52C2513C"/>
    <w:rsid w:val="52C36173"/>
    <w:rsid w:val="52C524B3"/>
    <w:rsid w:val="52C648B5"/>
    <w:rsid w:val="52C67F32"/>
    <w:rsid w:val="52C84ED8"/>
    <w:rsid w:val="52C94AC4"/>
    <w:rsid w:val="52C975DC"/>
    <w:rsid w:val="52CA29FF"/>
    <w:rsid w:val="52CB130A"/>
    <w:rsid w:val="52CE1AF3"/>
    <w:rsid w:val="52D17328"/>
    <w:rsid w:val="52D46679"/>
    <w:rsid w:val="52DA2B85"/>
    <w:rsid w:val="52DC7783"/>
    <w:rsid w:val="52DE0176"/>
    <w:rsid w:val="52DE2E69"/>
    <w:rsid w:val="52E066C6"/>
    <w:rsid w:val="52E10E24"/>
    <w:rsid w:val="52E148C8"/>
    <w:rsid w:val="52E15BA4"/>
    <w:rsid w:val="52E21C63"/>
    <w:rsid w:val="52E26EAC"/>
    <w:rsid w:val="52E57980"/>
    <w:rsid w:val="52F064E9"/>
    <w:rsid w:val="52F23A62"/>
    <w:rsid w:val="52F41FED"/>
    <w:rsid w:val="52F43869"/>
    <w:rsid w:val="52F65EE9"/>
    <w:rsid w:val="52FC107A"/>
    <w:rsid w:val="53014A50"/>
    <w:rsid w:val="53051C89"/>
    <w:rsid w:val="530750F1"/>
    <w:rsid w:val="530C10F9"/>
    <w:rsid w:val="530C197F"/>
    <w:rsid w:val="53124F20"/>
    <w:rsid w:val="53126856"/>
    <w:rsid w:val="531277CC"/>
    <w:rsid w:val="53127E83"/>
    <w:rsid w:val="53140BE3"/>
    <w:rsid w:val="5314426D"/>
    <w:rsid w:val="531445D8"/>
    <w:rsid w:val="53146370"/>
    <w:rsid w:val="531772F5"/>
    <w:rsid w:val="531923F5"/>
    <w:rsid w:val="531A6AED"/>
    <w:rsid w:val="531C32DA"/>
    <w:rsid w:val="531E0BA1"/>
    <w:rsid w:val="53202F66"/>
    <w:rsid w:val="532047E5"/>
    <w:rsid w:val="532A7977"/>
    <w:rsid w:val="532D5416"/>
    <w:rsid w:val="53305608"/>
    <w:rsid w:val="5331362D"/>
    <w:rsid w:val="53332C9A"/>
    <w:rsid w:val="53335FF9"/>
    <w:rsid w:val="53387B0E"/>
    <w:rsid w:val="53395DD6"/>
    <w:rsid w:val="533C1422"/>
    <w:rsid w:val="533D4EAB"/>
    <w:rsid w:val="533D58C6"/>
    <w:rsid w:val="533D72E7"/>
    <w:rsid w:val="533F5F53"/>
    <w:rsid w:val="53420DCF"/>
    <w:rsid w:val="53427DBC"/>
    <w:rsid w:val="534413DF"/>
    <w:rsid w:val="53451DE1"/>
    <w:rsid w:val="53482F05"/>
    <w:rsid w:val="53496841"/>
    <w:rsid w:val="534C2DAA"/>
    <w:rsid w:val="534F625E"/>
    <w:rsid w:val="535421C9"/>
    <w:rsid w:val="53580803"/>
    <w:rsid w:val="5358625C"/>
    <w:rsid w:val="535950BD"/>
    <w:rsid w:val="535A6478"/>
    <w:rsid w:val="535B2E93"/>
    <w:rsid w:val="535B3A87"/>
    <w:rsid w:val="53645083"/>
    <w:rsid w:val="53656C8D"/>
    <w:rsid w:val="53680DC4"/>
    <w:rsid w:val="53696A26"/>
    <w:rsid w:val="536A41E2"/>
    <w:rsid w:val="536A6B90"/>
    <w:rsid w:val="536D5E34"/>
    <w:rsid w:val="536E11E4"/>
    <w:rsid w:val="536F1BBE"/>
    <w:rsid w:val="5372282B"/>
    <w:rsid w:val="5373753A"/>
    <w:rsid w:val="537535F9"/>
    <w:rsid w:val="53764934"/>
    <w:rsid w:val="5377324A"/>
    <w:rsid w:val="537A21B0"/>
    <w:rsid w:val="53830A46"/>
    <w:rsid w:val="53831A46"/>
    <w:rsid w:val="538434F5"/>
    <w:rsid w:val="538452A3"/>
    <w:rsid w:val="538612FA"/>
    <w:rsid w:val="538930A9"/>
    <w:rsid w:val="538A109D"/>
    <w:rsid w:val="538D08BC"/>
    <w:rsid w:val="538F5AF2"/>
    <w:rsid w:val="539A4AC7"/>
    <w:rsid w:val="539A738B"/>
    <w:rsid w:val="539B6E0C"/>
    <w:rsid w:val="539C2D37"/>
    <w:rsid w:val="539D2764"/>
    <w:rsid w:val="53A0499C"/>
    <w:rsid w:val="53A76717"/>
    <w:rsid w:val="53A94D0A"/>
    <w:rsid w:val="53AC421F"/>
    <w:rsid w:val="53AC6B88"/>
    <w:rsid w:val="53B272F5"/>
    <w:rsid w:val="53B27FC3"/>
    <w:rsid w:val="53B460FE"/>
    <w:rsid w:val="53B52CA3"/>
    <w:rsid w:val="53B62635"/>
    <w:rsid w:val="53BB0E6F"/>
    <w:rsid w:val="53BF15BE"/>
    <w:rsid w:val="53C03079"/>
    <w:rsid w:val="53C224C4"/>
    <w:rsid w:val="53C53E1F"/>
    <w:rsid w:val="53C56991"/>
    <w:rsid w:val="53CC5379"/>
    <w:rsid w:val="53CF6539"/>
    <w:rsid w:val="53D004E8"/>
    <w:rsid w:val="53D224B3"/>
    <w:rsid w:val="53D31091"/>
    <w:rsid w:val="53D37A1B"/>
    <w:rsid w:val="53D54E63"/>
    <w:rsid w:val="53D752D1"/>
    <w:rsid w:val="53D920AD"/>
    <w:rsid w:val="53D959ED"/>
    <w:rsid w:val="53DC7545"/>
    <w:rsid w:val="53E0348E"/>
    <w:rsid w:val="53E24517"/>
    <w:rsid w:val="53E30A2C"/>
    <w:rsid w:val="53E474EF"/>
    <w:rsid w:val="53EC0145"/>
    <w:rsid w:val="53EC0FD5"/>
    <w:rsid w:val="53EE050E"/>
    <w:rsid w:val="53F41ED8"/>
    <w:rsid w:val="53FB24A6"/>
    <w:rsid w:val="53FC2F5D"/>
    <w:rsid w:val="53FC5135"/>
    <w:rsid w:val="54000001"/>
    <w:rsid w:val="5402205C"/>
    <w:rsid w:val="54037016"/>
    <w:rsid w:val="5405307B"/>
    <w:rsid w:val="54065348"/>
    <w:rsid w:val="54066F97"/>
    <w:rsid w:val="54083E46"/>
    <w:rsid w:val="540852BF"/>
    <w:rsid w:val="540D2F78"/>
    <w:rsid w:val="540E5BD4"/>
    <w:rsid w:val="541603CA"/>
    <w:rsid w:val="541751A7"/>
    <w:rsid w:val="54184193"/>
    <w:rsid w:val="541850A7"/>
    <w:rsid w:val="54190580"/>
    <w:rsid w:val="541977FF"/>
    <w:rsid w:val="541D1254"/>
    <w:rsid w:val="542138B3"/>
    <w:rsid w:val="54241A85"/>
    <w:rsid w:val="542B7803"/>
    <w:rsid w:val="542C08D2"/>
    <w:rsid w:val="542E57E5"/>
    <w:rsid w:val="54305DF3"/>
    <w:rsid w:val="543105CB"/>
    <w:rsid w:val="5431073C"/>
    <w:rsid w:val="54336EB5"/>
    <w:rsid w:val="543750B4"/>
    <w:rsid w:val="54383C82"/>
    <w:rsid w:val="5439151A"/>
    <w:rsid w:val="543E2C5B"/>
    <w:rsid w:val="543F11CA"/>
    <w:rsid w:val="54426489"/>
    <w:rsid w:val="5443022B"/>
    <w:rsid w:val="54430477"/>
    <w:rsid w:val="54466D71"/>
    <w:rsid w:val="54492AE4"/>
    <w:rsid w:val="54496AD3"/>
    <w:rsid w:val="544970BC"/>
    <w:rsid w:val="544E222C"/>
    <w:rsid w:val="54501DB2"/>
    <w:rsid w:val="54505E01"/>
    <w:rsid w:val="54525B01"/>
    <w:rsid w:val="54533025"/>
    <w:rsid w:val="5455494A"/>
    <w:rsid w:val="545A1D22"/>
    <w:rsid w:val="545C1D7C"/>
    <w:rsid w:val="545C3B2A"/>
    <w:rsid w:val="545D3327"/>
    <w:rsid w:val="545D78A2"/>
    <w:rsid w:val="545E3D46"/>
    <w:rsid w:val="54606BC7"/>
    <w:rsid w:val="546261C4"/>
    <w:rsid w:val="54680F26"/>
    <w:rsid w:val="54682CE5"/>
    <w:rsid w:val="546B6463"/>
    <w:rsid w:val="546D3429"/>
    <w:rsid w:val="546E06A3"/>
    <w:rsid w:val="546E6AB5"/>
    <w:rsid w:val="546E760A"/>
    <w:rsid w:val="5471647D"/>
    <w:rsid w:val="547216DA"/>
    <w:rsid w:val="54752E3E"/>
    <w:rsid w:val="5477630D"/>
    <w:rsid w:val="547A5721"/>
    <w:rsid w:val="547E00EE"/>
    <w:rsid w:val="547E5347"/>
    <w:rsid w:val="5480408D"/>
    <w:rsid w:val="5487553B"/>
    <w:rsid w:val="548C60A9"/>
    <w:rsid w:val="54914D47"/>
    <w:rsid w:val="549257CF"/>
    <w:rsid w:val="5493581D"/>
    <w:rsid w:val="549A4653"/>
    <w:rsid w:val="549C121B"/>
    <w:rsid w:val="549C400B"/>
    <w:rsid w:val="549D7684"/>
    <w:rsid w:val="54A25FDB"/>
    <w:rsid w:val="54A342F3"/>
    <w:rsid w:val="54A4596D"/>
    <w:rsid w:val="54A53585"/>
    <w:rsid w:val="54A567D2"/>
    <w:rsid w:val="54A76C35"/>
    <w:rsid w:val="54AB4954"/>
    <w:rsid w:val="54AC5855"/>
    <w:rsid w:val="54B70849"/>
    <w:rsid w:val="54B716A8"/>
    <w:rsid w:val="54BA3F9A"/>
    <w:rsid w:val="54BA6AA3"/>
    <w:rsid w:val="54BE22E7"/>
    <w:rsid w:val="54BE2B35"/>
    <w:rsid w:val="54BF1A28"/>
    <w:rsid w:val="54C03FAD"/>
    <w:rsid w:val="54C45E25"/>
    <w:rsid w:val="54C45F1A"/>
    <w:rsid w:val="54C811C0"/>
    <w:rsid w:val="54C81925"/>
    <w:rsid w:val="54C91CB6"/>
    <w:rsid w:val="54C94F38"/>
    <w:rsid w:val="54CA3B23"/>
    <w:rsid w:val="54CB3D23"/>
    <w:rsid w:val="54CE22DF"/>
    <w:rsid w:val="54CE315F"/>
    <w:rsid w:val="54D2203E"/>
    <w:rsid w:val="54D45DB6"/>
    <w:rsid w:val="54D5228C"/>
    <w:rsid w:val="54D5594E"/>
    <w:rsid w:val="54D843F5"/>
    <w:rsid w:val="54D84B43"/>
    <w:rsid w:val="54D9161F"/>
    <w:rsid w:val="54DB516A"/>
    <w:rsid w:val="54DB70D2"/>
    <w:rsid w:val="54DE0134"/>
    <w:rsid w:val="54E43A9C"/>
    <w:rsid w:val="54E5066E"/>
    <w:rsid w:val="54E57FC4"/>
    <w:rsid w:val="54E6066A"/>
    <w:rsid w:val="54E970A0"/>
    <w:rsid w:val="54E97FD9"/>
    <w:rsid w:val="54EA03E1"/>
    <w:rsid w:val="54EC1809"/>
    <w:rsid w:val="54EC1EAC"/>
    <w:rsid w:val="54EE27EF"/>
    <w:rsid w:val="54EF499E"/>
    <w:rsid w:val="54EF660E"/>
    <w:rsid w:val="54F40207"/>
    <w:rsid w:val="54F46459"/>
    <w:rsid w:val="54F52F6B"/>
    <w:rsid w:val="54F759A4"/>
    <w:rsid w:val="54FE1907"/>
    <w:rsid w:val="54FF10D9"/>
    <w:rsid w:val="54FF2404"/>
    <w:rsid w:val="5500002F"/>
    <w:rsid w:val="55004DFD"/>
    <w:rsid w:val="550173C1"/>
    <w:rsid w:val="5502730B"/>
    <w:rsid w:val="5505067C"/>
    <w:rsid w:val="550563F3"/>
    <w:rsid w:val="55061A3E"/>
    <w:rsid w:val="5507521F"/>
    <w:rsid w:val="550A5C7C"/>
    <w:rsid w:val="550B0758"/>
    <w:rsid w:val="550F5041"/>
    <w:rsid w:val="55102B67"/>
    <w:rsid w:val="551161AE"/>
    <w:rsid w:val="55133279"/>
    <w:rsid w:val="55134DFA"/>
    <w:rsid w:val="55191CBB"/>
    <w:rsid w:val="551C0D8D"/>
    <w:rsid w:val="55212644"/>
    <w:rsid w:val="55242E4B"/>
    <w:rsid w:val="5528284A"/>
    <w:rsid w:val="552C152C"/>
    <w:rsid w:val="552C45A0"/>
    <w:rsid w:val="552D1C3E"/>
    <w:rsid w:val="552E56B1"/>
    <w:rsid w:val="55300145"/>
    <w:rsid w:val="55340160"/>
    <w:rsid w:val="55355F48"/>
    <w:rsid w:val="553A0519"/>
    <w:rsid w:val="553A542C"/>
    <w:rsid w:val="553C60C1"/>
    <w:rsid w:val="553E2EC3"/>
    <w:rsid w:val="5540344C"/>
    <w:rsid w:val="5541318F"/>
    <w:rsid w:val="55414D26"/>
    <w:rsid w:val="554166F4"/>
    <w:rsid w:val="554271C4"/>
    <w:rsid w:val="55474201"/>
    <w:rsid w:val="55480552"/>
    <w:rsid w:val="55482300"/>
    <w:rsid w:val="554C6261"/>
    <w:rsid w:val="554F31B6"/>
    <w:rsid w:val="555028B4"/>
    <w:rsid w:val="555459E8"/>
    <w:rsid w:val="55574085"/>
    <w:rsid w:val="555962BC"/>
    <w:rsid w:val="555A3D95"/>
    <w:rsid w:val="555A5793"/>
    <w:rsid w:val="556042A3"/>
    <w:rsid w:val="556213A7"/>
    <w:rsid w:val="55631BDD"/>
    <w:rsid w:val="55652B6B"/>
    <w:rsid w:val="55657398"/>
    <w:rsid w:val="55663E5F"/>
    <w:rsid w:val="55674CFE"/>
    <w:rsid w:val="556A77B4"/>
    <w:rsid w:val="556F2587"/>
    <w:rsid w:val="55702BF9"/>
    <w:rsid w:val="55735ABF"/>
    <w:rsid w:val="55771808"/>
    <w:rsid w:val="55780E38"/>
    <w:rsid w:val="557C73E1"/>
    <w:rsid w:val="557D44A5"/>
    <w:rsid w:val="55826A75"/>
    <w:rsid w:val="55833339"/>
    <w:rsid w:val="55841B74"/>
    <w:rsid w:val="558555B5"/>
    <w:rsid w:val="5590334D"/>
    <w:rsid w:val="55903AD3"/>
    <w:rsid w:val="559451F6"/>
    <w:rsid w:val="55986218"/>
    <w:rsid w:val="559C1A60"/>
    <w:rsid w:val="559E011F"/>
    <w:rsid w:val="559E337A"/>
    <w:rsid w:val="559E63C4"/>
    <w:rsid w:val="55AA2FBB"/>
    <w:rsid w:val="55AE3A1D"/>
    <w:rsid w:val="55AE75C2"/>
    <w:rsid w:val="55AF69DD"/>
    <w:rsid w:val="55B300C2"/>
    <w:rsid w:val="55B33A03"/>
    <w:rsid w:val="55B86E15"/>
    <w:rsid w:val="55BA31FE"/>
    <w:rsid w:val="55BB6F76"/>
    <w:rsid w:val="55BC52DB"/>
    <w:rsid w:val="55BF0815"/>
    <w:rsid w:val="55C0458D"/>
    <w:rsid w:val="55C316D2"/>
    <w:rsid w:val="55C755DE"/>
    <w:rsid w:val="55C9480F"/>
    <w:rsid w:val="55CB29CD"/>
    <w:rsid w:val="55CC2FD9"/>
    <w:rsid w:val="55D41DE6"/>
    <w:rsid w:val="55D8098E"/>
    <w:rsid w:val="55D966E6"/>
    <w:rsid w:val="55DB47E2"/>
    <w:rsid w:val="55DF0462"/>
    <w:rsid w:val="55E145BE"/>
    <w:rsid w:val="55E64236"/>
    <w:rsid w:val="55E7003E"/>
    <w:rsid w:val="55EC10FE"/>
    <w:rsid w:val="55EC35D4"/>
    <w:rsid w:val="55F16EB6"/>
    <w:rsid w:val="55F2133B"/>
    <w:rsid w:val="55F457B2"/>
    <w:rsid w:val="55F55300"/>
    <w:rsid w:val="55F91F8F"/>
    <w:rsid w:val="55FA3704"/>
    <w:rsid w:val="55FF2EBD"/>
    <w:rsid w:val="56002D4A"/>
    <w:rsid w:val="5600363A"/>
    <w:rsid w:val="56063305"/>
    <w:rsid w:val="56065E04"/>
    <w:rsid w:val="560737E9"/>
    <w:rsid w:val="560825A7"/>
    <w:rsid w:val="56097CE2"/>
    <w:rsid w:val="560F1D67"/>
    <w:rsid w:val="560F5B75"/>
    <w:rsid w:val="56106577"/>
    <w:rsid w:val="56124C5B"/>
    <w:rsid w:val="56142CC6"/>
    <w:rsid w:val="56170E73"/>
    <w:rsid w:val="5619170D"/>
    <w:rsid w:val="561A411D"/>
    <w:rsid w:val="561B0BFB"/>
    <w:rsid w:val="561C385C"/>
    <w:rsid w:val="56203543"/>
    <w:rsid w:val="56205857"/>
    <w:rsid w:val="56207EC3"/>
    <w:rsid w:val="5621502B"/>
    <w:rsid w:val="562A4A84"/>
    <w:rsid w:val="562C1D4A"/>
    <w:rsid w:val="56325E8A"/>
    <w:rsid w:val="563318A1"/>
    <w:rsid w:val="56344246"/>
    <w:rsid w:val="56380C80"/>
    <w:rsid w:val="563A1FAE"/>
    <w:rsid w:val="563A60ED"/>
    <w:rsid w:val="563A7A2F"/>
    <w:rsid w:val="563C1A65"/>
    <w:rsid w:val="563F1A86"/>
    <w:rsid w:val="56405A16"/>
    <w:rsid w:val="56410096"/>
    <w:rsid w:val="5641577B"/>
    <w:rsid w:val="5641661F"/>
    <w:rsid w:val="56422331"/>
    <w:rsid w:val="56486A5C"/>
    <w:rsid w:val="564B5B3B"/>
    <w:rsid w:val="564D3E02"/>
    <w:rsid w:val="564D4072"/>
    <w:rsid w:val="564E5BD6"/>
    <w:rsid w:val="565137BC"/>
    <w:rsid w:val="56514B7E"/>
    <w:rsid w:val="56521D78"/>
    <w:rsid w:val="5653131C"/>
    <w:rsid w:val="565320C0"/>
    <w:rsid w:val="56556A24"/>
    <w:rsid w:val="565672E6"/>
    <w:rsid w:val="565C0305"/>
    <w:rsid w:val="565D7CD4"/>
    <w:rsid w:val="565F19AD"/>
    <w:rsid w:val="56615D30"/>
    <w:rsid w:val="56635C16"/>
    <w:rsid w:val="56635D3A"/>
    <w:rsid w:val="566D0271"/>
    <w:rsid w:val="566D2D04"/>
    <w:rsid w:val="566D5EF8"/>
    <w:rsid w:val="566E180A"/>
    <w:rsid w:val="566E5D97"/>
    <w:rsid w:val="566E64D7"/>
    <w:rsid w:val="566F5CC5"/>
    <w:rsid w:val="56711C5C"/>
    <w:rsid w:val="5673115F"/>
    <w:rsid w:val="567315FF"/>
    <w:rsid w:val="56760B7F"/>
    <w:rsid w:val="56766AE6"/>
    <w:rsid w:val="56774536"/>
    <w:rsid w:val="56786C15"/>
    <w:rsid w:val="56791F36"/>
    <w:rsid w:val="56792040"/>
    <w:rsid w:val="567B6153"/>
    <w:rsid w:val="567D7A10"/>
    <w:rsid w:val="567E247E"/>
    <w:rsid w:val="567E289B"/>
    <w:rsid w:val="567E6272"/>
    <w:rsid w:val="567E6B2D"/>
    <w:rsid w:val="567F6ECF"/>
    <w:rsid w:val="56813BC7"/>
    <w:rsid w:val="56820C92"/>
    <w:rsid w:val="568315EE"/>
    <w:rsid w:val="56835CE6"/>
    <w:rsid w:val="568622DE"/>
    <w:rsid w:val="56867584"/>
    <w:rsid w:val="56870E70"/>
    <w:rsid w:val="56892BD9"/>
    <w:rsid w:val="568B3B27"/>
    <w:rsid w:val="568C5953"/>
    <w:rsid w:val="568D48D7"/>
    <w:rsid w:val="568F2FC7"/>
    <w:rsid w:val="568F4888"/>
    <w:rsid w:val="56917F1F"/>
    <w:rsid w:val="56937B33"/>
    <w:rsid w:val="56941CA1"/>
    <w:rsid w:val="56946102"/>
    <w:rsid w:val="5695732E"/>
    <w:rsid w:val="569779E2"/>
    <w:rsid w:val="56982497"/>
    <w:rsid w:val="56985CC6"/>
    <w:rsid w:val="56995D14"/>
    <w:rsid w:val="569A7FE8"/>
    <w:rsid w:val="56A22D72"/>
    <w:rsid w:val="56A27009"/>
    <w:rsid w:val="56A64F26"/>
    <w:rsid w:val="56A7547E"/>
    <w:rsid w:val="56A96DCF"/>
    <w:rsid w:val="56AF5946"/>
    <w:rsid w:val="56AF65D0"/>
    <w:rsid w:val="56B04601"/>
    <w:rsid w:val="56B23ED5"/>
    <w:rsid w:val="56B712EB"/>
    <w:rsid w:val="56B81F29"/>
    <w:rsid w:val="56B85264"/>
    <w:rsid w:val="56BB058E"/>
    <w:rsid w:val="56BC15F7"/>
    <w:rsid w:val="56BC6B02"/>
    <w:rsid w:val="56BE0ACC"/>
    <w:rsid w:val="56C0588E"/>
    <w:rsid w:val="56C05BD8"/>
    <w:rsid w:val="56C24040"/>
    <w:rsid w:val="56C323F4"/>
    <w:rsid w:val="56C33B97"/>
    <w:rsid w:val="56CA3A12"/>
    <w:rsid w:val="56CD3F85"/>
    <w:rsid w:val="56CE505E"/>
    <w:rsid w:val="56CF2CD9"/>
    <w:rsid w:val="56D16FAA"/>
    <w:rsid w:val="56D55C84"/>
    <w:rsid w:val="56D80CC3"/>
    <w:rsid w:val="56D95AC1"/>
    <w:rsid w:val="56DC1391"/>
    <w:rsid w:val="56DC7584"/>
    <w:rsid w:val="56E322E1"/>
    <w:rsid w:val="56E350CE"/>
    <w:rsid w:val="56E50F7B"/>
    <w:rsid w:val="56E60023"/>
    <w:rsid w:val="56E74E58"/>
    <w:rsid w:val="56E95231"/>
    <w:rsid w:val="56EE0C86"/>
    <w:rsid w:val="56F16C67"/>
    <w:rsid w:val="56FA127F"/>
    <w:rsid w:val="56FB0962"/>
    <w:rsid w:val="570217DC"/>
    <w:rsid w:val="57046C74"/>
    <w:rsid w:val="570521A4"/>
    <w:rsid w:val="570D0681"/>
    <w:rsid w:val="570D5CE5"/>
    <w:rsid w:val="570F003E"/>
    <w:rsid w:val="570F1328"/>
    <w:rsid w:val="57121C99"/>
    <w:rsid w:val="571C731F"/>
    <w:rsid w:val="5720002A"/>
    <w:rsid w:val="57203833"/>
    <w:rsid w:val="5723493E"/>
    <w:rsid w:val="57235E80"/>
    <w:rsid w:val="572A03E1"/>
    <w:rsid w:val="572C012C"/>
    <w:rsid w:val="572C0D6D"/>
    <w:rsid w:val="572F6274"/>
    <w:rsid w:val="573174F0"/>
    <w:rsid w:val="5733050C"/>
    <w:rsid w:val="5733571C"/>
    <w:rsid w:val="5734735E"/>
    <w:rsid w:val="5736073C"/>
    <w:rsid w:val="573A082F"/>
    <w:rsid w:val="573B5982"/>
    <w:rsid w:val="573E1F4D"/>
    <w:rsid w:val="57407733"/>
    <w:rsid w:val="57410317"/>
    <w:rsid w:val="574619E4"/>
    <w:rsid w:val="57461E4F"/>
    <w:rsid w:val="574907C6"/>
    <w:rsid w:val="574F65EC"/>
    <w:rsid w:val="57502415"/>
    <w:rsid w:val="57512308"/>
    <w:rsid w:val="575173D5"/>
    <w:rsid w:val="57577EAB"/>
    <w:rsid w:val="575847F8"/>
    <w:rsid w:val="575D6941"/>
    <w:rsid w:val="576001FE"/>
    <w:rsid w:val="5760775C"/>
    <w:rsid w:val="576126F9"/>
    <w:rsid w:val="57623167"/>
    <w:rsid w:val="576C4359"/>
    <w:rsid w:val="576D10A9"/>
    <w:rsid w:val="576D24F2"/>
    <w:rsid w:val="576D69FD"/>
    <w:rsid w:val="576D7ADF"/>
    <w:rsid w:val="576F64C8"/>
    <w:rsid w:val="57763155"/>
    <w:rsid w:val="57776219"/>
    <w:rsid w:val="5779530B"/>
    <w:rsid w:val="577B69BD"/>
    <w:rsid w:val="577C38A0"/>
    <w:rsid w:val="577F2D7C"/>
    <w:rsid w:val="578810DA"/>
    <w:rsid w:val="578A34C3"/>
    <w:rsid w:val="578B3F5F"/>
    <w:rsid w:val="578B79AF"/>
    <w:rsid w:val="578C6E1C"/>
    <w:rsid w:val="578E3565"/>
    <w:rsid w:val="578F5C2B"/>
    <w:rsid w:val="57915EED"/>
    <w:rsid w:val="57966E83"/>
    <w:rsid w:val="579732B5"/>
    <w:rsid w:val="579932E7"/>
    <w:rsid w:val="579B138C"/>
    <w:rsid w:val="579E61BE"/>
    <w:rsid w:val="579E7360"/>
    <w:rsid w:val="579F087A"/>
    <w:rsid w:val="579F5E7D"/>
    <w:rsid w:val="57A06543"/>
    <w:rsid w:val="57A74E8C"/>
    <w:rsid w:val="57A8352A"/>
    <w:rsid w:val="57A84287"/>
    <w:rsid w:val="57A84773"/>
    <w:rsid w:val="57A852D8"/>
    <w:rsid w:val="57AC2A2F"/>
    <w:rsid w:val="57AF48B9"/>
    <w:rsid w:val="57B1159C"/>
    <w:rsid w:val="57B36157"/>
    <w:rsid w:val="57B36550"/>
    <w:rsid w:val="57B65C47"/>
    <w:rsid w:val="57B93A89"/>
    <w:rsid w:val="57BB14B0"/>
    <w:rsid w:val="57BB16AD"/>
    <w:rsid w:val="57BD34AD"/>
    <w:rsid w:val="57BD441A"/>
    <w:rsid w:val="57BD494A"/>
    <w:rsid w:val="57BD6FD6"/>
    <w:rsid w:val="57BF105E"/>
    <w:rsid w:val="57BF5F1A"/>
    <w:rsid w:val="57BF686C"/>
    <w:rsid w:val="57C05A18"/>
    <w:rsid w:val="57C1147A"/>
    <w:rsid w:val="57C26CA0"/>
    <w:rsid w:val="57C30E39"/>
    <w:rsid w:val="57C324E2"/>
    <w:rsid w:val="57C476E6"/>
    <w:rsid w:val="57C55C52"/>
    <w:rsid w:val="57C71F0C"/>
    <w:rsid w:val="57CA1919"/>
    <w:rsid w:val="57CA278D"/>
    <w:rsid w:val="57CC546B"/>
    <w:rsid w:val="57D02916"/>
    <w:rsid w:val="57D165DD"/>
    <w:rsid w:val="57D600E0"/>
    <w:rsid w:val="57D736F5"/>
    <w:rsid w:val="57D95558"/>
    <w:rsid w:val="57D95678"/>
    <w:rsid w:val="57D9587E"/>
    <w:rsid w:val="57DB56AE"/>
    <w:rsid w:val="57DB745C"/>
    <w:rsid w:val="57DC4910"/>
    <w:rsid w:val="57DE4DEC"/>
    <w:rsid w:val="57DF594E"/>
    <w:rsid w:val="57E070BA"/>
    <w:rsid w:val="57E079C3"/>
    <w:rsid w:val="57E50217"/>
    <w:rsid w:val="57E56325"/>
    <w:rsid w:val="57E56888"/>
    <w:rsid w:val="57E705AA"/>
    <w:rsid w:val="57E722A5"/>
    <w:rsid w:val="57E91B79"/>
    <w:rsid w:val="57EA3A32"/>
    <w:rsid w:val="57EE4706"/>
    <w:rsid w:val="57F71ADE"/>
    <w:rsid w:val="57FA0B74"/>
    <w:rsid w:val="57FA6744"/>
    <w:rsid w:val="57FB6708"/>
    <w:rsid w:val="57FD0A15"/>
    <w:rsid w:val="57FD5624"/>
    <w:rsid w:val="58000703"/>
    <w:rsid w:val="5804594A"/>
    <w:rsid w:val="5805517D"/>
    <w:rsid w:val="580631EB"/>
    <w:rsid w:val="58075ABD"/>
    <w:rsid w:val="58095619"/>
    <w:rsid w:val="580B2B51"/>
    <w:rsid w:val="580E7831"/>
    <w:rsid w:val="58104B63"/>
    <w:rsid w:val="5813103C"/>
    <w:rsid w:val="581B3CFC"/>
    <w:rsid w:val="581B5AAA"/>
    <w:rsid w:val="581D7A74"/>
    <w:rsid w:val="58223E5C"/>
    <w:rsid w:val="582333BC"/>
    <w:rsid w:val="582334D9"/>
    <w:rsid w:val="58235398"/>
    <w:rsid w:val="582534C3"/>
    <w:rsid w:val="58274A6F"/>
    <w:rsid w:val="58295413"/>
    <w:rsid w:val="582D0E9F"/>
    <w:rsid w:val="582D7895"/>
    <w:rsid w:val="582E3866"/>
    <w:rsid w:val="582F0D80"/>
    <w:rsid w:val="58310C72"/>
    <w:rsid w:val="58310F3F"/>
    <w:rsid w:val="58384251"/>
    <w:rsid w:val="583A637B"/>
    <w:rsid w:val="583C5E16"/>
    <w:rsid w:val="583F4939"/>
    <w:rsid w:val="584043A1"/>
    <w:rsid w:val="58433FB5"/>
    <w:rsid w:val="58444F04"/>
    <w:rsid w:val="584A7DBF"/>
    <w:rsid w:val="584C5A05"/>
    <w:rsid w:val="585348AC"/>
    <w:rsid w:val="585B5DD0"/>
    <w:rsid w:val="585F15F3"/>
    <w:rsid w:val="58620333"/>
    <w:rsid w:val="5862734E"/>
    <w:rsid w:val="586414B1"/>
    <w:rsid w:val="58670CBD"/>
    <w:rsid w:val="58675947"/>
    <w:rsid w:val="58697B56"/>
    <w:rsid w:val="586A7C2E"/>
    <w:rsid w:val="586B2775"/>
    <w:rsid w:val="586B6A32"/>
    <w:rsid w:val="586C6306"/>
    <w:rsid w:val="586C67DF"/>
    <w:rsid w:val="586D6125"/>
    <w:rsid w:val="58712C2F"/>
    <w:rsid w:val="5871491E"/>
    <w:rsid w:val="587555B0"/>
    <w:rsid w:val="58756DBB"/>
    <w:rsid w:val="587826BC"/>
    <w:rsid w:val="58782BD5"/>
    <w:rsid w:val="587A6640"/>
    <w:rsid w:val="587A6C75"/>
    <w:rsid w:val="587F24DD"/>
    <w:rsid w:val="58817A02"/>
    <w:rsid w:val="58823414"/>
    <w:rsid w:val="58832CD9"/>
    <w:rsid w:val="58853B81"/>
    <w:rsid w:val="588634B2"/>
    <w:rsid w:val="588720AC"/>
    <w:rsid w:val="588953DF"/>
    <w:rsid w:val="588B00E9"/>
    <w:rsid w:val="58926D63"/>
    <w:rsid w:val="58937D37"/>
    <w:rsid w:val="58945D7D"/>
    <w:rsid w:val="58966B48"/>
    <w:rsid w:val="58967416"/>
    <w:rsid w:val="58975B15"/>
    <w:rsid w:val="589C222C"/>
    <w:rsid w:val="589C3E71"/>
    <w:rsid w:val="589C7659"/>
    <w:rsid w:val="589E2439"/>
    <w:rsid w:val="589F0489"/>
    <w:rsid w:val="58A05DB4"/>
    <w:rsid w:val="58A855F4"/>
    <w:rsid w:val="58AC2BA6"/>
    <w:rsid w:val="58AD704A"/>
    <w:rsid w:val="58AF251B"/>
    <w:rsid w:val="58B06791"/>
    <w:rsid w:val="58B637D8"/>
    <w:rsid w:val="58B8353B"/>
    <w:rsid w:val="58BB5C3B"/>
    <w:rsid w:val="58BC103B"/>
    <w:rsid w:val="58BD2CCA"/>
    <w:rsid w:val="58BE3D6C"/>
    <w:rsid w:val="58BF0B2C"/>
    <w:rsid w:val="58C12D9E"/>
    <w:rsid w:val="58C1657A"/>
    <w:rsid w:val="58C223CA"/>
    <w:rsid w:val="58C26662"/>
    <w:rsid w:val="58C37B68"/>
    <w:rsid w:val="58C45E8A"/>
    <w:rsid w:val="58C5428D"/>
    <w:rsid w:val="58C60659"/>
    <w:rsid w:val="58CC6D7E"/>
    <w:rsid w:val="58CD74BB"/>
    <w:rsid w:val="58D26653"/>
    <w:rsid w:val="58D43152"/>
    <w:rsid w:val="58D92DAB"/>
    <w:rsid w:val="58DA6022"/>
    <w:rsid w:val="58DC16DE"/>
    <w:rsid w:val="58DC46B3"/>
    <w:rsid w:val="58DC5215"/>
    <w:rsid w:val="58DE0690"/>
    <w:rsid w:val="58E1624D"/>
    <w:rsid w:val="58E16A07"/>
    <w:rsid w:val="58E949A2"/>
    <w:rsid w:val="58E94E86"/>
    <w:rsid w:val="58EB7B73"/>
    <w:rsid w:val="58EC6FBE"/>
    <w:rsid w:val="58F15354"/>
    <w:rsid w:val="58F3601E"/>
    <w:rsid w:val="58F607FB"/>
    <w:rsid w:val="58F72073"/>
    <w:rsid w:val="58FC70F8"/>
    <w:rsid w:val="590073F1"/>
    <w:rsid w:val="59066C81"/>
    <w:rsid w:val="59086DF4"/>
    <w:rsid w:val="59092A13"/>
    <w:rsid w:val="5909638E"/>
    <w:rsid w:val="590D5382"/>
    <w:rsid w:val="590F5BCC"/>
    <w:rsid w:val="59103135"/>
    <w:rsid w:val="59115B8C"/>
    <w:rsid w:val="591176C3"/>
    <w:rsid w:val="59125D2F"/>
    <w:rsid w:val="5913471D"/>
    <w:rsid w:val="591536F5"/>
    <w:rsid w:val="5917205A"/>
    <w:rsid w:val="59181741"/>
    <w:rsid w:val="59185E50"/>
    <w:rsid w:val="591B2AC3"/>
    <w:rsid w:val="591C1ADA"/>
    <w:rsid w:val="591E3259"/>
    <w:rsid w:val="5921119F"/>
    <w:rsid w:val="59257A15"/>
    <w:rsid w:val="592D0C16"/>
    <w:rsid w:val="59305585"/>
    <w:rsid w:val="59337F05"/>
    <w:rsid w:val="59341A61"/>
    <w:rsid w:val="59354FD9"/>
    <w:rsid w:val="59370D1B"/>
    <w:rsid w:val="593908DE"/>
    <w:rsid w:val="593949DC"/>
    <w:rsid w:val="593D6601"/>
    <w:rsid w:val="59430E94"/>
    <w:rsid w:val="594322F7"/>
    <w:rsid w:val="594340DD"/>
    <w:rsid w:val="59437274"/>
    <w:rsid w:val="59441B39"/>
    <w:rsid w:val="594961E8"/>
    <w:rsid w:val="594A1D6E"/>
    <w:rsid w:val="594C1BE5"/>
    <w:rsid w:val="594C7BF7"/>
    <w:rsid w:val="595079D6"/>
    <w:rsid w:val="595402B8"/>
    <w:rsid w:val="595B6AA6"/>
    <w:rsid w:val="595E4311"/>
    <w:rsid w:val="595F3012"/>
    <w:rsid w:val="59686A36"/>
    <w:rsid w:val="596A6FBA"/>
    <w:rsid w:val="596E0913"/>
    <w:rsid w:val="596E62D8"/>
    <w:rsid w:val="59725B9E"/>
    <w:rsid w:val="59750607"/>
    <w:rsid w:val="5979517E"/>
    <w:rsid w:val="597B2751"/>
    <w:rsid w:val="597D0867"/>
    <w:rsid w:val="5980574F"/>
    <w:rsid w:val="5980650D"/>
    <w:rsid w:val="598239C1"/>
    <w:rsid w:val="59851D75"/>
    <w:rsid w:val="598633F7"/>
    <w:rsid w:val="5988593B"/>
    <w:rsid w:val="598D4786"/>
    <w:rsid w:val="598F1658"/>
    <w:rsid w:val="598F479A"/>
    <w:rsid w:val="59905F4A"/>
    <w:rsid w:val="59916BE6"/>
    <w:rsid w:val="59955A08"/>
    <w:rsid w:val="59965590"/>
    <w:rsid w:val="59967ADE"/>
    <w:rsid w:val="59974D31"/>
    <w:rsid w:val="59981506"/>
    <w:rsid w:val="5999721F"/>
    <w:rsid w:val="599A19F5"/>
    <w:rsid w:val="599B50F5"/>
    <w:rsid w:val="599D78C4"/>
    <w:rsid w:val="599E6993"/>
    <w:rsid w:val="59A044B9"/>
    <w:rsid w:val="59A06ED9"/>
    <w:rsid w:val="59A104F8"/>
    <w:rsid w:val="59A17CC0"/>
    <w:rsid w:val="59A275AD"/>
    <w:rsid w:val="59A27F25"/>
    <w:rsid w:val="59A31D8F"/>
    <w:rsid w:val="59A5004A"/>
    <w:rsid w:val="59A5509C"/>
    <w:rsid w:val="59AA7659"/>
    <w:rsid w:val="59AC5BE3"/>
    <w:rsid w:val="59B213F1"/>
    <w:rsid w:val="59B350DA"/>
    <w:rsid w:val="59B61673"/>
    <w:rsid w:val="59B61BB5"/>
    <w:rsid w:val="59B63CDD"/>
    <w:rsid w:val="59B92753"/>
    <w:rsid w:val="59BA23DB"/>
    <w:rsid w:val="59BA3AD1"/>
    <w:rsid w:val="59BB08D8"/>
    <w:rsid w:val="59C76782"/>
    <w:rsid w:val="59C873C6"/>
    <w:rsid w:val="59C90C69"/>
    <w:rsid w:val="59C9705D"/>
    <w:rsid w:val="59D35B1C"/>
    <w:rsid w:val="59D40607"/>
    <w:rsid w:val="59D6688E"/>
    <w:rsid w:val="59D74659"/>
    <w:rsid w:val="59D86AD0"/>
    <w:rsid w:val="59D95C1D"/>
    <w:rsid w:val="59DB173A"/>
    <w:rsid w:val="59DC0F99"/>
    <w:rsid w:val="59E23EAB"/>
    <w:rsid w:val="59E85D07"/>
    <w:rsid w:val="59E940B2"/>
    <w:rsid w:val="59EA493F"/>
    <w:rsid w:val="59EC47A5"/>
    <w:rsid w:val="59ED28F5"/>
    <w:rsid w:val="59EE3894"/>
    <w:rsid w:val="59EE7FA0"/>
    <w:rsid w:val="59EF3692"/>
    <w:rsid w:val="59F30902"/>
    <w:rsid w:val="59F3128B"/>
    <w:rsid w:val="59F561F1"/>
    <w:rsid w:val="59F64B55"/>
    <w:rsid w:val="59F9006D"/>
    <w:rsid w:val="59F9055C"/>
    <w:rsid w:val="59F94018"/>
    <w:rsid w:val="59FB3DE5"/>
    <w:rsid w:val="59FB3F39"/>
    <w:rsid w:val="59FB50E6"/>
    <w:rsid w:val="59FF06CF"/>
    <w:rsid w:val="5A016493"/>
    <w:rsid w:val="5A027E85"/>
    <w:rsid w:val="5A063F3A"/>
    <w:rsid w:val="5A071113"/>
    <w:rsid w:val="5A071C77"/>
    <w:rsid w:val="5A077DF0"/>
    <w:rsid w:val="5A1076F9"/>
    <w:rsid w:val="5A18653D"/>
    <w:rsid w:val="5A1B2983"/>
    <w:rsid w:val="5A1E534A"/>
    <w:rsid w:val="5A1F6BBF"/>
    <w:rsid w:val="5A256032"/>
    <w:rsid w:val="5A285DC8"/>
    <w:rsid w:val="5A2C5008"/>
    <w:rsid w:val="5A2D69B4"/>
    <w:rsid w:val="5A2E5F69"/>
    <w:rsid w:val="5A2E6CFC"/>
    <w:rsid w:val="5A2F1584"/>
    <w:rsid w:val="5A2F6E2D"/>
    <w:rsid w:val="5A312CDC"/>
    <w:rsid w:val="5A3225B5"/>
    <w:rsid w:val="5A335BFB"/>
    <w:rsid w:val="5A3D43FE"/>
    <w:rsid w:val="5A467A5D"/>
    <w:rsid w:val="5A4839E2"/>
    <w:rsid w:val="5A492DD3"/>
    <w:rsid w:val="5A494D86"/>
    <w:rsid w:val="5A4A01F0"/>
    <w:rsid w:val="5A4A4842"/>
    <w:rsid w:val="5A4B6918"/>
    <w:rsid w:val="5A4E15E8"/>
    <w:rsid w:val="5A4F0FDC"/>
    <w:rsid w:val="5A5017CA"/>
    <w:rsid w:val="5A503810"/>
    <w:rsid w:val="5A546557"/>
    <w:rsid w:val="5A554400"/>
    <w:rsid w:val="5A576012"/>
    <w:rsid w:val="5A587CD5"/>
    <w:rsid w:val="5A5A528C"/>
    <w:rsid w:val="5A5B2A18"/>
    <w:rsid w:val="5A6000EC"/>
    <w:rsid w:val="5A6507F8"/>
    <w:rsid w:val="5A656D84"/>
    <w:rsid w:val="5A676131"/>
    <w:rsid w:val="5A682622"/>
    <w:rsid w:val="5A6C5E9D"/>
    <w:rsid w:val="5A7122F9"/>
    <w:rsid w:val="5A722EF1"/>
    <w:rsid w:val="5A723A6C"/>
    <w:rsid w:val="5A7343DA"/>
    <w:rsid w:val="5A7476F4"/>
    <w:rsid w:val="5A7A4896"/>
    <w:rsid w:val="5A7A4BBD"/>
    <w:rsid w:val="5A7D1DCA"/>
    <w:rsid w:val="5A7D47FA"/>
    <w:rsid w:val="5A7F24BD"/>
    <w:rsid w:val="5A7F2B9A"/>
    <w:rsid w:val="5A7F2C06"/>
    <w:rsid w:val="5A802498"/>
    <w:rsid w:val="5A8037FC"/>
    <w:rsid w:val="5A811A95"/>
    <w:rsid w:val="5A840011"/>
    <w:rsid w:val="5A8557D0"/>
    <w:rsid w:val="5A857189"/>
    <w:rsid w:val="5A8738CB"/>
    <w:rsid w:val="5A89781F"/>
    <w:rsid w:val="5A8C3154"/>
    <w:rsid w:val="5A8D547E"/>
    <w:rsid w:val="5A905C26"/>
    <w:rsid w:val="5A922E2C"/>
    <w:rsid w:val="5A947609"/>
    <w:rsid w:val="5A9A061F"/>
    <w:rsid w:val="5A9A53AC"/>
    <w:rsid w:val="5A9B0CF8"/>
    <w:rsid w:val="5A9C3877"/>
    <w:rsid w:val="5A9C7376"/>
    <w:rsid w:val="5A9D3526"/>
    <w:rsid w:val="5A9D726A"/>
    <w:rsid w:val="5A9F1534"/>
    <w:rsid w:val="5AA03FB4"/>
    <w:rsid w:val="5AA24261"/>
    <w:rsid w:val="5AA25BD7"/>
    <w:rsid w:val="5AA87AAA"/>
    <w:rsid w:val="5AB20ACB"/>
    <w:rsid w:val="5AB56C88"/>
    <w:rsid w:val="5AB757B8"/>
    <w:rsid w:val="5AB811A7"/>
    <w:rsid w:val="5AB96F53"/>
    <w:rsid w:val="5ABE7AB0"/>
    <w:rsid w:val="5AC14102"/>
    <w:rsid w:val="5AC14A3D"/>
    <w:rsid w:val="5AC21FC6"/>
    <w:rsid w:val="5AC4067B"/>
    <w:rsid w:val="5AC97A59"/>
    <w:rsid w:val="5ACA5253"/>
    <w:rsid w:val="5ACB7C5C"/>
    <w:rsid w:val="5ACC325C"/>
    <w:rsid w:val="5AD0629E"/>
    <w:rsid w:val="5AD16C31"/>
    <w:rsid w:val="5AD56C4B"/>
    <w:rsid w:val="5AD97E77"/>
    <w:rsid w:val="5ADB47F1"/>
    <w:rsid w:val="5ADC7773"/>
    <w:rsid w:val="5AE22C75"/>
    <w:rsid w:val="5AE25520"/>
    <w:rsid w:val="5AE32557"/>
    <w:rsid w:val="5AE45EBD"/>
    <w:rsid w:val="5AE65E26"/>
    <w:rsid w:val="5AE7015F"/>
    <w:rsid w:val="5AE92612"/>
    <w:rsid w:val="5AEA735D"/>
    <w:rsid w:val="5AED1DE5"/>
    <w:rsid w:val="5AED4FBA"/>
    <w:rsid w:val="5AED5FB6"/>
    <w:rsid w:val="5AEE11ED"/>
    <w:rsid w:val="5AEF4918"/>
    <w:rsid w:val="5AF21C14"/>
    <w:rsid w:val="5AF51A6A"/>
    <w:rsid w:val="5AF65710"/>
    <w:rsid w:val="5AF74604"/>
    <w:rsid w:val="5AF81198"/>
    <w:rsid w:val="5AFE05F7"/>
    <w:rsid w:val="5B045755"/>
    <w:rsid w:val="5B053F13"/>
    <w:rsid w:val="5B054308"/>
    <w:rsid w:val="5B065EF8"/>
    <w:rsid w:val="5B07181F"/>
    <w:rsid w:val="5B084E5D"/>
    <w:rsid w:val="5B093124"/>
    <w:rsid w:val="5B0B0058"/>
    <w:rsid w:val="5B0E659F"/>
    <w:rsid w:val="5B0E7C57"/>
    <w:rsid w:val="5B0F559B"/>
    <w:rsid w:val="5B127639"/>
    <w:rsid w:val="5B13515F"/>
    <w:rsid w:val="5B136F0D"/>
    <w:rsid w:val="5B1634DE"/>
    <w:rsid w:val="5B164902"/>
    <w:rsid w:val="5B165F9C"/>
    <w:rsid w:val="5B170BDB"/>
    <w:rsid w:val="5B174656"/>
    <w:rsid w:val="5B182775"/>
    <w:rsid w:val="5B192420"/>
    <w:rsid w:val="5B1A029B"/>
    <w:rsid w:val="5B1A473F"/>
    <w:rsid w:val="5B1D30BB"/>
    <w:rsid w:val="5B1F3B03"/>
    <w:rsid w:val="5B1F4B20"/>
    <w:rsid w:val="5B233081"/>
    <w:rsid w:val="5B281508"/>
    <w:rsid w:val="5B2B48FF"/>
    <w:rsid w:val="5B317057"/>
    <w:rsid w:val="5B326CF2"/>
    <w:rsid w:val="5B386973"/>
    <w:rsid w:val="5B3B5668"/>
    <w:rsid w:val="5B3F25D7"/>
    <w:rsid w:val="5B436457"/>
    <w:rsid w:val="5B4555BD"/>
    <w:rsid w:val="5B482B75"/>
    <w:rsid w:val="5B48471A"/>
    <w:rsid w:val="5B4B273B"/>
    <w:rsid w:val="5B4B3CC9"/>
    <w:rsid w:val="5B4C1D50"/>
    <w:rsid w:val="5B4D0671"/>
    <w:rsid w:val="5B5217D5"/>
    <w:rsid w:val="5B543D56"/>
    <w:rsid w:val="5B55215B"/>
    <w:rsid w:val="5B5654AF"/>
    <w:rsid w:val="5B571023"/>
    <w:rsid w:val="5B5B6174"/>
    <w:rsid w:val="5B5C484D"/>
    <w:rsid w:val="5B6217B2"/>
    <w:rsid w:val="5B640595"/>
    <w:rsid w:val="5B6547AE"/>
    <w:rsid w:val="5B654A60"/>
    <w:rsid w:val="5B66455E"/>
    <w:rsid w:val="5B691F00"/>
    <w:rsid w:val="5B6F40B9"/>
    <w:rsid w:val="5B6F6839"/>
    <w:rsid w:val="5B70435F"/>
    <w:rsid w:val="5B730E62"/>
    <w:rsid w:val="5B743E4F"/>
    <w:rsid w:val="5B765E19"/>
    <w:rsid w:val="5B767AAB"/>
    <w:rsid w:val="5B771CA8"/>
    <w:rsid w:val="5B7779FF"/>
    <w:rsid w:val="5B780E09"/>
    <w:rsid w:val="5B7C2C5E"/>
    <w:rsid w:val="5B80068D"/>
    <w:rsid w:val="5B805CD0"/>
    <w:rsid w:val="5B806A0C"/>
    <w:rsid w:val="5B807B33"/>
    <w:rsid w:val="5B830D19"/>
    <w:rsid w:val="5B885B4D"/>
    <w:rsid w:val="5B8A7C62"/>
    <w:rsid w:val="5B8B5CD7"/>
    <w:rsid w:val="5B9250C8"/>
    <w:rsid w:val="5B991B08"/>
    <w:rsid w:val="5B9A2238"/>
    <w:rsid w:val="5B9C67F6"/>
    <w:rsid w:val="5B9F0CED"/>
    <w:rsid w:val="5BA1276A"/>
    <w:rsid w:val="5BA26922"/>
    <w:rsid w:val="5BA37293"/>
    <w:rsid w:val="5BA42BF1"/>
    <w:rsid w:val="5BA44CA1"/>
    <w:rsid w:val="5BA473D4"/>
    <w:rsid w:val="5BAD697E"/>
    <w:rsid w:val="5BAE3877"/>
    <w:rsid w:val="5BAE3DE7"/>
    <w:rsid w:val="5BAF1CDD"/>
    <w:rsid w:val="5BB15A32"/>
    <w:rsid w:val="5BB4424D"/>
    <w:rsid w:val="5BB468EA"/>
    <w:rsid w:val="5BB560BF"/>
    <w:rsid w:val="5BB669AB"/>
    <w:rsid w:val="5BB82598"/>
    <w:rsid w:val="5BB929C8"/>
    <w:rsid w:val="5BBA4039"/>
    <w:rsid w:val="5BBA4800"/>
    <w:rsid w:val="5BBC1352"/>
    <w:rsid w:val="5BBC5C2C"/>
    <w:rsid w:val="5BBE5005"/>
    <w:rsid w:val="5BC15CFC"/>
    <w:rsid w:val="5BC84BEB"/>
    <w:rsid w:val="5BC853B7"/>
    <w:rsid w:val="5BC94BEF"/>
    <w:rsid w:val="5BCE150C"/>
    <w:rsid w:val="5BD137CE"/>
    <w:rsid w:val="5BD23E8D"/>
    <w:rsid w:val="5BD4778E"/>
    <w:rsid w:val="5BD63D2A"/>
    <w:rsid w:val="5BDB69CD"/>
    <w:rsid w:val="5BDD5DA4"/>
    <w:rsid w:val="5BE020E9"/>
    <w:rsid w:val="5BE07F6C"/>
    <w:rsid w:val="5BE52469"/>
    <w:rsid w:val="5BE54D4D"/>
    <w:rsid w:val="5BE5738F"/>
    <w:rsid w:val="5BE60F46"/>
    <w:rsid w:val="5BE865EB"/>
    <w:rsid w:val="5BE87C97"/>
    <w:rsid w:val="5BEA2363"/>
    <w:rsid w:val="5BEA3EB8"/>
    <w:rsid w:val="5BEA73A9"/>
    <w:rsid w:val="5BED1520"/>
    <w:rsid w:val="5BED6DB0"/>
    <w:rsid w:val="5BEE7C08"/>
    <w:rsid w:val="5BF210F2"/>
    <w:rsid w:val="5BF337CA"/>
    <w:rsid w:val="5BF40851"/>
    <w:rsid w:val="5BF82470"/>
    <w:rsid w:val="5BF86239"/>
    <w:rsid w:val="5BF93C6D"/>
    <w:rsid w:val="5BFC0E75"/>
    <w:rsid w:val="5BFD26B1"/>
    <w:rsid w:val="5C036F81"/>
    <w:rsid w:val="5C043425"/>
    <w:rsid w:val="5C043DE4"/>
    <w:rsid w:val="5C0902BB"/>
    <w:rsid w:val="5C0E4B6E"/>
    <w:rsid w:val="5C10310A"/>
    <w:rsid w:val="5C10488F"/>
    <w:rsid w:val="5C110970"/>
    <w:rsid w:val="5C1322B1"/>
    <w:rsid w:val="5C142F3C"/>
    <w:rsid w:val="5C177E5B"/>
    <w:rsid w:val="5C1A0891"/>
    <w:rsid w:val="5C1B1B94"/>
    <w:rsid w:val="5C1E4A9C"/>
    <w:rsid w:val="5C2018E1"/>
    <w:rsid w:val="5C204EB5"/>
    <w:rsid w:val="5C206C02"/>
    <w:rsid w:val="5C244176"/>
    <w:rsid w:val="5C245875"/>
    <w:rsid w:val="5C261623"/>
    <w:rsid w:val="5C267637"/>
    <w:rsid w:val="5C2834C7"/>
    <w:rsid w:val="5C286A9A"/>
    <w:rsid w:val="5C29330F"/>
    <w:rsid w:val="5C295359"/>
    <w:rsid w:val="5C2B25DC"/>
    <w:rsid w:val="5C2E2250"/>
    <w:rsid w:val="5C2F21DC"/>
    <w:rsid w:val="5C2F265B"/>
    <w:rsid w:val="5C337DE3"/>
    <w:rsid w:val="5C36008C"/>
    <w:rsid w:val="5C37035E"/>
    <w:rsid w:val="5C3A6E47"/>
    <w:rsid w:val="5C3D55CC"/>
    <w:rsid w:val="5C401BC1"/>
    <w:rsid w:val="5C472023"/>
    <w:rsid w:val="5C4978DF"/>
    <w:rsid w:val="5C4F2958"/>
    <w:rsid w:val="5C4F45FB"/>
    <w:rsid w:val="5C4F5070"/>
    <w:rsid w:val="5C506DD3"/>
    <w:rsid w:val="5C513ACA"/>
    <w:rsid w:val="5C525565"/>
    <w:rsid w:val="5C533A65"/>
    <w:rsid w:val="5C57661F"/>
    <w:rsid w:val="5C5C6100"/>
    <w:rsid w:val="5C5D2DB4"/>
    <w:rsid w:val="5C607531"/>
    <w:rsid w:val="5C627220"/>
    <w:rsid w:val="5C65130B"/>
    <w:rsid w:val="5C652343"/>
    <w:rsid w:val="5C683595"/>
    <w:rsid w:val="5C694B82"/>
    <w:rsid w:val="5C6D3D3E"/>
    <w:rsid w:val="5C6E3644"/>
    <w:rsid w:val="5C6E6AF1"/>
    <w:rsid w:val="5C716E94"/>
    <w:rsid w:val="5C717607"/>
    <w:rsid w:val="5C72639D"/>
    <w:rsid w:val="5C7567F2"/>
    <w:rsid w:val="5C794591"/>
    <w:rsid w:val="5C795767"/>
    <w:rsid w:val="5C7F03A3"/>
    <w:rsid w:val="5C802A9C"/>
    <w:rsid w:val="5C807046"/>
    <w:rsid w:val="5C817F47"/>
    <w:rsid w:val="5C821B9B"/>
    <w:rsid w:val="5C8400C2"/>
    <w:rsid w:val="5C864984"/>
    <w:rsid w:val="5C866026"/>
    <w:rsid w:val="5C874DF4"/>
    <w:rsid w:val="5C8978B5"/>
    <w:rsid w:val="5C8A1451"/>
    <w:rsid w:val="5C8A6E98"/>
    <w:rsid w:val="5C8E2CEF"/>
    <w:rsid w:val="5C8E448C"/>
    <w:rsid w:val="5C8F5DBC"/>
    <w:rsid w:val="5C910F58"/>
    <w:rsid w:val="5C9772E9"/>
    <w:rsid w:val="5C980B2C"/>
    <w:rsid w:val="5C984E07"/>
    <w:rsid w:val="5C987B73"/>
    <w:rsid w:val="5C9A7724"/>
    <w:rsid w:val="5C9A78E6"/>
    <w:rsid w:val="5C9B38C6"/>
    <w:rsid w:val="5C9B567B"/>
    <w:rsid w:val="5C9D2733"/>
    <w:rsid w:val="5C9D345B"/>
    <w:rsid w:val="5CA008A0"/>
    <w:rsid w:val="5CA17C44"/>
    <w:rsid w:val="5CA529CD"/>
    <w:rsid w:val="5CA6492F"/>
    <w:rsid w:val="5CA97CEB"/>
    <w:rsid w:val="5CAA0D77"/>
    <w:rsid w:val="5CAB5675"/>
    <w:rsid w:val="5CAE4944"/>
    <w:rsid w:val="5CB0535B"/>
    <w:rsid w:val="5CB7112D"/>
    <w:rsid w:val="5CB94EF7"/>
    <w:rsid w:val="5CBB414F"/>
    <w:rsid w:val="5CBC3D00"/>
    <w:rsid w:val="5CBD72B4"/>
    <w:rsid w:val="5CC20249"/>
    <w:rsid w:val="5CC6692D"/>
    <w:rsid w:val="5CC66E84"/>
    <w:rsid w:val="5CC74453"/>
    <w:rsid w:val="5CCA7962"/>
    <w:rsid w:val="5CCB3F43"/>
    <w:rsid w:val="5CD027F2"/>
    <w:rsid w:val="5CD14313"/>
    <w:rsid w:val="5CD16553"/>
    <w:rsid w:val="5CD31049"/>
    <w:rsid w:val="5CD609A7"/>
    <w:rsid w:val="5CD71EFE"/>
    <w:rsid w:val="5CD96ECD"/>
    <w:rsid w:val="5CDC24DD"/>
    <w:rsid w:val="5CDE7564"/>
    <w:rsid w:val="5CDF79EE"/>
    <w:rsid w:val="5CE04BE0"/>
    <w:rsid w:val="5CE10EA0"/>
    <w:rsid w:val="5CE30816"/>
    <w:rsid w:val="5CE52AFA"/>
    <w:rsid w:val="5CED4F23"/>
    <w:rsid w:val="5CED7F1D"/>
    <w:rsid w:val="5CEE378D"/>
    <w:rsid w:val="5CF16F59"/>
    <w:rsid w:val="5CF24C02"/>
    <w:rsid w:val="5CF6439C"/>
    <w:rsid w:val="5CF70BA6"/>
    <w:rsid w:val="5CF865E1"/>
    <w:rsid w:val="5CFA2326"/>
    <w:rsid w:val="5CFE091A"/>
    <w:rsid w:val="5CFE38B7"/>
    <w:rsid w:val="5CFE50D3"/>
    <w:rsid w:val="5CFF334D"/>
    <w:rsid w:val="5D017A1D"/>
    <w:rsid w:val="5D031154"/>
    <w:rsid w:val="5D064F7B"/>
    <w:rsid w:val="5D07136C"/>
    <w:rsid w:val="5D077E3A"/>
    <w:rsid w:val="5D0A2155"/>
    <w:rsid w:val="5D0D5CB0"/>
    <w:rsid w:val="5D0E7F5F"/>
    <w:rsid w:val="5D0F6E2D"/>
    <w:rsid w:val="5D0F7425"/>
    <w:rsid w:val="5D1269CC"/>
    <w:rsid w:val="5D152439"/>
    <w:rsid w:val="5D1F35C7"/>
    <w:rsid w:val="5D1F428F"/>
    <w:rsid w:val="5D210F2B"/>
    <w:rsid w:val="5D230B44"/>
    <w:rsid w:val="5D231CA9"/>
    <w:rsid w:val="5D2370C0"/>
    <w:rsid w:val="5D24449D"/>
    <w:rsid w:val="5D246737"/>
    <w:rsid w:val="5D275069"/>
    <w:rsid w:val="5D290C69"/>
    <w:rsid w:val="5D2B49E2"/>
    <w:rsid w:val="5D2F3F5A"/>
    <w:rsid w:val="5D2F3F6C"/>
    <w:rsid w:val="5D323FC2"/>
    <w:rsid w:val="5D326D06"/>
    <w:rsid w:val="5D331EA6"/>
    <w:rsid w:val="5D3715D8"/>
    <w:rsid w:val="5D3A155E"/>
    <w:rsid w:val="5D3A45DC"/>
    <w:rsid w:val="5D3F09B0"/>
    <w:rsid w:val="5D494E68"/>
    <w:rsid w:val="5D4F7DAA"/>
    <w:rsid w:val="5D500321"/>
    <w:rsid w:val="5D513E8F"/>
    <w:rsid w:val="5D522C41"/>
    <w:rsid w:val="5D530B60"/>
    <w:rsid w:val="5D546CA2"/>
    <w:rsid w:val="5D553ED0"/>
    <w:rsid w:val="5D5540BA"/>
    <w:rsid w:val="5D561157"/>
    <w:rsid w:val="5D5C7C38"/>
    <w:rsid w:val="5D5E2925"/>
    <w:rsid w:val="5D5F6439"/>
    <w:rsid w:val="5D6140DF"/>
    <w:rsid w:val="5D61701D"/>
    <w:rsid w:val="5D637BB7"/>
    <w:rsid w:val="5D6B0DB0"/>
    <w:rsid w:val="5D6B3AFB"/>
    <w:rsid w:val="5D6D3B2F"/>
    <w:rsid w:val="5D7013D1"/>
    <w:rsid w:val="5D7067F2"/>
    <w:rsid w:val="5D741447"/>
    <w:rsid w:val="5D751F6C"/>
    <w:rsid w:val="5D753EBE"/>
    <w:rsid w:val="5D762DB9"/>
    <w:rsid w:val="5D7A000D"/>
    <w:rsid w:val="5D7E281F"/>
    <w:rsid w:val="5D7E2FBA"/>
    <w:rsid w:val="5D83037A"/>
    <w:rsid w:val="5D8365CC"/>
    <w:rsid w:val="5D8C725E"/>
    <w:rsid w:val="5D961B61"/>
    <w:rsid w:val="5D995DEF"/>
    <w:rsid w:val="5D9A0711"/>
    <w:rsid w:val="5D9A66B2"/>
    <w:rsid w:val="5D9E6F62"/>
    <w:rsid w:val="5DA16A52"/>
    <w:rsid w:val="5DA17A92"/>
    <w:rsid w:val="5DA27BC8"/>
    <w:rsid w:val="5DA3131D"/>
    <w:rsid w:val="5DA6050C"/>
    <w:rsid w:val="5DA63DFC"/>
    <w:rsid w:val="5DA86AC4"/>
    <w:rsid w:val="5DA87AE6"/>
    <w:rsid w:val="5DA94774"/>
    <w:rsid w:val="5DAA3FC3"/>
    <w:rsid w:val="5DB057B9"/>
    <w:rsid w:val="5DB31E9B"/>
    <w:rsid w:val="5DB41FDD"/>
    <w:rsid w:val="5DB55CA5"/>
    <w:rsid w:val="5DBC1ADE"/>
    <w:rsid w:val="5DBD1FBA"/>
    <w:rsid w:val="5DC00580"/>
    <w:rsid w:val="5DC5662C"/>
    <w:rsid w:val="5DC64AEA"/>
    <w:rsid w:val="5DC8626B"/>
    <w:rsid w:val="5DCE06AD"/>
    <w:rsid w:val="5DD22096"/>
    <w:rsid w:val="5DD42E90"/>
    <w:rsid w:val="5DD4750C"/>
    <w:rsid w:val="5DD63EE7"/>
    <w:rsid w:val="5DD86F40"/>
    <w:rsid w:val="5DDB5CDA"/>
    <w:rsid w:val="5DDD5FDB"/>
    <w:rsid w:val="5DDE6600"/>
    <w:rsid w:val="5DE5254C"/>
    <w:rsid w:val="5DE750F9"/>
    <w:rsid w:val="5DE936EC"/>
    <w:rsid w:val="5DEA664B"/>
    <w:rsid w:val="5DED3F44"/>
    <w:rsid w:val="5DEF5A0F"/>
    <w:rsid w:val="5DF157B8"/>
    <w:rsid w:val="5DF31772"/>
    <w:rsid w:val="5DF422DA"/>
    <w:rsid w:val="5DF63241"/>
    <w:rsid w:val="5DF86E91"/>
    <w:rsid w:val="5DFB24A4"/>
    <w:rsid w:val="5DFC17F4"/>
    <w:rsid w:val="5DFF1EF2"/>
    <w:rsid w:val="5E0265F7"/>
    <w:rsid w:val="5E032CDB"/>
    <w:rsid w:val="5E050FFF"/>
    <w:rsid w:val="5E067CAA"/>
    <w:rsid w:val="5E07636F"/>
    <w:rsid w:val="5E0769F9"/>
    <w:rsid w:val="5E0A047B"/>
    <w:rsid w:val="5E0F0C87"/>
    <w:rsid w:val="5E0F1C0D"/>
    <w:rsid w:val="5E114D05"/>
    <w:rsid w:val="5E135BA1"/>
    <w:rsid w:val="5E13710D"/>
    <w:rsid w:val="5E1601D1"/>
    <w:rsid w:val="5E162B05"/>
    <w:rsid w:val="5E164A9A"/>
    <w:rsid w:val="5E1718F4"/>
    <w:rsid w:val="5E19345F"/>
    <w:rsid w:val="5E1B17F9"/>
    <w:rsid w:val="5E1B6804"/>
    <w:rsid w:val="5E1E62F4"/>
    <w:rsid w:val="5E21631F"/>
    <w:rsid w:val="5E24083F"/>
    <w:rsid w:val="5E28102D"/>
    <w:rsid w:val="5E286EDC"/>
    <w:rsid w:val="5E2D6537"/>
    <w:rsid w:val="5E310D5E"/>
    <w:rsid w:val="5E31427A"/>
    <w:rsid w:val="5E340539"/>
    <w:rsid w:val="5E345B18"/>
    <w:rsid w:val="5E364B93"/>
    <w:rsid w:val="5E386390"/>
    <w:rsid w:val="5E3A1CC9"/>
    <w:rsid w:val="5E3D1D8B"/>
    <w:rsid w:val="5E3E2C11"/>
    <w:rsid w:val="5E3E3B7C"/>
    <w:rsid w:val="5E3F4EA7"/>
    <w:rsid w:val="5E406CFA"/>
    <w:rsid w:val="5E4443F8"/>
    <w:rsid w:val="5E475A91"/>
    <w:rsid w:val="5E481241"/>
    <w:rsid w:val="5E4A390B"/>
    <w:rsid w:val="5E4B3EB4"/>
    <w:rsid w:val="5E5004D8"/>
    <w:rsid w:val="5E553989"/>
    <w:rsid w:val="5E575129"/>
    <w:rsid w:val="5E5B0CD5"/>
    <w:rsid w:val="5E5F680B"/>
    <w:rsid w:val="5E5F7D3A"/>
    <w:rsid w:val="5E627153"/>
    <w:rsid w:val="5E631F59"/>
    <w:rsid w:val="5E666DE6"/>
    <w:rsid w:val="5E683B6D"/>
    <w:rsid w:val="5E6B5E80"/>
    <w:rsid w:val="5E6B6FB8"/>
    <w:rsid w:val="5E6F4DA2"/>
    <w:rsid w:val="5E700CD6"/>
    <w:rsid w:val="5E71249E"/>
    <w:rsid w:val="5E7303BB"/>
    <w:rsid w:val="5E7B014C"/>
    <w:rsid w:val="5E7B785E"/>
    <w:rsid w:val="5E7D0605"/>
    <w:rsid w:val="5E8317B7"/>
    <w:rsid w:val="5E8365F6"/>
    <w:rsid w:val="5E876089"/>
    <w:rsid w:val="5E887259"/>
    <w:rsid w:val="5E8928E0"/>
    <w:rsid w:val="5E8F1076"/>
    <w:rsid w:val="5E9071F2"/>
    <w:rsid w:val="5E9208C8"/>
    <w:rsid w:val="5E92531F"/>
    <w:rsid w:val="5E9640DD"/>
    <w:rsid w:val="5E9F19A1"/>
    <w:rsid w:val="5EA1202F"/>
    <w:rsid w:val="5EA85290"/>
    <w:rsid w:val="5EA8712E"/>
    <w:rsid w:val="5EAC56AE"/>
    <w:rsid w:val="5EB129A4"/>
    <w:rsid w:val="5EB332BF"/>
    <w:rsid w:val="5EB47229"/>
    <w:rsid w:val="5EBA0B15"/>
    <w:rsid w:val="5EBB3B43"/>
    <w:rsid w:val="5EBB61D5"/>
    <w:rsid w:val="5EBC49F9"/>
    <w:rsid w:val="5EBE04A4"/>
    <w:rsid w:val="5EC04C6E"/>
    <w:rsid w:val="5EC11B7D"/>
    <w:rsid w:val="5EC151DD"/>
    <w:rsid w:val="5EC41A9A"/>
    <w:rsid w:val="5EC423C5"/>
    <w:rsid w:val="5EC510CC"/>
    <w:rsid w:val="5EC52A2B"/>
    <w:rsid w:val="5EC7069C"/>
    <w:rsid w:val="5EC71605"/>
    <w:rsid w:val="5EC753A7"/>
    <w:rsid w:val="5EC923F3"/>
    <w:rsid w:val="5EC92704"/>
    <w:rsid w:val="5ECD026B"/>
    <w:rsid w:val="5ECE32BB"/>
    <w:rsid w:val="5ED31B50"/>
    <w:rsid w:val="5ED502AB"/>
    <w:rsid w:val="5ED51817"/>
    <w:rsid w:val="5ED82947"/>
    <w:rsid w:val="5ED836FE"/>
    <w:rsid w:val="5ED846F5"/>
    <w:rsid w:val="5ED87C0A"/>
    <w:rsid w:val="5EDC37D9"/>
    <w:rsid w:val="5EE25552"/>
    <w:rsid w:val="5EE34E63"/>
    <w:rsid w:val="5EE5360E"/>
    <w:rsid w:val="5EE62B48"/>
    <w:rsid w:val="5EE70DDC"/>
    <w:rsid w:val="5EEB2332"/>
    <w:rsid w:val="5EEC2A4E"/>
    <w:rsid w:val="5EEE5745"/>
    <w:rsid w:val="5EEF1CDA"/>
    <w:rsid w:val="5EEF6D7E"/>
    <w:rsid w:val="5EF23C04"/>
    <w:rsid w:val="5EF30C3D"/>
    <w:rsid w:val="5EF36773"/>
    <w:rsid w:val="5EF77271"/>
    <w:rsid w:val="5EFA03E5"/>
    <w:rsid w:val="5EFD4639"/>
    <w:rsid w:val="5EFF4C2C"/>
    <w:rsid w:val="5F05063B"/>
    <w:rsid w:val="5F053839"/>
    <w:rsid w:val="5F061C56"/>
    <w:rsid w:val="5F064154"/>
    <w:rsid w:val="5F07392B"/>
    <w:rsid w:val="5F0D78F7"/>
    <w:rsid w:val="5F0F304E"/>
    <w:rsid w:val="5F1233F3"/>
    <w:rsid w:val="5F125D6F"/>
    <w:rsid w:val="5F161ED6"/>
    <w:rsid w:val="5F16521D"/>
    <w:rsid w:val="5F177371"/>
    <w:rsid w:val="5F1B3CD1"/>
    <w:rsid w:val="5F1B64ED"/>
    <w:rsid w:val="5F1D65AC"/>
    <w:rsid w:val="5F2110BA"/>
    <w:rsid w:val="5F223166"/>
    <w:rsid w:val="5F2233F2"/>
    <w:rsid w:val="5F223A5A"/>
    <w:rsid w:val="5F225970"/>
    <w:rsid w:val="5F2453A2"/>
    <w:rsid w:val="5F267552"/>
    <w:rsid w:val="5F2711D9"/>
    <w:rsid w:val="5F273D1A"/>
    <w:rsid w:val="5F28068D"/>
    <w:rsid w:val="5F2827E5"/>
    <w:rsid w:val="5F311034"/>
    <w:rsid w:val="5F3232E7"/>
    <w:rsid w:val="5F363ADE"/>
    <w:rsid w:val="5F395429"/>
    <w:rsid w:val="5F3968D0"/>
    <w:rsid w:val="5F400F85"/>
    <w:rsid w:val="5F4043A8"/>
    <w:rsid w:val="5F405D84"/>
    <w:rsid w:val="5F445848"/>
    <w:rsid w:val="5F4721B4"/>
    <w:rsid w:val="5F473569"/>
    <w:rsid w:val="5F4A06EB"/>
    <w:rsid w:val="5F4C18AF"/>
    <w:rsid w:val="5F4D3381"/>
    <w:rsid w:val="5F556624"/>
    <w:rsid w:val="5F592D75"/>
    <w:rsid w:val="5F597EB6"/>
    <w:rsid w:val="5F5C5779"/>
    <w:rsid w:val="5F6307AD"/>
    <w:rsid w:val="5F6441DB"/>
    <w:rsid w:val="5F752721"/>
    <w:rsid w:val="5F77358C"/>
    <w:rsid w:val="5F7B7639"/>
    <w:rsid w:val="5F7D1D40"/>
    <w:rsid w:val="5F7E2C27"/>
    <w:rsid w:val="5F7F6B06"/>
    <w:rsid w:val="5F8A57E4"/>
    <w:rsid w:val="5F8B4E31"/>
    <w:rsid w:val="5F8B7350"/>
    <w:rsid w:val="5F8C1714"/>
    <w:rsid w:val="5F8D01CE"/>
    <w:rsid w:val="5F8E21E3"/>
    <w:rsid w:val="5F8F65C8"/>
    <w:rsid w:val="5F8F7D4E"/>
    <w:rsid w:val="5F912BFB"/>
    <w:rsid w:val="5F9452EC"/>
    <w:rsid w:val="5F9674A7"/>
    <w:rsid w:val="5F9770B0"/>
    <w:rsid w:val="5F984EEC"/>
    <w:rsid w:val="5F9A3759"/>
    <w:rsid w:val="5F9A5C74"/>
    <w:rsid w:val="5F9C7F3D"/>
    <w:rsid w:val="5FA07D52"/>
    <w:rsid w:val="5FA2331A"/>
    <w:rsid w:val="5FA336DE"/>
    <w:rsid w:val="5FA36AB1"/>
    <w:rsid w:val="5FA50BD0"/>
    <w:rsid w:val="5FA53A6F"/>
    <w:rsid w:val="5FA6426E"/>
    <w:rsid w:val="5FA72C14"/>
    <w:rsid w:val="5FAB528E"/>
    <w:rsid w:val="5FAD0E56"/>
    <w:rsid w:val="5FAD79CC"/>
    <w:rsid w:val="5FAF21C4"/>
    <w:rsid w:val="5FB27966"/>
    <w:rsid w:val="5FB707AE"/>
    <w:rsid w:val="5FB711E9"/>
    <w:rsid w:val="5FB732DC"/>
    <w:rsid w:val="5FB76652"/>
    <w:rsid w:val="5FB7690C"/>
    <w:rsid w:val="5FB97F54"/>
    <w:rsid w:val="5FBB4148"/>
    <w:rsid w:val="5FBB77A7"/>
    <w:rsid w:val="5FC219D2"/>
    <w:rsid w:val="5FC414CE"/>
    <w:rsid w:val="5FCB5513"/>
    <w:rsid w:val="5FCF3517"/>
    <w:rsid w:val="5FD23FBB"/>
    <w:rsid w:val="5FD25472"/>
    <w:rsid w:val="5FD262A0"/>
    <w:rsid w:val="5FD7060D"/>
    <w:rsid w:val="5FDA0819"/>
    <w:rsid w:val="5FDB2EFE"/>
    <w:rsid w:val="5FDE6974"/>
    <w:rsid w:val="5FE12A77"/>
    <w:rsid w:val="5FE31BC2"/>
    <w:rsid w:val="5FE34539"/>
    <w:rsid w:val="5FE61149"/>
    <w:rsid w:val="5FE86E5B"/>
    <w:rsid w:val="5FEB400D"/>
    <w:rsid w:val="5FEC1C50"/>
    <w:rsid w:val="5FED099B"/>
    <w:rsid w:val="5FEF4956"/>
    <w:rsid w:val="5FF94530"/>
    <w:rsid w:val="5FFC2452"/>
    <w:rsid w:val="5FFC654F"/>
    <w:rsid w:val="5FFE33D6"/>
    <w:rsid w:val="6002395E"/>
    <w:rsid w:val="60027CFF"/>
    <w:rsid w:val="600567A3"/>
    <w:rsid w:val="60106DED"/>
    <w:rsid w:val="601161FA"/>
    <w:rsid w:val="60123BB8"/>
    <w:rsid w:val="601344B5"/>
    <w:rsid w:val="60152280"/>
    <w:rsid w:val="60167A2E"/>
    <w:rsid w:val="60184191"/>
    <w:rsid w:val="601940C7"/>
    <w:rsid w:val="601B28E3"/>
    <w:rsid w:val="601D35DB"/>
    <w:rsid w:val="60200102"/>
    <w:rsid w:val="60203822"/>
    <w:rsid w:val="60244AC9"/>
    <w:rsid w:val="60246FA7"/>
    <w:rsid w:val="602500D5"/>
    <w:rsid w:val="602573F1"/>
    <w:rsid w:val="6027366C"/>
    <w:rsid w:val="602848D1"/>
    <w:rsid w:val="6028628C"/>
    <w:rsid w:val="60296883"/>
    <w:rsid w:val="602E7226"/>
    <w:rsid w:val="6031230F"/>
    <w:rsid w:val="60332DE0"/>
    <w:rsid w:val="60384829"/>
    <w:rsid w:val="603A003B"/>
    <w:rsid w:val="603A7F0F"/>
    <w:rsid w:val="603C3CB5"/>
    <w:rsid w:val="603F406E"/>
    <w:rsid w:val="60424B4F"/>
    <w:rsid w:val="60427493"/>
    <w:rsid w:val="60443B9C"/>
    <w:rsid w:val="604457FD"/>
    <w:rsid w:val="604511B9"/>
    <w:rsid w:val="604665B7"/>
    <w:rsid w:val="60477A6E"/>
    <w:rsid w:val="604A33D1"/>
    <w:rsid w:val="604A7DD3"/>
    <w:rsid w:val="604C1EF8"/>
    <w:rsid w:val="604C7149"/>
    <w:rsid w:val="605571E5"/>
    <w:rsid w:val="605A1CEA"/>
    <w:rsid w:val="605C4EB2"/>
    <w:rsid w:val="605D3104"/>
    <w:rsid w:val="605D5F88"/>
    <w:rsid w:val="605E277C"/>
    <w:rsid w:val="605E38A5"/>
    <w:rsid w:val="60624BBE"/>
    <w:rsid w:val="606603B5"/>
    <w:rsid w:val="6068709D"/>
    <w:rsid w:val="606A62F6"/>
    <w:rsid w:val="606B3B65"/>
    <w:rsid w:val="606C00AE"/>
    <w:rsid w:val="606F11E2"/>
    <w:rsid w:val="606F3ADD"/>
    <w:rsid w:val="606F60BA"/>
    <w:rsid w:val="607040E2"/>
    <w:rsid w:val="60713940"/>
    <w:rsid w:val="60724AA5"/>
    <w:rsid w:val="60734625"/>
    <w:rsid w:val="607623A2"/>
    <w:rsid w:val="60765F74"/>
    <w:rsid w:val="60784302"/>
    <w:rsid w:val="607A0761"/>
    <w:rsid w:val="607A54A4"/>
    <w:rsid w:val="60803696"/>
    <w:rsid w:val="608210E3"/>
    <w:rsid w:val="608C61A1"/>
    <w:rsid w:val="608C6AC2"/>
    <w:rsid w:val="608F5DFA"/>
    <w:rsid w:val="60911000"/>
    <w:rsid w:val="609355AC"/>
    <w:rsid w:val="609379E2"/>
    <w:rsid w:val="609B2136"/>
    <w:rsid w:val="609D0DEF"/>
    <w:rsid w:val="609D5BF6"/>
    <w:rsid w:val="60A07495"/>
    <w:rsid w:val="60A52614"/>
    <w:rsid w:val="60A7167A"/>
    <w:rsid w:val="60A96349"/>
    <w:rsid w:val="60AB34CB"/>
    <w:rsid w:val="60AB73E1"/>
    <w:rsid w:val="60AC7F80"/>
    <w:rsid w:val="60B37937"/>
    <w:rsid w:val="60BB0523"/>
    <w:rsid w:val="60BD0855"/>
    <w:rsid w:val="60BE791B"/>
    <w:rsid w:val="60BF2850"/>
    <w:rsid w:val="60C346BF"/>
    <w:rsid w:val="60C34F31"/>
    <w:rsid w:val="60C75EEE"/>
    <w:rsid w:val="60CD7695"/>
    <w:rsid w:val="60CF38D6"/>
    <w:rsid w:val="60DB4B09"/>
    <w:rsid w:val="60DB671F"/>
    <w:rsid w:val="60E843F6"/>
    <w:rsid w:val="60E86CB4"/>
    <w:rsid w:val="60EA5C04"/>
    <w:rsid w:val="60EC0B8B"/>
    <w:rsid w:val="60EC27AC"/>
    <w:rsid w:val="60EE69CE"/>
    <w:rsid w:val="60F06FFE"/>
    <w:rsid w:val="60F23136"/>
    <w:rsid w:val="60F50EE8"/>
    <w:rsid w:val="60F73BEF"/>
    <w:rsid w:val="60F9493A"/>
    <w:rsid w:val="60F97146"/>
    <w:rsid w:val="60FA2214"/>
    <w:rsid w:val="60FD54A6"/>
    <w:rsid w:val="60FD766A"/>
    <w:rsid w:val="60FE2A67"/>
    <w:rsid w:val="60FF406B"/>
    <w:rsid w:val="60FF4D4F"/>
    <w:rsid w:val="610009BB"/>
    <w:rsid w:val="61031DD6"/>
    <w:rsid w:val="610C2F30"/>
    <w:rsid w:val="610D0751"/>
    <w:rsid w:val="610E43FE"/>
    <w:rsid w:val="610F2C71"/>
    <w:rsid w:val="61175E4F"/>
    <w:rsid w:val="611A1301"/>
    <w:rsid w:val="611B081C"/>
    <w:rsid w:val="611E7F6E"/>
    <w:rsid w:val="611F10ED"/>
    <w:rsid w:val="61206934"/>
    <w:rsid w:val="61232416"/>
    <w:rsid w:val="612400C6"/>
    <w:rsid w:val="61252088"/>
    <w:rsid w:val="61256559"/>
    <w:rsid w:val="612839DC"/>
    <w:rsid w:val="612C0D28"/>
    <w:rsid w:val="612E2840"/>
    <w:rsid w:val="61333C79"/>
    <w:rsid w:val="61392863"/>
    <w:rsid w:val="613A00F7"/>
    <w:rsid w:val="613B3244"/>
    <w:rsid w:val="613E6C95"/>
    <w:rsid w:val="614074C7"/>
    <w:rsid w:val="61414EC5"/>
    <w:rsid w:val="614216C3"/>
    <w:rsid w:val="6142633D"/>
    <w:rsid w:val="61446163"/>
    <w:rsid w:val="614E10AB"/>
    <w:rsid w:val="614F7276"/>
    <w:rsid w:val="6152014F"/>
    <w:rsid w:val="615205F5"/>
    <w:rsid w:val="6155027F"/>
    <w:rsid w:val="615568BF"/>
    <w:rsid w:val="6158037B"/>
    <w:rsid w:val="61585AAB"/>
    <w:rsid w:val="61597735"/>
    <w:rsid w:val="615A19EE"/>
    <w:rsid w:val="615B1F47"/>
    <w:rsid w:val="615C0506"/>
    <w:rsid w:val="615C785F"/>
    <w:rsid w:val="615D5386"/>
    <w:rsid w:val="615D7134"/>
    <w:rsid w:val="61602CAF"/>
    <w:rsid w:val="61647EE5"/>
    <w:rsid w:val="61656567"/>
    <w:rsid w:val="61663E63"/>
    <w:rsid w:val="616842FB"/>
    <w:rsid w:val="616B3B9D"/>
    <w:rsid w:val="616D25E1"/>
    <w:rsid w:val="616E3BCA"/>
    <w:rsid w:val="6170330B"/>
    <w:rsid w:val="61710B30"/>
    <w:rsid w:val="6172038A"/>
    <w:rsid w:val="61727C17"/>
    <w:rsid w:val="617542C3"/>
    <w:rsid w:val="61761FA3"/>
    <w:rsid w:val="61784193"/>
    <w:rsid w:val="61784574"/>
    <w:rsid w:val="61785D1C"/>
    <w:rsid w:val="617A0969"/>
    <w:rsid w:val="617A0B14"/>
    <w:rsid w:val="617A768C"/>
    <w:rsid w:val="617C36F0"/>
    <w:rsid w:val="617C3A5E"/>
    <w:rsid w:val="61822C96"/>
    <w:rsid w:val="61835C3D"/>
    <w:rsid w:val="61882403"/>
    <w:rsid w:val="618950DD"/>
    <w:rsid w:val="6190184F"/>
    <w:rsid w:val="61905CFF"/>
    <w:rsid w:val="6191697B"/>
    <w:rsid w:val="619441B7"/>
    <w:rsid w:val="61944750"/>
    <w:rsid w:val="61971DAB"/>
    <w:rsid w:val="619914F2"/>
    <w:rsid w:val="619C5D27"/>
    <w:rsid w:val="619E67BE"/>
    <w:rsid w:val="61A36A04"/>
    <w:rsid w:val="61A71B67"/>
    <w:rsid w:val="61AC3BAE"/>
    <w:rsid w:val="61B203D5"/>
    <w:rsid w:val="61B714EC"/>
    <w:rsid w:val="61B9080E"/>
    <w:rsid w:val="61BA4341"/>
    <w:rsid w:val="61BA59B7"/>
    <w:rsid w:val="61BC43DA"/>
    <w:rsid w:val="61BF3DC5"/>
    <w:rsid w:val="61C2402B"/>
    <w:rsid w:val="61C30537"/>
    <w:rsid w:val="61C3168D"/>
    <w:rsid w:val="61C65355"/>
    <w:rsid w:val="61C74005"/>
    <w:rsid w:val="61D1168B"/>
    <w:rsid w:val="61D41C4B"/>
    <w:rsid w:val="61D63A87"/>
    <w:rsid w:val="61D770F3"/>
    <w:rsid w:val="61D87BD0"/>
    <w:rsid w:val="61DE390B"/>
    <w:rsid w:val="61DF1180"/>
    <w:rsid w:val="61DF18F9"/>
    <w:rsid w:val="61E138C1"/>
    <w:rsid w:val="61E45149"/>
    <w:rsid w:val="61E57855"/>
    <w:rsid w:val="61E67C6C"/>
    <w:rsid w:val="61E82EA1"/>
    <w:rsid w:val="61E9406D"/>
    <w:rsid w:val="61E9651E"/>
    <w:rsid w:val="61EA756F"/>
    <w:rsid w:val="61EE4EEA"/>
    <w:rsid w:val="61EF37C0"/>
    <w:rsid w:val="61F02766"/>
    <w:rsid w:val="61F6100D"/>
    <w:rsid w:val="61F84262"/>
    <w:rsid w:val="61F9246E"/>
    <w:rsid w:val="61FA5CFD"/>
    <w:rsid w:val="61FB5C81"/>
    <w:rsid w:val="620018B8"/>
    <w:rsid w:val="62041CF1"/>
    <w:rsid w:val="620677DC"/>
    <w:rsid w:val="62072E34"/>
    <w:rsid w:val="62080426"/>
    <w:rsid w:val="62081CFA"/>
    <w:rsid w:val="62090DF6"/>
    <w:rsid w:val="6209295B"/>
    <w:rsid w:val="620B1CA4"/>
    <w:rsid w:val="620D6DAC"/>
    <w:rsid w:val="620D75A7"/>
    <w:rsid w:val="62127F1E"/>
    <w:rsid w:val="62134C2A"/>
    <w:rsid w:val="62134E52"/>
    <w:rsid w:val="6214436F"/>
    <w:rsid w:val="621445EB"/>
    <w:rsid w:val="621514E7"/>
    <w:rsid w:val="6216669E"/>
    <w:rsid w:val="621A5C97"/>
    <w:rsid w:val="621B45B1"/>
    <w:rsid w:val="621F197A"/>
    <w:rsid w:val="621F69E0"/>
    <w:rsid w:val="622153B3"/>
    <w:rsid w:val="62223594"/>
    <w:rsid w:val="62227F38"/>
    <w:rsid w:val="622325CF"/>
    <w:rsid w:val="622521CD"/>
    <w:rsid w:val="622639C9"/>
    <w:rsid w:val="622B06B0"/>
    <w:rsid w:val="622B154C"/>
    <w:rsid w:val="622D5676"/>
    <w:rsid w:val="622E34CB"/>
    <w:rsid w:val="62313EDB"/>
    <w:rsid w:val="62324BD8"/>
    <w:rsid w:val="623954AB"/>
    <w:rsid w:val="624239FE"/>
    <w:rsid w:val="62467BC8"/>
    <w:rsid w:val="6247406C"/>
    <w:rsid w:val="62491387"/>
    <w:rsid w:val="62493B49"/>
    <w:rsid w:val="624A3B5C"/>
    <w:rsid w:val="624B291B"/>
    <w:rsid w:val="624C1682"/>
    <w:rsid w:val="624D3833"/>
    <w:rsid w:val="6253335C"/>
    <w:rsid w:val="625422E5"/>
    <w:rsid w:val="625515DF"/>
    <w:rsid w:val="62567A6D"/>
    <w:rsid w:val="62571995"/>
    <w:rsid w:val="625722EE"/>
    <w:rsid w:val="625962AF"/>
    <w:rsid w:val="625B00C9"/>
    <w:rsid w:val="625B5AE3"/>
    <w:rsid w:val="625B7000"/>
    <w:rsid w:val="625C10F6"/>
    <w:rsid w:val="625D0D0E"/>
    <w:rsid w:val="62615EA4"/>
    <w:rsid w:val="62617EAE"/>
    <w:rsid w:val="62637BA3"/>
    <w:rsid w:val="62696A2F"/>
    <w:rsid w:val="626A30D7"/>
    <w:rsid w:val="626B0DE3"/>
    <w:rsid w:val="626B3216"/>
    <w:rsid w:val="626E5ACA"/>
    <w:rsid w:val="626F4248"/>
    <w:rsid w:val="626F59AE"/>
    <w:rsid w:val="627110E9"/>
    <w:rsid w:val="62751F62"/>
    <w:rsid w:val="62786F32"/>
    <w:rsid w:val="62792AF3"/>
    <w:rsid w:val="62796B4D"/>
    <w:rsid w:val="627B5DEE"/>
    <w:rsid w:val="627C22F0"/>
    <w:rsid w:val="627D7CC9"/>
    <w:rsid w:val="628001A1"/>
    <w:rsid w:val="6280036F"/>
    <w:rsid w:val="6280545A"/>
    <w:rsid w:val="62897886"/>
    <w:rsid w:val="628B41A5"/>
    <w:rsid w:val="628B4A24"/>
    <w:rsid w:val="628C7CD0"/>
    <w:rsid w:val="628F7B2E"/>
    <w:rsid w:val="629C4C5D"/>
    <w:rsid w:val="629E7A04"/>
    <w:rsid w:val="62A53D68"/>
    <w:rsid w:val="62A95D26"/>
    <w:rsid w:val="62AB3E7A"/>
    <w:rsid w:val="62AF3C45"/>
    <w:rsid w:val="62B13B54"/>
    <w:rsid w:val="62B27782"/>
    <w:rsid w:val="62B334AF"/>
    <w:rsid w:val="62BD0EE9"/>
    <w:rsid w:val="62C42D1B"/>
    <w:rsid w:val="62C54320"/>
    <w:rsid w:val="62CE4DA2"/>
    <w:rsid w:val="62D14DAB"/>
    <w:rsid w:val="62D350A2"/>
    <w:rsid w:val="62D56BFC"/>
    <w:rsid w:val="62D81168"/>
    <w:rsid w:val="62D91B46"/>
    <w:rsid w:val="62DD0CFA"/>
    <w:rsid w:val="62DD2195"/>
    <w:rsid w:val="62DE06DC"/>
    <w:rsid w:val="62DF7441"/>
    <w:rsid w:val="62E0626E"/>
    <w:rsid w:val="62E1288E"/>
    <w:rsid w:val="62E30E6B"/>
    <w:rsid w:val="62E34841"/>
    <w:rsid w:val="62E464F8"/>
    <w:rsid w:val="62E80C7F"/>
    <w:rsid w:val="62EE2739"/>
    <w:rsid w:val="62EE67A1"/>
    <w:rsid w:val="62F13FD7"/>
    <w:rsid w:val="62F16356"/>
    <w:rsid w:val="62F76B28"/>
    <w:rsid w:val="62F81D49"/>
    <w:rsid w:val="62F87A82"/>
    <w:rsid w:val="62F91E11"/>
    <w:rsid w:val="63011DDF"/>
    <w:rsid w:val="6302526F"/>
    <w:rsid w:val="63071A4D"/>
    <w:rsid w:val="63071AD9"/>
    <w:rsid w:val="63091B9B"/>
    <w:rsid w:val="630930CF"/>
    <w:rsid w:val="630A2513"/>
    <w:rsid w:val="630C2BBF"/>
    <w:rsid w:val="630E25F4"/>
    <w:rsid w:val="630E2DDB"/>
    <w:rsid w:val="630E707F"/>
    <w:rsid w:val="63127637"/>
    <w:rsid w:val="6313326E"/>
    <w:rsid w:val="63160A8F"/>
    <w:rsid w:val="63162F04"/>
    <w:rsid w:val="631675D8"/>
    <w:rsid w:val="63175AD7"/>
    <w:rsid w:val="63221DE5"/>
    <w:rsid w:val="63236668"/>
    <w:rsid w:val="632456D7"/>
    <w:rsid w:val="63246CA2"/>
    <w:rsid w:val="63251ED3"/>
    <w:rsid w:val="63297034"/>
    <w:rsid w:val="632A3014"/>
    <w:rsid w:val="632C452B"/>
    <w:rsid w:val="63316ACA"/>
    <w:rsid w:val="63323EA5"/>
    <w:rsid w:val="633534BC"/>
    <w:rsid w:val="633640E0"/>
    <w:rsid w:val="633B5253"/>
    <w:rsid w:val="633B5EAD"/>
    <w:rsid w:val="633F1E53"/>
    <w:rsid w:val="63424C72"/>
    <w:rsid w:val="6342597F"/>
    <w:rsid w:val="63433E6D"/>
    <w:rsid w:val="6345658A"/>
    <w:rsid w:val="6345793A"/>
    <w:rsid w:val="634852B8"/>
    <w:rsid w:val="63490491"/>
    <w:rsid w:val="634A5C65"/>
    <w:rsid w:val="63500CFE"/>
    <w:rsid w:val="63536CD7"/>
    <w:rsid w:val="63550B5A"/>
    <w:rsid w:val="63554FD3"/>
    <w:rsid w:val="63595F1D"/>
    <w:rsid w:val="63612F0B"/>
    <w:rsid w:val="636132CE"/>
    <w:rsid w:val="636416CF"/>
    <w:rsid w:val="636563C7"/>
    <w:rsid w:val="63675625"/>
    <w:rsid w:val="63691DC0"/>
    <w:rsid w:val="6369505F"/>
    <w:rsid w:val="63711334"/>
    <w:rsid w:val="63716A0B"/>
    <w:rsid w:val="6375594E"/>
    <w:rsid w:val="63765650"/>
    <w:rsid w:val="637F05EA"/>
    <w:rsid w:val="637F5882"/>
    <w:rsid w:val="6381535B"/>
    <w:rsid w:val="638515F5"/>
    <w:rsid w:val="63854851"/>
    <w:rsid w:val="63857ED1"/>
    <w:rsid w:val="63877428"/>
    <w:rsid w:val="63886B2D"/>
    <w:rsid w:val="638A20E2"/>
    <w:rsid w:val="638B2157"/>
    <w:rsid w:val="638B442C"/>
    <w:rsid w:val="63906AE4"/>
    <w:rsid w:val="6394595C"/>
    <w:rsid w:val="63952BB5"/>
    <w:rsid w:val="639E7696"/>
    <w:rsid w:val="63A22B5F"/>
    <w:rsid w:val="63A42C03"/>
    <w:rsid w:val="63A92C31"/>
    <w:rsid w:val="63A948B2"/>
    <w:rsid w:val="63AE0110"/>
    <w:rsid w:val="63AF4C6E"/>
    <w:rsid w:val="63AF5551"/>
    <w:rsid w:val="63B03E93"/>
    <w:rsid w:val="63B2005C"/>
    <w:rsid w:val="63B249CD"/>
    <w:rsid w:val="63B27DB7"/>
    <w:rsid w:val="63B40330"/>
    <w:rsid w:val="63B45FBC"/>
    <w:rsid w:val="63B5360D"/>
    <w:rsid w:val="63B57CAE"/>
    <w:rsid w:val="63BA086D"/>
    <w:rsid w:val="63BB261C"/>
    <w:rsid w:val="63BD3EBA"/>
    <w:rsid w:val="63BE7E75"/>
    <w:rsid w:val="63C400AF"/>
    <w:rsid w:val="63C92A46"/>
    <w:rsid w:val="63C97057"/>
    <w:rsid w:val="63CD36EB"/>
    <w:rsid w:val="63CF4CCC"/>
    <w:rsid w:val="63D23951"/>
    <w:rsid w:val="63D43A1A"/>
    <w:rsid w:val="63D60D2F"/>
    <w:rsid w:val="63D6461B"/>
    <w:rsid w:val="63D83C6A"/>
    <w:rsid w:val="63D86F45"/>
    <w:rsid w:val="63D95197"/>
    <w:rsid w:val="63DC3439"/>
    <w:rsid w:val="63DC4C88"/>
    <w:rsid w:val="63DE210C"/>
    <w:rsid w:val="63DF6526"/>
    <w:rsid w:val="63E255DB"/>
    <w:rsid w:val="63E25F94"/>
    <w:rsid w:val="63E419E0"/>
    <w:rsid w:val="63EA35E4"/>
    <w:rsid w:val="63F11B28"/>
    <w:rsid w:val="63F27673"/>
    <w:rsid w:val="63F87D92"/>
    <w:rsid w:val="63FA5506"/>
    <w:rsid w:val="63FC47E8"/>
    <w:rsid w:val="63FC6D10"/>
    <w:rsid w:val="63FE0A1A"/>
    <w:rsid w:val="63FE21C1"/>
    <w:rsid w:val="63FE58EC"/>
    <w:rsid w:val="63FE69AC"/>
    <w:rsid w:val="63FF7A03"/>
    <w:rsid w:val="640023A2"/>
    <w:rsid w:val="640146EE"/>
    <w:rsid w:val="64025E15"/>
    <w:rsid w:val="64030466"/>
    <w:rsid w:val="640314B5"/>
    <w:rsid w:val="64093166"/>
    <w:rsid w:val="640A188E"/>
    <w:rsid w:val="640A30C6"/>
    <w:rsid w:val="640A35A3"/>
    <w:rsid w:val="640C1C55"/>
    <w:rsid w:val="640D4BC6"/>
    <w:rsid w:val="640F7E82"/>
    <w:rsid w:val="6411743B"/>
    <w:rsid w:val="64121D80"/>
    <w:rsid w:val="64124345"/>
    <w:rsid w:val="64144421"/>
    <w:rsid w:val="64146993"/>
    <w:rsid w:val="64151203"/>
    <w:rsid w:val="641A262E"/>
    <w:rsid w:val="641A5A33"/>
    <w:rsid w:val="641E015F"/>
    <w:rsid w:val="64207ADC"/>
    <w:rsid w:val="64216E78"/>
    <w:rsid w:val="642223CF"/>
    <w:rsid w:val="64225068"/>
    <w:rsid w:val="64250941"/>
    <w:rsid w:val="642674C1"/>
    <w:rsid w:val="6427341E"/>
    <w:rsid w:val="64283A29"/>
    <w:rsid w:val="642850B2"/>
    <w:rsid w:val="64286D9F"/>
    <w:rsid w:val="64287ECD"/>
    <w:rsid w:val="64291DD5"/>
    <w:rsid w:val="642A3EBC"/>
    <w:rsid w:val="642B1CB3"/>
    <w:rsid w:val="642F125B"/>
    <w:rsid w:val="64321259"/>
    <w:rsid w:val="64330783"/>
    <w:rsid w:val="64354398"/>
    <w:rsid w:val="643763DF"/>
    <w:rsid w:val="643B721E"/>
    <w:rsid w:val="643C27BE"/>
    <w:rsid w:val="643C3704"/>
    <w:rsid w:val="644065D7"/>
    <w:rsid w:val="64442FEB"/>
    <w:rsid w:val="644442D9"/>
    <w:rsid w:val="644A1BF1"/>
    <w:rsid w:val="644B7717"/>
    <w:rsid w:val="644F0FB6"/>
    <w:rsid w:val="64542A70"/>
    <w:rsid w:val="64550596"/>
    <w:rsid w:val="64560785"/>
    <w:rsid w:val="645F53C4"/>
    <w:rsid w:val="645F68A6"/>
    <w:rsid w:val="6460534A"/>
    <w:rsid w:val="646578F2"/>
    <w:rsid w:val="6466752E"/>
    <w:rsid w:val="646918D1"/>
    <w:rsid w:val="646A7380"/>
    <w:rsid w:val="646D4AA7"/>
    <w:rsid w:val="646D6DB8"/>
    <w:rsid w:val="646E1514"/>
    <w:rsid w:val="646F6D38"/>
    <w:rsid w:val="64713622"/>
    <w:rsid w:val="64742C9B"/>
    <w:rsid w:val="647B1FA8"/>
    <w:rsid w:val="647D3511"/>
    <w:rsid w:val="64810D6D"/>
    <w:rsid w:val="64834489"/>
    <w:rsid w:val="64852F83"/>
    <w:rsid w:val="6486774A"/>
    <w:rsid w:val="64895975"/>
    <w:rsid w:val="648A2037"/>
    <w:rsid w:val="648B77D5"/>
    <w:rsid w:val="64920D39"/>
    <w:rsid w:val="6493545D"/>
    <w:rsid w:val="64952100"/>
    <w:rsid w:val="64982006"/>
    <w:rsid w:val="64986103"/>
    <w:rsid w:val="64990D90"/>
    <w:rsid w:val="64A13D30"/>
    <w:rsid w:val="64A41426"/>
    <w:rsid w:val="64A67167"/>
    <w:rsid w:val="64AD0577"/>
    <w:rsid w:val="64AD3E0D"/>
    <w:rsid w:val="64B55FB3"/>
    <w:rsid w:val="64B61ED6"/>
    <w:rsid w:val="64BA34FF"/>
    <w:rsid w:val="64BB2AEF"/>
    <w:rsid w:val="64C212C7"/>
    <w:rsid w:val="64C255C6"/>
    <w:rsid w:val="64C27F28"/>
    <w:rsid w:val="64C4126A"/>
    <w:rsid w:val="64CB79C8"/>
    <w:rsid w:val="64CC0858"/>
    <w:rsid w:val="64CC2BED"/>
    <w:rsid w:val="64CE2822"/>
    <w:rsid w:val="64D15C1D"/>
    <w:rsid w:val="64D23995"/>
    <w:rsid w:val="64DD65D6"/>
    <w:rsid w:val="64DF4C86"/>
    <w:rsid w:val="64E21C23"/>
    <w:rsid w:val="64E21E2A"/>
    <w:rsid w:val="64E4603C"/>
    <w:rsid w:val="64E5191A"/>
    <w:rsid w:val="64E738E4"/>
    <w:rsid w:val="64E831B8"/>
    <w:rsid w:val="64E85E23"/>
    <w:rsid w:val="64F64B00"/>
    <w:rsid w:val="64F72210"/>
    <w:rsid w:val="64FB113D"/>
    <w:rsid w:val="64FF2F25"/>
    <w:rsid w:val="6500485F"/>
    <w:rsid w:val="65053D6A"/>
    <w:rsid w:val="65094977"/>
    <w:rsid w:val="650A312E"/>
    <w:rsid w:val="650B7202"/>
    <w:rsid w:val="6511094D"/>
    <w:rsid w:val="65130235"/>
    <w:rsid w:val="651346D9"/>
    <w:rsid w:val="651D10B4"/>
    <w:rsid w:val="6520242E"/>
    <w:rsid w:val="65202952"/>
    <w:rsid w:val="65280E8C"/>
    <w:rsid w:val="65284AE2"/>
    <w:rsid w:val="65284FFE"/>
    <w:rsid w:val="65291D94"/>
    <w:rsid w:val="652F2B12"/>
    <w:rsid w:val="652F5A9B"/>
    <w:rsid w:val="6530525C"/>
    <w:rsid w:val="653463FD"/>
    <w:rsid w:val="65385D79"/>
    <w:rsid w:val="65387F11"/>
    <w:rsid w:val="65397F6A"/>
    <w:rsid w:val="653A158F"/>
    <w:rsid w:val="653B153A"/>
    <w:rsid w:val="653C0358"/>
    <w:rsid w:val="653C36A8"/>
    <w:rsid w:val="653C7451"/>
    <w:rsid w:val="653D3504"/>
    <w:rsid w:val="653F7106"/>
    <w:rsid w:val="6540091A"/>
    <w:rsid w:val="65400FD9"/>
    <w:rsid w:val="65424221"/>
    <w:rsid w:val="65424466"/>
    <w:rsid w:val="6543116E"/>
    <w:rsid w:val="654523B9"/>
    <w:rsid w:val="65456523"/>
    <w:rsid w:val="654632C0"/>
    <w:rsid w:val="65472660"/>
    <w:rsid w:val="65491EA9"/>
    <w:rsid w:val="654A6FDD"/>
    <w:rsid w:val="654B5CC0"/>
    <w:rsid w:val="654C57E0"/>
    <w:rsid w:val="654C6575"/>
    <w:rsid w:val="65510F57"/>
    <w:rsid w:val="65515DB5"/>
    <w:rsid w:val="6551681F"/>
    <w:rsid w:val="65525C0E"/>
    <w:rsid w:val="6556793B"/>
    <w:rsid w:val="655D40E2"/>
    <w:rsid w:val="655F791E"/>
    <w:rsid w:val="656142AA"/>
    <w:rsid w:val="656211BC"/>
    <w:rsid w:val="6562740E"/>
    <w:rsid w:val="656340A9"/>
    <w:rsid w:val="65671349"/>
    <w:rsid w:val="6569643B"/>
    <w:rsid w:val="656B090E"/>
    <w:rsid w:val="656B6A57"/>
    <w:rsid w:val="656D3966"/>
    <w:rsid w:val="656F010B"/>
    <w:rsid w:val="656F7435"/>
    <w:rsid w:val="65707058"/>
    <w:rsid w:val="6573738F"/>
    <w:rsid w:val="6576127C"/>
    <w:rsid w:val="657809E0"/>
    <w:rsid w:val="65781EC4"/>
    <w:rsid w:val="657A6506"/>
    <w:rsid w:val="657B69CF"/>
    <w:rsid w:val="657D45EA"/>
    <w:rsid w:val="65827105"/>
    <w:rsid w:val="658365C8"/>
    <w:rsid w:val="65846E10"/>
    <w:rsid w:val="658642E4"/>
    <w:rsid w:val="658669F4"/>
    <w:rsid w:val="658904F7"/>
    <w:rsid w:val="6589499B"/>
    <w:rsid w:val="658A426F"/>
    <w:rsid w:val="658A45DF"/>
    <w:rsid w:val="658B727A"/>
    <w:rsid w:val="658C7FE7"/>
    <w:rsid w:val="658F020C"/>
    <w:rsid w:val="659155FE"/>
    <w:rsid w:val="65920250"/>
    <w:rsid w:val="6593581A"/>
    <w:rsid w:val="659429D7"/>
    <w:rsid w:val="65945137"/>
    <w:rsid w:val="65965055"/>
    <w:rsid w:val="65987BE5"/>
    <w:rsid w:val="659A0ECE"/>
    <w:rsid w:val="659A364B"/>
    <w:rsid w:val="659A3F93"/>
    <w:rsid w:val="659B68A3"/>
    <w:rsid w:val="659C2E4D"/>
    <w:rsid w:val="659D3FA3"/>
    <w:rsid w:val="659D604B"/>
    <w:rsid w:val="65A20A98"/>
    <w:rsid w:val="65A45282"/>
    <w:rsid w:val="65A5311F"/>
    <w:rsid w:val="65A610A9"/>
    <w:rsid w:val="65A8419A"/>
    <w:rsid w:val="65A92947"/>
    <w:rsid w:val="65A97DA2"/>
    <w:rsid w:val="65AB43E9"/>
    <w:rsid w:val="65AC471B"/>
    <w:rsid w:val="65AD3D3A"/>
    <w:rsid w:val="65B23EF2"/>
    <w:rsid w:val="65B31A18"/>
    <w:rsid w:val="65B35574"/>
    <w:rsid w:val="65B71172"/>
    <w:rsid w:val="65B8702E"/>
    <w:rsid w:val="65BC031E"/>
    <w:rsid w:val="65BC38BC"/>
    <w:rsid w:val="65BC615C"/>
    <w:rsid w:val="65BC7F16"/>
    <w:rsid w:val="65BF216B"/>
    <w:rsid w:val="65C34113"/>
    <w:rsid w:val="65C4352F"/>
    <w:rsid w:val="65C6799D"/>
    <w:rsid w:val="65C94558"/>
    <w:rsid w:val="65D951D4"/>
    <w:rsid w:val="65D97056"/>
    <w:rsid w:val="65DA4D9E"/>
    <w:rsid w:val="65DD172B"/>
    <w:rsid w:val="65DD486A"/>
    <w:rsid w:val="65E04E5E"/>
    <w:rsid w:val="65E47E23"/>
    <w:rsid w:val="65E5327C"/>
    <w:rsid w:val="65E9393B"/>
    <w:rsid w:val="65EB155A"/>
    <w:rsid w:val="65EB7404"/>
    <w:rsid w:val="65EC6687"/>
    <w:rsid w:val="65F06E66"/>
    <w:rsid w:val="65F11247"/>
    <w:rsid w:val="65F16ED8"/>
    <w:rsid w:val="65F30A2B"/>
    <w:rsid w:val="65F47312"/>
    <w:rsid w:val="65F54FE3"/>
    <w:rsid w:val="65F62CDF"/>
    <w:rsid w:val="65F833D4"/>
    <w:rsid w:val="65FC010F"/>
    <w:rsid w:val="66024D1E"/>
    <w:rsid w:val="660303B6"/>
    <w:rsid w:val="66034CEC"/>
    <w:rsid w:val="6605529F"/>
    <w:rsid w:val="6608613C"/>
    <w:rsid w:val="660F69CC"/>
    <w:rsid w:val="660F73F0"/>
    <w:rsid w:val="66104F0F"/>
    <w:rsid w:val="66106F48"/>
    <w:rsid w:val="66117CFD"/>
    <w:rsid w:val="66121758"/>
    <w:rsid w:val="66166697"/>
    <w:rsid w:val="661A7A22"/>
    <w:rsid w:val="661F0E5C"/>
    <w:rsid w:val="66215C34"/>
    <w:rsid w:val="662315B6"/>
    <w:rsid w:val="66246472"/>
    <w:rsid w:val="66257DC6"/>
    <w:rsid w:val="66271AA6"/>
    <w:rsid w:val="662969B8"/>
    <w:rsid w:val="662978DD"/>
    <w:rsid w:val="66314CE0"/>
    <w:rsid w:val="66315729"/>
    <w:rsid w:val="66331F25"/>
    <w:rsid w:val="6634284B"/>
    <w:rsid w:val="663679ED"/>
    <w:rsid w:val="66373E2A"/>
    <w:rsid w:val="663C005D"/>
    <w:rsid w:val="66402D0B"/>
    <w:rsid w:val="66417E23"/>
    <w:rsid w:val="66456A00"/>
    <w:rsid w:val="664851D1"/>
    <w:rsid w:val="664A0C5E"/>
    <w:rsid w:val="664B0C2C"/>
    <w:rsid w:val="664B39FF"/>
    <w:rsid w:val="664B6026"/>
    <w:rsid w:val="664D6392"/>
    <w:rsid w:val="664E126C"/>
    <w:rsid w:val="66504C51"/>
    <w:rsid w:val="6650644E"/>
    <w:rsid w:val="66541B2B"/>
    <w:rsid w:val="66565C34"/>
    <w:rsid w:val="66582DEB"/>
    <w:rsid w:val="66640D39"/>
    <w:rsid w:val="6664534C"/>
    <w:rsid w:val="666A0329"/>
    <w:rsid w:val="666D1BC7"/>
    <w:rsid w:val="666E35AD"/>
    <w:rsid w:val="666F5755"/>
    <w:rsid w:val="667037DB"/>
    <w:rsid w:val="667137B5"/>
    <w:rsid w:val="66722902"/>
    <w:rsid w:val="6675195B"/>
    <w:rsid w:val="66763638"/>
    <w:rsid w:val="667945A1"/>
    <w:rsid w:val="667B568B"/>
    <w:rsid w:val="667B7F05"/>
    <w:rsid w:val="667C4676"/>
    <w:rsid w:val="667D1F14"/>
    <w:rsid w:val="66814B52"/>
    <w:rsid w:val="66832328"/>
    <w:rsid w:val="66845AEA"/>
    <w:rsid w:val="668511A2"/>
    <w:rsid w:val="668575F9"/>
    <w:rsid w:val="66874FD3"/>
    <w:rsid w:val="668A4AAB"/>
    <w:rsid w:val="668D6EFE"/>
    <w:rsid w:val="669156E0"/>
    <w:rsid w:val="66923982"/>
    <w:rsid w:val="6693065F"/>
    <w:rsid w:val="6697577C"/>
    <w:rsid w:val="669A42A0"/>
    <w:rsid w:val="669B4D0C"/>
    <w:rsid w:val="669B7A9B"/>
    <w:rsid w:val="669D19C6"/>
    <w:rsid w:val="669E0497"/>
    <w:rsid w:val="669E764C"/>
    <w:rsid w:val="669F64E8"/>
    <w:rsid w:val="669F75A4"/>
    <w:rsid w:val="66A070C9"/>
    <w:rsid w:val="66A329D9"/>
    <w:rsid w:val="66A357BD"/>
    <w:rsid w:val="66A42BFB"/>
    <w:rsid w:val="66A441AA"/>
    <w:rsid w:val="66A870A3"/>
    <w:rsid w:val="66A9510E"/>
    <w:rsid w:val="66AA276D"/>
    <w:rsid w:val="66AD6253"/>
    <w:rsid w:val="66B17CB2"/>
    <w:rsid w:val="66B22643"/>
    <w:rsid w:val="66B35C73"/>
    <w:rsid w:val="66B372BF"/>
    <w:rsid w:val="66B374FF"/>
    <w:rsid w:val="66B43157"/>
    <w:rsid w:val="66B81900"/>
    <w:rsid w:val="66B8618A"/>
    <w:rsid w:val="66BB75DD"/>
    <w:rsid w:val="66C119F2"/>
    <w:rsid w:val="66C16E58"/>
    <w:rsid w:val="66C45066"/>
    <w:rsid w:val="66C51A03"/>
    <w:rsid w:val="66C54687"/>
    <w:rsid w:val="66C959A3"/>
    <w:rsid w:val="66CD08B8"/>
    <w:rsid w:val="66CF4B4D"/>
    <w:rsid w:val="66D04C63"/>
    <w:rsid w:val="66D56786"/>
    <w:rsid w:val="66D82B46"/>
    <w:rsid w:val="66E001B8"/>
    <w:rsid w:val="66E14363"/>
    <w:rsid w:val="66E153B2"/>
    <w:rsid w:val="66E36B59"/>
    <w:rsid w:val="66E57273"/>
    <w:rsid w:val="66EC3434"/>
    <w:rsid w:val="66EC51E2"/>
    <w:rsid w:val="66ED4AB6"/>
    <w:rsid w:val="66ED56C3"/>
    <w:rsid w:val="66ED5733"/>
    <w:rsid w:val="66EE2D5E"/>
    <w:rsid w:val="66EF06A5"/>
    <w:rsid w:val="66F12EDD"/>
    <w:rsid w:val="66F21CD0"/>
    <w:rsid w:val="66F647BE"/>
    <w:rsid w:val="66FA05CE"/>
    <w:rsid w:val="66FA362F"/>
    <w:rsid w:val="66FB4327"/>
    <w:rsid w:val="66FC0949"/>
    <w:rsid w:val="66FD7536"/>
    <w:rsid w:val="66FF5C42"/>
    <w:rsid w:val="67007834"/>
    <w:rsid w:val="670742B9"/>
    <w:rsid w:val="670B5813"/>
    <w:rsid w:val="670B6B84"/>
    <w:rsid w:val="670D731C"/>
    <w:rsid w:val="670E02C9"/>
    <w:rsid w:val="67107C51"/>
    <w:rsid w:val="67115D77"/>
    <w:rsid w:val="6712491A"/>
    <w:rsid w:val="671409BA"/>
    <w:rsid w:val="67140FFA"/>
    <w:rsid w:val="67143DD5"/>
    <w:rsid w:val="67166173"/>
    <w:rsid w:val="671B3D10"/>
    <w:rsid w:val="671C52B3"/>
    <w:rsid w:val="671E7365"/>
    <w:rsid w:val="671F118D"/>
    <w:rsid w:val="671F1272"/>
    <w:rsid w:val="67203551"/>
    <w:rsid w:val="67207AD7"/>
    <w:rsid w:val="67254250"/>
    <w:rsid w:val="67292B93"/>
    <w:rsid w:val="672B706A"/>
    <w:rsid w:val="672C55DE"/>
    <w:rsid w:val="672F1572"/>
    <w:rsid w:val="67305C19"/>
    <w:rsid w:val="673558F8"/>
    <w:rsid w:val="67386C6E"/>
    <w:rsid w:val="67396DBF"/>
    <w:rsid w:val="673A4A52"/>
    <w:rsid w:val="673B3E4F"/>
    <w:rsid w:val="673D5A3D"/>
    <w:rsid w:val="673E6E1D"/>
    <w:rsid w:val="673F133C"/>
    <w:rsid w:val="674023FF"/>
    <w:rsid w:val="674175FB"/>
    <w:rsid w:val="674212A6"/>
    <w:rsid w:val="67464AC5"/>
    <w:rsid w:val="674C074B"/>
    <w:rsid w:val="674D05B9"/>
    <w:rsid w:val="6750543B"/>
    <w:rsid w:val="675116E8"/>
    <w:rsid w:val="67522714"/>
    <w:rsid w:val="675414FA"/>
    <w:rsid w:val="67544B35"/>
    <w:rsid w:val="67562119"/>
    <w:rsid w:val="675848A3"/>
    <w:rsid w:val="675A288E"/>
    <w:rsid w:val="675A2DCB"/>
    <w:rsid w:val="675B4115"/>
    <w:rsid w:val="6764011A"/>
    <w:rsid w:val="67684773"/>
    <w:rsid w:val="676A25AA"/>
    <w:rsid w:val="676B3F3A"/>
    <w:rsid w:val="676C4CA0"/>
    <w:rsid w:val="676F7BC1"/>
    <w:rsid w:val="6773588D"/>
    <w:rsid w:val="67741A26"/>
    <w:rsid w:val="677843A3"/>
    <w:rsid w:val="677A3133"/>
    <w:rsid w:val="677A3DC0"/>
    <w:rsid w:val="677A773F"/>
    <w:rsid w:val="677B6565"/>
    <w:rsid w:val="677D5E3A"/>
    <w:rsid w:val="677D6973"/>
    <w:rsid w:val="677E780A"/>
    <w:rsid w:val="67833912"/>
    <w:rsid w:val="67851C0C"/>
    <w:rsid w:val="67871415"/>
    <w:rsid w:val="678777C3"/>
    <w:rsid w:val="678864C9"/>
    <w:rsid w:val="678C0773"/>
    <w:rsid w:val="678E1BC1"/>
    <w:rsid w:val="678E6299"/>
    <w:rsid w:val="679142CE"/>
    <w:rsid w:val="67923545"/>
    <w:rsid w:val="67982832"/>
    <w:rsid w:val="67991355"/>
    <w:rsid w:val="679F491B"/>
    <w:rsid w:val="67A03046"/>
    <w:rsid w:val="67A11868"/>
    <w:rsid w:val="67A23AF2"/>
    <w:rsid w:val="67A45ABC"/>
    <w:rsid w:val="67A56C85"/>
    <w:rsid w:val="67A625AB"/>
    <w:rsid w:val="67A81366"/>
    <w:rsid w:val="67A90693"/>
    <w:rsid w:val="67AE06E9"/>
    <w:rsid w:val="67AE1F4B"/>
    <w:rsid w:val="67B50C90"/>
    <w:rsid w:val="67B6653E"/>
    <w:rsid w:val="67B97443"/>
    <w:rsid w:val="67BA377B"/>
    <w:rsid w:val="67BA7E21"/>
    <w:rsid w:val="67BC0504"/>
    <w:rsid w:val="67BD71D7"/>
    <w:rsid w:val="67C0431D"/>
    <w:rsid w:val="67C25BAE"/>
    <w:rsid w:val="67C72353"/>
    <w:rsid w:val="67C726B1"/>
    <w:rsid w:val="67CA5075"/>
    <w:rsid w:val="67CC4971"/>
    <w:rsid w:val="67CC4B4F"/>
    <w:rsid w:val="67CF725D"/>
    <w:rsid w:val="67D11DF3"/>
    <w:rsid w:val="67D23E5D"/>
    <w:rsid w:val="67DA0AC9"/>
    <w:rsid w:val="67DB7004"/>
    <w:rsid w:val="67DD7FA5"/>
    <w:rsid w:val="67DE5726"/>
    <w:rsid w:val="67DF08A2"/>
    <w:rsid w:val="67DF4169"/>
    <w:rsid w:val="67E0402B"/>
    <w:rsid w:val="67E04AF9"/>
    <w:rsid w:val="67E128BC"/>
    <w:rsid w:val="67E3276E"/>
    <w:rsid w:val="67E360A2"/>
    <w:rsid w:val="67E36EDD"/>
    <w:rsid w:val="67E61C31"/>
    <w:rsid w:val="67E64F62"/>
    <w:rsid w:val="67E7388E"/>
    <w:rsid w:val="67E81E4D"/>
    <w:rsid w:val="67EB368A"/>
    <w:rsid w:val="67EC6741"/>
    <w:rsid w:val="67EF7D76"/>
    <w:rsid w:val="67F04576"/>
    <w:rsid w:val="67F105D6"/>
    <w:rsid w:val="67F32768"/>
    <w:rsid w:val="67F365D5"/>
    <w:rsid w:val="67FA212F"/>
    <w:rsid w:val="67FC3B0F"/>
    <w:rsid w:val="67FD1E64"/>
    <w:rsid w:val="67FE3DC2"/>
    <w:rsid w:val="680155BF"/>
    <w:rsid w:val="68016647"/>
    <w:rsid w:val="68055287"/>
    <w:rsid w:val="68055AE3"/>
    <w:rsid w:val="68070B84"/>
    <w:rsid w:val="680742E2"/>
    <w:rsid w:val="680875AF"/>
    <w:rsid w:val="680A5DCC"/>
    <w:rsid w:val="680D18B3"/>
    <w:rsid w:val="680E5ABF"/>
    <w:rsid w:val="68103152"/>
    <w:rsid w:val="6813679E"/>
    <w:rsid w:val="681640DD"/>
    <w:rsid w:val="68171BE1"/>
    <w:rsid w:val="68180AC4"/>
    <w:rsid w:val="68181876"/>
    <w:rsid w:val="681A213A"/>
    <w:rsid w:val="681A5D7E"/>
    <w:rsid w:val="681B37D6"/>
    <w:rsid w:val="681E51BB"/>
    <w:rsid w:val="681F64E4"/>
    <w:rsid w:val="68206603"/>
    <w:rsid w:val="6827533D"/>
    <w:rsid w:val="6828449B"/>
    <w:rsid w:val="682B2E02"/>
    <w:rsid w:val="682B33FB"/>
    <w:rsid w:val="682C20BD"/>
    <w:rsid w:val="682F12BE"/>
    <w:rsid w:val="682F7381"/>
    <w:rsid w:val="68352BAD"/>
    <w:rsid w:val="68376930"/>
    <w:rsid w:val="683819FE"/>
    <w:rsid w:val="683E5FB8"/>
    <w:rsid w:val="6841469F"/>
    <w:rsid w:val="6841617A"/>
    <w:rsid w:val="68423572"/>
    <w:rsid w:val="68446A27"/>
    <w:rsid w:val="68456A72"/>
    <w:rsid w:val="684643B6"/>
    <w:rsid w:val="684A2B91"/>
    <w:rsid w:val="68523197"/>
    <w:rsid w:val="68543134"/>
    <w:rsid w:val="68550B65"/>
    <w:rsid w:val="68557F99"/>
    <w:rsid w:val="6856450E"/>
    <w:rsid w:val="68586F21"/>
    <w:rsid w:val="68594AF9"/>
    <w:rsid w:val="685A4D1E"/>
    <w:rsid w:val="685C0145"/>
    <w:rsid w:val="685C1EF3"/>
    <w:rsid w:val="685D004A"/>
    <w:rsid w:val="685E5E9F"/>
    <w:rsid w:val="68610C28"/>
    <w:rsid w:val="68625E2F"/>
    <w:rsid w:val="68636E42"/>
    <w:rsid w:val="6865279D"/>
    <w:rsid w:val="68656144"/>
    <w:rsid w:val="6867161D"/>
    <w:rsid w:val="68686AEA"/>
    <w:rsid w:val="686A547B"/>
    <w:rsid w:val="686B1FFD"/>
    <w:rsid w:val="686C0F86"/>
    <w:rsid w:val="686E57E9"/>
    <w:rsid w:val="686F4EF3"/>
    <w:rsid w:val="68720645"/>
    <w:rsid w:val="687436E1"/>
    <w:rsid w:val="68774F7F"/>
    <w:rsid w:val="68790CF7"/>
    <w:rsid w:val="687A04FA"/>
    <w:rsid w:val="687C63A1"/>
    <w:rsid w:val="68886FC7"/>
    <w:rsid w:val="688A2F04"/>
    <w:rsid w:val="688A4CB2"/>
    <w:rsid w:val="688B4586"/>
    <w:rsid w:val="688D3DCB"/>
    <w:rsid w:val="688E5E09"/>
    <w:rsid w:val="68912D10"/>
    <w:rsid w:val="68925E85"/>
    <w:rsid w:val="6896419C"/>
    <w:rsid w:val="68982ED4"/>
    <w:rsid w:val="68991601"/>
    <w:rsid w:val="6899575B"/>
    <w:rsid w:val="689B1434"/>
    <w:rsid w:val="689E42BA"/>
    <w:rsid w:val="689F66A6"/>
    <w:rsid w:val="68A730AE"/>
    <w:rsid w:val="68A85EE1"/>
    <w:rsid w:val="68AB4C28"/>
    <w:rsid w:val="68AE48A9"/>
    <w:rsid w:val="68B254CB"/>
    <w:rsid w:val="68B51551"/>
    <w:rsid w:val="68B54B9F"/>
    <w:rsid w:val="68B7212D"/>
    <w:rsid w:val="68BB130F"/>
    <w:rsid w:val="68BE709A"/>
    <w:rsid w:val="68C21621"/>
    <w:rsid w:val="68C96D21"/>
    <w:rsid w:val="68D03D8E"/>
    <w:rsid w:val="68D3474A"/>
    <w:rsid w:val="68D864DD"/>
    <w:rsid w:val="68DC0FBA"/>
    <w:rsid w:val="68DF7B10"/>
    <w:rsid w:val="68E21F84"/>
    <w:rsid w:val="68E257DD"/>
    <w:rsid w:val="68E70EC7"/>
    <w:rsid w:val="68EE0C1B"/>
    <w:rsid w:val="68F16ADF"/>
    <w:rsid w:val="68F20F27"/>
    <w:rsid w:val="68F34DDE"/>
    <w:rsid w:val="68F44821"/>
    <w:rsid w:val="68F66048"/>
    <w:rsid w:val="68F718C0"/>
    <w:rsid w:val="68F73EDE"/>
    <w:rsid w:val="68F81453"/>
    <w:rsid w:val="68F919D7"/>
    <w:rsid w:val="68FA4183"/>
    <w:rsid w:val="68FA4718"/>
    <w:rsid w:val="68FB4800"/>
    <w:rsid w:val="68FD36D6"/>
    <w:rsid w:val="69083E81"/>
    <w:rsid w:val="690C74DA"/>
    <w:rsid w:val="690F6CCE"/>
    <w:rsid w:val="69102FE7"/>
    <w:rsid w:val="69114669"/>
    <w:rsid w:val="6914022D"/>
    <w:rsid w:val="69180510"/>
    <w:rsid w:val="6918206D"/>
    <w:rsid w:val="691B1DAE"/>
    <w:rsid w:val="691C02B6"/>
    <w:rsid w:val="691E46EF"/>
    <w:rsid w:val="691F1FEC"/>
    <w:rsid w:val="692064DD"/>
    <w:rsid w:val="69206934"/>
    <w:rsid w:val="69225A0D"/>
    <w:rsid w:val="6924702C"/>
    <w:rsid w:val="69297524"/>
    <w:rsid w:val="692B68DC"/>
    <w:rsid w:val="692C127E"/>
    <w:rsid w:val="692C3D62"/>
    <w:rsid w:val="692C504B"/>
    <w:rsid w:val="692E7D33"/>
    <w:rsid w:val="692F0D8E"/>
    <w:rsid w:val="69302113"/>
    <w:rsid w:val="69307669"/>
    <w:rsid w:val="69340C66"/>
    <w:rsid w:val="69343DB5"/>
    <w:rsid w:val="69354D85"/>
    <w:rsid w:val="693953E9"/>
    <w:rsid w:val="693A53C8"/>
    <w:rsid w:val="693A6306"/>
    <w:rsid w:val="693E1AC4"/>
    <w:rsid w:val="693E46A0"/>
    <w:rsid w:val="693E74CA"/>
    <w:rsid w:val="693F643B"/>
    <w:rsid w:val="69410D7A"/>
    <w:rsid w:val="69414E41"/>
    <w:rsid w:val="69423548"/>
    <w:rsid w:val="694310E6"/>
    <w:rsid w:val="69436C13"/>
    <w:rsid w:val="694465FF"/>
    <w:rsid w:val="69453D1D"/>
    <w:rsid w:val="69475A8E"/>
    <w:rsid w:val="6949336F"/>
    <w:rsid w:val="694A3DEF"/>
    <w:rsid w:val="694F0D1F"/>
    <w:rsid w:val="694F6ABE"/>
    <w:rsid w:val="69505307"/>
    <w:rsid w:val="69512DD7"/>
    <w:rsid w:val="69574B58"/>
    <w:rsid w:val="69591C34"/>
    <w:rsid w:val="695A15A5"/>
    <w:rsid w:val="69650D50"/>
    <w:rsid w:val="69684A2F"/>
    <w:rsid w:val="696B7548"/>
    <w:rsid w:val="696C736D"/>
    <w:rsid w:val="697030DE"/>
    <w:rsid w:val="69706390"/>
    <w:rsid w:val="69720072"/>
    <w:rsid w:val="697274F4"/>
    <w:rsid w:val="69731075"/>
    <w:rsid w:val="69737FEC"/>
    <w:rsid w:val="6975387E"/>
    <w:rsid w:val="6976728D"/>
    <w:rsid w:val="69780FAF"/>
    <w:rsid w:val="697C03BA"/>
    <w:rsid w:val="698060B5"/>
    <w:rsid w:val="69823BDB"/>
    <w:rsid w:val="69855479"/>
    <w:rsid w:val="69882CD3"/>
    <w:rsid w:val="698C4FA6"/>
    <w:rsid w:val="698E0F2F"/>
    <w:rsid w:val="698E2580"/>
    <w:rsid w:val="69900BBF"/>
    <w:rsid w:val="69911BE6"/>
    <w:rsid w:val="69922601"/>
    <w:rsid w:val="699351CC"/>
    <w:rsid w:val="69965020"/>
    <w:rsid w:val="699B1944"/>
    <w:rsid w:val="699C365A"/>
    <w:rsid w:val="699C4DFD"/>
    <w:rsid w:val="69A11633"/>
    <w:rsid w:val="69A14C24"/>
    <w:rsid w:val="69A51678"/>
    <w:rsid w:val="69AA1DDD"/>
    <w:rsid w:val="69AC2A06"/>
    <w:rsid w:val="69AC5936"/>
    <w:rsid w:val="69B30239"/>
    <w:rsid w:val="69B61AD7"/>
    <w:rsid w:val="69B62780"/>
    <w:rsid w:val="69B70B8A"/>
    <w:rsid w:val="69B978CF"/>
    <w:rsid w:val="69BB0E9B"/>
    <w:rsid w:val="69C62E77"/>
    <w:rsid w:val="69CB0CE1"/>
    <w:rsid w:val="69CB2EBB"/>
    <w:rsid w:val="69CC466C"/>
    <w:rsid w:val="69CE58AE"/>
    <w:rsid w:val="69D11D34"/>
    <w:rsid w:val="69D8084E"/>
    <w:rsid w:val="69DB10A9"/>
    <w:rsid w:val="69DC1688"/>
    <w:rsid w:val="69DC6357"/>
    <w:rsid w:val="69E03D9A"/>
    <w:rsid w:val="69E45F24"/>
    <w:rsid w:val="69E91EAC"/>
    <w:rsid w:val="69E94F2A"/>
    <w:rsid w:val="69EB1750"/>
    <w:rsid w:val="69EB1FDC"/>
    <w:rsid w:val="69EB5F51"/>
    <w:rsid w:val="69ED09E3"/>
    <w:rsid w:val="69EE1D33"/>
    <w:rsid w:val="69EE1F2C"/>
    <w:rsid w:val="69EF0661"/>
    <w:rsid w:val="69F6474C"/>
    <w:rsid w:val="69F70A4F"/>
    <w:rsid w:val="69F74EDF"/>
    <w:rsid w:val="69F918F5"/>
    <w:rsid w:val="69FA0146"/>
    <w:rsid w:val="69FA2F8B"/>
    <w:rsid w:val="69FB573C"/>
    <w:rsid w:val="69FB6271"/>
    <w:rsid w:val="69FC44B0"/>
    <w:rsid w:val="69FD3A6D"/>
    <w:rsid w:val="69FD74BC"/>
    <w:rsid w:val="69FF416B"/>
    <w:rsid w:val="6A00492C"/>
    <w:rsid w:val="6A026090"/>
    <w:rsid w:val="6A050AF0"/>
    <w:rsid w:val="6A07681A"/>
    <w:rsid w:val="6A082788"/>
    <w:rsid w:val="6A0B1E23"/>
    <w:rsid w:val="6A0F4CCA"/>
    <w:rsid w:val="6A1211D1"/>
    <w:rsid w:val="6A1330E9"/>
    <w:rsid w:val="6A164270"/>
    <w:rsid w:val="6A17009C"/>
    <w:rsid w:val="6A1719B7"/>
    <w:rsid w:val="6A193A12"/>
    <w:rsid w:val="6A1D654A"/>
    <w:rsid w:val="6A1E0077"/>
    <w:rsid w:val="6A1E6871"/>
    <w:rsid w:val="6A2133F4"/>
    <w:rsid w:val="6A213DB0"/>
    <w:rsid w:val="6A2325B4"/>
    <w:rsid w:val="6A2627B9"/>
    <w:rsid w:val="6A2671A4"/>
    <w:rsid w:val="6A272403"/>
    <w:rsid w:val="6A294057"/>
    <w:rsid w:val="6A2A0E92"/>
    <w:rsid w:val="6A307185"/>
    <w:rsid w:val="6A325019"/>
    <w:rsid w:val="6A3542BB"/>
    <w:rsid w:val="6A38730C"/>
    <w:rsid w:val="6A391D37"/>
    <w:rsid w:val="6A3C022E"/>
    <w:rsid w:val="6A403EE8"/>
    <w:rsid w:val="6A412525"/>
    <w:rsid w:val="6A455F47"/>
    <w:rsid w:val="6A4566A3"/>
    <w:rsid w:val="6A461529"/>
    <w:rsid w:val="6A4D243B"/>
    <w:rsid w:val="6A4E61B3"/>
    <w:rsid w:val="6A4E6446"/>
    <w:rsid w:val="6A525703"/>
    <w:rsid w:val="6A527E04"/>
    <w:rsid w:val="6A535578"/>
    <w:rsid w:val="6A540D6D"/>
    <w:rsid w:val="6A5512F0"/>
    <w:rsid w:val="6A554E4C"/>
    <w:rsid w:val="6A570BC4"/>
    <w:rsid w:val="6A5B1793"/>
    <w:rsid w:val="6A604B4C"/>
    <w:rsid w:val="6A6C273F"/>
    <w:rsid w:val="6A6E4160"/>
    <w:rsid w:val="6A714044"/>
    <w:rsid w:val="6A7161E3"/>
    <w:rsid w:val="6A722F26"/>
    <w:rsid w:val="6A736FCA"/>
    <w:rsid w:val="6A76581E"/>
    <w:rsid w:val="6A771266"/>
    <w:rsid w:val="6A785C84"/>
    <w:rsid w:val="6A793230"/>
    <w:rsid w:val="6A793CE3"/>
    <w:rsid w:val="6A796084"/>
    <w:rsid w:val="6A7B7C98"/>
    <w:rsid w:val="6A7D7B86"/>
    <w:rsid w:val="6A7D7D3F"/>
    <w:rsid w:val="6A7E19AC"/>
    <w:rsid w:val="6A7F3906"/>
    <w:rsid w:val="6A827E27"/>
    <w:rsid w:val="6A8368E4"/>
    <w:rsid w:val="6A8806D7"/>
    <w:rsid w:val="6A882476"/>
    <w:rsid w:val="6A895AE7"/>
    <w:rsid w:val="6A8D3296"/>
    <w:rsid w:val="6A8D4C80"/>
    <w:rsid w:val="6A905F07"/>
    <w:rsid w:val="6A936CB8"/>
    <w:rsid w:val="6A9750C3"/>
    <w:rsid w:val="6A9A0CA2"/>
    <w:rsid w:val="6A9A52A9"/>
    <w:rsid w:val="6A9A52AC"/>
    <w:rsid w:val="6A9C2F2D"/>
    <w:rsid w:val="6A9E0FFE"/>
    <w:rsid w:val="6A9F6400"/>
    <w:rsid w:val="6AA2356D"/>
    <w:rsid w:val="6AA4271C"/>
    <w:rsid w:val="6AA638F9"/>
    <w:rsid w:val="6AAA2CBF"/>
    <w:rsid w:val="6AB00027"/>
    <w:rsid w:val="6AB04778"/>
    <w:rsid w:val="6AB05CE4"/>
    <w:rsid w:val="6AB212EF"/>
    <w:rsid w:val="6AB27E80"/>
    <w:rsid w:val="6AB607A6"/>
    <w:rsid w:val="6AB91AB1"/>
    <w:rsid w:val="6AB953A1"/>
    <w:rsid w:val="6ABA3A02"/>
    <w:rsid w:val="6ABA55F7"/>
    <w:rsid w:val="6ABC200B"/>
    <w:rsid w:val="6ABC6B2B"/>
    <w:rsid w:val="6AC16985"/>
    <w:rsid w:val="6AC208FC"/>
    <w:rsid w:val="6AC20C0F"/>
    <w:rsid w:val="6AC2744B"/>
    <w:rsid w:val="6AC3179C"/>
    <w:rsid w:val="6AC326B1"/>
    <w:rsid w:val="6AC56475"/>
    <w:rsid w:val="6AC601B4"/>
    <w:rsid w:val="6AC83B0F"/>
    <w:rsid w:val="6AC90A77"/>
    <w:rsid w:val="6ACB37C7"/>
    <w:rsid w:val="6ACE4725"/>
    <w:rsid w:val="6AD20B92"/>
    <w:rsid w:val="6AD466B8"/>
    <w:rsid w:val="6AD50982"/>
    <w:rsid w:val="6AD558A9"/>
    <w:rsid w:val="6AD90BAB"/>
    <w:rsid w:val="6AD935C6"/>
    <w:rsid w:val="6ADD1F00"/>
    <w:rsid w:val="6ADE12E5"/>
    <w:rsid w:val="6AE17D2E"/>
    <w:rsid w:val="6AE47C1D"/>
    <w:rsid w:val="6AE5144A"/>
    <w:rsid w:val="6AE575ED"/>
    <w:rsid w:val="6AE7478D"/>
    <w:rsid w:val="6AE8629E"/>
    <w:rsid w:val="6AEA161A"/>
    <w:rsid w:val="6AEC1F70"/>
    <w:rsid w:val="6AED37F2"/>
    <w:rsid w:val="6AEE6A90"/>
    <w:rsid w:val="6AEF53C4"/>
    <w:rsid w:val="6AF91DF1"/>
    <w:rsid w:val="6AF96274"/>
    <w:rsid w:val="6AFB5D68"/>
    <w:rsid w:val="6AFE7836"/>
    <w:rsid w:val="6B006504"/>
    <w:rsid w:val="6B011DD2"/>
    <w:rsid w:val="6B080382"/>
    <w:rsid w:val="6B0845B4"/>
    <w:rsid w:val="6B0C3A97"/>
    <w:rsid w:val="6B0C5E52"/>
    <w:rsid w:val="6B0C681B"/>
    <w:rsid w:val="6B0D5727"/>
    <w:rsid w:val="6B0E6311"/>
    <w:rsid w:val="6B112AF5"/>
    <w:rsid w:val="6B116776"/>
    <w:rsid w:val="6B1228CA"/>
    <w:rsid w:val="6B1B7EBF"/>
    <w:rsid w:val="6B1D1F95"/>
    <w:rsid w:val="6B202FCA"/>
    <w:rsid w:val="6B225BFF"/>
    <w:rsid w:val="6B2334CD"/>
    <w:rsid w:val="6B233844"/>
    <w:rsid w:val="6B294D27"/>
    <w:rsid w:val="6B2A0087"/>
    <w:rsid w:val="6B2B3945"/>
    <w:rsid w:val="6B2C2051"/>
    <w:rsid w:val="6B2C21B2"/>
    <w:rsid w:val="6B2D1502"/>
    <w:rsid w:val="6B2D1E59"/>
    <w:rsid w:val="6B31164E"/>
    <w:rsid w:val="6B361121"/>
    <w:rsid w:val="6B3649CC"/>
    <w:rsid w:val="6B39651C"/>
    <w:rsid w:val="6B397E06"/>
    <w:rsid w:val="6B3B0E1D"/>
    <w:rsid w:val="6B3D3768"/>
    <w:rsid w:val="6B3D3F73"/>
    <w:rsid w:val="6B3F76C7"/>
    <w:rsid w:val="6B4078AA"/>
    <w:rsid w:val="6B424DE9"/>
    <w:rsid w:val="6B424E0E"/>
    <w:rsid w:val="6B4505E3"/>
    <w:rsid w:val="6B466370"/>
    <w:rsid w:val="6B472B04"/>
    <w:rsid w:val="6B476264"/>
    <w:rsid w:val="6B486135"/>
    <w:rsid w:val="6B493865"/>
    <w:rsid w:val="6B496164"/>
    <w:rsid w:val="6B4A23C3"/>
    <w:rsid w:val="6B4A24D7"/>
    <w:rsid w:val="6B4B1A84"/>
    <w:rsid w:val="6B4C4AE6"/>
    <w:rsid w:val="6B5266C5"/>
    <w:rsid w:val="6B55297C"/>
    <w:rsid w:val="6B556798"/>
    <w:rsid w:val="6B55794D"/>
    <w:rsid w:val="6B5662B5"/>
    <w:rsid w:val="6B574BF4"/>
    <w:rsid w:val="6B581098"/>
    <w:rsid w:val="6B5E3AD4"/>
    <w:rsid w:val="6B6317EA"/>
    <w:rsid w:val="6B635FFC"/>
    <w:rsid w:val="6B644B3C"/>
    <w:rsid w:val="6B646DDD"/>
    <w:rsid w:val="6B657EA0"/>
    <w:rsid w:val="6B690855"/>
    <w:rsid w:val="6B6A014D"/>
    <w:rsid w:val="6B6A3F74"/>
    <w:rsid w:val="6B6C5FF6"/>
    <w:rsid w:val="6B6C6EE2"/>
    <w:rsid w:val="6B6D40D2"/>
    <w:rsid w:val="6B701525"/>
    <w:rsid w:val="6B722E86"/>
    <w:rsid w:val="6B746031"/>
    <w:rsid w:val="6B76137D"/>
    <w:rsid w:val="6B76151E"/>
    <w:rsid w:val="6B7730A4"/>
    <w:rsid w:val="6B780E48"/>
    <w:rsid w:val="6B7D02BE"/>
    <w:rsid w:val="6B800F84"/>
    <w:rsid w:val="6B80414A"/>
    <w:rsid w:val="6B822F1F"/>
    <w:rsid w:val="6B8243AC"/>
    <w:rsid w:val="6B8339B4"/>
    <w:rsid w:val="6B841E8D"/>
    <w:rsid w:val="6B843501"/>
    <w:rsid w:val="6B89431F"/>
    <w:rsid w:val="6B8B16D5"/>
    <w:rsid w:val="6B8B65C1"/>
    <w:rsid w:val="6B8C2CFD"/>
    <w:rsid w:val="6B8C52D9"/>
    <w:rsid w:val="6B8F1604"/>
    <w:rsid w:val="6B98564C"/>
    <w:rsid w:val="6B9C6871"/>
    <w:rsid w:val="6B9E2E56"/>
    <w:rsid w:val="6B9F3DBA"/>
    <w:rsid w:val="6BA0733A"/>
    <w:rsid w:val="6BA27B08"/>
    <w:rsid w:val="6BA41B70"/>
    <w:rsid w:val="6BA75B7B"/>
    <w:rsid w:val="6BA84C7C"/>
    <w:rsid w:val="6BB04B7E"/>
    <w:rsid w:val="6BB36F13"/>
    <w:rsid w:val="6BB50B7E"/>
    <w:rsid w:val="6BB53379"/>
    <w:rsid w:val="6BB53CBD"/>
    <w:rsid w:val="6BB75415"/>
    <w:rsid w:val="6BB77FE6"/>
    <w:rsid w:val="6BBA3873"/>
    <w:rsid w:val="6BBB51FE"/>
    <w:rsid w:val="6BBC7875"/>
    <w:rsid w:val="6BBD402A"/>
    <w:rsid w:val="6BBE2A78"/>
    <w:rsid w:val="6BC018E9"/>
    <w:rsid w:val="6BC04DFB"/>
    <w:rsid w:val="6BC07E36"/>
    <w:rsid w:val="6BC15EBA"/>
    <w:rsid w:val="6BC47A8E"/>
    <w:rsid w:val="6BC55102"/>
    <w:rsid w:val="6BC8096A"/>
    <w:rsid w:val="6BC8512B"/>
    <w:rsid w:val="6BCA3017"/>
    <w:rsid w:val="6BCB6DE4"/>
    <w:rsid w:val="6BCE6923"/>
    <w:rsid w:val="6BCF53AC"/>
    <w:rsid w:val="6BD203D5"/>
    <w:rsid w:val="6BD36970"/>
    <w:rsid w:val="6BD555BF"/>
    <w:rsid w:val="6BDA534F"/>
    <w:rsid w:val="6BDB571A"/>
    <w:rsid w:val="6BDB7FDA"/>
    <w:rsid w:val="6BDC461F"/>
    <w:rsid w:val="6BDD501F"/>
    <w:rsid w:val="6BDF70C3"/>
    <w:rsid w:val="6BE2513C"/>
    <w:rsid w:val="6BE46F7E"/>
    <w:rsid w:val="6BE91CF0"/>
    <w:rsid w:val="6BED2946"/>
    <w:rsid w:val="6BEE37AA"/>
    <w:rsid w:val="6BEE61FD"/>
    <w:rsid w:val="6BEE7F16"/>
    <w:rsid w:val="6BEF4116"/>
    <w:rsid w:val="6BF1494D"/>
    <w:rsid w:val="6BF51883"/>
    <w:rsid w:val="6BF94313"/>
    <w:rsid w:val="6BFB7778"/>
    <w:rsid w:val="6BFE3E3E"/>
    <w:rsid w:val="6C014DA3"/>
    <w:rsid w:val="6C021003"/>
    <w:rsid w:val="6C044B29"/>
    <w:rsid w:val="6C06041D"/>
    <w:rsid w:val="6C075D7C"/>
    <w:rsid w:val="6C085844"/>
    <w:rsid w:val="6C09241C"/>
    <w:rsid w:val="6C0D4406"/>
    <w:rsid w:val="6C0D521A"/>
    <w:rsid w:val="6C0F54CE"/>
    <w:rsid w:val="6C164B1E"/>
    <w:rsid w:val="6C171B87"/>
    <w:rsid w:val="6C172D01"/>
    <w:rsid w:val="6C175421"/>
    <w:rsid w:val="6C1804FE"/>
    <w:rsid w:val="6C183F2D"/>
    <w:rsid w:val="6C1A39A6"/>
    <w:rsid w:val="6C1B20C5"/>
    <w:rsid w:val="6C1D4AD6"/>
    <w:rsid w:val="6C1D793F"/>
    <w:rsid w:val="6C1F1BB5"/>
    <w:rsid w:val="6C1F78E3"/>
    <w:rsid w:val="6C2076DB"/>
    <w:rsid w:val="6C2471CC"/>
    <w:rsid w:val="6C264F8F"/>
    <w:rsid w:val="6C2C7E2E"/>
    <w:rsid w:val="6C2D691A"/>
    <w:rsid w:val="6C303DC2"/>
    <w:rsid w:val="6C30652D"/>
    <w:rsid w:val="6C3334D5"/>
    <w:rsid w:val="6C3B1BAF"/>
    <w:rsid w:val="6C3F0A8A"/>
    <w:rsid w:val="6C3F5D67"/>
    <w:rsid w:val="6C466FAB"/>
    <w:rsid w:val="6C472363"/>
    <w:rsid w:val="6C48616A"/>
    <w:rsid w:val="6C4F5776"/>
    <w:rsid w:val="6C517A00"/>
    <w:rsid w:val="6C523FDE"/>
    <w:rsid w:val="6C541D24"/>
    <w:rsid w:val="6C5630FD"/>
    <w:rsid w:val="6C563A97"/>
    <w:rsid w:val="6C567236"/>
    <w:rsid w:val="6C5C0714"/>
    <w:rsid w:val="6C5C6499"/>
    <w:rsid w:val="6C5E3222"/>
    <w:rsid w:val="6C64581A"/>
    <w:rsid w:val="6C6605A5"/>
    <w:rsid w:val="6C686B68"/>
    <w:rsid w:val="6C6C714C"/>
    <w:rsid w:val="6C6D54B8"/>
    <w:rsid w:val="6C6D6949"/>
    <w:rsid w:val="6C733FFE"/>
    <w:rsid w:val="6C734AAB"/>
    <w:rsid w:val="6C737315"/>
    <w:rsid w:val="6C744BD0"/>
    <w:rsid w:val="6C7624D1"/>
    <w:rsid w:val="6C762F92"/>
    <w:rsid w:val="6C7852B4"/>
    <w:rsid w:val="6C7B05E2"/>
    <w:rsid w:val="6C7B367B"/>
    <w:rsid w:val="6C7B471E"/>
    <w:rsid w:val="6C7D1691"/>
    <w:rsid w:val="6C7F08A6"/>
    <w:rsid w:val="6C7F7680"/>
    <w:rsid w:val="6C8163CC"/>
    <w:rsid w:val="6C861C34"/>
    <w:rsid w:val="6C8A09F6"/>
    <w:rsid w:val="6C904861"/>
    <w:rsid w:val="6C924135"/>
    <w:rsid w:val="6C924B62"/>
    <w:rsid w:val="6C927016"/>
    <w:rsid w:val="6C935BCC"/>
    <w:rsid w:val="6C9370C5"/>
    <w:rsid w:val="6C946181"/>
    <w:rsid w:val="6C95333F"/>
    <w:rsid w:val="6C9822E2"/>
    <w:rsid w:val="6C994B25"/>
    <w:rsid w:val="6C9963F3"/>
    <w:rsid w:val="6C9E047C"/>
    <w:rsid w:val="6C9F7B97"/>
    <w:rsid w:val="6CA10E42"/>
    <w:rsid w:val="6CAC5002"/>
    <w:rsid w:val="6CBA18DE"/>
    <w:rsid w:val="6CBB5640"/>
    <w:rsid w:val="6CBC227E"/>
    <w:rsid w:val="6CBF131A"/>
    <w:rsid w:val="6CBF5BCB"/>
    <w:rsid w:val="6CC03AE7"/>
    <w:rsid w:val="6CC52953"/>
    <w:rsid w:val="6CC529E1"/>
    <w:rsid w:val="6CC60CEF"/>
    <w:rsid w:val="6CCA2B0A"/>
    <w:rsid w:val="6CCA79FB"/>
    <w:rsid w:val="6CCF2537"/>
    <w:rsid w:val="6CD54458"/>
    <w:rsid w:val="6CD75FEC"/>
    <w:rsid w:val="6CD960AA"/>
    <w:rsid w:val="6CDC7415"/>
    <w:rsid w:val="6CDD013C"/>
    <w:rsid w:val="6CE07E9A"/>
    <w:rsid w:val="6CE2561C"/>
    <w:rsid w:val="6CE32D94"/>
    <w:rsid w:val="6CE33739"/>
    <w:rsid w:val="6CE34991"/>
    <w:rsid w:val="6CE3773B"/>
    <w:rsid w:val="6CE52EBA"/>
    <w:rsid w:val="6CF11227"/>
    <w:rsid w:val="6CF20681"/>
    <w:rsid w:val="6CF22212"/>
    <w:rsid w:val="6CF546C4"/>
    <w:rsid w:val="6CF62201"/>
    <w:rsid w:val="6CF83F1D"/>
    <w:rsid w:val="6CF9696B"/>
    <w:rsid w:val="6CFC0356"/>
    <w:rsid w:val="6CFD4CED"/>
    <w:rsid w:val="6CFD633E"/>
    <w:rsid w:val="6D040606"/>
    <w:rsid w:val="6D051F8E"/>
    <w:rsid w:val="6D0A2B07"/>
    <w:rsid w:val="6D0A4613"/>
    <w:rsid w:val="6D0A7EA5"/>
    <w:rsid w:val="6D0D5C54"/>
    <w:rsid w:val="6D0E0A8F"/>
    <w:rsid w:val="6D115063"/>
    <w:rsid w:val="6D184299"/>
    <w:rsid w:val="6D1859BB"/>
    <w:rsid w:val="6D196619"/>
    <w:rsid w:val="6D21161F"/>
    <w:rsid w:val="6D245A58"/>
    <w:rsid w:val="6D295A59"/>
    <w:rsid w:val="6D296FAE"/>
    <w:rsid w:val="6D2B617E"/>
    <w:rsid w:val="6D2D1303"/>
    <w:rsid w:val="6D2E2E1A"/>
    <w:rsid w:val="6D2F4E5D"/>
    <w:rsid w:val="6D315FE9"/>
    <w:rsid w:val="6D317DF2"/>
    <w:rsid w:val="6D321474"/>
    <w:rsid w:val="6D325947"/>
    <w:rsid w:val="6D3276C6"/>
    <w:rsid w:val="6D33061B"/>
    <w:rsid w:val="6D357A95"/>
    <w:rsid w:val="6D3C1622"/>
    <w:rsid w:val="6D3E08C0"/>
    <w:rsid w:val="6D3F3B91"/>
    <w:rsid w:val="6D4375DF"/>
    <w:rsid w:val="6D4421E5"/>
    <w:rsid w:val="6D475865"/>
    <w:rsid w:val="6D4A602E"/>
    <w:rsid w:val="6D4C25F5"/>
    <w:rsid w:val="6D4C2D6C"/>
    <w:rsid w:val="6D4D0783"/>
    <w:rsid w:val="6D4D4500"/>
    <w:rsid w:val="6D4D45DB"/>
    <w:rsid w:val="6D4E6D7B"/>
    <w:rsid w:val="6D4F3FD4"/>
    <w:rsid w:val="6D500D6C"/>
    <w:rsid w:val="6D516544"/>
    <w:rsid w:val="6D53067F"/>
    <w:rsid w:val="6D535F8B"/>
    <w:rsid w:val="6D5362F6"/>
    <w:rsid w:val="6D5502FD"/>
    <w:rsid w:val="6D560088"/>
    <w:rsid w:val="6D576863"/>
    <w:rsid w:val="6D5B09CB"/>
    <w:rsid w:val="6D5E495F"/>
    <w:rsid w:val="6D601D44"/>
    <w:rsid w:val="6D60276C"/>
    <w:rsid w:val="6D604233"/>
    <w:rsid w:val="6D605AE9"/>
    <w:rsid w:val="6D611D5A"/>
    <w:rsid w:val="6D613333"/>
    <w:rsid w:val="6D61605E"/>
    <w:rsid w:val="6D621520"/>
    <w:rsid w:val="6D630E00"/>
    <w:rsid w:val="6D65160F"/>
    <w:rsid w:val="6D651C63"/>
    <w:rsid w:val="6D67418D"/>
    <w:rsid w:val="6D6802E3"/>
    <w:rsid w:val="6D6931E6"/>
    <w:rsid w:val="6D6E36E9"/>
    <w:rsid w:val="6D74351D"/>
    <w:rsid w:val="6D743C43"/>
    <w:rsid w:val="6D745F31"/>
    <w:rsid w:val="6D79697A"/>
    <w:rsid w:val="6D7C20FB"/>
    <w:rsid w:val="6D7C2BF3"/>
    <w:rsid w:val="6D7E6363"/>
    <w:rsid w:val="6D7E6D29"/>
    <w:rsid w:val="6D866B34"/>
    <w:rsid w:val="6D867B09"/>
    <w:rsid w:val="6D89044B"/>
    <w:rsid w:val="6D8A305E"/>
    <w:rsid w:val="6D8C026B"/>
    <w:rsid w:val="6D8C6ACA"/>
    <w:rsid w:val="6D8E2AD7"/>
    <w:rsid w:val="6D905FA7"/>
    <w:rsid w:val="6D925B8F"/>
    <w:rsid w:val="6D965A26"/>
    <w:rsid w:val="6D967C55"/>
    <w:rsid w:val="6D98408F"/>
    <w:rsid w:val="6D991066"/>
    <w:rsid w:val="6D9B170F"/>
    <w:rsid w:val="6D9E6B0A"/>
    <w:rsid w:val="6DA11326"/>
    <w:rsid w:val="6DA1222C"/>
    <w:rsid w:val="6DA1783B"/>
    <w:rsid w:val="6DA2484C"/>
    <w:rsid w:val="6DA273D4"/>
    <w:rsid w:val="6DA34E53"/>
    <w:rsid w:val="6DA547E4"/>
    <w:rsid w:val="6DAA4D41"/>
    <w:rsid w:val="6DB15CFD"/>
    <w:rsid w:val="6DB166A0"/>
    <w:rsid w:val="6DB41FDC"/>
    <w:rsid w:val="6DB46F41"/>
    <w:rsid w:val="6DB93944"/>
    <w:rsid w:val="6DBB2AE7"/>
    <w:rsid w:val="6DBB546B"/>
    <w:rsid w:val="6DBC5306"/>
    <w:rsid w:val="6DC1338D"/>
    <w:rsid w:val="6DC16A1E"/>
    <w:rsid w:val="6DC70E27"/>
    <w:rsid w:val="6DC85463"/>
    <w:rsid w:val="6DC9002B"/>
    <w:rsid w:val="6DCE75BE"/>
    <w:rsid w:val="6DD01F0A"/>
    <w:rsid w:val="6DD62748"/>
    <w:rsid w:val="6DD9496A"/>
    <w:rsid w:val="6DDB0956"/>
    <w:rsid w:val="6DDB2A3A"/>
    <w:rsid w:val="6DE5298B"/>
    <w:rsid w:val="6DE65EF4"/>
    <w:rsid w:val="6DE9247B"/>
    <w:rsid w:val="6DEA69B8"/>
    <w:rsid w:val="6DED423B"/>
    <w:rsid w:val="6DF336FD"/>
    <w:rsid w:val="6DF9527C"/>
    <w:rsid w:val="6DF9653E"/>
    <w:rsid w:val="6DFD7CD4"/>
    <w:rsid w:val="6DFF33FA"/>
    <w:rsid w:val="6DFF35EB"/>
    <w:rsid w:val="6E014C81"/>
    <w:rsid w:val="6E035ACE"/>
    <w:rsid w:val="6E041063"/>
    <w:rsid w:val="6E064BAE"/>
    <w:rsid w:val="6E073037"/>
    <w:rsid w:val="6E0952C2"/>
    <w:rsid w:val="6E0C54D8"/>
    <w:rsid w:val="6E105C5A"/>
    <w:rsid w:val="6E1101B2"/>
    <w:rsid w:val="6E1305F6"/>
    <w:rsid w:val="6E1517E1"/>
    <w:rsid w:val="6E157FE1"/>
    <w:rsid w:val="6E166FE8"/>
    <w:rsid w:val="6E170CA6"/>
    <w:rsid w:val="6E197AE1"/>
    <w:rsid w:val="6E1B33AE"/>
    <w:rsid w:val="6E200709"/>
    <w:rsid w:val="6E230FA4"/>
    <w:rsid w:val="6E233C4F"/>
    <w:rsid w:val="6E2711F5"/>
    <w:rsid w:val="6E271CA8"/>
    <w:rsid w:val="6E296B67"/>
    <w:rsid w:val="6E296D1B"/>
    <w:rsid w:val="6E2A2A42"/>
    <w:rsid w:val="6E2B5E2F"/>
    <w:rsid w:val="6E2C137B"/>
    <w:rsid w:val="6E2D7747"/>
    <w:rsid w:val="6E2F6107"/>
    <w:rsid w:val="6E32766D"/>
    <w:rsid w:val="6E342FDD"/>
    <w:rsid w:val="6E35354A"/>
    <w:rsid w:val="6E3A0F28"/>
    <w:rsid w:val="6E3C3466"/>
    <w:rsid w:val="6E414061"/>
    <w:rsid w:val="6E422535"/>
    <w:rsid w:val="6E4B0F6D"/>
    <w:rsid w:val="6E4E692A"/>
    <w:rsid w:val="6E523CB8"/>
    <w:rsid w:val="6E530095"/>
    <w:rsid w:val="6E541087"/>
    <w:rsid w:val="6E5510FE"/>
    <w:rsid w:val="6E5536D0"/>
    <w:rsid w:val="6E5813AF"/>
    <w:rsid w:val="6E586E18"/>
    <w:rsid w:val="6E5B0E2F"/>
    <w:rsid w:val="6E5C02B7"/>
    <w:rsid w:val="6E5C4492"/>
    <w:rsid w:val="6E623C17"/>
    <w:rsid w:val="6E637CE1"/>
    <w:rsid w:val="6E645FA5"/>
    <w:rsid w:val="6E6715F2"/>
    <w:rsid w:val="6E6733A0"/>
    <w:rsid w:val="6E6949E6"/>
    <w:rsid w:val="6E6C1D26"/>
    <w:rsid w:val="6E6C37C5"/>
    <w:rsid w:val="6E6C5CA1"/>
    <w:rsid w:val="6E6D68FF"/>
    <w:rsid w:val="6E6E472E"/>
    <w:rsid w:val="6E702FB5"/>
    <w:rsid w:val="6E70680B"/>
    <w:rsid w:val="6E713865"/>
    <w:rsid w:val="6E7251F6"/>
    <w:rsid w:val="6E741518"/>
    <w:rsid w:val="6E771434"/>
    <w:rsid w:val="6E7C0F24"/>
    <w:rsid w:val="6E7C32B9"/>
    <w:rsid w:val="6E7D309D"/>
    <w:rsid w:val="6E7F0680"/>
    <w:rsid w:val="6E812A8C"/>
    <w:rsid w:val="6E813B62"/>
    <w:rsid w:val="6E840776"/>
    <w:rsid w:val="6E841539"/>
    <w:rsid w:val="6E842FAE"/>
    <w:rsid w:val="6E8738E8"/>
    <w:rsid w:val="6E893520"/>
    <w:rsid w:val="6E8B337C"/>
    <w:rsid w:val="6E8B4961"/>
    <w:rsid w:val="6E933555"/>
    <w:rsid w:val="6E95110E"/>
    <w:rsid w:val="6E972D5A"/>
    <w:rsid w:val="6E984B22"/>
    <w:rsid w:val="6E9F422A"/>
    <w:rsid w:val="6E9F6B24"/>
    <w:rsid w:val="6EA2262A"/>
    <w:rsid w:val="6EA466A0"/>
    <w:rsid w:val="6EA55AEC"/>
    <w:rsid w:val="6EA6177A"/>
    <w:rsid w:val="6EA65CEA"/>
    <w:rsid w:val="6EB04805"/>
    <w:rsid w:val="6EB04D47"/>
    <w:rsid w:val="6EB303E4"/>
    <w:rsid w:val="6EB50351"/>
    <w:rsid w:val="6EB70B27"/>
    <w:rsid w:val="6EB83BFB"/>
    <w:rsid w:val="6EB8444E"/>
    <w:rsid w:val="6EBB0ACA"/>
    <w:rsid w:val="6EBE0699"/>
    <w:rsid w:val="6EC231C8"/>
    <w:rsid w:val="6EC33BC4"/>
    <w:rsid w:val="6EC46FDD"/>
    <w:rsid w:val="6EC7160C"/>
    <w:rsid w:val="6EC73068"/>
    <w:rsid w:val="6EC77D30"/>
    <w:rsid w:val="6EC9360F"/>
    <w:rsid w:val="6EC94FC4"/>
    <w:rsid w:val="6ECD227F"/>
    <w:rsid w:val="6ECE0E06"/>
    <w:rsid w:val="6ECF3033"/>
    <w:rsid w:val="6ED8429D"/>
    <w:rsid w:val="6EDB2983"/>
    <w:rsid w:val="6EDC5F8F"/>
    <w:rsid w:val="6EDD5F4F"/>
    <w:rsid w:val="6EE3336E"/>
    <w:rsid w:val="6EE41D73"/>
    <w:rsid w:val="6EE60768"/>
    <w:rsid w:val="6EE81FF1"/>
    <w:rsid w:val="6EE96640"/>
    <w:rsid w:val="6EEB0FB7"/>
    <w:rsid w:val="6EEB3FC4"/>
    <w:rsid w:val="6EEB42AC"/>
    <w:rsid w:val="6EF47329"/>
    <w:rsid w:val="6EF474E8"/>
    <w:rsid w:val="6EF56BFD"/>
    <w:rsid w:val="6EFD6BBE"/>
    <w:rsid w:val="6F014991"/>
    <w:rsid w:val="6F0252EA"/>
    <w:rsid w:val="6F0349EE"/>
    <w:rsid w:val="6F0532E4"/>
    <w:rsid w:val="6F067B5B"/>
    <w:rsid w:val="6F073B62"/>
    <w:rsid w:val="6F086E73"/>
    <w:rsid w:val="6F0A1C47"/>
    <w:rsid w:val="6F0A3459"/>
    <w:rsid w:val="6F0B01CF"/>
    <w:rsid w:val="6F0B1F14"/>
    <w:rsid w:val="6F0B557E"/>
    <w:rsid w:val="6F0C1560"/>
    <w:rsid w:val="6F0E7CBF"/>
    <w:rsid w:val="6F0F5E8B"/>
    <w:rsid w:val="6F1058E4"/>
    <w:rsid w:val="6F144A06"/>
    <w:rsid w:val="6F150254"/>
    <w:rsid w:val="6F161010"/>
    <w:rsid w:val="6F1664D4"/>
    <w:rsid w:val="6F192A9E"/>
    <w:rsid w:val="6F1A27F9"/>
    <w:rsid w:val="6F1B4439"/>
    <w:rsid w:val="6F213E96"/>
    <w:rsid w:val="6F231363"/>
    <w:rsid w:val="6F323C1A"/>
    <w:rsid w:val="6F336A26"/>
    <w:rsid w:val="6F3E62E9"/>
    <w:rsid w:val="6F3E67F6"/>
    <w:rsid w:val="6F3F7718"/>
    <w:rsid w:val="6F4108FD"/>
    <w:rsid w:val="6F415FBF"/>
    <w:rsid w:val="6F4162E7"/>
    <w:rsid w:val="6F4576BD"/>
    <w:rsid w:val="6F467459"/>
    <w:rsid w:val="6F4A288C"/>
    <w:rsid w:val="6F5002D8"/>
    <w:rsid w:val="6F574533"/>
    <w:rsid w:val="6F5B39C3"/>
    <w:rsid w:val="6F6127D9"/>
    <w:rsid w:val="6F651D5B"/>
    <w:rsid w:val="6F693FB4"/>
    <w:rsid w:val="6F6C08B9"/>
    <w:rsid w:val="6F6C3363"/>
    <w:rsid w:val="6F6D41E3"/>
    <w:rsid w:val="6F6F075E"/>
    <w:rsid w:val="6F6F6BD2"/>
    <w:rsid w:val="6F710E60"/>
    <w:rsid w:val="6F76349D"/>
    <w:rsid w:val="6F7860DF"/>
    <w:rsid w:val="6F7D2B5F"/>
    <w:rsid w:val="6F8566E4"/>
    <w:rsid w:val="6F8A1A3C"/>
    <w:rsid w:val="6F9208F0"/>
    <w:rsid w:val="6F930901"/>
    <w:rsid w:val="6F9450C5"/>
    <w:rsid w:val="6F9455E1"/>
    <w:rsid w:val="6F9557E8"/>
    <w:rsid w:val="6F960F80"/>
    <w:rsid w:val="6F991A3B"/>
    <w:rsid w:val="6F9D0DCD"/>
    <w:rsid w:val="6F9D6F1D"/>
    <w:rsid w:val="6FA233F1"/>
    <w:rsid w:val="6FA3039A"/>
    <w:rsid w:val="6FA3150A"/>
    <w:rsid w:val="6FA52D0E"/>
    <w:rsid w:val="6FA72C0A"/>
    <w:rsid w:val="6FA752B6"/>
    <w:rsid w:val="6FA81EC2"/>
    <w:rsid w:val="6FA85F7F"/>
    <w:rsid w:val="6FA873CB"/>
    <w:rsid w:val="6FAF46CD"/>
    <w:rsid w:val="6FB16FC8"/>
    <w:rsid w:val="6FB92EDC"/>
    <w:rsid w:val="6FBB361D"/>
    <w:rsid w:val="6FBB675D"/>
    <w:rsid w:val="6FBE3493"/>
    <w:rsid w:val="6FC04279"/>
    <w:rsid w:val="6FC206B6"/>
    <w:rsid w:val="6FC477DB"/>
    <w:rsid w:val="6FC54822"/>
    <w:rsid w:val="6FC65D90"/>
    <w:rsid w:val="6FC8150C"/>
    <w:rsid w:val="6FCB058D"/>
    <w:rsid w:val="6FCB345C"/>
    <w:rsid w:val="6FCC05E5"/>
    <w:rsid w:val="6FCF4FA5"/>
    <w:rsid w:val="6FCF56A0"/>
    <w:rsid w:val="6FD05B18"/>
    <w:rsid w:val="6FD131C7"/>
    <w:rsid w:val="6FD76303"/>
    <w:rsid w:val="6FDB0C9B"/>
    <w:rsid w:val="6FDE58E3"/>
    <w:rsid w:val="6FE1093F"/>
    <w:rsid w:val="6FE23804"/>
    <w:rsid w:val="6FE2547B"/>
    <w:rsid w:val="6FE44D6C"/>
    <w:rsid w:val="6FE47C8F"/>
    <w:rsid w:val="6FE54913"/>
    <w:rsid w:val="6FE80510"/>
    <w:rsid w:val="6FE915E7"/>
    <w:rsid w:val="6FE9765D"/>
    <w:rsid w:val="6FEC6252"/>
    <w:rsid w:val="6FF1191A"/>
    <w:rsid w:val="6FF11935"/>
    <w:rsid w:val="6FF60405"/>
    <w:rsid w:val="6FF712C0"/>
    <w:rsid w:val="6FFF154F"/>
    <w:rsid w:val="6FFF1DF9"/>
    <w:rsid w:val="7000585A"/>
    <w:rsid w:val="700E5BDD"/>
    <w:rsid w:val="700F46C6"/>
    <w:rsid w:val="7012711E"/>
    <w:rsid w:val="70131A31"/>
    <w:rsid w:val="70184CF3"/>
    <w:rsid w:val="701D156C"/>
    <w:rsid w:val="701F6FD6"/>
    <w:rsid w:val="70214D2E"/>
    <w:rsid w:val="7025597E"/>
    <w:rsid w:val="7027728A"/>
    <w:rsid w:val="70280263"/>
    <w:rsid w:val="70290749"/>
    <w:rsid w:val="70291F88"/>
    <w:rsid w:val="70292E94"/>
    <w:rsid w:val="702E6265"/>
    <w:rsid w:val="70307DBC"/>
    <w:rsid w:val="70311EB7"/>
    <w:rsid w:val="70325E82"/>
    <w:rsid w:val="703275D8"/>
    <w:rsid w:val="703522E0"/>
    <w:rsid w:val="703977F5"/>
    <w:rsid w:val="703A6FBE"/>
    <w:rsid w:val="703C2DB9"/>
    <w:rsid w:val="70460385"/>
    <w:rsid w:val="70465819"/>
    <w:rsid w:val="70495453"/>
    <w:rsid w:val="704966E3"/>
    <w:rsid w:val="704A79FD"/>
    <w:rsid w:val="704A7C2A"/>
    <w:rsid w:val="704C7282"/>
    <w:rsid w:val="704E4B8C"/>
    <w:rsid w:val="70522B3A"/>
    <w:rsid w:val="705257CF"/>
    <w:rsid w:val="7053007F"/>
    <w:rsid w:val="705512D7"/>
    <w:rsid w:val="70556837"/>
    <w:rsid w:val="70572BC6"/>
    <w:rsid w:val="70585696"/>
    <w:rsid w:val="705935F5"/>
    <w:rsid w:val="70626216"/>
    <w:rsid w:val="7064788B"/>
    <w:rsid w:val="70651B61"/>
    <w:rsid w:val="706670FB"/>
    <w:rsid w:val="70676CF7"/>
    <w:rsid w:val="706915A2"/>
    <w:rsid w:val="706B6E8D"/>
    <w:rsid w:val="706C1141"/>
    <w:rsid w:val="70761FC0"/>
    <w:rsid w:val="70812E3F"/>
    <w:rsid w:val="708244C1"/>
    <w:rsid w:val="70827064"/>
    <w:rsid w:val="708376DE"/>
    <w:rsid w:val="7084648B"/>
    <w:rsid w:val="7089592B"/>
    <w:rsid w:val="70897BFE"/>
    <w:rsid w:val="708A49EB"/>
    <w:rsid w:val="708B7819"/>
    <w:rsid w:val="708D0410"/>
    <w:rsid w:val="708E2919"/>
    <w:rsid w:val="70943F4A"/>
    <w:rsid w:val="70950889"/>
    <w:rsid w:val="70962F46"/>
    <w:rsid w:val="70964C48"/>
    <w:rsid w:val="709740B3"/>
    <w:rsid w:val="70981F36"/>
    <w:rsid w:val="709C24CA"/>
    <w:rsid w:val="709E027A"/>
    <w:rsid w:val="709F3565"/>
    <w:rsid w:val="70A21665"/>
    <w:rsid w:val="70A518F6"/>
    <w:rsid w:val="70A55D29"/>
    <w:rsid w:val="70A64022"/>
    <w:rsid w:val="70A64E2F"/>
    <w:rsid w:val="70B00AAA"/>
    <w:rsid w:val="70B46AFA"/>
    <w:rsid w:val="70B54896"/>
    <w:rsid w:val="70B8521D"/>
    <w:rsid w:val="70C25CC9"/>
    <w:rsid w:val="70C42D2B"/>
    <w:rsid w:val="70C51073"/>
    <w:rsid w:val="70C66AA3"/>
    <w:rsid w:val="70C66B1E"/>
    <w:rsid w:val="70C71C78"/>
    <w:rsid w:val="70C97302"/>
    <w:rsid w:val="70CD5A04"/>
    <w:rsid w:val="70D0347E"/>
    <w:rsid w:val="70D07922"/>
    <w:rsid w:val="70D108E6"/>
    <w:rsid w:val="70D45F8B"/>
    <w:rsid w:val="70D51DAC"/>
    <w:rsid w:val="70D51E30"/>
    <w:rsid w:val="70DC6567"/>
    <w:rsid w:val="70DD1A5F"/>
    <w:rsid w:val="70E03B10"/>
    <w:rsid w:val="70E04927"/>
    <w:rsid w:val="70E52A21"/>
    <w:rsid w:val="70E8294D"/>
    <w:rsid w:val="70EB098D"/>
    <w:rsid w:val="70EC0E10"/>
    <w:rsid w:val="70EC76D6"/>
    <w:rsid w:val="70F03029"/>
    <w:rsid w:val="70F07A7D"/>
    <w:rsid w:val="70F17F27"/>
    <w:rsid w:val="70F21646"/>
    <w:rsid w:val="70F233EB"/>
    <w:rsid w:val="70F63450"/>
    <w:rsid w:val="70F6405B"/>
    <w:rsid w:val="70F93997"/>
    <w:rsid w:val="71032163"/>
    <w:rsid w:val="71062862"/>
    <w:rsid w:val="71094FDD"/>
    <w:rsid w:val="710C778A"/>
    <w:rsid w:val="71120272"/>
    <w:rsid w:val="71123A97"/>
    <w:rsid w:val="711241AD"/>
    <w:rsid w:val="7113156F"/>
    <w:rsid w:val="71150C5E"/>
    <w:rsid w:val="7116284A"/>
    <w:rsid w:val="711654AE"/>
    <w:rsid w:val="71172549"/>
    <w:rsid w:val="71186432"/>
    <w:rsid w:val="711A10A6"/>
    <w:rsid w:val="711A294B"/>
    <w:rsid w:val="71207D60"/>
    <w:rsid w:val="7124712B"/>
    <w:rsid w:val="71281515"/>
    <w:rsid w:val="71293D0F"/>
    <w:rsid w:val="712B30CE"/>
    <w:rsid w:val="712C6B6C"/>
    <w:rsid w:val="712D36E7"/>
    <w:rsid w:val="71325ADA"/>
    <w:rsid w:val="71325B8C"/>
    <w:rsid w:val="71345330"/>
    <w:rsid w:val="71384D7B"/>
    <w:rsid w:val="713C5DA8"/>
    <w:rsid w:val="713D7836"/>
    <w:rsid w:val="713E10D4"/>
    <w:rsid w:val="713F229B"/>
    <w:rsid w:val="71405507"/>
    <w:rsid w:val="7142646D"/>
    <w:rsid w:val="71431472"/>
    <w:rsid w:val="71453DC6"/>
    <w:rsid w:val="714551B0"/>
    <w:rsid w:val="71461992"/>
    <w:rsid w:val="714A1482"/>
    <w:rsid w:val="714A2340"/>
    <w:rsid w:val="714C528C"/>
    <w:rsid w:val="715444CC"/>
    <w:rsid w:val="7157231D"/>
    <w:rsid w:val="715E6CDC"/>
    <w:rsid w:val="71630005"/>
    <w:rsid w:val="71643E4D"/>
    <w:rsid w:val="716646DD"/>
    <w:rsid w:val="716C1333"/>
    <w:rsid w:val="716E78EE"/>
    <w:rsid w:val="71730B0F"/>
    <w:rsid w:val="717802CC"/>
    <w:rsid w:val="717804FA"/>
    <w:rsid w:val="717920B2"/>
    <w:rsid w:val="717F128E"/>
    <w:rsid w:val="71801131"/>
    <w:rsid w:val="71826496"/>
    <w:rsid w:val="71855190"/>
    <w:rsid w:val="71855821"/>
    <w:rsid w:val="71867FE1"/>
    <w:rsid w:val="7188160E"/>
    <w:rsid w:val="718A62D9"/>
    <w:rsid w:val="718B3849"/>
    <w:rsid w:val="718D136F"/>
    <w:rsid w:val="718E4C5A"/>
    <w:rsid w:val="71987625"/>
    <w:rsid w:val="71997D14"/>
    <w:rsid w:val="71A14E1B"/>
    <w:rsid w:val="71A32941"/>
    <w:rsid w:val="71A33B87"/>
    <w:rsid w:val="71A47B31"/>
    <w:rsid w:val="71A550F7"/>
    <w:rsid w:val="71A5632E"/>
    <w:rsid w:val="71A60B83"/>
    <w:rsid w:val="71A75801"/>
    <w:rsid w:val="71A97CCA"/>
    <w:rsid w:val="71AC37DB"/>
    <w:rsid w:val="71AE2B03"/>
    <w:rsid w:val="71B521B3"/>
    <w:rsid w:val="71B57750"/>
    <w:rsid w:val="71BB16F0"/>
    <w:rsid w:val="71BB7F57"/>
    <w:rsid w:val="71BE1062"/>
    <w:rsid w:val="71BE6120"/>
    <w:rsid w:val="71C1491C"/>
    <w:rsid w:val="71C34D91"/>
    <w:rsid w:val="71C52B3F"/>
    <w:rsid w:val="71C8684B"/>
    <w:rsid w:val="71C91239"/>
    <w:rsid w:val="71CA154A"/>
    <w:rsid w:val="71CA26BC"/>
    <w:rsid w:val="71CD2A60"/>
    <w:rsid w:val="71CD555E"/>
    <w:rsid w:val="71CE6D52"/>
    <w:rsid w:val="71CF3736"/>
    <w:rsid w:val="71D23226"/>
    <w:rsid w:val="71D71326"/>
    <w:rsid w:val="71D965E5"/>
    <w:rsid w:val="71DF1AC3"/>
    <w:rsid w:val="71E12237"/>
    <w:rsid w:val="71E402B6"/>
    <w:rsid w:val="71E7423F"/>
    <w:rsid w:val="71E80D02"/>
    <w:rsid w:val="71E84BC0"/>
    <w:rsid w:val="71E95746"/>
    <w:rsid w:val="71E960E9"/>
    <w:rsid w:val="71EA783E"/>
    <w:rsid w:val="71EC6F19"/>
    <w:rsid w:val="71EE7DA5"/>
    <w:rsid w:val="71F11A6D"/>
    <w:rsid w:val="71F15DA2"/>
    <w:rsid w:val="71F47632"/>
    <w:rsid w:val="71F57FBF"/>
    <w:rsid w:val="71F8046C"/>
    <w:rsid w:val="71F83CC2"/>
    <w:rsid w:val="71F91A60"/>
    <w:rsid w:val="71FC5E9A"/>
    <w:rsid w:val="71FD5F42"/>
    <w:rsid w:val="720065A4"/>
    <w:rsid w:val="72012219"/>
    <w:rsid w:val="72021D5D"/>
    <w:rsid w:val="720324D4"/>
    <w:rsid w:val="72035580"/>
    <w:rsid w:val="720930EC"/>
    <w:rsid w:val="720A7F73"/>
    <w:rsid w:val="720B7CDC"/>
    <w:rsid w:val="720E0702"/>
    <w:rsid w:val="72120EB3"/>
    <w:rsid w:val="721661A3"/>
    <w:rsid w:val="721728AC"/>
    <w:rsid w:val="721836C2"/>
    <w:rsid w:val="721A2752"/>
    <w:rsid w:val="721A4068"/>
    <w:rsid w:val="721D4D44"/>
    <w:rsid w:val="721D6562"/>
    <w:rsid w:val="721F0505"/>
    <w:rsid w:val="721F290F"/>
    <w:rsid w:val="72200435"/>
    <w:rsid w:val="72213DE3"/>
    <w:rsid w:val="72253C9E"/>
    <w:rsid w:val="722D47F9"/>
    <w:rsid w:val="722D5198"/>
    <w:rsid w:val="72324A62"/>
    <w:rsid w:val="723251C5"/>
    <w:rsid w:val="723308C5"/>
    <w:rsid w:val="72352722"/>
    <w:rsid w:val="723953C3"/>
    <w:rsid w:val="72406FD7"/>
    <w:rsid w:val="7242590A"/>
    <w:rsid w:val="72440855"/>
    <w:rsid w:val="724551DE"/>
    <w:rsid w:val="724C64E6"/>
    <w:rsid w:val="724D6C0D"/>
    <w:rsid w:val="724F3973"/>
    <w:rsid w:val="725055FD"/>
    <w:rsid w:val="7252339E"/>
    <w:rsid w:val="725400CE"/>
    <w:rsid w:val="72563E57"/>
    <w:rsid w:val="72596459"/>
    <w:rsid w:val="725D4628"/>
    <w:rsid w:val="725D7774"/>
    <w:rsid w:val="725F2CF0"/>
    <w:rsid w:val="72606729"/>
    <w:rsid w:val="72607A0C"/>
    <w:rsid w:val="72662C66"/>
    <w:rsid w:val="726A16B0"/>
    <w:rsid w:val="726A7902"/>
    <w:rsid w:val="726E605C"/>
    <w:rsid w:val="72700166"/>
    <w:rsid w:val="727226CC"/>
    <w:rsid w:val="72753DE5"/>
    <w:rsid w:val="72755C3D"/>
    <w:rsid w:val="727C41A2"/>
    <w:rsid w:val="727D25C8"/>
    <w:rsid w:val="727F77BA"/>
    <w:rsid w:val="727F7F9E"/>
    <w:rsid w:val="72807126"/>
    <w:rsid w:val="728569FE"/>
    <w:rsid w:val="7288525F"/>
    <w:rsid w:val="728B3524"/>
    <w:rsid w:val="728C7879"/>
    <w:rsid w:val="72963D97"/>
    <w:rsid w:val="72971B0F"/>
    <w:rsid w:val="72983FB9"/>
    <w:rsid w:val="7298621E"/>
    <w:rsid w:val="72997AD3"/>
    <w:rsid w:val="729F6CFF"/>
    <w:rsid w:val="72A1555D"/>
    <w:rsid w:val="72A33140"/>
    <w:rsid w:val="72A42B58"/>
    <w:rsid w:val="72A66F9E"/>
    <w:rsid w:val="72A74D1D"/>
    <w:rsid w:val="72AC1CC9"/>
    <w:rsid w:val="72AC75B3"/>
    <w:rsid w:val="72B0278C"/>
    <w:rsid w:val="72B64983"/>
    <w:rsid w:val="72B765B8"/>
    <w:rsid w:val="72B90857"/>
    <w:rsid w:val="72BA6194"/>
    <w:rsid w:val="72BD382B"/>
    <w:rsid w:val="72C214EC"/>
    <w:rsid w:val="72C26885"/>
    <w:rsid w:val="72C47C6E"/>
    <w:rsid w:val="72C74A3D"/>
    <w:rsid w:val="72C859A8"/>
    <w:rsid w:val="72CB6327"/>
    <w:rsid w:val="72CE7E91"/>
    <w:rsid w:val="72D10C83"/>
    <w:rsid w:val="72D13425"/>
    <w:rsid w:val="72D45781"/>
    <w:rsid w:val="72D66B06"/>
    <w:rsid w:val="72D72DA9"/>
    <w:rsid w:val="72D87A50"/>
    <w:rsid w:val="72D97AB4"/>
    <w:rsid w:val="72DB38F8"/>
    <w:rsid w:val="72DD2049"/>
    <w:rsid w:val="72DE1A2C"/>
    <w:rsid w:val="72DE6C5E"/>
    <w:rsid w:val="72E15E16"/>
    <w:rsid w:val="72E4292B"/>
    <w:rsid w:val="72E6253F"/>
    <w:rsid w:val="72E7768F"/>
    <w:rsid w:val="72E86029"/>
    <w:rsid w:val="72E96C29"/>
    <w:rsid w:val="72EA3AFD"/>
    <w:rsid w:val="72EB4B5E"/>
    <w:rsid w:val="72EF5E2A"/>
    <w:rsid w:val="72F12676"/>
    <w:rsid w:val="72F457C5"/>
    <w:rsid w:val="72FA4354"/>
    <w:rsid w:val="72FB7871"/>
    <w:rsid w:val="72FC75EE"/>
    <w:rsid w:val="73007857"/>
    <w:rsid w:val="73045E18"/>
    <w:rsid w:val="73054EDC"/>
    <w:rsid w:val="73067138"/>
    <w:rsid w:val="730724BE"/>
    <w:rsid w:val="73076568"/>
    <w:rsid w:val="730C5D2A"/>
    <w:rsid w:val="730E05B0"/>
    <w:rsid w:val="730E4732"/>
    <w:rsid w:val="730F6AA2"/>
    <w:rsid w:val="7310692C"/>
    <w:rsid w:val="73133B24"/>
    <w:rsid w:val="7314346D"/>
    <w:rsid w:val="73144E0F"/>
    <w:rsid w:val="73170220"/>
    <w:rsid w:val="73171ABB"/>
    <w:rsid w:val="731B277F"/>
    <w:rsid w:val="731D5CA5"/>
    <w:rsid w:val="73203D0A"/>
    <w:rsid w:val="73217FC1"/>
    <w:rsid w:val="73221500"/>
    <w:rsid w:val="73221F8B"/>
    <w:rsid w:val="73235C6B"/>
    <w:rsid w:val="73286430"/>
    <w:rsid w:val="732B67A4"/>
    <w:rsid w:val="732D5122"/>
    <w:rsid w:val="732F4F57"/>
    <w:rsid w:val="73317C2B"/>
    <w:rsid w:val="73337CF4"/>
    <w:rsid w:val="733561B9"/>
    <w:rsid w:val="733822AD"/>
    <w:rsid w:val="733A6F36"/>
    <w:rsid w:val="733B181B"/>
    <w:rsid w:val="733D714D"/>
    <w:rsid w:val="733F0D8F"/>
    <w:rsid w:val="734035B1"/>
    <w:rsid w:val="734270F6"/>
    <w:rsid w:val="734635F5"/>
    <w:rsid w:val="734C5BFD"/>
    <w:rsid w:val="734E32AD"/>
    <w:rsid w:val="734F400C"/>
    <w:rsid w:val="734F5F56"/>
    <w:rsid w:val="73510A90"/>
    <w:rsid w:val="7354438F"/>
    <w:rsid w:val="73552361"/>
    <w:rsid w:val="73553A72"/>
    <w:rsid w:val="7355539D"/>
    <w:rsid w:val="735754B8"/>
    <w:rsid w:val="735801E9"/>
    <w:rsid w:val="7358061E"/>
    <w:rsid w:val="7359621F"/>
    <w:rsid w:val="735B10E7"/>
    <w:rsid w:val="735C36AA"/>
    <w:rsid w:val="735E1BBA"/>
    <w:rsid w:val="73606F14"/>
    <w:rsid w:val="736305DA"/>
    <w:rsid w:val="73660D0B"/>
    <w:rsid w:val="7369244E"/>
    <w:rsid w:val="736B7E9D"/>
    <w:rsid w:val="736D76AA"/>
    <w:rsid w:val="736E4391"/>
    <w:rsid w:val="736F0761"/>
    <w:rsid w:val="73716F28"/>
    <w:rsid w:val="73743296"/>
    <w:rsid w:val="73746080"/>
    <w:rsid w:val="73763BC2"/>
    <w:rsid w:val="7376564B"/>
    <w:rsid w:val="73775CA4"/>
    <w:rsid w:val="73781E2A"/>
    <w:rsid w:val="737D1E68"/>
    <w:rsid w:val="737E7C7F"/>
    <w:rsid w:val="73853246"/>
    <w:rsid w:val="738675B5"/>
    <w:rsid w:val="73873AF8"/>
    <w:rsid w:val="73881D83"/>
    <w:rsid w:val="738844E4"/>
    <w:rsid w:val="73887A9A"/>
    <w:rsid w:val="738D0004"/>
    <w:rsid w:val="738E342D"/>
    <w:rsid w:val="73956B53"/>
    <w:rsid w:val="739850E4"/>
    <w:rsid w:val="73985C21"/>
    <w:rsid w:val="739A13E8"/>
    <w:rsid w:val="739B53E3"/>
    <w:rsid w:val="739C0A51"/>
    <w:rsid w:val="739E1612"/>
    <w:rsid w:val="739E1901"/>
    <w:rsid w:val="739E28D4"/>
    <w:rsid w:val="73A114F5"/>
    <w:rsid w:val="73A24759"/>
    <w:rsid w:val="73A348D8"/>
    <w:rsid w:val="73A4403C"/>
    <w:rsid w:val="73A55AC9"/>
    <w:rsid w:val="73A64794"/>
    <w:rsid w:val="73A778FD"/>
    <w:rsid w:val="73AA1422"/>
    <w:rsid w:val="73AA1BD1"/>
    <w:rsid w:val="73AB76C7"/>
    <w:rsid w:val="73AD0DC4"/>
    <w:rsid w:val="73AE5642"/>
    <w:rsid w:val="73B048FC"/>
    <w:rsid w:val="73B52AE3"/>
    <w:rsid w:val="73B54BAD"/>
    <w:rsid w:val="73B62AC1"/>
    <w:rsid w:val="73B67AE2"/>
    <w:rsid w:val="73B93EE5"/>
    <w:rsid w:val="73B97203"/>
    <w:rsid w:val="73BA6F6A"/>
    <w:rsid w:val="73C346FD"/>
    <w:rsid w:val="73C70E07"/>
    <w:rsid w:val="73C72F6F"/>
    <w:rsid w:val="73C80804"/>
    <w:rsid w:val="73CA3945"/>
    <w:rsid w:val="73CE5521"/>
    <w:rsid w:val="73D15D1A"/>
    <w:rsid w:val="73D346B5"/>
    <w:rsid w:val="73D4694A"/>
    <w:rsid w:val="73D62E13"/>
    <w:rsid w:val="73D943FA"/>
    <w:rsid w:val="73DB45D5"/>
    <w:rsid w:val="73DF0290"/>
    <w:rsid w:val="73E01CD1"/>
    <w:rsid w:val="73E03BDE"/>
    <w:rsid w:val="73E212B8"/>
    <w:rsid w:val="73E223A7"/>
    <w:rsid w:val="73E334C8"/>
    <w:rsid w:val="73E400F6"/>
    <w:rsid w:val="73E422FE"/>
    <w:rsid w:val="73E616A4"/>
    <w:rsid w:val="73E75676"/>
    <w:rsid w:val="73ED3905"/>
    <w:rsid w:val="73EF262F"/>
    <w:rsid w:val="73EF6311"/>
    <w:rsid w:val="73F0237B"/>
    <w:rsid w:val="73F1142D"/>
    <w:rsid w:val="73F11CB1"/>
    <w:rsid w:val="73F2195D"/>
    <w:rsid w:val="73F32557"/>
    <w:rsid w:val="73F63871"/>
    <w:rsid w:val="73F751C6"/>
    <w:rsid w:val="73FA31A0"/>
    <w:rsid w:val="73FB1E5F"/>
    <w:rsid w:val="74035919"/>
    <w:rsid w:val="74051876"/>
    <w:rsid w:val="74081892"/>
    <w:rsid w:val="740A4EF9"/>
    <w:rsid w:val="740B57E2"/>
    <w:rsid w:val="740E49EC"/>
    <w:rsid w:val="740F5903"/>
    <w:rsid w:val="74100036"/>
    <w:rsid w:val="74103E0A"/>
    <w:rsid w:val="74185868"/>
    <w:rsid w:val="741B0798"/>
    <w:rsid w:val="741F27CA"/>
    <w:rsid w:val="7422193C"/>
    <w:rsid w:val="742417EC"/>
    <w:rsid w:val="7427267D"/>
    <w:rsid w:val="74275340"/>
    <w:rsid w:val="742961E1"/>
    <w:rsid w:val="742B7999"/>
    <w:rsid w:val="742C1A50"/>
    <w:rsid w:val="742D7484"/>
    <w:rsid w:val="743006D3"/>
    <w:rsid w:val="74307638"/>
    <w:rsid w:val="743164A4"/>
    <w:rsid w:val="74343D24"/>
    <w:rsid w:val="74346672"/>
    <w:rsid w:val="74362367"/>
    <w:rsid w:val="7438568C"/>
    <w:rsid w:val="743A0466"/>
    <w:rsid w:val="743D2183"/>
    <w:rsid w:val="74440A3A"/>
    <w:rsid w:val="74487B04"/>
    <w:rsid w:val="744C482A"/>
    <w:rsid w:val="744F0B5E"/>
    <w:rsid w:val="744F44CB"/>
    <w:rsid w:val="74512B28"/>
    <w:rsid w:val="74512B82"/>
    <w:rsid w:val="74534AF2"/>
    <w:rsid w:val="74620C32"/>
    <w:rsid w:val="74623B89"/>
    <w:rsid w:val="74624D35"/>
    <w:rsid w:val="74634609"/>
    <w:rsid w:val="74637F1A"/>
    <w:rsid w:val="74646906"/>
    <w:rsid w:val="746639EF"/>
    <w:rsid w:val="7466689A"/>
    <w:rsid w:val="74675552"/>
    <w:rsid w:val="746960C4"/>
    <w:rsid w:val="746C7BF2"/>
    <w:rsid w:val="746F4078"/>
    <w:rsid w:val="746F7452"/>
    <w:rsid w:val="74755CD9"/>
    <w:rsid w:val="747C5F8C"/>
    <w:rsid w:val="747D2327"/>
    <w:rsid w:val="747E1443"/>
    <w:rsid w:val="7480340D"/>
    <w:rsid w:val="74832F17"/>
    <w:rsid w:val="7484275B"/>
    <w:rsid w:val="74844CAB"/>
    <w:rsid w:val="748517A8"/>
    <w:rsid w:val="74866CC7"/>
    <w:rsid w:val="74882FCE"/>
    <w:rsid w:val="748E30C9"/>
    <w:rsid w:val="748E3538"/>
    <w:rsid w:val="748F3650"/>
    <w:rsid w:val="749434A6"/>
    <w:rsid w:val="7495365F"/>
    <w:rsid w:val="749618E8"/>
    <w:rsid w:val="74966E26"/>
    <w:rsid w:val="749D0A29"/>
    <w:rsid w:val="74A0243F"/>
    <w:rsid w:val="74A2664A"/>
    <w:rsid w:val="74A37BCD"/>
    <w:rsid w:val="74A57F4E"/>
    <w:rsid w:val="74A721A4"/>
    <w:rsid w:val="74A85D95"/>
    <w:rsid w:val="74A964C0"/>
    <w:rsid w:val="74AA048A"/>
    <w:rsid w:val="74AE1D28"/>
    <w:rsid w:val="74AF00B7"/>
    <w:rsid w:val="74AF70D9"/>
    <w:rsid w:val="74B11683"/>
    <w:rsid w:val="74B11819"/>
    <w:rsid w:val="74B35591"/>
    <w:rsid w:val="74B50428"/>
    <w:rsid w:val="74B5540C"/>
    <w:rsid w:val="74B60BDD"/>
    <w:rsid w:val="74B66762"/>
    <w:rsid w:val="74B91D73"/>
    <w:rsid w:val="74BA27B1"/>
    <w:rsid w:val="74BB50A3"/>
    <w:rsid w:val="74BD0FA0"/>
    <w:rsid w:val="74BD6E6A"/>
    <w:rsid w:val="74BF3CF7"/>
    <w:rsid w:val="74C56D6A"/>
    <w:rsid w:val="74C61EE0"/>
    <w:rsid w:val="74C63F7D"/>
    <w:rsid w:val="74C6415A"/>
    <w:rsid w:val="74C652C4"/>
    <w:rsid w:val="74C6729E"/>
    <w:rsid w:val="74C80AB8"/>
    <w:rsid w:val="74CD0B7E"/>
    <w:rsid w:val="74CD1997"/>
    <w:rsid w:val="74D467B4"/>
    <w:rsid w:val="74D65F6A"/>
    <w:rsid w:val="74D737B4"/>
    <w:rsid w:val="74D92EAB"/>
    <w:rsid w:val="74DB6A9F"/>
    <w:rsid w:val="74DC0B46"/>
    <w:rsid w:val="74DC6B4B"/>
    <w:rsid w:val="74DD3B22"/>
    <w:rsid w:val="74DD5F11"/>
    <w:rsid w:val="74DF2CE2"/>
    <w:rsid w:val="74E03A67"/>
    <w:rsid w:val="74E07442"/>
    <w:rsid w:val="74E32A13"/>
    <w:rsid w:val="74E33682"/>
    <w:rsid w:val="74E514C2"/>
    <w:rsid w:val="74E7348C"/>
    <w:rsid w:val="74E954B5"/>
    <w:rsid w:val="74E965AE"/>
    <w:rsid w:val="74EC2DFC"/>
    <w:rsid w:val="74EC6970"/>
    <w:rsid w:val="74EE47EA"/>
    <w:rsid w:val="74F040EF"/>
    <w:rsid w:val="74F26891"/>
    <w:rsid w:val="74F360E5"/>
    <w:rsid w:val="74F62A91"/>
    <w:rsid w:val="74F811F5"/>
    <w:rsid w:val="74F85C15"/>
    <w:rsid w:val="74F87553"/>
    <w:rsid w:val="74FD61A4"/>
    <w:rsid w:val="74FE7731"/>
    <w:rsid w:val="75047AD1"/>
    <w:rsid w:val="7506180B"/>
    <w:rsid w:val="750670C1"/>
    <w:rsid w:val="750877EE"/>
    <w:rsid w:val="750B0F29"/>
    <w:rsid w:val="750C3049"/>
    <w:rsid w:val="750D68EF"/>
    <w:rsid w:val="75122299"/>
    <w:rsid w:val="7513602F"/>
    <w:rsid w:val="75137DDD"/>
    <w:rsid w:val="751574ED"/>
    <w:rsid w:val="75186B30"/>
    <w:rsid w:val="751A2497"/>
    <w:rsid w:val="751C574D"/>
    <w:rsid w:val="751E4FC1"/>
    <w:rsid w:val="75204F58"/>
    <w:rsid w:val="75222C20"/>
    <w:rsid w:val="75254E90"/>
    <w:rsid w:val="75271A80"/>
    <w:rsid w:val="752A64AA"/>
    <w:rsid w:val="752C6D65"/>
    <w:rsid w:val="752D5343"/>
    <w:rsid w:val="752E2E69"/>
    <w:rsid w:val="75303555"/>
    <w:rsid w:val="75324707"/>
    <w:rsid w:val="75370D20"/>
    <w:rsid w:val="75377CA6"/>
    <w:rsid w:val="75392043"/>
    <w:rsid w:val="753A180E"/>
    <w:rsid w:val="753C36FE"/>
    <w:rsid w:val="753C7130"/>
    <w:rsid w:val="753C71E8"/>
    <w:rsid w:val="753F01C9"/>
    <w:rsid w:val="7541494A"/>
    <w:rsid w:val="75414E2E"/>
    <w:rsid w:val="754211E6"/>
    <w:rsid w:val="75435F0B"/>
    <w:rsid w:val="75473B02"/>
    <w:rsid w:val="75483F2B"/>
    <w:rsid w:val="75496169"/>
    <w:rsid w:val="754A3AD5"/>
    <w:rsid w:val="754B7577"/>
    <w:rsid w:val="755040D4"/>
    <w:rsid w:val="75535620"/>
    <w:rsid w:val="7554252E"/>
    <w:rsid w:val="7559387A"/>
    <w:rsid w:val="755A323A"/>
    <w:rsid w:val="755F0521"/>
    <w:rsid w:val="75606B68"/>
    <w:rsid w:val="756856C2"/>
    <w:rsid w:val="756A4F5D"/>
    <w:rsid w:val="756D165C"/>
    <w:rsid w:val="756D1BE3"/>
    <w:rsid w:val="75714EA8"/>
    <w:rsid w:val="75734D20"/>
    <w:rsid w:val="757727AE"/>
    <w:rsid w:val="75781356"/>
    <w:rsid w:val="75792B53"/>
    <w:rsid w:val="757955DC"/>
    <w:rsid w:val="757C2328"/>
    <w:rsid w:val="75816281"/>
    <w:rsid w:val="75884DE9"/>
    <w:rsid w:val="758E21BD"/>
    <w:rsid w:val="758E56B6"/>
    <w:rsid w:val="75914176"/>
    <w:rsid w:val="75915B3B"/>
    <w:rsid w:val="75950A24"/>
    <w:rsid w:val="759727BC"/>
    <w:rsid w:val="75992562"/>
    <w:rsid w:val="759C3A3A"/>
    <w:rsid w:val="75A072D0"/>
    <w:rsid w:val="75A63ED8"/>
    <w:rsid w:val="75A73F22"/>
    <w:rsid w:val="75AC22EC"/>
    <w:rsid w:val="75B0176A"/>
    <w:rsid w:val="75B074A3"/>
    <w:rsid w:val="75B271A0"/>
    <w:rsid w:val="75B551F1"/>
    <w:rsid w:val="75B92092"/>
    <w:rsid w:val="75BA0FDC"/>
    <w:rsid w:val="75BA6D25"/>
    <w:rsid w:val="75BE43D9"/>
    <w:rsid w:val="75C13CDD"/>
    <w:rsid w:val="75C45AFE"/>
    <w:rsid w:val="75C913B8"/>
    <w:rsid w:val="75CA4D08"/>
    <w:rsid w:val="75CD1D63"/>
    <w:rsid w:val="75CE3D78"/>
    <w:rsid w:val="75CF4FA6"/>
    <w:rsid w:val="75D82E83"/>
    <w:rsid w:val="75DA01D2"/>
    <w:rsid w:val="75DC1A57"/>
    <w:rsid w:val="75DC4673"/>
    <w:rsid w:val="75E31BBD"/>
    <w:rsid w:val="75E35E0E"/>
    <w:rsid w:val="75E44568"/>
    <w:rsid w:val="75E4520A"/>
    <w:rsid w:val="75E812A6"/>
    <w:rsid w:val="75E85738"/>
    <w:rsid w:val="75E953FF"/>
    <w:rsid w:val="75EC0C15"/>
    <w:rsid w:val="75EE4750"/>
    <w:rsid w:val="75EF7A3B"/>
    <w:rsid w:val="75F0011F"/>
    <w:rsid w:val="75F172B1"/>
    <w:rsid w:val="75F34009"/>
    <w:rsid w:val="75F47896"/>
    <w:rsid w:val="75F66C28"/>
    <w:rsid w:val="75F66D43"/>
    <w:rsid w:val="75F7781F"/>
    <w:rsid w:val="75F778FF"/>
    <w:rsid w:val="75FD02A7"/>
    <w:rsid w:val="760015EB"/>
    <w:rsid w:val="76054785"/>
    <w:rsid w:val="7607269A"/>
    <w:rsid w:val="760A7C5D"/>
    <w:rsid w:val="760C4DB2"/>
    <w:rsid w:val="760D6F22"/>
    <w:rsid w:val="76114C42"/>
    <w:rsid w:val="76150AEA"/>
    <w:rsid w:val="76177B6A"/>
    <w:rsid w:val="76187666"/>
    <w:rsid w:val="76214970"/>
    <w:rsid w:val="762209FE"/>
    <w:rsid w:val="76224B19"/>
    <w:rsid w:val="762766C9"/>
    <w:rsid w:val="76277EFA"/>
    <w:rsid w:val="76281AC6"/>
    <w:rsid w:val="762B4A47"/>
    <w:rsid w:val="762E031F"/>
    <w:rsid w:val="763044F2"/>
    <w:rsid w:val="76363D7A"/>
    <w:rsid w:val="76395BD6"/>
    <w:rsid w:val="763A5A2E"/>
    <w:rsid w:val="763B7EA7"/>
    <w:rsid w:val="763D33F7"/>
    <w:rsid w:val="764206AB"/>
    <w:rsid w:val="76432944"/>
    <w:rsid w:val="76443835"/>
    <w:rsid w:val="764576B9"/>
    <w:rsid w:val="76483BB7"/>
    <w:rsid w:val="764B53A1"/>
    <w:rsid w:val="764B630F"/>
    <w:rsid w:val="764D5571"/>
    <w:rsid w:val="764E3729"/>
    <w:rsid w:val="76505E20"/>
    <w:rsid w:val="765112C2"/>
    <w:rsid w:val="76525402"/>
    <w:rsid w:val="76533A1C"/>
    <w:rsid w:val="76571FEE"/>
    <w:rsid w:val="76572FEF"/>
    <w:rsid w:val="76576AFC"/>
    <w:rsid w:val="765B4ACC"/>
    <w:rsid w:val="765C6B0F"/>
    <w:rsid w:val="76615595"/>
    <w:rsid w:val="766251F7"/>
    <w:rsid w:val="76665A38"/>
    <w:rsid w:val="76666CEB"/>
    <w:rsid w:val="766C5B58"/>
    <w:rsid w:val="766C643D"/>
    <w:rsid w:val="766D6F83"/>
    <w:rsid w:val="766E0324"/>
    <w:rsid w:val="767174B1"/>
    <w:rsid w:val="76741388"/>
    <w:rsid w:val="767529EB"/>
    <w:rsid w:val="767651E6"/>
    <w:rsid w:val="767742A5"/>
    <w:rsid w:val="76790114"/>
    <w:rsid w:val="767A492C"/>
    <w:rsid w:val="767B3701"/>
    <w:rsid w:val="767D5E56"/>
    <w:rsid w:val="767D696B"/>
    <w:rsid w:val="768100EE"/>
    <w:rsid w:val="76817819"/>
    <w:rsid w:val="76827230"/>
    <w:rsid w:val="768A4892"/>
    <w:rsid w:val="768F69A4"/>
    <w:rsid w:val="76903EB6"/>
    <w:rsid w:val="769061A5"/>
    <w:rsid w:val="769130D9"/>
    <w:rsid w:val="76917763"/>
    <w:rsid w:val="769622F3"/>
    <w:rsid w:val="76965764"/>
    <w:rsid w:val="76980984"/>
    <w:rsid w:val="769C2DF2"/>
    <w:rsid w:val="769C7217"/>
    <w:rsid w:val="769D3CC1"/>
    <w:rsid w:val="76A0342E"/>
    <w:rsid w:val="76A449C2"/>
    <w:rsid w:val="76A84D0D"/>
    <w:rsid w:val="76A86BE7"/>
    <w:rsid w:val="76AC500B"/>
    <w:rsid w:val="76AC7239"/>
    <w:rsid w:val="76AE5D3E"/>
    <w:rsid w:val="76B02633"/>
    <w:rsid w:val="76B1326F"/>
    <w:rsid w:val="76B27A13"/>
    <w:rsid w:val="76B32500"/>
    <w:rsid w:val="76B3312A"/>
    <w:rsid w:val="76B57C16"/>
    <w:rsid w:val="76B57E6C"/>
    <w:rsid w:val="76BA1F50"/>
    <w:rsid w:val="76BB072D"/>
    <w:rsid w:val="76BE3B31"/>
    <w:rsid w:val="76BF5F6A"/>
    <w:rsid w:val="76C10199"/>
    <w:rsid w:val="76C36012"/>
    <w:rsid w:val="76C45833"/>
    <w:rsid w:val="76C47680"/>
    <w:rsid w:val="76C50B46"/>
    <w:rsid w:val="76C52C3F"/>
    <w:rsid w:val="76C55C58"/>
    <w:rsid w:val="76C5614F"/>
    <w:rsid w:val="76C92E49"/>
    <w:rsid w:val="76C94AFE"/>
    <w:rsid w:val="76CB25FC"/>
    <w:rsid w:val="76CB6DCE"/>
    <w:rsid w:val="76CE4585"/>
    <w:rsid w:val="76D33CC8"/>
    <w:rsid w:val="76D4359C"/>
    <w:rsid w:val="76D90CA2"/>
    <w:rsid w:val="76D973F4"/>
    <w:rsid w:val="76E02F28"/>
    <w:rsid w:val="76E638F6"/>
    <w:rsid w:val="76E934EC"/>
    <w:rsid w:val="76EA00FF"/>
    <w:rsid w:val="76EA1012"/>
    <w:rsid w:val="76EA3BD6"/>
    <w:rsid w:val="76EA4290"/>
    <w:rsid w:val="76EA64BB"/>
    <w:rsid w:val="76EB046B"/>
    <w:rsid w:val="76EB6051"/>
    <w:rsid w:val="76EC22A8"/>
    <w:rsid w:val="76EC6353"/>
    <w:rsid w:val="76EE1609"/>
    <w:rsid w:val="76F1105B"/>
    <w:rsid w:val="76F138B2"/>
    <w:rsid w:val="76F16A48"/>
    <w:rsid w:val="76F3654B"/>
    <w:rsid w:val="76F6432C"/>
    <w:rsid w:val="76F6685F"/>
    <w:rsid w:val="76F7659B"/>
    <w:rsid w:val="76FC450A"/>
    <w:rsid w:val="77005040"/>
    <w:rsid w:val="77020109"/>
    <w:rsid w:val="770976EA"/>
    <w:rsid w:val="7709790E"/>
    <w:rsid w:val="770C0F88"/>
    <w:rsid w:val="770F4460"/>
    <w:rsid w:val="770F46D8"/>
    <w:rsid w:val="77121571"/>
    <w:rsid w:val="77161E07"/>
    <w:rsid w:val="771764D0"/>
    <w:rsid w:val="77183DD1"/>
    <w:rsid w:val="771B1C48"/>
    <w:rsid w:val="771B2B3C"/>
    <w:rsid w:val="771C2E26"/>
    <w:rsid w:val="771F5FC8"/>
    <w:rsid w:val="7721446A"/>
    <w:rsid w:val="77247424"/>
    <w:rsid w:val="772868C8"/>
    <w:rsid w:val="772A0C8C"/>
    <w:rsid w:val="772B58B2"/>
    <w:rsid w:val="772C7143"/>
    <w:rsid w:val="7730376D"/>
    <w:rsid w:val="77337CA6"/>
    <w:rsid w:val="77356000"/>
    <w:rsid w:val="773B2198"/>
    <w:rsid w:val="773C7ABF"/>
    <w:rsid w:val="774050A4"/>
    <w:rsid w:val="77442C5E"/>
    <w:rsid w:val="77442D99"/>
    <w:rsid w:val="77474F19"/>
    <w:rsid w:val="774A0AA0"/>
    <w:rsid w:val="774A3CE0"/>
    <w:rsid w:val="774F27F1"/>
    <w:rsid w:val="774F742B"/>
    <w:rsid w:val="77501FC8"/>
    <w:rsid w:val="77516083"/>
    <w:rsid w:val="77545CF4"/>
    <w:rsid w:val="77590B09"/>
    <w:rsid w:val="775B5042"/>
    <w:rsid w:val="775D45CC"/>
    <w:rsid w:val="775D68E3"/>
    <w:rsid w:val="776526EF"/>
    <w:rsid w:val="776A2B50"/>
    <w:rsid w:val="776A4BC1"/>
    <w:rsid w:val="776A6714"/>
    <w:rsid w:val="776E3736"/>
    <w:rsid w:val="77702943"/>
    <w:rsid w:val="77720337"/>
    <w:rsid w:val="7775485B"/>
    <w:rsid w:val="7778058B"/>
    <w:rsid w:val="77782186"/>
    <w:rsid w:val="777831E3"/>
    <w:rsid w:val="777B0924"/>
    <w:rsid w:val="777B0C61"/>
    <w:rsid w:val="777D1E86"/>
    <w:rsid w:val="777D3D44"/>
    <w:rsid w:val="777E5BA0"/>
    <w:rsid w:val="7781497E"/>
    <w:rsid w:val="77822FF8"/>
    <w:rsid w:val="778A1780"/>
    <w:rsid w:val="778B0B99"/>
    <w:rsid w:val="778D7592"/>
    <w:rsid w:val="778E46F4"/>
    <w:rsid w:val="77933344"/>
    <w:rsid w:val="77935DDC"/>
    <w:rsid w:val="77947734"/>
    <w:rsid w:val="77985785"/>
    <w:rsid w:val="77987BBD"/>
    <w:rsid w:val="77A05719"/>
    <w:rsid w:val="77A330C7"/>
    <w:rsid w:val="77A57835"/>
    <w:rsid w:val="77A85155"/>
    <w:rsid w:val="77A90C4F"/>
    <w:rsid w:val="77AB7D22"/>
    <w:rsid w:val="77B168FC"/>
    <w:rsid w:val="77B86F29"/>
    <w:rsid w:val="77B87920"/>
    <w:rsid w:val="77B92EBE"/>
    <w:rsid w:val="77BA3B3C"/>
    <w:rsid w:val="77BB7C88"/>
    <w:rsid w:val="77BC475C"/>
    <w:rsid w:val="77C2709F"/>
    <w:rsid w:val="77C27642"/>
    <w:rsid w:val="77C37BE3"/>
    <w:rsid w:val="77C40E4A"/>
    <w:rsid w:val="77C76C79"/>
    <w:rsid w:val="77C93B8D"/>
    <w:rsid w:val="77CA0B19"/>
    <w:rsid w:val="77CB0E43"/>
    <w:rsid w:val="77CF24C9"/>
    <w:rsid w:val="77CF5BFC"/>
    <w:rsid w:val="77D01D36"/>
    <w:rsid w:val="77D2004B"/>
    <w:rsid w:val="77D465D8"/>
    <w:rsid w:val="77D724D2"/>
    <w:rsid w:val="77E00D8E"/>
    <w:rsid w:val="77E7615C"/>
    <w:rsid w:val="77EC404D"/>
    <w:rsid w:val="77F42148"/>
    <w:rsid w:val="77F55D78"/>
    <w:rsid w:val="77F57CEE"/>
    <w:rsid w:val="77F959B0"/>
    <w:rsid w:val="77FA6BC3"/>
    <w:rsid w:val="77FC23DF"/>
    <w:rsid w:val="77FD5E17"/>
    <w:rsid w:val="780178D9"/>
    <w:rsid w:val="78070232"/>
    <w:rsid w:val="7808174F"/>
    <w:rsid w:val="780848DB"/>
    <w:rsid w:val="780D320A"/>
    <w:rsid w:val="780D5D16"/>
    <w:rsid w:val="780E55FF"/>
    <w:rsid w:val="78103B19"/>
    <w:rsid w:val="78153022"/>
    <w:rsid w:val="78153E6C"/>
    <w:rsid w:val="78191BAF"/>
    <w:rsid w:val="781A3E2B"/>
    <w:rsid w:val="781A76B7"/>
    <w:rsid w:val="782567A5"/>
    <w:rsid w:val="7827413F"/>
    <w:rsid w:val="782B1465"/>
    <w:rsid w:val="782F54A5"/>
    <w:rsid w:val="782F6799"/>
    <w:rsid w:val="78322C70"/>
    <w:rsid w:val="783A5239"/>
    <w:rsid w:val="783B5B16"/>
    <w:rsid w:val="783F0EE9"/>
    <w:rsid w:val="7844275F"/>
    <w:rsid w:val="78451B1A"/>
    <w:rsid w:val="78474AE0"/>
    <w:rsid w:val="784851F9"/>
    <w:rsid w:val="784939F7"/>
    <w:rsid w:val="78496E82"/>
    <w:rsid w:val="784A1D68"/>
    <w:rsid w:val="784A5EBD"/>
    <w:rsid w:val="784D3606"/>
    <w:rsid w:val="784F1A40"/>
    <w:rsid w:val="785008C9"/>
    <w:rsid w:val="7850375C"/>
    <w:rsid w:val="78532FC3"/>
    <w:rsid w:val="78534B6C"/>
    <w:rsid w:val="78545860"/>
    <w:rsid w:val="786122B9"/>
    <w:rsid w:val="78612553"/>
    <w:rsid w:val="78612958"/>
    <w:rsid w:val="78640127"/>
    <w:rsid w:val="786679AE"/>
    <w:rsid w:val="78685442"/>
    <w:rsid w:val="786A7120"/>
    <w:rsid w:val="786C436B"/>
    <w:rsid w:val="786F5952"/>
    <w:rsid w:val="786F5A58"/>
    <w:rsid w:val="78712028"/>
    <w:rsid w:val="78714100"/>
    <w:rsid w:val="78720888"/>
    <w:rsid w:val="78746DD4"/>
    <w:rsid w:val="7878394F"/>
    <w:rsid w:val="787839B6"/>
    <w:rsid w:val="787C7A05"/>
    <w:rsid w:val="787D4A1B"/>
    <w:rsid w:val="78832006"/>
    <w:rsid w:val="7883206A"/>
    <w:rsid w:val="788334CC"/>
    <w:rsid w:val="788400FD"/>
    <w:rsid w:val="78840639"/>
    <w:rsid w:val="78862194"/>
    <w:rsid w:val="78882A4F"/>
    <w:rsid w:val="788860C0"/>
    <w:rsid w:val="788906A9"/>
    <w:rsid w:val="7889092B"/>
    <w:rsid w:val="788952F2"/>
    <w:rsid w:val="788A7179"/>
    <w:rsid w:val="788D434B"/>
    <w:rsid w:val="789456D9"/>
    <w:rsid w:val="78946A2C"/>
    <w:rsid w:val="7896392E"/>
    <w:rsid w:val="7896555B"/>
    <w:rsid w:val="789905D3"/>
    <w:rsid w:val="78993DE2"/>
    <w:rsid w:val="789D4C91"/>
    <w:rsid w:val="78A21BA4"/>
    <w:rsid w:val="78A43B6E"/>
    <w:rsid w:val="78A551F0"/>
    <w:rsid w:val="78A771BA"/>
    <w:rsid w:val="78A87A19"/>
    <w:rsid w:val="78A93B94"/>
    <w:rsid w:val="78AA5D02"/>
    <w:rsid w:val="78AD486C"/>
    <w:rsid w:val="78AD7761"/>
    <w:rsid w:val="78AE2A84"/>
    <w:rsid w:val="78B3143B"/>
    <w:rsid w:val="78B547CC"/>
    <w:rsid w:val="78B64AE2"/>
    <w:rsid w:val="78B74F24"/>
    <w:rsid w:val="78B84D0E"/>
    <w:rsid w:val="78BA5ADC"/>
    <w:rsid w:val="78BB0EB8"/>
    <w:rsid w:val="78BC49E1"/>
    <w:rsid w:val="78BD5E66"/>
    <w:rsid w:val="78BF53BE"/>
    <w:rsid w:val="78BF5821"/>
    <w:rsid w:val="78C0123F"/>
    <w:rsid w:val="78C064CE"/>
    <w:rsid w:val="78C23706"/>
    <w:rsid w:val="78C43263"/>
    <w:rsid w:val="78C97416"/>
    <w:rsid w:val="78CC05E7"/>
    <w:rsid w:val="78CC1AE5"/>
    <w:rsid w:val="78CC37D6"/>
    <w:rsid w:val="78CE0F82"/>
    <w:rsid w:val="78CE4307"/>
    <w:rsid w:val="78CF2C76"/>
    <w:rsid w:val="78D13233"/>
    <w:rsid w:val="78D258BE"/>
    <w:rsid w:val="78D32347"/>
    <w:rsid w:val="78D43D28"/>
    <w:rsid w:val="78D75F9B"/>
    <w:rsid w:val="78DB6E64"/>
    <w:rsid w:val="78DF5D91"/>
    <w:rsid w:val="78E0447A"/>
    <w:rsid w:val="78E8526E"/>
    <w:rsid w:val="78EA3B70"/>
    <w:rsid w:val="78ED0743"/>
    <w:rsid w:val="78ED347C"/>
    <w:rsid w:val="78EF290F"/>
    <w:rsid w:val="78F624D3"/>
    <w:rsid w:val="78F65A4C"/>
    <w:rsid w:val="78F826E1"/>
    <w:rsid w:val="78F8518E"/>
    <w:rsid w:val="78FA3665"/>
    <w:rsid w:val="79021CCC"/>
    <w:rsid w:val="79055A3A"/>
    <w:rsid w:val="79091C23"/>
    <w:rsid w:val="790C5923"/>
    <w:rsid w:val="790E4BC5"/>
    <w:rsid w:val="790F39B9"/>
    <w:rsid w:val="79141CE3"/>
    <w:rsid w:val="79144124"/>
    <w:rsid w:val="79151218"/>
    <w:rsid w:val="79155E21"/>
    <w:rsid w:val="79177B9C"/>
    <w:rsid w:val="791967B9"/>
    <w:rsid w:val="791F460E"/>
    <w:rsid w:val="79202AC9"/>
    <w:rsid w:val="79233EA0"/>
    <w:rsid w:val="79261336"/>
    <w:rsid w:val="79273E57"/>
    <w:rsid w:val="79276766"/>
    <w:rsid w:val="792C51F3"/>
    <w:rsid w:val="792F5026"/>
    <w:rsid w:val="79302186"/>
    <w:rsid w:val="79361F5B"/>
    <w:rsid w:val="793A4D5B"/>
    <w:rsid w:val="793C3E38"/>
    <w:rsid w:val="793D367B"/>
    <w:rsid w:val="79436BE8"/>
    <w:rsid w:val="7944575E"/>
    <w:rsid w:val="7948390C"/>
    <w:rsid w:val="79500D88"/>
    <w:rsid w:val="79507E75"/>
    <w:rsid w:val="795A214F"/>
    <w:rsid w:val="795A6380"/>
    <w:rsid w:val="795B0579"/>
    <w:rsid w:val="795B3622"/>
    <w:rsid w:val="795F78E4"/>
    <w:rsid w:val="79635347"/>
    <w:rsid w:val="79656E51"/>
    <w:rsid w:val="79664EED"/>
    <w:rsid w:val="7968312F"/>
    <w:rsid w:val="79686F7B"/>
    <w:rsid w:val="79690914"/>
    <w:rsid w:val="796B63F0"/>
    <w:rsid w:val="796C4F91"/>
    <w:rsid w:val="796D6D81"/>
    <w:rsid w:val="796E4E00"/>
    <w:rsid w:val="796E4E17"/>
    <w:rsid w:val="79706D65"/>
    <w:rsid w:val="79750A88"/>
    <w:rsid w:val="79752E15"/>
    <w:rsid w:val="797A48CF"/>
    <w:rsid w:val="797A7547"/>
    <w:rsid w:val="797D2DF0"/>
    <w:rsid w:val="798045BA"/>
    <w:rsid w:val="79857332"/>
    <w:rsid w:val="798968C0"/>
    <w:rsid w:val="798B6E72"/>
    <w:rsid w:val="798D00E8"/>
    <w:rsid w:val="798E181F"/>
    <w:rsid w:val="79903B48"/>
    <w:rsid w:val="79923508"/>
    <w:rsid w:val="799636BA"/>
    <w:rsid w:val="79982AA2"/>
    <w:rsid w:val="79983E9C"/>
    <w:rsid w:val="79984573"/>
    <w:rsid w:val="79A42A44"/>
    <w:rsid w:val="79A47B9E"/>
    <w:rsid w:val="79A55439"/>
    <w:rsid w:val="79AB45E1"/>
    <w:rsid w:val="79AD74AE"/>
    <w:rsid w:val="79BB7793"/>
    <w:rsid w:val="79BC561B"/>
    <w:rsid w:val="79C15489"/>
    <w:rsid w:val="79C22609"/>
    <w:rsid w:val="79C40956"/>
    <w:rsid w:val="79C55196"/>
    <w:rsid w:val="79C60FFD"/>
    <w:rsid w:val="79C6572F"/>
    <w:rsid w:val="79C6672B"/>
    <w:rsid w:val="79C95CB0"/>
    <w:rsid w:val="79CA51EA"/>
    <w:rsid w:val="79CF3E92"/>
    <w:rsid w:val="79D2573A"/>
    <w:rsid w:val="79D305C2"/>
    <w:rsid w:val="79D443CF"/>
    <w:rsid w:val="79D73F33"/>
    <w:rsid w:val="79D75C83"/>
    <w:rsid w:val="79D77D0B"/>
    <w:rsid w:val="79DC68BE"/>
    <w:rsid w:val="79E17905"/>
    <w:rsid w:val="79E42378"/>
    <w:rsid w:val="79E63D12"/>
    <w:rsid w:val="79E74997"/>
    <w:rsid w:val="79E908C6"/>
    <w:rsid w:val="79EB5EDE"/>
    <w:rsid w:val="79EB6210"/>
    <w:rsid w:val="79ED6F37"/>
    <w:rsid w:val="79EE0E19"/>
    <w:rsid w:val="79EE2BC7"/>
    <w:rsid w:val="79EF64B4"/>
    <w:rsid w:val="79F23811"/>
    <w:rsid w:val="79F50733"/>
    <w:rsid w:val="79F5161F"/>
    <w:rsid w:val="79F611E7"/>
    <w:rsid w:val="79F6788B"/>
    <w:rsid w:val="79F833BF"/>
    <w:rsid w:val="79F85530"/>
    <w:rsid w:val="79F87B05"/>
    <w:rsid w:val="79F95D73"/>
    <w:rsid w:val="79FF6738"/>
    <w:rsid w:val="7A004CC9"/>
    <w:rsid w:val="7A013C8D"/>
    <w:rsid w:val="7A016D9E"/>
    <w:rsid w:val="7A0375F9"/>
    <w:rsid w:val="7A066163"/>
    <w:rsid w:val="7A083C89"/>
    <w:rsid w:val="7A0C3D9C"/>
    <w:rsid w:val="7A0C7D74"/>
    <w:rsid w:val="7A0E4B4F"/>
    <w:rsid w:val="7A0F3366"/>
    <w:rsid w:val="7A1062A7"/>
    <w:rsid w:val="7A136321"/>
    <w:rsid w:val="7A170370"/>
    <w:rsid w:val="7A1940E8"/>
    <w:rsid w:val="7A1C0345"/>
    <w:rsid w:val="7A1D59B7"/>
    <w:rsid w:val="7A200480"/>
    <w:rsid w:val="7A2103F2"/>
    <w:rsid w:val="7A234A4C"/>
    <w:rsid w:val="7A236D15"/>
    <w:rsid w:val="7A252633"/>
    <w:rsid w:val="7A271668"/>
    <w:rsid w:val="7A272A21"/>
    <w:rsid w:val="7A275CF5"/>
    <w:rsid w:val="7A28257D"/>
    <w:rsid w:val="7A296EB1"/>
    <w:rsid w:val="7A2B44E4"/>
    <w:rsid w:val="7A2B4A16"/>
    <w:rsid w:val="7A2B700B"/>
    <w:rsid w:val="7A2D1FFE"/>
    <w:rsid w:val="7A2F072C"/>
    <w:rsid w:val="7A3333F0"/>
    <w:rsid w:val="7A340FD3"/>
    <w:rsid w:val="7A35037F"/>
    <w:rsid w:val="7A360A0B"/>
    <w:rsid w:val="7A3765BA"/>
    <w:rsid w:val="7A380852"/>
    <w:rsid w:val="7A383B1F"/>
    <w:rsid w:val="7A392094"/>
    <w:rsid w:val="7A3B07A4"/>
    <w:rsid w:val="7A3B6660"/>
    <w:rsid w:val="7A3D7C35"/>
    <w:rsid w:val="7A3F642D"/>
    <w:rsid w:val="7A410F49"/>
    <w:rsid w:val="7A414D7E"/>
    <w:rsid w:val="7A441CAA"/>
    <w:rsid w:val="7A484035"/>
    <w:rsid w:val="7A4B2370"/>
    <w:rsid w:val="7A4B3B42"/>
    <w:rsid w:val="7A4C7B5A"/>
    <w:rsid w:val="7A4D1FE3"/>
    <w:rsid w:val="7A4F0F30"/>
    <w:rsid w:val="7A504651"/>
    <w:rsid w:val="7A52374F"/>
    <w:rsid w:val="7A5267C7"/>
    <w:rsid w:val="7A527411"/>
    <w:rsid w:val="7A533BED"/>
    <w:rsid w:val="7A53517D"/>
    <w:rsid w:val="7A545120"/>
    <w:rsid w:val="7A57594B"/>
    <w:rsid w:val="7A5769BE"/>
    <w:rsid w:val="7A5902A7"/>
    <w:rsid w:val="7A594510"/>
    <w:rsid w:val="7A5C64F0"/>
    <w:rsid w:val="7A5D3ACB"/>
    <w:rsid w:val="7A5E0E2C"/>
    <w:rsid w:val="7A600586"/>
    <w:rsid w:val="7A604644"/>
    <w:rsid w:val="7A616E0F"/>
    <w:rsid w:val="7A6335B5"/>
    <w:rsid w:val="7A645E03"/>
    <w:rsid w:val="7A647493"/>
    <w:rsid w:val="7A663BD1"/>
    <w:rsid w:val="7A684EB7"/>
    <w:rsid w:val="7A6D1D3E"/>
    <w:rsid w:val="7A6D7491"/>
    <w:rsid w:val="7A6F5299"/>
    <w:rsid w:val="7A7050D6"/>
    <w:rsid w:val="7A74066E"/>
    <w:rsid w:val="7A741062"/>
    <w:rsid w:val="7A7568B6"/>
    <w:rsid w:val="7A76118E"/>
    <w:rsid w:val="7A763E93"/>
    <w:rsid w:val="7A7C49F2"/>
    <w:rsid w:val="7A7C66D5"/>
    <w:rsid w:val="7A804167"/>
    <w:rsid w:val="7A807CC3"/>
    <w:rsid w:val="7A813A63"/>
    <w:rsid w:val="7A816897"/>
    <w:rsid w:val="7A85177D"/>
    <w:rsid w:val="7A85352B"/>
    <w:rsid w:val="7A88301C"/>
    <w:rsid w:val="7A8E05EF"/>
    <w:rsid w:val="7A911A71"/>
    <w:rsid w:val="7A950817"/>
    <w:rsid w:val="7A980DA7"/>
    <w:rsid w:val="7A9A534A"/>
    <w:rsid w:val="7A9D399F"/>
    <w:rsid w:val="7AA04C0E"/>
    <w:rsid w:val="7AA37E55"/>
    <w:rsid w:val="7AA40413"/>
    <w:rsid w:val="7AA5257E"/>
    <w:rsid w:val="7AA61523"/>
    <w:rsid w:val="7AAB0B58"/>
    <w:rsid w:val="7AAB106D"/>
    <w:rsid w:val="7AAB5484"/>
    <w:rsid w:val="7AAC7794"/>
    <w:rsid w:val="7AB32441"/>
    <w:rsid w:val="7AB446E2"/>
    <w:rsid w:val="7AB45B3A"/>
    <w:rsid w:val="7AB61AE7"/>
    <w:rsid w:val="7AB641E3"/>
    <w:rsid w:val="7ABA409A"/>
    <w:rsid w:val="7ABB20B8"/>
    <w:rsid w:val="7ABE3957"/>
    <w:rsid w:val="7ABF0019"/>
    <w:rsid w:val="7ABF2A34"/>
    <w:rsid w:val="7ABF4A4A"/>
    <w:rsid w:val="7AC13063"/>
    <w:rsid w:val="7ACA60E4"/>
    <w:rsid w:val="7ACB4CB6"/>
    <w:rsid w:val="7ACD0A2E"/>
    <w:rsid w:val="7AD06B21"/>
    <w:rsid w:val="7AD149C3"/>
    <w:rsid w:val="7AD46261"/>
    <w:rsid w:val="7AD54137"/>
    <w:rsid w:val="7AD8672B"/>
    <w:rsid w:val="7AD869D0"/>
    <w:rsid w:val="7AD95681"/>
    <w:rsid w:val="7ADA2D76"/>
    <w:rsid w:val="7ADB4883"/>
    <w:rsid w:val="7ADC0EBB"/>
    <w:rsid w:val="7ADD47AC"/>
    <w:rsid w:val="7ADF7C44"/>
    <w:rsid w:val="7AE4066E"/>
    <w:rsid w:val="7AE741B6"/>
    <w:rsid w:val="7AE94593"/>
    <w:rsid w:val="7AEC043F"/>
    <w:rsid w:val="7AF04E38"/>
    <w:rsid w:val="7AF067EA"/>
    <w:rsid w:val="7AF15A86"/>
    <w:rsid w:val="7AF3257E"/>
    <w:rsid w:val="7AF406B1"/>
    <w:rsid w:val="7AF41682"/>
    <w:rsid w:val="7AF54293"/>
    <w:rsid w:val="7AF54EF0"/>
    <w:rsid w:val="7AF83CFD"/>
    <w:rsid w:val="7AF86B3D"/>
    <w:rsid w:val="7AF87B9F"/>
    <w:rsid w:val="7AF93194"/>
    <w:rsid w:val="7AFD1314"/>
    <w:rsid w:val="7AFE453D"/>
    <w:rsid w:val="7AFE6E3A"/>
    <w:rsid w:val="7AFF11E6"/>
    <w:rsid w:val="7AFF78D0"/>
    <w:rsid w:val="7B01427E"/>
    <w:rsid w:val="7B055127"/>
    <w:rsid w:val="7B08167A"/>
    <w:rsid w:val="7B0E3521"/>
    <w:rsid w:val="7B114DBF"/>
    <w:rsid w:val="7B1460FA"/>
    <w:rsid w:val="7B1857C5"/>
    <w:rsid w:val="7B1A6E15"/>
    <w:rsid w:val="7B1B35BD"/>
    <w:rsid w:val="7B1C2B77"/>
    <w:rsid w:val="7B1E39AE"/>
    <w:rsid w:val="7B201DEF"/>
    <w:rsid w:val="7B2741B5"/>
    <w:rsid w:val="7B290E4E"/>
    <w:rsid w:val="7B2A0E6E"/>
    <w:rsid w:val="7B2C59B4"/>
    <w:rsid w:val="7B2D296D"/>
    <w:rsid w:val="7B2F56DF"/>
    <w:rsid w:val="7B335A49"/>
    <w:rsid w:val="7B340ACA"/>
    <w:rsid w:val="7B38552F"/>
    <w:rsid w:val="7B3A0E71"/>
    <w:rsid w:val="7B3A14DF"/>
    <w:rsid w:val="7B3B1E3C"/>
    <w:rsid w:val="7B3D3E06"/>
    <w:rsid w:val="7B3D79A6"/>
    <w:rsid w:val="7B3E6B19"/>
    <w:rsid w:val="7B3F060A"/>
    <w:rsid w:val="7B410F70"/>
    <w:rsid w:val="7B4124F0"/>
    <w:rsid w:val="7B4447DA"/>
    <w:rsid w:val="7B445577"/>
    <w:rsid w:val="7B47087B"/>
    <w:rsid w:val="7B4A4237"/>
    <w:rsid w:val="7B4E68F8"/>
    <w:rsid w:val="7B4E72E8"/>
    <w:rsid w:val="7B4F1153"/>
    <w:rsid w:val="7B4F3755"/>
    <w:rsid w:val="7B4F58E7"/>
    <w:rsid w:val="7B511678"/>
    <w:rsid w:val="7B536D91"/>
    <w:rsid w:val="7B596F56"/>
    <w:rsid w:val="7B5A7B6A"/>
    <w:rsid w:val="7B5D0004"/>
    <w:rsid w:val="7B5D1252"/>
    <w:rsid w:val="7B6274A7"/>
    <w:rsid w:val="7B6306DE"/>
    <w:rsid w:val="7B631385"/>
    <w:rsid w:val="7B652682"/>
    <w:rsid w:val="7B654B6B"/>
    <w:rsid w:val="7B676CE3"/>
    <w:rsid w:val="7B6B0973"/>
    <w:rsid w:val="7B6C46EB"/>
    <w:rsid w:val="7B783090"/>
    <w:rsid w:val="7B7C15F3"/>
    <w:rsid w:val="7B7F032E"/>
    <w:rsid w:val="7B811F45"/>
    <w:rsid w:val="7B823084"/>
    <w:rsid w:val="7B840B5D"/>
    <w:rsid w:val="7B850519"/>
    <w:rsid w:val="7B8A4BDD"/>
    <w:rsid w:val="7B8B6742"/>
    <w:rsid w:val="7B8D5D2B"/>
    <w:rsid w:val="7B9204D2"/>
    <w:rsid w:val="7B957F8E"/>
    <w:rsid w:val="7B984B55"/>
    <w:rsid w:val="7B985504"/>
    <w:rsid w:val="7B9C62A6"/>
    <w:rsid w:val="7B9C7FBE"/>
    <w:rsid w:val="7B9D1FAF"/>
    <w:rsid w:val="7BA03767"/>
    <w:rsid w:val="7BA24506"/>
    <w:rsid w:val="7BA54001"/>
    <w:rsid w:val="7BA54D62"/>
    <w:rsid w:val="7BA565E8"/>
    <w:rsid w:val="7BA7127F"/>
    <w:rsid w:val="7BB416C6"/>
    <w:rsid w:val="7BB514DD"/>
    <w:rsid w:val="7BB613ED"/>
    <w:rsid w:val="7BB657A5"/>
    <w:rsid w:val="7BBD2838"/>
    <w:rsid w:val="7BBF668B"/>
    <w:rsid w:val="7BC239EF"/>
    <w:rsid w:val="7BC24D7B"/>
    <w:rsid w:val="7BC253DB"/>
    <w:rsid w:val="7BC260B9"/>
    <w:rsid w:val="7BC31A99"/>
    <w:rsid w:val="7BC57E1C"/>
    <w:rsid w:val="7BC96680"/>
    <w:rsid w:val="7BCA2CE9"/>
    <w:rsid w:val="7BCC68E1"/>
    <w:rsid w:val="7BD04F09"/>
    <w:rsid w:val="7BD072F8"/>
    <w:rsid w:val="7BD32074"/>
    <w:rsid w:val="7BDA78A7"/>
    <w:rsid w:val="7BDC0735"/>
    <w:rsid w:val="7BDC20F7"/>
    <w:rsid w:val="7BE24C3F"/>
    <w:rsid w:val="7BE47C82"/>
    <w:rsid w:val="7BE75B20"/>
    <w:rsid w:val="7BEA2DF2"/>
    <w:rsid w:val="7BEC0EB7"/>
    <w:rsid w:val="7BEE14E6"/>
    <w:rsid w:val="7BEE56AC"/>
    <w:rsid w:val="7BF4637E"/>
    <w:rsid w:val="7BF67DD3"/>
    <w:rsid w:val="7BF737B1"/>
    <w:rsid w:val="7BFF098B"/>
    <w:rsid w:val="7C0366AE"/>
    <w:rsid w:val="7C050EE0"/>
    <w:rsid w:val="7C0641F8"/>
    <w:rsid w:val="7C0922CE"/>
    <w:rsid w:val="7C093CE8"/>
    <w:rsid w:val="7C0A3E8D"/>
    <w:rsid w:val="7C0B31C6"/>
    <w:rsid w:val="7C0B5CB2"/>
    <w:rsid w:val="7C0E7550"/>
    <w:rsid w:val="7C120701"/>
    <w:rsid w:val="7C1352FD"/>
    <w:rsid w:val="7C192B97"/>
    <w:rsid w:val="7C1E6D91"/>
    <w:rsid w:val="7C24777F"/>
    <w:rsid w:val="7C247B65"/>
    <w:rsid w:val="7C287930"/>
    <w:rsid w:val="7C2B3018"/>
    <w:rsid w:val="7C2B4089"/>
    <w:rsid w:val="7C2F676D"/>
    <w:rsid w:val="7C3000C2"/>
    <w:rsid w:val="7C32320D"/>
    <w:rsid w:val="7C354ADD"/>
    <w:rsid w:val="7C3611F8"/>
    <w:rsid w:val="7C37202F"/>
    <w:rsid w:val="7C3743CF"/>
    <w:rsid w:val="7C386AE4"/>
    <w:rsid w:val="7C3A7897"/>
    <w:rsid w:val="7C3C5E41"/>
    <w:rsid w:val="7C4538E2"/>
    <w:rsid w:val="7C457811"/>
    <w:rsid w:val="7C461EB6"/>
    <w:rsid w:val="7C5752CC"/>
    <w:rsid w:val="7C586B30"/>
    <w:rsid w:val="7C592589"/>
    <w:rsid w:val="7C5B3531"/>
    <w:rsid w:val="7C5C4A87"/>
    <w:rsid w:val="7C5F7533"/>
    <w:rsid w:val="7C6026CD"/>
    <w:rsid w:val="7C604A95"/>
    <w:rsid w:val="7C6213A4"/>
    <w:rsid w:val="7C630DA8"/>
    <w:rsid w:val="7C686C61"/>
    <w:rsid w:val="7C6B0666"/>
    <w:rsid w:val="7C6C1462"/>
    <w:rsid w:val="7C6D432F"/>
    <w:rsid w:val="7C6D5355"/>
    <w:rsid w:val="7C6E245F"/>
    <w:rsid w:val="7C705D9C"/>
    <w:rsid w:val="7C706589"/>
    <w:rsid w:val="7C76787C"/>
    <w:rsid w:val="7C776EA4"/>
    <w:rsid w:val="7C7868B8"/>
    <w:rsid w:val="7C7A2394"/>
    <w:rsid w:val="7C7B2B20"/>
    <w:rsid w:val="7C7F1957"/>
    <w:rsid w:val="7C8333CB"/>
    <w:rsid w:val="7C857F63"/>
    <w:rsid w:val="7C8C36AC"/>
    <w:rsid w:val="7C8D3638"/>
    <w:rsid w:val="7C8D7797"/>
    <w:rsid w:val="7C8F5C81"/>
    <w:rsid w:val="7C915949"/>
    <w:rsid w:val="7C934BF5"/>
    <w:rsid w:val="7C936510"/>
    <w:rsid w:val="7C941F01"/>
    <w:rsid w:val="7C96772D"/>
    <w:rsid w:val="7C986322"/>
    <w:rsid w:val="7C9B30F3"/>
    <w:rsid w:val="7C9B563F"/>
    <w:rsid w:val="7C9C69AA"/>
    <w:rsid w:val="7C9E1873"/>
    <w:rsid w:val="7C9E2AB0"/>
    <w:rsid w:val="7CA37C99"/>
    <w:rsid w:val="7CA40BFC"/>
    <w:rsid w:val="7CA47825"/>
    <w:rsid w:val="7CA72FCD"/>
    <w:rsid w:val="7CA81807"/>
    <w:rsid w:val="7CA83501"/>
    <w:rsid w:val="7CA8479F"/>
    <w:rsid w:val="7CAA12D7"/>
    <w:rsid w:val="7CAA3B32"/>
    <w:rsid w:val="7CAC2FCB"/>
    <w:rsid w:val="7CAE1ACC"/>
    <w:rsid w:val="7CAE2911"/>
    <w:rsid w:val="7CAF12CE"/>
    <w:rsid w:val="7CB00C1E"/>
    <w:rsid w:val="7CB13FFA"/>
    <w:rsid w:val="7CB43C54"/>
    <w:rsid w:val="7CB7605B"/>
    <w:rsid w:val="7CB81B01"/>
    <w:rsid w:val="7CB81BCE"/>
    <w:rsid w:val="7CBA66EC"/>
    <w:rsid w:val="7CBE516E"/>
    <w:rsid w:val="7CC035C4"/>
    <w:rsid w:val="7CC36AC0"/>
    <w:rsid w:val="7CC61BD9"/>
    <w:rsid w:val="7CC63201"/>
    <w:rsid w:val="7CD1648C"/>
    <w:rsid w:val="7CD54514"/>
    <w:rsid w:val="7CD75AC5"/>
    <w:rsid w:val="7CD82038"/>
    <w:rsid w:val="7CD93432"/>
    <w:rsid w:val="7CDA4D1D"/>
    <w:rsid w:val="7CDC48ED"/>
    <w:rsid w:val="7CDE28A9"/>
    <w:rsid w:val="7CDE77DA"/>
    <w:rsid w:val="7CDF10B4"/>
    <w:rsid w:val="7CDF1372"/>
    <w:rsid w:val="7CE55AAB"/>
    <w:rsid w:val="7CEA51F7"/>
    <w:rsid w:val="7CEA765F"/>
    <w:rsid w:val="7CED015B"/>
    <w:rsid w:val="7CEE34A4"/>
    <w:rsid w:val="7CEF7382"/>
    <w:rsid w:val="7CF1372A"/>
    <w:rsid w:val="7CF26BC4"/>
    <w:rsid w:val="7CF33ADD"/>
    <w:rsid w:val="7CF34174"/>
    <w:rsid w:val="7CF34556"/>
    <w:rsid w:val="7CF52271"/>
    <w:rsid w:val="7CF820C9"/>
    <w:rsid w:val="7CFF255A"/>
    <w:rsid w:val="7D000B33"/>
    <w:rsid w:val="7D022970"/>
    <w:rsid w:val="7D0257AF"/>
    <w:rsid w:val="7D04340C"/>
    <w:rsid w:val="7D051299"/>
    <w:rsid w:val="7D056BA5"/>
    <w:rsid w:val="7D074AFB"/>
    <w:rsid w:val="7D0A0DA0"/>
    <w:rsid w:val="7D0C0FF1"/>
    <w:rsid w:val="7D0C1FE3"/>
    <w:rsid w:val="7D0C3179"/>
    <w:rsid w:val="7D0E618A"/>
    <w:rsid w:val="7D103C02"/>
    <w:rsid w:val="7D121F07"/>
    <w:rsid w:val="7D124E1E"/>
    <w:rsid w:val="7D130B3A"/>
    <w:rsid w:val="7D132C92"/>
    <w:rsid w:val="7D146DE8"/>
    <w:rsid w:val="7D175BE8"/>
    <w:rsid w:val="7D1A7420"/>
    <w:rsid w:val="7D1D0C29"/>
    <w:rsid w:val="7D204BA3"/>
    <w:rsid w:val="7D210871"/>
    <w:rsid w:val="7D221505"/>
    <w:rsid w:val="7D225C18"/>
    <w:rsid w:val="7D236892"/>
    <w:rsid w:val="7D2535D0"/>
    <w:rsid w:val="7D2710B4"/>
    <w:rsid w:val="7D2C12B8"/>
    <w:rsid w:val="7D2D6066"/>
    <w:rsid w:val="7D2E23BF"/>
    <w:rsid w:val="7D2F142F"/>
    <w:rsid w:val="7D2F244E"/>
    <w:rsid w:val="7D2F70C8"/>
    <w:rsid w:val="7D32101D"/>
    <w:rsid w:val="7D3357F3"/>
    <w:rsid w:val="7D366731"/>
    <w:rsid w:val="7D38005B"/>
    <w:rsid w:val="7D3B0631"/>
    <w:rsid w:val="7D3D4631"/>
    <w:rsid w:val="7D3E32DF"/>
    <w:rsid w:val="7D3E3E65"/>
    <w:rsid w:val="7D3E4C1D"/>
    <w:rsid w:val="7D3F20B7"/>
    <w:rsid w:val="7D421983"/>
    <w:rsid w:val="7D4274B2"/>
    <w:rsid w:val="7D433B30"/>
    <w:rsid w:val="7D477CDF"/>
    <w:rsid w:val="7D480840"/>
    <w:rsid w:val="7D492DAE"/>
    <w:rsid w:val="7D4D7AEF"/>
    <w:rsid w:val="7D4F4435"/>
    <w:rsid w:val="7D5209FB"/>
    <w:rsid w:val="7D562F5D"/>
    <w:rsid w:val="7D58414F"/>
    <w:rsid w:val="7D586CD5"/>
    <w:rsid w:val="7D59338C"/>
    <w:rsid w:val="7D5A649D"/>
    <w:rsid w:val="7D5C7094"/>
    <w:rsid w:val="7D5D44AD"/>
    <w:rsid w:val="7D5E2F89"/>
    <w:rsid w:val="7D613B20"/>
    <w:rsid w:val="7D66053E"/>
    <w:rsid w:val="7D664F32"/>
    <w:rsid w:val="7D6D017E"/>
    <w:rsid w:val="7D6E7D0C"/>
    <w:rsid w:val="7D7154FD"/>
    <w:rsid w:val="7D724936"/>
    <w:rsid w:val="7D7531F8"/>
    <w:rsid w:val="7D76570A"/>
    <w:rsid w:val="7D7858E9"/>
    <w:rsid w:val="7D7908D4"/>
    <w:rsid w:val="7D795E15"/>
    <w:rsid w:val="7D796E93"/>
    <w:rsid w:val="7D7B1D25"/>
    <w:rsid w:val="7D7C2F0A"/>
    <w:rsid w:val="7D7D498E"/>
    <w:rsid w:val="7D7E4305"/>
    <w:rsid w:val="7D7F51E6"/>
    <w:rsid w:val="7D8301F3"/>
    <w:rsid w:val="7D8541F1"/>
    <w:rsid w:val="7D893A1A"/>
    <w:rsid w:val="7D8A2C07"/>
    <w:rsid w:val="7D8F021D"/>
    <w:rsid w:val="7D907B74"/>
    <w:rsid w:val="7D910387"/>
    <w:rsid w:val="7D9118CF"/>
    <w:rsid w:val="7D913F95"/>
    <w:rsid w:val="7D9203D6"/>
    <w:rsid w:val="7D9341B1"/>
    <w:rsid w:val="7D957E61"/>
    <w:rsid w:val="7D960EDE"/>
    <w:rsid w:val="7D9A5540"/>
    <w:rsid w:val="7D9D33C2"/>
    <w:rsid w:val="7DA07886"/>
    <w:rsid w:val="7DA25A5D"/>
    <w:rsid w:val="7DA458A7"/>
    <w:rsid w:val="7DA848BB"/>
    <w:rsid w:val="7DAC1DF0"/>
    <w:rsid w:val="7DAD243F"/>
    <w:rsid w:val="7DAE551C"/>
    <w:rsid w:val="7DB027AB"/>
    <w:rsid w:val="7DB11A29"/>
    <w:rsid w:val="7DB12889"/>
    <w:rsid w:val="7DB3215D"/>
    <w:rsid w:val="7DB402A0"/>
    <w:rsid w:val="7DB473EC"/>
    <w:rsid w:val="7DB66366"/>
    <w:rsid w:val="7DB80184"/>
    <w:rsid w:val="7DBA5267"/>
    <w:rsid w:val="7DBE16B8"/>
    <w:rsid w:val="7DBE4EB9"/>
    <w:rsid w:val="7DC223A1"/>
    <w:rsid w:val="7DC3472E"/>
    <w:rsid w:val="7DC40841"/>
    <w:rsid w:val="7DC660DC"/>
    <w:rsid w:val="7DC773AF"/>
    <w:rsid w:val="7DC9372F"/>
    <w:rsid w:val="7DCA20C6"/>
    <w:rsid w:val="7DCA3876"/>
    <w:rsid w:val="7DCC7E18"/>
    <w:rsid w:val="7DCE0CD0"/>
    <w:rsid w:val="7DD30170"/>
    <w:rsid w:val="7DD33260"/>
    <w:rsid w:val="7DD5153B"/>
    <w:rsid w:val="7DD637F4"/>
    <w:rsid w:val="7DD95FAF"/>
    <w:rsid w:val="7DD97D0A"/>
    <w:rsid w:val="7DDA5318"/>
    <w:rsid w:val="7DDB5E9F"/>
    <w:rsid w:val="7DDD542C"/>
    <w:rsid w:val="7DDF1614"/>
    <w:rsid w:val="7DE53074"/>
    <w:rsid w:val="7DE91CE0"/>
    <w:rsid w:val="7DE94FAB"/>
    <w:rsid w:val="7DE9763F"/>
    <w:rsid w:val="7DEA218B"/>
    <w:rsid w:val="7DEB5D9B"/>
    <w:rsid w:val="7DEB5DB6"/>
    <w:rsid w:val="7DEC7A0D"/>
    <w:rsid w:val="7DF06F0E"/>
    <w:rsid w:val="7DF30F1F"/>
    <w:rsid w:val="7DF639FB"/>
    <w:rsid w:val="7DF869DB"/>
    <w:rsid w:val="7DF93937"/>
    <w:rsid w:val="7DFA3790"/>
    <w:rsid w:val="7DFA69A0"/>
    <w:rsid w:val="7DFC3B04"/>
    <w:rsid w:val="7E002EC9"/>
    <w:rsid w:val="7E004358"/>
    <w:rsid w:val="7E03126B"/>
    <w:rsid w:val="7E0330C3"/>
    <w:rsid w:val="7E04339B"/>
    <w:rsid w:val="7E05177A"/>
    <w:rsid w:val="7E061E36"/>
    <w:rsid w:val="7E062BD5"/>
    <w:rsid w:val="7E0718B7"/>
    <w:rsid w:val="7E081EDD"/>
    <w:rsid w:val="7E0B1F99"/>
    <w:rsid w:val="7E103CE8"/>
    <w:rsid w:val="7E1075B0"/>
    <w:rsid w:val="7E1259BF"/>
    <w:rsid w:val="7E131C9F"/>
    <w:rsid w:val="7E150331"/>
    <w:rsid w:val="7E163A44"/>
    <w:rsid w:val="7E174067"/>
    <w:rsid w:val="7E1A3651"/>
    <w:rsid w:val="7E1D1CCD"/>
    <w:rsid w:val="7E1F2E8B"/>
    <w:rsid w:val="7E1F63FA"/>
    <w:rsid w:val="7E22548F"/>
    <w:rsid w:val="7E240949"/>
    <w:rsid w:val="7E25038A"/>
    <w:rsid w:val="7E263C4F"/>
    <w:rsid w:val="7E2B0164"/>
    <w:rsid w:val="7E2B2E00"/>
    <w:rsid w:val="7E2E3EDA"/>
    <w:rsid w:val="7E2E7A36"/>
    <w:rsid w:val="7E301291"/>
    <w:rsid w:val="7E33329E"/>
    <w:rsid w:val="7E34233A"/>
    <w:rsid w:val="7E350A9B"/>
    <w:rsid w:val="7E3534E9"/>
    <w:rsid w:val="7E372D8F"/>
    <w:rsid w:val="7E3862DC"/>
    <w:rsid w:val="7E3A63DB"/>
    <w:rsid w:val="7E3B2C58"/>
    <w:rsid w:val="7E3F1C43"/>
    <w:rsid w:val="7E3F688C"/>
    <w:rsid w:val="7E404885"/>
    <w:rsid w:val="7E4133F2"/>
    <w:rsid w:val="7E413AB7"/>
    <w:rsid w:val="7E414658"/>
    <w:rsid w:val="7E427FC3"/>
    <w:rsid w:val="7E4578C0"/>
    <w:rsid w:val="7E4F6B64"/>
    <w:rsid w:val="7E533B1A"/>
    <w:rsid w:val="7E576F8D"/>
    <w:rsid w:val="7E585F35"/>
    <w:rsid w:val="7E5A411E"/>
    <w:rsid w:val="7E5B702C"/>
    <w:rsid w:val="7E5C7711"/>
    <w:rsid w:val="7E5E52E4"/>
    <w:rsid w:val="7E607353"/>
    <w:rsid w:val="7E682A9E"/>
    <w:rsid w:val="7E6944C5"/>
    <w:rsid w:val="7E6B47E6"/>
    <w:rsid w:val="7E6E2217"/>
    <w:rsid w:val="7E6E260F"/>
    <w:rsid w:val="7E6E6D91"/>
    <w:rsid w:val="7E6E7B40"/>
    <w:rsid w:val="7E7318ED"/>
    <w:rsid w:val="7E741730"/>
    <w:rsid w:val="7E7452B2"/>
    <w:rsid w:val="7E762BCF"/>
    <w:rsid w:val="7E78372F"/>
    <w:rsid w:val="7E7A05AA"/>
    <w:rsid w:val="7E7A0727"/>
    <w:rsid w:val="7E7C540E"/>
    <w:rsid w:val="7E7F0292"/>
    <w:rsid w:val="7E804381"/>
    <w:rsid w:val="7E831E5F"/>
    <w:rsid w:val="7E84630F"/>
    <w:rsid w:val="7E850599"/>
    <w:rsid w:val="7E864F71"/>
    <w:rsid w:val="7E88396C"/>
    <w:rsid w:val="7E891A1C"/>
    <w:rsid w:val="7E8A0D63"/>
    <w:rsid w:val="7E8B30DA"/>
    <w:rsid w:val="7E8B6BBA"/>
    <w:rsid w:val="7E9D0CF2"/>
    <w:rsid w:val="7E9F25DB"/>
    <w:rsid w:val="7E9F7B09"/>
    <w:rsid w:val="7EA01C51"/>
    <w:rsid w:val="7EA06B86"/>
    <w:rsid w:val="7EA9413F"/>
    <w:rsid w:val="7EA96724"/>
    <w:rsid w:val="7EAA1064"/>
    <w:rsid w:val="7EAB498A"/>
    <w:rsid w:val="7EAB552B"/>
    <w:rsid w:val="7EAC11EF"/>
    <w:rsid w:val="7EAD3051"/>
    <w:rsid w:val="7EAD3818"/>
    <w:rsid w:val="7EAE41AE"/>
    <w:rsid w:val="7EB46AB9"/>
    <w:rsid w:val="7EB54CC9"/>
    <w:rsid w:val="7EB91FE2"/>
    <w:rsid w:val="7EBA1813"/>
    <w:rsid w:val="7EBA5882"/>
    <w:rsid w:val="7EBB5099"/>
    <w:rsid w:val="7EBB576E"/>
    <w:rsid w:val="7EBE717B"/>
    <w:rsid w:val="7EBF7B56"/>
    <w:rsid w:val="7EC057FB"/>
    <w:rsid w:val="7EC06FC0"/>
    <w:rsid w:val="7EC12B2B"/>
    <w:rsid w:val="7EC17A70"/>
    <w:rsid w:val="7EC363D0"/>
    <w:rsid w:val="7EC55059"/>
    <w:rsid w:val="7EC60718"/>
    <w:rsid w:val="7ECD1958"/>
    <w:rsid w:val="7ECD3266"/>
    <w:rsid w:val="7ECE7E36"/>
    <w:rsid w:val="7ED00AED"/>
    <w:rsid w:val="7ED069BF"/>
    <w:rsid w:val="7ED07331"/>
    <w:rsid w:val="7ED31367"/>
    <w:rsid w:val="7ED702C2"/>
    <w:rsid w:val="7EDB344D"/>
    <w:rsid w:val="7EDC197A"/>
    <w:rsid w:val="7EDC3936"/>
    <w:rsid w:val="7EDC56E4"/>
    <w:rsid w:val="7EDC7492"/>
    <w:rsid w:val="7EDD534E"/>
    <w:rsid w:val="7EDE2FDB"/>
    <w:rsid w:val="7EDF50BE"/>
    <w:rsid w:val="7EE051FD"/>
    <w:rsid w:val="7EE12CFA"/>
    <w:rsid w:val="7EE1738C"/>
    <w:rsid w:val="7EE46793"/>
    <w:rsid w:val="7EE76EDF"/>
    <w:rsid w:val="7EEC0D28"/>
    <w:rsid w:val="7EEC7925"/>
    <w:rsid w:val="7EEF21C0"/>
    <w:rsid w:val="7EEF674E"/>
    <w:rsid w:val="7EF0118F"/>
    <w:rsid w:val="7EF63CFC"/>
    <w:rsid w:val="7EF76800"/>
    <w:rsid w:val="7EF960B4"/>
    <w:rsid w:val="7EFA43CF"/>
    <w:rsid w:val="7EFA76FC"/>
    <w:rsid w:val="7EFC2740"/>
    <w:rsid w:val="7EFD1537"/>
    <w:rsid w:val="7EFE762D"/>
    <w:rsid w:val="7F0625A9"/>
    <w:rsid w:val="7F0B40D9"/>
    <w:rsid w:val="7F0B5056"/>
    <w:rsid w:val="7F0C1E16"/>
    <w:rsid w:val="7F0C595B"/>
    <w:rsid w:val="7F0F1615"/>
    <w:rsid w:val="7F0F5AB9"/>
    <w:rsid w:val="7F0F67BC"/>
    <w:rsid w:val="7F10316E"/>
    <w:rsid w:val="7F112989"/>
    <w:rsid w:val="7F115E49"/>
    <w:rsid w:val="7F1205D4"/>
    <w:rsid w:val="7F1219E1"/>
    <w:rsid w:val="7F157938"/>
    <w:rsid w:val="7F160BF6"/>
    <w:rsid w:val="7F17671C"/>
    <w:rsid w:val="7F192494"/>
    <w:rsid w:val="7F1B26B0"/>
    <w:rsid w:val="7F1D5754"/>
    <w:rsid w:val="7F214AE0"/>
    <w:rsid w:val="7F223597"/>
    <w:rsid w:val="7F236625"/>
    <w:rsid w:val="7F285F22"/>
    <w:rsid w:val="7F286B7B"/>
    <w:rsid w:val="7F29611F"/>
    <w:rsid w:val="7F2D390A"/>
    <w:rsid w:val="7F2F3A66"/>
    <w:rsid w:val="7F3178E6"/>
    <w:rsid w:val="7F361093"/>
    <w:rsid w:val="7F371041"/>
    <w:rsid w:val="7F3C5718"/>
    <w:rsid w:val="7F3E639F"/>
    <w:rsid w:val="7F3F45EC"/>
    <w:rsid w:val="7F4260C1"/>
    <w:rsid w:val="7F494EC2"/>
    <w:rsid w:val="7F4F5E8E"/>
    <w:rsid w:val="7F5C2DC9"/>
    <w:rsid w:val="7F5E434B"/>
    <w:rsid w:val="7F601E71"/>
    <w:rsid w:val="7F6345E2"/>
    <w:rsid w:val="7F682D6B"/>
    <w:rsid w:val="7F6B6885"/>
    <w:rsid w:val="7F6D4D5F"/>
    <w:rsid w:val="7F6E35B7"/>
    <w:rsid w:val="7F744EB3"/>
    <w:rsid w:val="7F75017D"/>
    <w:rsid w:val="7F753593"/>
    <w:rsid w:val="7F766A8F"/>
    <w:rsid w:val="7F7815C9"/>
    <w:rsid w:val="7F784977"/>
    <w:rsid w:val="7F7A0779"/>
    <w:rsid w:val="7F7C23C6"/>
    <w:rsid w:val="7F7D722D"/>
    <w:rsid w:val="7F850890"/>
    <w:rsid w:val="7F86491F"/>
    <w:rsid w:val="7F894946"/>
    <w:rsid w:val="7F8C2A9F"/>
    <w:rsid w:val="7F8E0DA1"/>
    <w:rsid w:val="7F9070CE"/>
    <w:rsid w:val="7F921C01"/>
    <w:rsid w:val="7F933E41"/>
    <w:rsid w:val="7F96164C"/>
    <w:rsid w:val="7F977AF3"/>
    <w:rsid w:val="7F9A610E"/>
    <w:rsid w:val="7F9D2B4A"/>
    <w:rsid w:val="7F9D3213"/>
    <w:rsid w:val="7F9D68BB"/>
    <w:rsid w:val="7F9F3680"/>
    <w:rsid w:val="7FA06711"/>
    <w:rsid w:val="7FA2248A"/>
    <w:rsid w:val="7FAB7D7C"/>
    <w:rsid w:val="7FAF1BE2"/>
    <w:rsid w:val="7FB126D0"/>
    <w:rsid w:val="7FB34697"/>
    <w:rsid w:val="7FB803BA"/>
    <w:rsid w:val="7FB977D3"/>
    <w:rsid w:val="7FBC1776"/>
    <w:rsid w:val="7FBC23AB"/>
    <w:rsid w:val="7FBD1D96"/>
    <w:rsid w:val="7FBD218C"/>
    <w:rsid w:val="7FC00B62"/>
    <w:rsid w:val="7FC04692"/>
    <w:rsid w:val="7FC132B1"/>
    <w:rsid w:val="7FC14B0D"/>
    <w:rsid w:val="7FC15B1B"/>
    <w:rsid w:val="7FC44AF6"/>
    <w:rsid w:val="7FCC682E"/>
    <w:rsid w:val="7FCD6C22"/>
    <w:rsid w:val="7FCE14D1"/>
    <w:rsid w:val="7FD06BE5"/>
    <w:rsid w:val="7FD15524"/>
    <w:rsid w:val="7FD3207C"/>
    <w:rsid w:val="7FD376DA"/>
    <w:rsid w:val="7FD4460D"/>
    <w:rsid w:val="7FD57C56"/>
    <w:rsid w:val="7FDB3BED"/>
    <w:rsid w:val="7FDB75CA"/>
    <w:rsid w:val="7FDD6455"/>
    <w:rsid w:val="7FDE6A78"/>
    <w:rsid w:val="7FDF5CF8"/>
    <w:rsid w:val="7FE02FB2"/>
    <w:rsid w:val="7FE17FCC"/>
    <w:rsid w:val="7FE505A7"/>
    <w:rsid w:val="7FE717E7"/>
    <w:rsid w:val="7FE94F61"/>
    <w:rsid w:val="7FEB71F4"/>
    <w:rsid w:val="7FEC5B37"/>
    <w:rsid w:val="7FEE1B73"/>
    <w:rsid w:val="7FEE1FE2"/>
    <w:rsid w:val="7FEF286A"/>
    <w:rsid w:val="7FF30190"/>
    <w:rsid w:val="7FF41395"/>
    <w:rsid w:val="7FF6229D"/>
    <w:rsid w:val="7FF75F52"/>
    <w:rsid w:val="7FF82696"/>
    <w:rsid w:val="7FF928A5"/>
    <w:rsid w:val="7FFB0CC9"/>
    <w:rsid w:val="7FFB61F5"/>
    <w:rsid w:val="7FFC4290"/>
    <w:rsid w:val="7FFE5D60"/>
    <w:rsid w:val="7FFE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9"/>
    <w:pPr>
      <w:keepLines/>
      <w:spacing w:beforeLines="50" w:line="500" w:lineRule="atLeast"/>
      <w:outlineLvl w:val="1"/>
    </w:pPr>
    <w:rPr>
      <w:rFonts w:ascii="宋体" w:hAnsi="宋体"/>
      <w:b/>
      <w:bCs/>
      <w:sz w:val="28"/>
      <w:szCs w:val="21"/>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qFormat/>
    <w:uiPriority w:val="0"/>
    <w:pPr>
      <w:spacing w:before="280" w:after="290" w:line="372" w:lineRule="auto"/>
      <w:outlineLvl w:val="3"/>
    </w:pPr>
    <w:rPr>
      <w:rFonts w:ascii="Arial" w:hAnsi="Arial" w:eastAsia="黑体"/>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uto"/>
      <w:jc w:val="both"/>
    </w:pPr>
    <w:rPr>
      <w:rFonts w:ascii="宋体" w:hAnsi="宋体" w:eastAsia="宋体" w:cs="宋体"/>
      <w:color w:val="000000"/>
      <w:sz w:val="24"/>
      <w:szCs w:val="24"/>
      <w:lang w:val="en-US" w:eastAsia="zh-CN" w:bidi="ar-SA"/>
    </w:rPr>
  </w:style>
  <w:style w:type="paragraph" w:styleId="3">
    <w:name w:val="List 3"/>
    <w:basedOn w:val="1"/>
    <w:next w:val="1"/>
    <w:qFormat/>
    <w:uiPriority w:val="0"/>
    <w:pPr>
      <w:snapToGrid w:val="0"/>
      <w:spacing w:line="360" w:lineRule="auto"/>
    </w:pPr>
    <w:rPr>
      <w:rFonts w:ascii="Calibri" w:hAnsi="Calibri" w:cs="宋体"/>
      <w:sz w:val="24"/>
    </w:rPr>
  </w:style>
  <w:style w:type="paragraph" w:styleId="8">
    <w:name w:val="Normal Indent"/>
    <w:basedOn w:val="1"/>
    <w:next w:val="1"/>
    <w:qFormat/>
    <w:uiPriority w:val="0"/>
    <w:pPr>
      <w:ind w:firstLine="420"/>
    </w:pPr>
    <w:rPr>
      <w:rFonts w:ascii="宋体" w:hAnsi="宋体"/>
      <w:sz w:val="26"/>
    </w:rPr>
  </w:style>
  <w:style w:type="paragraph" w:styleId="9">
    <w:name w:val="annotation text"/>
    <w:basedOn w:val="1"/>
    <w:link w:val="53"/>
    <w:semiHidden/>
    <w:unhideWhenUsed/>
    <w:qFormat/>
    <w:uiPriority w:val="99"/>
    <w:pPr>
      <w:jc w:val="left"/>
    </w:pPr>
  </w:style>
  <w:style w:type="paragraph" w:styleId="10">
    <w:name w:val="Body Text"/>
    <w:basedOn w:val="1"/>
    <w:next w:val="1"/>
    <w:qFormat/>
    <w:uiPriority w:val="0"/>
    <w:pPr>
      <w:widowControl/>
      <w:snapToGrid w:val="0"/>
      <w:spacing w:line="360" w:lineRule="auto"/>
    </w:pPr>
    <w:rPr>
      <w:kern w:val="0"/>
    </w:rPr>
  </w:style>
  <w:style w:type="paragraph" w:styleId="11">
    <w:name w:val="Body Text Indent"/>
    <w:basedOn w:val="1"/>
    <w:next w:val="12"/>
    <w:qFormat/>
    <w:uiPriority w:val="0"/>
    <w:pPr>
      <w:spacing w:after="120"/>
      <w:ind w:left="420" w:leftChars="200"/>
    </w:pPr>
  </w:style>
  <w:style w:type="paragraph" w:customStyle="1" w:styleId="1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rFonts w:cs="Dutch801 Rm BT"/>
      <w:b/>
      <w:sz w:val="28"/>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55"/>
    <w:semiHidden/>
    <w:unhideWhenUsed/>
    <w:qFormat/>
    <w:uiPriority w:val="99"/>
    <w:rPr>
      <w:sz w:val="18"/>
      <w:szCs w:val="18"/>
    </w:rPr>
  </w:style>
  <w:style w:type="paragraph" w:styleId="17">
    <w:name w:val="footer"/>
    <w:basedOn w:val="1"/>
    <w:link w:val="30"/>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link w:val="31"/>
    <w:qFormat/>
    <w:uiPriority w:val="0"/>
    <w:pPr>
      <w:widowControl/>
      <w:spacing w:before="100" w:beforeAutospacing="1" w:after="100" w:afterAutospacing="1"/>
      <w:jc w:val="left"/>
    </w:pPr>
    <w:rPr>
      <w:rFonts w:ascii="宋体" w:hAnsi="宋体" w:cstheme="minorBidi"/>
      <w:sz w:val="24"/>
      <w:szCs w:val="22"/>
    </w:rPr>
  </w:style>
  <w:style w:type="paragraph" w:styleId="20">
    <w:name w:val="annotation subject"/>
    <w:basedOn w:val="9"/>
    <w:next w:val="9"/>
    <w:link w:val="54"/>
    <w:semiHidden/>
    <w:unhideWhenUsed/>
    <w:qFormat/>
    <w:uiPriority w:val="99"/>
    <w:rPr>
      <w:b/>
      <w:bCs/>
    </w:rPr>
  </w:style>
  <w:style w:type="paragraph" w:styleId="21">
    <w:name w:val="Body Text First Indent 2"/>
    <w:basedOn w:val="11"/>
    <w:next w:val="1"/>
    <w:qFormat/>
    <w:uiPriority w:val="0"/>
    <w:pPr>
      <w:ind w:firstLine="21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rPr>
  </w:style>
  <w:style w:type="paragraph" w:customStyle="1" w:styleId="28">
    <w:name w:val="环评正文"/>
    <w:basedOn w:val="1"/>
    <w:qFormat/>
    <w:uiPriority w:val="3"/>
    <w:pPr>
      <w:spacing w:line="480" w:lineRule="exact"/>
      <w:ind w:firstLine="520" w:firstLineChars="200"/>
    </w:pPr>
    <w:rPr>
      <w:sz w:val="26"/>
    </w:rPr>
  </w:style>
  <w:style w:type="paragraph" w:customStyle="1" w:styleId="29">
    <w:name w:val="Char1"/>
    <w:basedOn w:val="1"/>
    <w:qFormat/>
    <w:uiPriority w:val="0"/>
    <w:pPr>
      <w:spacing w:line="360" w:lineRule="auto"/>
      <w:ind w:firstLine="200" w:firstLineChars="200"/>
    </w:pPr>
    <w:rPr>
      <w:rFonts w:ascii="宋体" w:hAnsi="宋体" w:cs="宋体"/>
      <w:sz w:val="24"/>
    </w:rPr>
  </w:style>
  <w:style w:type="character" w:customStyle="1" w:styleId="30">
    <w:name w:val="页脚 Char"/>
    <w:link w:val="17"/>
    <w:qFormat/>
    <w:locked/>
    <w:uiPriority w:val="99"/>
    <w:rPr>
      <w:sz w:val="18"/>
    </w:rPr>
  </w:style>
  <w:style w:type="character" w:customStyle="1" w:styleId="31">
    <w:name w:val="普通(网站) Char"/>
    <w:link w:val="19"/>
    <w:qFormat/>
    <w:locked/>
    <w:uiPriority w:val="0"/>
    <w:rPr>
      <w:rFonts w:ascii="宋体" w:hAnsi="宋体" w:eastAsia="宋体"/>
      <w:sz w:val="24"/>
    </w:rPr>
  </w:style>
  <w:style w:type="character" w:customStyle="1" w:styleId="32">
    <w:name w:val="表格 Char"/>
    <w:link w:val="33"/>
    <w:qFormat/>
    <w:locked/>
    <w:uiPriority w:val="0"/>
    <w:rPr>
      <w:rFonts w:ascii="宋体"/>
    </w:rPr>
  </w:style>
  <w:style w:type="paragraph" w:customStyle="1" w:styleId="33">
    <w:name w:val="表格"/>
    <w:basedOn w:val="1"/>
    <w:next w:val="1"/>
    <w:link w:val="32"/>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34">
    <w:name w:val="页脚 Char1"/>
    <w:basedOn w:val="24"/>
    <w:semiHidden/>
    <w:qFormat/>
    <w:uiPriority w:val="99"/>
    <w:rPr>
      <w:rFonts w:ascii="Times New Roman" w:hAnsi="Times New Roman" w:eastAsia="宋体" w:cs="Times New Roman"/>
      <w:sz w:val="18"/>
      <w:szCs w:val="18"/>
    </w:rPr>
  </w:style>
  <w:style w:type="paragraph" w:customStyle="1" w:styleId="35">
    <w:name w:val="正文文本 21"/>
    <w:basedOn w:val="1"/>
    <w:qFormat/>
    <w:uiPriority w:val="0"/>
    <w:pPr>
      <w:adjustRightInd w:val="0"/>
      <w:ind w:firstLine="480"/>
    </w:pPr>
    <w:rPr>
      <w:rFonts w:ascii="宋体"/>
      <w:kern w:val="0"/>
      <w:sz w:val="24"/>
    </w:rPr>
  </w:style>
  <w:style w:type="paragraph" w:customStyle="1" w:styleId="36">
    <w:name w:val="正文 首行缩进:  2 字符"/>
    <w:basedOn w:val="1"/>
    <w:qFormat/>
    <w:uiPriority w:val="0"/>
    <w:pPr>
      <w:autoSpaceDE w:val="0"/>
      <w:autoSpaceDN w:val="0"/>
      <w:adjustRightInd w:val="0"/>
      <w:snapToGrid w:val="0"/>
      <w:spacing w:line="360" w:lineRule="auto"/>
      <w:ind w:firstLine="480" w:firstLineChars="200"/>
      <w:outlineLvl w:val="0"/>
    </w:pPr>
    <w:rPr>
      <w:rFonts w:ascii="宋体" w:hAnsi="宋体"/>
      <w:color w:val="000000"/>
      <w:sz w:val="24"/>
    </w:rPr>
  </w:style>
  <w:style w:type="paragraph" w:customStyle="1" w:styleId="37">
    <w:name w:val="表格内容"/>
    <w:basedOn w:val="1"/>
    <w:qFormat/>
    <w:uiPriority w:val="0"/>
    <w:pPr>
      <w:spacing w:line="360" w:lineRule="exact"/>
      <w:jc w:val="center"/>
    </w:pPr>
    <w:rPr>
      <w:sz w:val="24"/>
    </w:rPr>
  </w:style>
  <w:style w:type="paragraph" w:customStyle="1" w:styleId="38">
    <w:name w:val="列出段落1"/>
    <w:basedOn w:val="1"/>
    <w:qFormat/>
    <w:uiPriority w:val="0"/>
    <w:pPr>
      <w:ind w:firstLine="420" w:firstLineChars="200"/>
    </w:pPr>
    <w:rPr>
      <w:rFonts w:ascii="Calibri" w:hAnsi="Calibri" w:cs="黑体"/>
      <w:szCs w:val="22"/>
    </w:rPr>
  </w:style>
  <w:style w:type="paragraph" w:customStyle="1" w:styleId="39">
    <w:name w:val="L表内容"/>
    <w:basedOn w:val="1"/>
    <w:qFormat/>
    <w:uiPriority w:val="0"/>
    <w:pPr>
      <w:spacing w:line="240" w:lineRule="atLeast"/>
      <w:jc w:val="center"/>
    </w:pPr>
    <w:rPr>
      <w:szCs w:val="21"/>
    </w:rPr>
  </w:style>
  <w:style w:type="paragraph" w:customStyle="1" w:styleId="40">
    <w:name w:val="xl31"/>
    <w:basedOn w:val="1"/>
    <w:qFormat/>
    <w:uiPriority w:val="0"/>
    <w:pPr>
      <w:widowControl/>
      <w:spacing w:before="100" w:beforeAutospacing="1" w:after="100" w:afterAutospacing="1"/>
      <w:jc w:val="center"/>
    </w:pPr>
    <w:rPr>
      <w:rFonts w:cs="Dutch801 Rm BT"/>
      <w:kern w:val="0"/>
      <w:sz w:val="24"/>
    </w:rPr>
  </w:style>
  <w:style w:type="paragraph" w:customStyle="1" w:styleId="41">
    <w:name w:val="123正文"/>
    <w:basedOn w:val="1"/>
    <w:qFormat/>
    <w:uiPriority w:val="0"/>
    <w:pPr>
      <w:ind w:firstLine="480"/>
    </w:pPr>
  </w:style>
  <w:style w:type="paragraph" w:customStyle="1" w:styleId="42">
    <w:name w:val="V表格文本"/>
    <w:basedOn w:val="1"/>
    <w:next w:val="1"/>
    <w:qFormat/>
    <w:uiPriority w:val="1"/>
    <w:pPr>
      <w:spacing w:line="320" w:lineRule="atLeast"/>
      <w:jc w:val="center"/>
    </w:pPr>
    <w:rPr>
      <w:kern w:val="0"/>
      <w:szCs w:val="20"/>
    </w:rPr>
  </w:style>
  <w:style w:type="character" w:customStyle="1" w:styleId="43">
    <w:name w:val="font71"/>
    <w:basedOn w:val="24"/>
    <w:qFormat/>
    <w:uiPriority w:val="0"/>
    <w:rPr>
      <w:rFonts w:hint="default" w:ascii="Times New Roman" w:hAnsi="Times New Roman" w:cs="Times New Roman"/>
      <w:color w:val="000000"/>
      <w:sz w:val="21"/>
      <w:szCs w:val="21"/>
      <w:u w:val="none"/>
      <w:vertAlign w:val="subscript"/>
    </w:rPr>
  </w:style>
  <w:style w:type="paragraph" w:customStyle="1" w:styleId="44">
    <w:name w:val="0正文缩"/>
    <w:basedOn w:val="1"/>
    <w:qFormat/>
    <w:uiPriority w:val="0"/>
    <w:pPr>
      <w:adjustRightInd w:val="0"/>
      <w:snapToGrid w:val="0"/>
      <w:spacing w:line="460" w:lineRule="exact"/>
      <w:ind w:firstLine="200" w:firstLineChars="200"/>
    </w:pPr>
    <w:rPr>
      <w:kern w:val="0"/>
      <w:sz w:val="24"/>
      <w:szCs w:val="21"/>
    </w:rPr>
  </w:style>
  <w:style w:type="paragraph" w:customStyle="1" w:styleId="45">
    <w:name w:val="Body Text 22"/>
    <w:basedOn w:val="1"/>
    <w:qFormat/>
    <w:uiPriority w:val="0"/>
    <w:pPr>
      <w:adjustRightInd w:val="0"/>
      <w:spacing w:line="440" w:lineRule="atLeast"/>
      <w:ind w:firstLine="480"/>
      <w:textAlignment w:val="baseline"/>
    </w:pPr>
    <w:rPr>
      <w:rFonts w:eastAsia="仿宋_GB2312" w:cs="Dutch801 Rm BT"/>
      <w:sz w:val="24"/>
      <w:szCs w:val="20"/>
    </w:rPr>
  </w:style>
  <w:style w:type="paragraph" w:customStyle="1" w:styleId="46">
    <w:name w:val="p0"/>
    <w:basedOn w:val="1"/>
    <w:qFormat/>
    <w:uiPriority w:val="0"/>
    <w:pPr>
      <w:widowControl/>
    </w:pPr>
    <w:rPr>
      <w:kern w:val="0"/>
      <w:szCs w:val="21"/>
    </w:rPr>
  </w:style>
  <w:style w:type="paragraph" w:customStyle="1" w:styleId="47">
    <w:name w:val="4小表"/>
    <w:basedOn w:val="1"/>
    <w:qFormat/>
    <w:uiPriority w:val="0"/>
    <w:pPr>
      <w:adjustRightInd w:val="0"/>
      <w:snapToGrid w:val="0"/>
      <w:jc w:val="center"/>
    </w:pPr>
    <w:rPr>
      <w:kern w:val="0"/>
      <w:szCs w:val="21"/>
    </w:rPr>
  </w:style>
  <w:style w:type="paragraph" w:customStyle="1" w:styleId="48">
    <w:name w:val="L正文"/>
    <w:basedOn w:val="1"/>
    <w:qFormat/>
    <w:uiPriority w:val="0"/>
    <w:pPr>
      <w:adjustRightInd w:val="0"/>
      <w:snapToGrid w:val="0"/>
      <w:spacing w:line="460" w:lineRule="exact"/>
      <w:ind w:firstLine="200" w:firstLineChars="200"/>
      <w:jc w:val="left"/>
    </w:pPr>
    <w:rPr>
      <w:sz w:val="24"/>
    </w:rPr>
  </w:style>
  <w:style w:type="paragraph" w:customStyle="1" w:styleId="49">
    <w:name w:val="Table Paragraph"/>
    <w:basedOn w:val="1"/>
    <w:qFormat/>
    <w:uiPriority w:val="1"/>
    <w:pPr>
      <w:autoSpaceDE w:val="0"/>
      <w:autoSpaceDN w:val="0"/>
      <w:adjustRightInd w:val="0"/>
      <w:spacing w:line="360" w:lineRule="auto"/>
      <w:ind w:firstLine="643" w:firstLineChars="200"/>
      <w:jc w:val="left"/>
    </w:pPr>
    <w:rPr>
      <w:kern w:val="0"/>
      <w:sz w:val="24"/>
    </w:rPr>
  </w:style>
  <w:style w:type="paragraph" w:customStyle="1" w:styleId="50">
    <w:name w:val="表格正文"/>
    <w:basedOn w:val="1"/>
    <w:qFormat/>
    <w:uiPriority w:val="0"/>
    <w:pPr>
      <w:spacing w:line="360" w:lineRule="exact"/>
      <w:jc w:val="center"/>
    </w:pPr>
  </w:style>
  <w:style w:type="paragraph" w:customStyle="1" w:styleId="51">
    <w:name w:val="Other|1"/>
    <w:basedOn w:val="1"/>
    <w:qFormat/>
    <w:uiPriority w:val="0"/>
    <w:pPr>
      <w:spacing w:after="150" w:line="480" w:lineRule="auto"/>
      <w:ind w:firstLine="400"/>
      <w:jc w:val="left"/>
    </w:pPr>
    <w:rPr>
      <w:rFonts w:ascii="宋体" w:hAnsi="宋体" w:cs="宋体"/>
      <w:kern w:val="0"/>
      <w:sz w:val="19"/>
      <w:szCs w:val="19"/>
      <w:lang w:val="zh-TW" w:eastAsia="zh-TW" w:bidi="zh-TW"/>
    </w:rPr>
  </w:style>
  <w:style w:type="paragraph" w:customStyle="1" w:styleId="52">
    <w:name w:val="正文01"/>
    <w:basedOn w:val="1"/>
    <w:qFormat/>
    <w:uiPriority w:val="0"/>
    <w:pPr>
      <w:autoSpaceDE w:val="0"/>
      <w:autoSpaceDN w:val="0"/>
      <w:adjustRightInd w:val="0"/>
      <w:spacing w:line="360" w:lineRule="auto"/>
      <w:ind w:firstLine="482"/>
      <w:textAlignment w:val="baseline"/>
    </w:pPr>
    <w:rPr>
      <w:kern w:val="0"/>
      <w:sz w:val="24"/>
      <w:szCs w:val="20"/>
    </w:rPr>
  </w:style>
  <w:style w:type="character" w:customStyle="1" w:styleId="53">
    <w:name w:val="批注文字 Char"/>
    <w:basedOn w:val="24"/>
    <w:link w:val="9"/>
    <w:semiHidden/>
    <w:qFormat/>
    <w:uiPriority w:val="99"/>
    <w:rPr>
      <w:kern w:val="2"/>
      <w:sz w:val="21"/>
      <w:szCs w:val="24"/>
    </w:rPr>
  </w:style>
  <w:style w:type="character" w:customStyle="1" w:styleId="54">
    <w:name w:val="批注主题 Char"/>
    <w:basedOn w:val="53"/>
    <w:link w:val="20"/>
    <w:semiHidden/>
    <w:qFormat/>
    <w:uiPriority w:val="99"/>
    <w:rPr>
      <w:b/>
      <w:bCs/>
      <w:kern w:val="2"/>
      <w:sz w:val="21"/>
      <w:szCs w:val="24"/>
    </w:rPr>
  </w:style>
  <w:style w:type="character" w:customStyle="1" w:styleId="55">
    <w:name w:val="批注框文本 Char"/>
    <w:basedOn w:val="24"/>
    <w:link w:val="16"/>
    <w:semiHidden/>
    <w:qFormat/>
    <w:uiPriority w:val="99"/>
    <w:rPr>
      <w:kern w:val="2"/>
      <w:sz w:val="18"/>
      <w:szCs w:val="18"/>
    </w:rPr>
  </w:style>
  <w:style w:type="paragraph" w:styleId="56">
    <w:name w:val="List Paragraph"/>
    <w:basedOn w:val="1"/>
    <w:qFormat/>
    <w:uiPriority w:val="99"/>
    <w:pPr>
      <w:ind w:firstLine="420" w:firstLineChars="200"/>
    </w:pPr>
  </w:style>
  <w:style w:type="paragraph" w:customStyle="1" w:styleId="57">
    <w:name w:val="表格填充1"/>
    <w:basedOn w:val="1"/>
    <w:qFormat/>
    <w:uiPriority w:val="0"/>
    <w:pPr>
      <w:adjustRightInd w:val="0"/>
      <w:snapToGrid w:val="0"/>
      <w:spacing w:line="400" w:lineRule="exact"/>
      <w:jc w:val="center"/>
    </w:pPr>
    <w:rPr>
      <w:snapToGrid w:val="0"/>
      <w:kern w:val="0"/>
      <w:szCs w:val="18"/>
    </w:rPr>
  </w:style>
  <w:style w:type="paragraph" w:customStyle="1" w:styleId="58">
    <w:name w:val="Char11"/>
    <w:basedOn w:val="1"/>
    <w:qFormat/>
    <w:uiPriority w:val="0"/>
    <w:pPr>
      <w:spacing w:line="360" w:lineRule="auto"/>
      <w:ind w:firstLine="200" w:firstLineChars="200"/>
    </w:pPr>
    <w:rPr>
      <w:rFonts w:ascii="宋体" w:hAnsi="宋体" w:cs="宋体"/>
      <w:sz w:val="24"/>
    </w:rPr>
  </w:style>
  <w:style w:type="paragraph" w:customStyle="1" w:styleId="59">
    <w:name w:val="BGZW"/>
    <w:qFormat/>
    <w:uiPriority w:val="0"/>
    <w:pPr>
      <w:widowControl w:val="0"/>
      <w:spacing w:line="360" w:lineRule="auto"/>
      <w:ind w:firstLine="480" w:firstLineChars="200"/>
      <w:jc w:val="both"/>
    </w:pPr>
    <w:rPr>
      <w:rFonts w:ascii="Times New Roman" w:hAnsi="Times New Roman" w:eastAsia="宋体" w:cs="宋体"/>
      <w:snapToGrid w:val="0"/>
      <w:sz w:val="24"/>
      <w:lang w:val="en-US" w:eastAsia="zh-CN" w:bidi="ar-SA"/>
    </w:rPr>
  </w:style>
  <w:style w:type="paragraph" w:customStyle="1" w:styleId="60">
    <w:name w:val="正文（陈闻文）"/>
    <w:basedOn w:val="10"/>
    <w:qFormat/>
    <w:uiPriority w:val="0"/>
    <w:pPr>
      <w:overflowPunct w:val="0"/>
      <w:topLinePunct/>
      <w:autoSpaceDE w:val="0"/>
      <w:autoSpaceDN w:val="0"/>
      <w:ind w:firstLine="482"/>
    </w:pPr>
    <w:rPr>
      <w:rFonts w:eastAsiaTheme="minorEastAsia"/>
      <w:sz w:val="24"/>
    </w:rPr>
  </w:style>
  <w:style w:type="paragraph" w:customStyle="1" w:styleId="61">
    <w:name w:val="表内文字（陈闻文）"/>
    <w:qFormat/>
    <w:uiPriority w:val="0"/>
    <w:pPr>
      <w:widowControl w:val="0"/>
      <w:spacing w:line="200" w:lineRule="atLeast"/>
      <w:jc w:val="center"/>
    </w:pPr>
    <w:rPr>
      <w:rFonts w:ascii="Times New Roman" w:hAnsi="Times New Roman" w:eastAsia="宋体" w:cs="Calibri"/>
      <w:color w:val="000000"/>
      <w:kern w:val="2"/>
      <w:sz w:val="21"/>
      <w:szCs w:val="22"/>
      <w:lang w:val="en-US" w:eastAsia="zh-CN" w:bidi="ar-SA"/>
    </w:rPr>
  </w:style>
  <w:style w:type="paragraph" w:customStyle="1" w:styleId="62">
    <w:name w:val="表"/>
    <w:basedOn w:val="8"/>
    <w:qFormat/>
    <w:uiPriority w:val="0"/>
    <w:pPr>
      <w:tabs>
        <w:tab w:val="left" w:pos="1736"/>
        <w:tab w:val="left" w:pos="2476"/>
        <w:tab w:val="left" w:pos="5505"/>
        <w:tab w:val="left" w:pos="9692"/>
      </w:tabs>
      <w:spacing w:line="360" w:lineRule="exact"/>
      <w:jc w:val="center"/>
    </w:pPr>
    <w:rPr>
      <w:snapToGrid w:val="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1.jpeg"/><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png"/><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image" Target="media/image7.emf"/><Relationship Id="rId16" Type="http://schemas.openxmlformats.org/officeDocument/2006/relationships/oleObject" Target="embeddings/oleObject5.bin"/><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1C7B-AF92-458A-92C4-83F565A820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44613</Words>
  <Characters>51400</Characters>
  <Lines>408</Lines>
  <Paragraphs>114</Paragraphs>
  <TotalTime>0</TotalTime>
  <ScaleCrop>false</ScaleCrop>
  <LinksUpToDate>false</LinksUpToDate>
  <CharactersWithSpaces>51538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2023-05-24T03:59:00Z</dcterms:created>
  <dc:creator>Administrator</dc:creator>
  <cp:lastModifiedBy>TongLiang</cp:lastModifiedBy>
  <cp:lastPrinted>2021-10-18T04:59:00Z</cp:lastPrinted>
  <dcterms:modified xsi:type="dcterms:W3CDTF">2025-02-08T03:44:55Z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C61B8003F97D4DDD9595F6933DD0B29A</vt:lpwstr>
  </property>
</Properties>
</file>