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9C0E3">
      <w:pPr>
        <w:keepNext w:val="0"/>
        <w:keepLines w:val="0"/>
        <w:pageBreakBefore w:val="0"/>
        <w:widowControl w:val="0"/>
        <w:kinsoku/>
        <w:wordWrap/>
        <w:overflowPunct/>
        <w:topLinePunct w:val="0"/>
        <w:autoSpaceDE/>
        <w:autoSpaceDN/>
        <w:bidi w:val="0"/>
        <w:adjustRightInd w:val="0"/>
        <w:snapToGrid w:val="0"/>
        <w:spacing w:before="156" w:beforeLines="50" w:after="0" w:line="570" w:lineRule="exact"/>
        <w:ind w:left="0" w:right="0" w:firstLine="0" w:firstLineChars="0"/>
        <w:jc w:val="center"/>
        <w:textAlignment w:val="auto"/>
        <w:rPr>
          <w:rFonts w:hint="default" w:ascii="Times New Roman" w:hAnsi="Times New Roman" w:cs="Times New Roman"/>
          <w:w w:val="100"/>
          <w:kern w:val="2"/>
          <w:sz w:val="32"/>
          <w:szCs w:val="32"/>
          <w:lang w:val="en-US" w:bidi="ar-SA"/>
        </w:rPr>
      </w:pPr>
      <w:r>
        <w:rPr>
          <w:rFonts w:cs="Times New Roman"/>
          <w:w w:val="100"/>
          <w:kern w:val="2"/>
          <w:sz w:val="32"/>
          <w:szCs w:val="24"/>
          <w:lang w:val="en-US" w:bidi="ar-SA"/>
        </w:rPr>
        <mc:AlternateContent>
          <mc:Choice Requires="wps">
            <w:drawing>
              <wp:anchor distT="0" distB="0" distL="114300" distR="114300" simplePos="0" relativeHeight="251661312" behindDoc="0" locked="0" layoutInCell="1" allowOverlap="1">
                <wp:simplePos x="0" y="0"/>
                <wp:positionH relativeFrom="margin">
                  <wp:posOffset>56515</wp:posOffset>
                </wp:positionH>
                <wp:positionV relativeFrom="line">
                  <wp:posOffset>343535</wp:posOffset>
                </wp:positionV>
                <wp:extent cx="5615940" cy="635"/>
                <wp:effectExtent l="0" t="0" r="0" b="0"/>
                <wp:wrapNone/>
                <wp:docPr id="1" name="直线 13"/>
                <wp:cNvGraphicFramePr/>
                <a:graphic xmlns:a="http://schemas.openxmlformats.org/drawingml/2006/main">
                  <a:graphicData uri="http://schemas.microsoft.com/office/word/2010/wordprocessingShape">
                    <wps:wsp>
                      <wps:cNvCnPr/>
                      <wps:spPr>
                        <a:xfrm>
                          <a:off x="0" y="0"/>
                          <a:ext cx="5615940" cy="635"/>
                        </a:xfrm>
                        <a:prstGeom prst="line">
                          <a:avLst/>
                        </a:prstGeom>
                        <a:ln w="17999" cap="flat" cmpd="sng">
                          <a:solidFill>
                            <a:srgbClr val="FF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4.45pt;margin-top:27.05pt;height:0.05pt;width:442.2pt;mso-position-horizontal-relative:margin;mso-position-vertical-relative:line;z-index:251661312;mso-width-relative:page;mso-height-relative:page;" filled="f" stroked="t" coordsize="21600,21600" o:gfxdata="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oE&#10;DwzWAAAABwEAAA8AAAAAAAAAAQAgAAAAIgAAAGRycy9kb3ducmV2LnhtbFBLAQIUABQAAAAIAIdO&#10;4kC010L77AEAAN8DAAAOAAAAAAAAAAEAIAAAACUBAABkcnMvZTJvRG9jLnhtbFBLBQYAAAAABgAG&#10;AFkBAACDBQAAAAA=&#10;">
                <v:fill on="f" focussize="0,0"/>
                <v:stroke weight="1.41724409448819pt" color="#FF0000" joinstyle="round"/>
                <v:imagedata o:title=""/>
                <o:lock v:ext="edit" aspectratio="f"/>
              </v:line>
            </w:pict>
          </mc:Fallback>
        </mc:AlternateContent>
      </w:r>
      <w:r>
        <w:rPr>
          <w:rFonts w:hint="eastAsia" w:ascii="方正仿宋_GBK" w:hAnsi="方正仿宋_GBK" w:eastAsia="方正仿宋_GBK" w:cs="方正仿宋_GBK"/>
          <w:w w:val="100"/>
          <w:kern w:val="2"/>
          <w:sz w:val="32"/>
          <w:szCs w:val="32"/>
          <w:lang w:val="en-US" w:bidi="ar-SA"/>
        </w:rPr>
        <w:t>渝（铜）环准</w:t>
      </w:r>
      <w:r>
        <w:rPr>
          <w:rFonts w:hint="default" w:ascii="Times New Roman" w:hAnsi="Times New Roman" w:eastAsia="方正仿宋_GBK" w:cs="Times New Roman"/>
          <w:w w:val="100"/>
          <w:kern w:val="2"/>
          <w:sz w:val="32"/>
          <w:szCs w:val="32"/>
          <w:lang w:val="en-US" w:bidi="ar-SA"/>
        </w:rPr>
        <w:t>〔20</w:t>
      </w:r>
      <w:r>
        <w:rPr>
          <w:rFonts w:hint="eastAsia" w:ascii="Times New Roman" w:hAnsi="Times New Roman" w:cs="Times New Roman"/>
          <w:w w:val="100"/>
          <w:kern w:val="2"/>
          <w:sz w:val="32"/>
          <w:szCs w:val="32"/>
          <w:lang w:val="en-US" w:eastAsia="zh-CN" w:bidi="ar-SA"/>
        </w:rPr>
        <w:t>24</w:t>
      </w:r>
      <w:r>
        <w:rPr>
          <w:rFonts w:hint="default" w:ascii="Times New Roman" w:hAnsi="Times New Roman" w:eastAsia="方正仿宋_GBK" w:cs="Times New Roman"/>
          <w:w w:val="100"/>
          <w:kern w:val="2"/>
          <w:sz w:val="32"/>
          <w:szCs w:val="32"/>
          <w:lang w:val="en-US" w:bidi="ar-SA"/>
        </w:rPr>
        <w:t>〕</w:t>
      </w:r>
      <w:r>
        <w:rPr>
          <w:rFonts w:hint="eastAsia" w:ascii="Times New Roman" w:hAnsi="Times New Roman" w:cs="Times New Roman"/>
          <w:w w:val="100"/>
          <w:kern w:val="2"/>
          <w:sz w:val="32"/>
          <w:szCs w:val="32"/>
          <w:lang w:val="en-US" w:eastAsia="zh-CN" w:bidi="ar-SA"/>
        </w:rPr>
        <w:t>59</w:t>
      </w:r>
      <w:r>
        <w:rPr>
          <w:rFonts w:hint="default" w:ascii="Times New Roman" w:hAnsi="Times New Roman" w:eastAsia="方正仿宋_GBK" w:cs="Times New Roman"/>
          <w:w w:val="100"/>
          <w:kern w:val="2"/>
          <w:sz w:val="32"/>
          <w:szCs w:val="32"/>
          <w:lang w:val="en-US" w:bidi="ar-SA"/>
        </w:rPr>
        <w:t>号</w:t>
      </w:r>
    </w:p>
    <w:p w14:paraId="0C0422C6">
      <w:pPr>
        <w:keepNext w:val="0"/>
        <w:keepLines w:val="0"/>
        <w:pageBreakBefore w:val="0"/>
        <w:kinsoku/>
        <w:wordWrap/>
        <w:overflowPunct/>
        <w:topLinePunct w:val="0"/>
        <w:autoSpaceDE/>
        <w:autoSpaceDN/>
        <w:bidi w:val="0"/>
        <w:adjustRightInd w:val="0"/>
        <w:snapToGrid w:val="0"/>
        <w:spacing w:before="0" w:beforeLines="0" w:after="0" w:afterLines="0" w:line="540" w:lineRule="exact"/>
        <w:ind w:left="0" w:leftChars="0" w:right="0" w:firstLine="0" w:firstLineChars="0"/>
        <w:jc w:val="both"/>
        <w:textAlignment w:val="auto"/>
        <w:outlineLvl w:val="9"/>
        <w:rPr>
          <w:rFonts w:hint="default" w:ascii="Times New Roman" w:hAnsi="Times New Roman" w:eastAsia="方正仿宋_GBK" w:cs="Times New Roman"/>
          <w:kern w:val="0"/>
          <w:sz w:val="32"/>
          <w:szCs w:val="32"/>
          <w:lang w:val="en-US" w:bidi="ar-SA"/>
        </w:rPr>
      </w:pPr>
      <w:r>
        <w:rPr>
          <w:rFonts w:hint="default" w:ascii="Times New Roman" w:hAnsi="Times New Roman" w:eastAsia="方正仿宋_GBK" w:cs="Times New Roman"/>
          <w:kern w:val="0"/>
          <w:sz w:val="32"/>
          <w:szCs w:val="32"/>
          <w:lang w:val="en-US" w:bidi="ar-SA"/>
        </w:rPr>
        <w:t>重庆海辰储能科技有限公司：</w:t>
      </w:r>
    </w:p>
    <w:p w14:paraId="06A4616C">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92" w:firstLineChars="200"/>
        <w:jc w:val="both"/>
        <w:textAlignment w:val="auto"/>
        <w:rPr>
          <w:rFonts w:hint="default" w:ascii="Times New Roman" w:hAnsi="Times New Roman" w:cs="Times New Roman"/>
        </w:rPr>
      </w:pPr>
      <w:r>
        <w:rPr>
          <w:rFonts w:hint="default" w:ascii="Times New Roman" w:hAnsi="Times New Roman" w:cs="Times New Roman"/>
          <w:spacing w:val="21"/>
          <w:w w:val="95"/>
        </w:rPr>
        <w:t>你公司</w:t>
      </w:r>
      <w:r>
        <w:rPr>
          <w:rFonts w:hint="default" w:ascii="Times New Roman" w:hAnsi="Times New Roman" w:eastAsia="方正仿宋_GBK" w:cs="Times New Roman"/>
          <w:kern w:val="0"/>
          <w:sz w:val="32"/>
          <w:szCs w:val="32"/>
          <w:lang w:val="en-US" w:bidi="ar-SA"/>
        </w:rPr>
        <w:t>厦门海辰储能西南智能制造中心及研发中心项目（一期）</w:t>
      </w:r>
      <w:r>
        <w:rPr>
          <w:rFonts w:hint="eastAsia" w:ascii="Times New Roman" w:hAnsi="Times New Roman" w:cs="Times New Roman"/>
          <w:kern w:val="0"/>
          <w:sz w:val="32"/>
          <w:szCs w:val="32"/>
          <w:lang w:val="en-US" w:eastAsia="zh-CN" w:bidi="ar-SA"/>
        </w:rPr>
        <w:t>（重新报批）</w:t>
      </w:r>
      <w:r>
        <w:rPr>
          <w:rFonts w:hint="default" w:ascii="Times New Roman" w:hAnsi="Times New Roman" w:cs="Times New Roman"/>
          <w:spacing w:val="24"/>
          <w:w w:val="95"/>
        </w:rPr>
        <w:t>（</w:t>
      </w:r>
      <w:r>
        <w:rPr>
          <w:rFonts w:hint="default" w:ascii="Times New Roman" w:hAnsi="Times New Roman" w:cs="Times New Roman"/>
          <w:spacing w:val="18"/>
          <w:w w:val="95"/>
        </w:rPr>
        <w:t>项目代码：</w:t>
      </w:r>
      <w:r>
        <w:rPr>
          <w:rFonts w:hint="default" w:ascii="Times New Roman" w:hAnsi="Times New Roman" w:eastAsia="Times New Roman" w:cs="Times New Roman"/>
          <w:spacing w:val="18"/>
        </w:rPr>
        <w:t>2208-500151-04-01-275517</w:t>
      </w:r>
      <w:r>
        <w:rPr>
          <w:rFonts w:hint="default" w:ascii="Times New Roman" w:hAnsi="Times New Roman" w:cs="Times New Roman"/>
          <w:spacing w:val="18"/>
        </w:rPr>
        <w:t>）</w:t>
      </w:r>
      <w:r>
        <w:rPr>
          <w:rFonts w:hint="default" w:ascii="Times New Roman" w:hAnsi="Times New Roman" w:cs="Times New Roman"/>
          <w:spacing w:val="5"/>
        </w:rPr>
        <w:t>环境影响评价文件审批申请表及相</w:t>
      </w:r>
      <w:r>
        <w:rPr>
          <w:rFonts w:hint="default" w:ascii="Times New Roman" w:hAnsi="Times New Roman" w:cs="Times New Roman"/>
          <w:spacing w:val="-10"/>
        </w:rPr>
        <w:t>关材料收悉。根据《中华人民共和国环境影响评价法》等法律法</w:t>
      </w:r>
      <w:r>
        <w:rPr>
          <w:rFonts w:hint="default" w:ascii="Times New Roman" w:hAnsi="Times New Roman" w:cs="Times New Roman"/>
          <w:spacing w:val="-14"/>
        </w:rPr>
        <w:t>规的有关规定，我局原则同意重庆环科源博达环保科技有限公司</w:t>
      </w:r>
      <w:r>
        <w:rPr>
          <w:rFonts w:hint="default" w:ascii="Times New Roman" w:hAnsi="Times New Roman" w:cs="Times New Roman"/>
          <w:spacing w:val="-1"/>
          <w:w w:val="95"/>
        </w:rPr>
        <w:t>（社会信用代码：</w:t>
      </w:r>
      <w:r>
        <w:rPr>
          <w:rFonts w:hint="default" w:ascii="Times New Roman" w:hAnsi="Times New Roman" w:eastAsia="Times New Roman" w:cs="Times New Roman"/>
          <w:spacing w:val="-1"/>
          <w:w w:val="95"/>
        </w:rPr>
        <w:t>91500105MA5U5P5431</w:t>
      </w:r>
      <w:r>
        <w:rPr>
          <w:rFonts w:hint="default" w:ascii="Times New Roman" w:hAnsi="Times New Roman" w:cs="Times New Roman"/>
          <w:spacing w:val="-1"/>
          <w:w w:val="95"/>
        </w:rPr>
        <w:t>）</w:t>
      </w:r>
      <w:r>
        <w:rPr>
          <w:rFonts w:hint="default" w:ascii="Times New Roman" w:hAnsi="Times New Roman" w:cs="Times New Roman"/>
          <w:w w:val="95"/>
        </w:rPr>
        <w:t>编写的该项目环</w:t>
      </w:r>
      <w:r>
        <w:rPr>
          <w:rFonts w:hint="default" w:ascii="Times New Roman" w:hAnsi="Times New Roman" w:cs="Times New Roman"/>
          <w:spacing w:val="-7"/>
        </w:rPr>
        <w:t>境影响报告</w:t>
      </w:r>
      <w:r>
        <w:rPr>
          <w:rFonts w:hint="eastAsia" w:ascii="Times New Roman" w:hAnsi="Times New Roman" w:cs="Times New Roman"/>
          <w:spacing w:val="-7"/>
          <w:lang w:eastAsia="zh-CN"/>
        </w:rPr>
        <w:t>表</w:t>
      </w:r>
      <w:r>
        <w:rPr>
          <w:rFonts w:hint="default" w:ascii="Times New Roman" w:hAnsi="Times New Roman" w:cs="Times New Roman"/>
        </w:rPr>
        <w:t>（以下简称</w:t>
      </w:r>
      <w:r>
        <w:rPr>
          <w:rFonts w:hint="default" w:ascii="Times New Roman" w:hAnsi="Times New Roman" w:eastAsia="Times New Roman" w:cs="Times New Roman"/>
        </w:rPr>
        <w:t>“</w:t>
      </w:r>
      <w:r>
        <w:rPr>
          <w:rFonts w:hint="default" w:ascii="Times New Roman" w:hAnsi="Times New Roman" w:cs="Times New Roman"/>
        </w:rPr>
        <w:t>报告</w:t>
      </w:r>
      <w:r>
        <w:rPr>
          <w:rFonts w:hint="eastAsia" w:ascii="Times New Roman" w:hAnsi="Times New Roman" w:cs="Times New Roman"/>
          <w:spacing w:val="-7"/>
          <w:lang w:eastAsia="zh-CN"/>
        </w:rPr>
        <w:t>表</w:t>
      </w:r>
      <w:r>
        <w:rPr>
          <w:rFonts w:hint="default" w:ascii="Times New Roman" w:hAnsi="Times New Roman" w:eastAsia="Times New Roman" w:cs="Times New Roman"/>
          <w:spacing w:val="-20"/>
        </w:rPr>
        <w:t>”</w:t>
      </w:r>
      <w:r>
        <w:rPr>
          <w:rFonts w:hint="default" w:ascii="Times New Roman" w:hAnsi="Times New Roman" w:cs="Times New Roman"/>
          <w:spacing w:val="-20"/>
        </w:rPr>
        <w:t>）</w:t>
      </w:r>
      <w:r>
        <w:rPr>
          <w:rFonts w:hint="default" w:ascii="Times New Roman" w:hAnsi="Times New Roman" w:cs="Times New Roman"/>
        </w:rPr>
        <w:t>结论及其提出的环境保护措施。</w:t>
      </w:r>
    </w:p>
    <w:p w14:paraId="04EEF2D3">
      <w:pPr>
        <w:pStyle w:val="2"/>
        <w:keepNext w:val="0"/>
        <w:keepLines w:val="0"/>
        <w:pageBreakBefore w:val="0"/>
        <w:widowControl w:val="0"/>
        <w:numPr>
          <w:ilvl w:val="0"/>
          <w:numId w:val="1"/>
        </w:numPr>
        <w:kinsoku/>
        <w:wordWrap/>
        <w:overflowPunct/>
        <w:topLinePunct w:val="0"/>
        <w:autoSpaceDE w:val="0"/>
        <w:autoSpaceDN w:val="0"/>
        <w:bidi w:val="0"/>
        <w:adjustRightInd/>
        <w:snapToGrid/>
        <w:spacing w:line="594" w:lineRule="exact"/>
        <w:ind w:left="0" w:firstLine="592" w:firstLineChars="200"/>
        <w:jc w:val="both"/>
        <w:textAlignment w:val="auto"/>
        <w:rPr>
          <w:rFonts w:hint="default" w:ascii="Times New Roman" w:hAnsi="Times New Roman" w:cs="Times New Roman"/>
          <w:spacing w:val="-12"/>
        </w:rPr>
      </w:pPr>
      <w:r>
        <w:rPr>
          <w:rFonts w:hint="default" w:ascii="Times New Roman" w:hAnsi="Times New Roman" w:cs="Times New Roman"/>
          <w:spacing w:val="-12"/>
        </w:rPr>
        <w:t>项目的主要建设内容：项目位于重庆市铜梁区东城街道产业大道57号，电芯厂房1内新建电芯生产线6条，设计生产能力为28</w:t>
      </w:r>
      <w:r>
        <w:rPr>
          <w:rFonts w:hint="eastAsia" w:ascii="Times New Roman" w:hAnsi="Times New Roman" w:cs="Times New Roman"/>
          <w:spacing w:val="-12"/>
          <w:lang w:val="en-US" w:eastAsia="zh-CN"/>
        </w:rPr>
        <w:t xml:space="preserve"> </w:t>
      </w:r>
      <w:r>
        <w:rPr>
          <w:rFonts w:hint="default" w:ascii="Times New Roman" w:hAnsi="Times New Roman" w:cs="Times New Roman"/>
          <w:spacing w:val="-12"/>
        </w:rPr>
        <w:t>Gwh/a。电芯厂房2内新建电芯生产线3条，设计生产能力为</w:t>
      </w:r>
      <w:r>
        <w:rPr>
          <w:rFonts w:hint="eastAsia" w:ascii="Times New Roman" w:hAnsi="Times New Roman" w:cs="Times New Roman"/>
          <w:spacing w:val="-12"/>
          <w:lang w:val="en-US" w:eastAsia="zh-CN"/>
        </w:rPr>
        <w:t xml:space="preserve"> </w:t>
      </w:r>
      <w:r>
        <w:rPr>
          <w:rFonts w:hint="default" w:ascii="Times New Roman" w:hAnsi="Times New Roman" w:cs="Times New Roman"/>
          <w:spacing w:val="-12"/>
        </w:rPr>
        <w:t>28</w:t>
      </w:r>
      <w:r>
        <w:rPr>
          <w:rFonts w:hint="eastAsia" w:ascii="Times New Roman" w:hAnsi="Times New Roman" w:cs="Times New Roman"/>
          <w:spacing w:val="-12"/>
          <w:lang w:val="en-US" w:eastAsia="zh-CN"/>
        </w:rPr>
        <w:t xml:space="preserve"> </w:t>
      </w:r>
      <w:r>
        <w:rPr>
          <w:rFonts w:hint="default" w:ascii="Times New Roman" w:hAnsi="Times New Roman" w:cs="Times New Roman"/>
          <w:spacing w:val="-12"/>
        </w:rPr>
        <w:t>Gwh/a。凹版车间内新建电芯（MIC电芯）生产线1条，设计生产能力为4.62</w:t>
      </w:r>
      <w:r>
        <w:rPr>
          <w:rFonts w:hint="eastAsia" w:ascii="Times New Roman" w:hAnsi="Times New Roman" w:cs="Times New Roman"/>
          <w:spacing w:val="-12"/>
          <w:lang w:val="en-US" w:eastAsia="zh-CN"/>
        </w:rPr>
        <w:t xml:space="preserve"> </w:t>
      </w:r>
      <w:r>
        <w:rPr>
          <w:rFonts w:hint="default" w:ascii="Times New Roman" w:hAnsi="Times New Roman" w:cs="Times New Roman"/>
          <w:spacing w:val="-12"/>
        </w:rPr>
        <w:t>Gwh/a，新建7条底涂涂布线、1条Sorting（返工）线。模组厂房及储能装配车间内新建模组生产线及储能装配生产线、Sorting（返工）线，设计模组总生产能力为24</w:t>
      </w:r>
      <w:r>
        <w:rPr>
          <w:rFonts w:hint="eastAsia" w:ascii="Times New Roman" w:hAnsi="Times New Roman" w:cs="Times New Roman"/>
          <w:spacing w:val="-12"/>
          <w:lang w:val="en-US" w:eastAsia="zh-CN"/>
        </w:rPr>
        <w:t xml:space="preserve"> </w:t>
      </w:r>
      <w:r>
        <w:rPr>
          <w:rFonts w:hint="default" w:ascii="Times New Roman" w:hAnsi="Times New Roman" w:cs="Times New Roman"/>
          <w:spacing w:val="-12"/>
        </w:rPr>
        <w:t>Gwh/a，其中储能系统产能为8Gwh/a。配套建设库房、NMP罐区、NMP精馏装置、食堂、污水处理站、动力站等公用工程及辅助设施。项目建成后，年生产锂离子电池60.62 Gwh/a（其中24</w:t>
      </w:r>
      <w:r>
        <w:rPr>
          <w:rFonts w:hint="eastAsia" w:ascii="Times New Roman" w:hAnsi="Times New Roman" w:cs="Times New Roman"/>
          <w:spacing w:val="-12"/>
          <w:lang w:val="en-US" w:eastAsia="zh-CN"/>
        </w:rPr>
        <w:t xml:space="preserve"> </w:t>
      </w:r>
      <w:r>
        <w:rPr>
          <w:rFonts w:hint="default" w:ascii="Times New Roman" w:hAnsi="Times New Roman" w:cs="Times New Roman"/>
          <w:spacing w:val="-12"/>
        </w:rPr>
        <w:t>Gwh/a自用于模组生产线），年生产锂离子电池模组24</w:t>
      </w:r>
      <w:r>
        <w:rPr>
          <w:rFonts w:hint="eastAsia" w:ascii="Times New Roman" w:hAnsi="Times New Roman" w:cs="Times New Roman"/>
          <w:spacing w:val="-12"/>
          <w:lang w:val="en-US" w:eastAsia="zh-CN"/>
        </w:rPr>
        <w:t xml:space="preserve"> </w:t>
      </w:r>
      <w:r>
        <w:rPr>
          <w:rFonts w:hint="default" w:ascii="Times New Roman" w:hAnsi="Times New Roman" w:cs="Times New Roman"/>
          <w:spacing w:val="-12"/>
        </w:rPr>
        <w:t>Gwh/a（储能系统产能为8</w:t>
      </w:r>
      <w:r>
        <w:rPr>
          <w:rFonts w:hint="eastAsia" w:ascii="Times New Roman" w:hAnsi="Times New Roman" w:cs="Times New Roman"/>
          <w:spacing w:val="-12"/>
          <w:lang w:val="en-US" w:eastAsia="zh-CN"/>
        </w:rPr>
        <w:t xml:space="preserve"> </w:t>
      </w:r>
      <w:r>
        <w:rPr>
          <w:rFonts w:hint="default" w:ascii="Times New Roman" w:hAnsi="Times New Roman" w:cs="Times New Roman"/>
          <w:spacing w:val="-12"/>
        </w:rPr>
        <w:t>Gwh/a）。项目总投资700000万元，环保投资约4000万元。项目劳动定员4275人，年生产360天。</w:t>
      </w:r>
    </w:p>
    <w:p w14:paraId="50BE60E1">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594" w:lineRule="exact"/>
        <w:ind w:right="0" w:rightChars="0" w:firstLine="592" w:firstLineChars="200"/>
        <w:jc w:val="both"/>
        <w:textAlignment w:val="auto"/>
        <w:rPr>
          <w:rFonts w:hint="eastAsia" w:ascii="Times New Roman" w:hAnsi="Times New Roman" w:eastAsia="方正仿宋_GBK" w:cs="Times New Roman"/>
          <w:spacing w:val="-12"/>
          <w:lang w:eastAsia="zh-CN"/>
        </w:rPr>
      </w:pPr>
      <w:r>
        <w:rPr>
          <w:rFonts w:hint="default" w:ascii="Times New Roman" w:hAnsi="Times New Roman" w:cs="Times New Roman"/>
          <w:spacing w:val="-12"/>
        </w:rPr>
        <w:t>根据《重庆市人民政府办公厅关于做好2024年市级重点项目实施有关工作的通知》（渝府办发〔2024〕33号），本项目</w:t>
      </w:r>
      <w:r>
        <w:rPr>
          <w:rFonts w:hint="eastAsia" w:ascii="Times New Roman" w:hAnsi="Times New Roman" w:cs="Times New Roman"/>
          <w:spacing w:val="-12"/>
          <w:lang w:eastAsia="zh-CN"/>
        </w:rPr>
        <w:t>属于</w:t>
      </w:r>
      <w:r>
        <w:rPr>
          <w:rFonts w:hint="default" w:ascii="Times New Roman" w:hAnsi="Times New Roman" w:cs="Times New Roman"/>
          <w:spacing w:val="-12"/>
        </w:rPr>
        <w:t>市级重点项目</w:t>
      </w:r>
      <w:r>
        <w:rPr>
          <w:rFonts w:hint="eastAsia" w:ascii="Times New Roman" w:hAnsi="Times New Roman" w:cs="Times New Roman"/>
          <w:spacing w:val="-12"/>
          <w:lang w:eastAsia="zh-CN"/>
        </w:rPr>
        <w:t>，</w:t>
      </w:r>
      <w:r>
        <w:rPr>
          <w:rFonts w:hint="default" w:ascii="Times New Roman" w:hAnsi="Times New Roman" w:cs="Times New Roman"/>
          <w:spacing w:val="-12"/>
        </w:rPr>
        <w:t>符合国家产业政策。</w:t>
      </w:r>
      <w:r>
        <w:rPr>
          <w:rFonts w:hint="eastAsia" w:ascii="Times New Roman" w:hAnsi="Times New Roman" w:cs="Times New Roman"/>
          <w:spacing w:val="-12"/>
          <w:lang w:eastAsia="zh-CN"/>
        </w:rPr>
        <w:t>该项目</w:t>
      </w:r>
      <w:r>
        <w:rPr>
          <w:rFonts w:hint="default" w:ascii="Times New Roman" w:hAnsi="Times New Roman" w:cs="Times New Roman"/>
          <w:spacing w:val="-12"/>
        </w:rPr>
        <w:t>地块北侧约88亩超出了已审批的铜梁高新区规划环境影响跟踪评价范围，其余在其评价范围内。根据</w:t>
      </w:r>
      <w:r>
        <w:rPr>
          <w:rFonts w:hint="eastAsia" w:ascii="Times New Roman" w:hAnsi="Times New Roman" w:cs="Times New Roman"/>
          <w:spacing w:val="-12"/>
          <w:lang w:eastAsia="zh-CN"/>
        </w:rPr>
        <w:t>重庆市</w:t>
      </w:r>
      <w:r>
        <w:rPr>
          <w:rFonts w:hint="default" w:ascii="Times New Roman" w:hAnsi="Times New Roman" w:cs="Times New Roman"/>
          <w:spacing w:val="-12"/>
        </w:rPr>
        <w:t>铜梁区规划和自然资源局、重庆铜梁高新技术产业开发区管委会出具的相关情况说明，超出部分位于已获批的《重庆市铜梁区国土空间分区规划（2021</w:t>
      </w:r>
      <w:r>
        <w:rPr>
          <w:rFonts w:hint="eastAsia" w:ascii="Times New Roman" w:hAnsi="Times New Roman" w:cs="Times New Roman"/>
          <w:spacing w:val="-12"/>
          <w:lang w:eastAsia="zh-CN"/>
        </w:rPr>
        <w:t>—</w:t>
      </w:r>
      <w:r>
        <w:rPr>
          <w:rFonts w:hint="default" w:ascii="Times New Roman" w:hAnsi="Times New Roman" w:cs="Times New Roman"/>
          <w:spacing w:val="-12"/>
        </w:rPr>
        <w:t>2035年）》（渝府〔2024〕40号）城镇开发边界内，</w:t>
      </w:r>
      <w:r>
        <w:rPr>
          <w:rFonts w:hint="eastAsia" w:ascii="Times New Roman" w:hAnsi="Times New Roman" w:cs="Times New Roman"/>
          <w:spacing w:val="-12"/>
          <w:lang w:eastAsia="zh-CN"/>
        </w:rPr>
        <w:t>均</w:t>
      </w:r>
      <w:r>
        <w:rPr>
          <w:rFonts w:hint="default" w:ascii="Times New Roman" w:hAnsi="Times New Roman" w:cs="Times New Roman"/>
          <w:spacing w:val="-12"/>
        </w:rPr>
        <w:t>纳入国土空间规划及“三区三线”划定成果，属于工业用地</w:t>
      </w:r>
      <w:r>
        <w:rPr>
          <w:rFonts w:hint="eastAsia" w:ascii="Times New Roman" w:hAnsi="Times New Roman" w:cs="Times New Roman"/>
          <w:spacing w:val="-12"/>
          <w:lang w:eastAsia="zh-CN"/>
        </w:rPr>
        <w:t>；并且在</w:t>
      </w:r>
      <w:r>
        <w:rPr>
          <w:rFonts w:hint="default" w:ascii="Times New Roman" w:hAnsi="Times New Roman" w:cs="Times New Roman"/>
          <w:spacing w:val="-12"/>
        </w:rPr>
        <w:t>规划调整后</w:t>
      </w:r>
      <w:r>
        <w:rPr>
          <w:rFonts w:hint="eastAsia" w:ascii="Times New Roman" w:hAnsi="Times New Roman" w:cs="Times New Roman"/>
          <w:spacing w:val="-12"/>
          <w:lang w:eastAsia="zh-CN"/>
        </w:rPr>
        <w:t>超出面积均</w:t>
      </w:r>
      <w:r>
        <w:rPr>
          <w:rFonts w:hint="default" w:ascii="Times New Roman" w:hAnsi="Times New Roman" w:cs="Times New Roman"/>
          <w:spacing w:val="-12"/>
        </w:rPr>
        <w:t>属于铜梁高新区中心城区组团规划范围内，不占用永久基本农田和生态保护红线等敏感区域</w:t>
      </w:r>
      <w:r>
        <w:rPr>
          <w:rFonts w:hint="eastAsia" w:ascii="Times New Roman" w:hAnsi="Times New Roman" w:cs="Times New Roman"/>
          <w:spacing w:val="-12"/>
          <w:lang w:eastAsia="zh-CN"/>
        </w:rPr>
        <w:t>。</w:t>
      </w:r>
    </w:p>
    <w:p w14:paraId="7AACAD6C">
      <w:pPr>
        <w:pStyle w:val="2"/>
        <w:keepNext w:val="0"/>
        <w:keepLines w:val="0"/>
        <w:pageBreakBefore w:val="0"/>
        <w:widowControl w:val="0"/>
        <w:numPr>
          <w:ilvl w:val="0"/>
          <w:numId w:val="1"/>
        </w:numPr>
        <w:kinsoku/>
        <w:wordWrap/>
        <w:overflowPunct/>
        <w:topLinePunct w:val="0"/>
        <w:autoSpaceDE w:val="0"/>
        <w:autoSpaceDN w:val="0"/>
        <w:bidi w:val="0"/>
        <w:adjustRightInd/>
        <w:snapToGrid/>
        <w:spacing w:line="594" w:lineRule="exact"/>
        <w:ind w:left="0" w:firstLine="592" w:firstLineChars="200"/>
        <w:jc w:val="both"/>
        <w:textAlignment w:val="auto"/>
        <w:rPr>
          <w:rFonts w:hint="default" w:ascii="Times New Roman" w:hAnsi="Times New Roman" w:cs="Times New Roman"/>
        </w:rPr>
      </w:pPr>
      <w:r>
        <w:rPr>
          <w:rFonts w:hint="default" w:ascii="Times New Roman" w:hAnsi="Times New Roman" w:cs="Times New Roman"/>
          <w:spacing w:val="-12"/>
        </w:rPr>
        <w:t>项目建设与运营管理中，必须认真落实项目环境影响报</w:t>
      </w:r>
      <w:r>
        <w:rPr>
          <w:rFonts w:hint="default" w:ascii="Times New Roman" w:hAnsi="Times New Roman" w:cs="Times New Roman"/>
          <w:spacing w:val="-7"/>
        </w:rPr>
        <w:t>告</w:t>
      </w:r>
      <w:r>
        <w:rPr>
          <w:rFonts w:hint="eastAsia" w:ascii="Times New Roman" w:hAnsi="Times New Roman" w:cs="Times New Roman"/>
          <w:spacing w:val="-7"/>
          <w:lang w:eastAsia="zh-CN"/>
        </w:rPr>
        <w:t>表</w:t>
      </w:r>
      <w:r>
        <w:rPr>
          <w:rFonts w:hint="default" w:ascii="Times New Roman" w:hAnsi="Times New Roman" w:cs="Times New Roman"/>
          <w:spacing w:val="-7"/>
        </w:rPr>
        <w:t>中提出的各项污染防治措施，实施清洁生产，减少污染物产生和排放，重点应做好以下工作：</w:t>
      </w:r>
    </w:p>
    <w:p w14:paraId="1E27009D">
      <w:pPr>
        <w:pStyle w:val="2"/>
        <w:keepNext w:val="0"/>
        <w:keepLines w:val="0"/>
        <w:pageBreakBefore w:val="0"/>
        <w:widowControl w:val="0"/>
        <w:numPr>
          <w:ilvl w:val="0"/>
          <w:numId w:val="2"/>
        </w:numPr>
        <w:kinsoku/>
        <w:wordWrap/>
        <w:overflowPunct/>
        <w:topLinePunct w:val="0"/>
        <w:autoSpaceDE w:val="0"/>
        <w:autoSpaceDN w:val="0"/>
        <w:bidi w:val="0"/>
        <w:adjustRightInd/>
        <w:snapToGrid/>
        <w:spacing w:before="0" w:line="594" w:lineRule="exact"/>
        <w:ind w:left="0" w:right="0" w:firstLine="640" w:firstLineChars="200"/>
        <w:jc w:val="both"/>
        <w:textAlignment w:val="auto"/>
        <w:rPr>
          <w:rFonts w:hint="default" w:ascii="Times New Roman" w:hAnsi="Times New Roman" w:cs="Times New Roman"/>
        </w:rPr>
      </w:pPr>
      <w:r>
        <w:rPr>
          <w:rFonts w:hint="default" w:ascii="Times New Roman" w:hAnsi="Times New Roman" w:eastAsia="方正楷体_GBK" w:cs="Times New Roman"/>
        </w:rPr>
        <w:t>严格落实废气污染防治措施。</w:t>
      </w:r>
      <w:r>
        <w:rPr>
          <w:rFonts w:hint="eastAsia" w:ascii="Times New Roman" w:hAnsi="Times New Roman" w:cs="Times New Roman"/>
          <w:lang w:eastAsia="zh-CN"/>
        </w:rPr>
        <w:t>项目运营期电芯厂房搅拌罐抽真空时产生的阴极搅拌罐真空泵废气经密闭管道收集后，分别进入1套“冷凝+碱洗+活性炭吸附”处理达标后再分别通过</w:t>
      </w:r>
      <w:r>
        <w:rPr>
          <w:rFonts w:hint="eastAsia" w:ascii="Times New Roman" w:hAnsi="Times New Roman" w:cs="Times New Roman"/>
          <w:lang w:val="en-US" w:eastAsia="zh-CN"/>
        </w:rPr>
        <w:t>1</w:t>
      </w:r>
      <w:r>
        <w:rPr>
          <w:rFonts w:hint="eastAsia" w:ascii="Times New Roman" w:hAnsi="Times New Roman" w:cs="Times New Roman"/>
          <w:lang w:eastAsia="zh-CN"/>
        </w:rPr>
        <w:t>根25m高排气筒排放（DA001~DA002）排放；电芯厂房阳极涂布、烘干工序中产生的阳极涂布、预烘干废气，因废气产生浓度较低，经密闭管道收集后分别通过20根25m高排气筒直接排放（电芯厂房1为DA003~DA012，电芯厂房2为DA013~DA022）。电芯厂房阴极涂布、烘干过程产生的阴极涂布、烘干废气，采用“二级冷凝回收+二级水喷淋”处理设施进行处理，回收的NMP及喷淋液进入NMP精馏系统回收，废气达标后通过</w:t>
      </w:r>
      <w:r>
        <w:rPr>
          <w:rFonts w:hint="eastAsia" w:ascii="Times New Roman" w:hAnsi="Times New Roman" w:cs="Times New Roman"/>
          <w:lang w:val="en-US" w:eastAsia="zh-CN"/>
        </w:rPr>
        <w:t>8根</w:t>
      </w:r>
      <w:r>
        <w:rPr>
          <w:rFonts w:hint="eastAsia" w:ascii="Times New Roman" w:hAnsi="Times New Roman" w:cs="Times New Roman"/>
          <w:lang w:eastAsia="zh-CN"/>
        </w:rPr>
        <w:t>25m高排气筒排放（电芯厂房1为DA023~DA026，电芯厂房2为DA027~DA030）；电芯厂房Baking（真空烘烤）产生的Baking废气、注液过程产生的注液废气经密闭管道分别收集后采用“静电除油+碱洗+除雾+活性炭吸附+催化燃烧”进行处理，注液、化成过程产生中的注液及化成真空泵废气经密闭管道收集后采用“冷凝+二级碱洗+水洗+除雾+RTO+布袋除尘”进行处理，Baking废气、注液废气、注液及化成真空泵废气分别经对应的处理系统处理达标后合并至2根35m排气筒排放（电芯厂房1为DA031、电芯厂房2为DA032）排放。凹版车间的阴极涂布、烘干废气与电芯厂房1的第10、11台阴极涂布机废气共用1套“二级冷凝+二级水喷淋”处理设施；凹版车间的阳极涂布、烘干产生的阳极涂布、烘干废气，因废气产生浓度较低，经密闭管道收集后分别通过</w:t>
      </w:r>
      <w:r>
        <w:rPr>
          <w:rFonts w:hint="eastAsia" w:ascii="Times New Roman" w:hAnsi="Times New Roman" w:cs="Times New Roman"/>
          <w:lang w:val="en-US" w:eastAsia="zh-CN"/>
        </w:rPr>
        <w:t>1</w:t>
      </w:r>
      <w:r>
        <w:rPr>
          <w:rFonts w:hint="eastAsia" w:ascii="Times New Roman" w:hAnsi="Times New Roman" w:cs="Times New Roman"/>
          <w:lang w:eastAsia="zh-CN"/>
        </w:rPr>
        <w:t>根25m高排气筒直接排放；凹版车间产生的阴极搅拌真空泵废气、Baking废气、注液废气、注液及化成真空泵废气经“静电除油+碱洗+除雾+活性炭吸附+催化燃烧”处理达标后经1根30m高排气筒排放（DA034）。模组车间的粘结废气采用集气罩收集，经“两级活性炭吸附”处理达标后通过1根25m高排气筒排放（DA035）。拆电池房废气、浸泡废气、晾干废气经负压抽风收集后，通过1套“碱洗+活性炭吸附”装置进行处理，焚烧房负极材料自燃焚烧烟气经“布袋除尘+碱洗+除雾+活性炭吸附”处理，拆电池房废气、浸泡废气、晾干废气及焚烧房负极材料自燃焚烧烟气分别经对应的处理系统处理达标后合并至一根29m排气筒（DA036）排放。精馏废气经“两级水喷淋”处理达标后通过1根</w:t>
      </w:r>
      <w:r>
        <w:rPr>
          <w:rFonts w:hint="eastAsia" w:ascii="Times New Roman" w:hAnsi="Times New Roman" w:cs="Times New Roman"/>
          <w:lang w:val="en-US" w:eastAsia="zh-CN"/>
        </w:rPr>
        <w:t>2</w:t>
      </w:r>
      <w:r>
        <w:rPr>
          <w:rFonts w:hint="eastAsia" w:ascii="Times New Roman" w:hAnsi="Times New Roman" w:cs="Times New Roman"/>
          <w:lang w:eastAsia="zh-CN"/>
        </w:rPr>
        <w:t>5m高排气筒排放（DA037）。蒸汽锅炉、热油炉均采用低氮燃烧技术，产生的蒸汽锅炉烟气、导热油炉烟气分别通过</w:t>
      </w:r>
      <w:r>
        <w:rPr>
          <w:rFonts w:hint="eastAsia" w:ascii="Times New Roman" w:hAnsi="Times New Roman" w:cs="Times New Roman"/>
          <w:lang w:val="en-US" w:eastAsia="zh-CN"/>
        </w:rPr>
        <w:t>6个</w:t>
      </w:r>
      <w:r>
        <w:rPr>
          <w:rFonts w:hint="eastAsia" w:ascii="Times New Roman" w:hAnsi="Times New Roman" w:cs="Times New Roman"/>
          <w:lang w:eastAsia="zh-CN"/>
        </w:rPr>
        <w:t>35m高排气筒直接排放（蒸汽锅炉DA038~DA040，导热油炉DA040~DA042）。原料仓实验室废气经收集后通过“碱洗+活性炭吸附”处理达标后通过1根28m高排气筒排放（DA044）。危废贮存库废气通过负压抽风收集并引至浸泡、晾干和拆电池房的废气处理设施（碱洗+活性炭吸附）进行处理。采取有效措施控制无组织排放，电芯厂房阴阳极搅拌投料过程中产生的阴阳极投料粉尘，凹版车间底涂搅拌、阴阳极搅拌投料过程中产生的投料废气分别通过各投料口内侧设置的环形负压抽风设施收集后，再经配套的单机滤筒除尘设施处理后车间内无组织排放；模切工序产生的激光模切切割烟尘，经设备配套的单机除尘设施处理后，车间内无组织排放；激光焊接过程产生的焊接废气经负压收集、除尘处理后车间内无组织排放；NMP 罐区呼吸废气采用正压氮封处理后无组织排放；污水处理站废气通过对调节池、厌氧池体等池体加盖，加强污水处理站管理等方式有效控制后进行无组织排放。项目营运期阴极搅拌真空泵废气、阴阳极涂布、烘干废气、后工序废气（Baking废气、注液废气、注液及化成真空泵废气）、粘结废气、焚烧浸泡和拆电池房废气（拆电池房废气、浸泡废气、晾干废气及焚烧房负极材料自燃焚烧烟气）、危废贮存库废气、精馏废气中非甲烷总烃、颗粒物执行《电池工业污染物排放标准》（GB 30484-2013）中的锂离子/锂电池标准限值，氟化物、SO</w:t>
      </w:r>
      <w:r>
        <w:rPr>
          <w:rFonts w:hint="eastAsia" w:ascii="Times New Roman" w:hAnsi="Times New Roman" w:cs="Times New Roman"/>
          <w:vertAlign w:val="subscript"/>
          <w:lang w:eastAsia="zh-CN"/>
        </w:rPr>
        <w:t>2</w:t>
      </w:r>
      <w:r>
        <w:rPr>
          <w:rFonts w:hint="eastAsia" w:ascii="Times New Roman" w:hAnsi="Times New Roman" w:cs="Times New Roman"/>
          <w:lang w:eastAsia="zh-CN"/>
        </w:rPr>
        <w:t>、NOx参照执行《大气污染物综合排放标准》（DB50/418-2016）中的“其他区域”标准限值；蒸汽锅炉烟气、导热油炉烟气执行《锅炉大气污染物排放标准》（DB50/ 658-2016）及其修改单；原料仓实验室废气参照执行《电池工业污染物排放标准》（GB 30484-2013）中的锂离子/锂电池标准限值。污水处理站废气执行《恶臭污染物排放标准》（GB14554-93）；其他无组织废气颗粒物、非甲烷总烃执行《电池工业污染物排放标准》（GB 30484-2013），氟化物执行《大气污染物综合排放标准》（DB50/418-2016）中的“其他区域”标准限值。项目有机物物料储存、转移和输送、工艺过程以及厂房外污染物监控等要求执行《挥发性有机物无组织排放控制标准》（GB37822-2019）；食堂油烟执行《餐饮业大气污染物排放标准》（DB50/859-2018）。</w:t>
      </w:r>
    </w:p>
    <w:p w14:paraId="0F647C89">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40" w:firstLineChars="200"/>
        <w:jc w:val="both"/>
        <w:textAlignment w:val="auto"/>
        <w:rPr>
          <w:rFonts w:hint="eastAsia" w:ascii="Times New Roman" w:hAnsi="Times New Roman" w:eastAsia="方正仿宋_GBK" w:cs="Times New Roman"/>
          <w:lang w:eastAsia="zh-CN"/>
        </w:rPr>
      </w:pPr>
      <w:r>
        <w:rPr>
          <w:rFonts w:hint="default" w:ascii="Times New Roman" w:hAnsi="Times New Roman" w:eastAsia="方正楷体_GBK" w:cs="Times New Roman"/>
        </w:rPr>
        <w:t>（二）严格落实水污染防治措施。</w:t>
      </w:r>
      <w:r>
        <w:rPr>
          <w:rFonts w:hint="default" w:ascii="Times New Roman" w:hAnsi="Times New Roman" w:cs="Times New Roman"/>
          <w:lang w:eastAsia="zh-CN"/>
        </w:rPr>
        <w:t>项目运营期</w:t>
      </w:r>
      <w:r>
        <w:rPr>
          <w:rFonts w:hint="eastAsia" w:ascii="Times New Roman" w:hAnsi="Times New Roman" w:cs="Times New Roman"/>
          <w:lang w:eastAsia="zh-CN"/>
        </w:rPr>
        <w:t>主要包括生活污水和生产废水（设备清洗废水、废气喷淋塔排水、精馏废水、蒸汽锅炉排水、循环冷却塔排水、实验室废水、地面清洁废水等）。生产废水经厂区西侧新建的1座污水处理站，处理工艺为“混凝沉淀+芬顿氧化（阴极废水预留）+调节+厌氧ABR+两级AO+MBR池+深度处理池（预留）”，处理达《电池工业污染物排放标准》（GB 30484-2013）中表2间接排放标准后，再通过污水处理站生产废水排放口（DW001）接入园区市政污水管网；生活污水经单独收集后进入厂区生活污水处理系统，处理工艺为“隔油+厌氧+AO+沉淀”，处理达《污水综合排放标准》(GB8978-1996）三级标准（总氮、总磷参照执行《污水排入城镇下水道水质标准》（GB T31962-2015））后，通过生活污水单独排放口（DW002）接入市政污水管网。所有经处理达标后的废水通过市政污水管网接入蒲吕污水处理厂深度处理，达到《城镇污水处理厂污染物排放标准》（GB18918-2002）一级A 标准后，排入小安溪。</w:t>
      </w:r>
    </w:p>
    <w:p w14:paraId="6CB3E475">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08" w:firstLineChars="200"/>
        <w:jc w:val="both"/>
        <w:textAlignment w:val="auto"/>
        <w:rPr>
          <w:rFonts w:hint="default" w:ascii="Times New Roman" w:hAnsi="Times New Roman" w:cs="Times New Roman"/>
        </w:rPr>
      </w:pPr>
      <w:r>
        <w:rPr>
          <w:rFonts w:hint="default" w:ascii="Times New Roman" w:hAnsi="Times New Roman" w:eastAsia="方正楷体_GBK" w:cs="Times New Roman"/>
          <w:w w:val="95"/>
        </w:rPr>
        <w:t>（</w:t>
      </w:r>
      <w:r>
        <w:rPr>
          <w:rFonts w:hint="eastAsia" w:ascii="Times New Roman" w:hAnsi="Times New Roman" w:eastAsia="方正楷体_GBK" w:cs="Times New Roman"/>
          <w:w w:val="95"/>
          <w:lang w:eastAsia="zh-CN"/>
        </w:rPr>
        <w:t>三</w:t>
      </w:r>
      <w:r>
        <w:rPr>
          <w:rFonts w:hint="default" w:ascii="Times New Roman" w:hAnsi="Times New Roman" w:eastAsia="方正楷体_GBK" w:cs="Times New Roman"/>
          <w:spacing w:val="-39"/>
          <w:w w:val="95"/>
        </w:rPr>
        <w:t>）</w:t>
      </w:r>
      <w:r>
        <w:rPr>
          <w:rFonts w:hint="default" w:ascii="Times New Roman" w:hAnsi="Times New Roman" w:eastAsia="方正楷体_GBK" w:cs="Times New Roman"/>
        </w:rPr>
        <w:t>严格落实噪声污染防治措施</w:t>
      </w:r>
      <w:r>
        <w:rPr>
          <w:rFonts w:hint="default" w:ascii="Times New Roman" w:hAnsi="Times New Roman" w:cs="Times New Roman"/>
        </w:rPr>
        <w:t>。</w:t>
      </w:r>
      <w:r>
        <w:rPr>
          <w:rFonts w:hint="eastAsia" w:ascii="Times New Roman" w:hAnsi="Times New Roman" w:cs="Times New Roman"/>
          <w:lang w:eastAsia="zh-CN"/>
        </w:rPr>
        <w:t>项目</w:t>
      </w:r>
      <w:r>
        <w:rPr>
          <w:rFonts w:hint="default" w:ascii="Times New Roman" w:hAnsi="Times New Roman" w:cs="Times New Roman"/>
        </w:rPr>
        <w:t>运营期噪声源主要来自生产设备、空压机、各类泵及风机等设备运行噪声</w:t>
      </w:r>
      <w:r>
        <w:rPr>
          <w:rFonts w:hint="eastAsia" w:ascii="Times New Roman" w:hAnsi="Times New Roman" w:cs="Times New Roman"/>
          <w:lang w:eastAsia="zh-CN"/>
        </w:rPr>
        <w:t>，拟通过采取</w:t>
      </w:r>
      <w:r>
        <w:rPr>
          <w:rFonts w:hint="default" w:ascii="Times New Roman" w:hAnsi="Times New Roman" w:cs="Times New Roman"/>
        </w:rPr>
        <w:t>吸声、消声、隔声、减振及绿化等</w:t>
      </w:r>
      <w:r>
        <w:rPr>
          <w:rFonts w:hint="eastAsia" w:ascii="Times New Roman" w:hAnsi="Times New Roman" w:cs="Times New Roman"/>
          <w:lang w:eastAsia="zh-CN"/>
        </w:rPr>
        <w:t>降噪</w:t>
      </w:r>
      <w:r>
        <w:rPr>
          <w:rFonts w:hint="default" w:ascii="Times New Roman" w:hAnsi="Times New Roman" w:cs="Times New Roman"/>
        </w:rPr>
        <w:t>措施</w:t>
      </w:r>
      <w:r>
        <w:rPr>
          <w:rFonts w:hint="eastAsia" w:ascii="Times New Roman" w:hAnsi="Times New Roman" w:cs="Times New Roman"/>
          <w:lang w:eastAsia="zh-CN"/>
        </w:rPr>
        <w:t>，确保运营</w:t>
      </w:r>
      <w:r>
        <w:rPr>
          <w:rFonts w:hint="default" w:ascii="Times New Roman" w:hAnsi="Times New Roman" w:cs="Times New Roman"/>
        </w:rPr>
        <w:t>期东侧、西侧、北侧厂界</w:t>
      </w:r>
      <w:r>
        <w:rPr>
          <w:rFonts w:hint="eastAsia" w:ascii="Times New Roman" w:hAnsi="Times New Roman" w:cs="Times New Roman"/>
          <w:lang w:eastAsia="zh-CN"/>
        </w:rPr>
        <w:t>满足</w:t>
      </w:r>
      <w:r>
        <w:rPr>
          <w:rFonts w:hint="default" w:ascii="Times New Roman" w:hAnsi="Times New Roman" w:cs="Times New Roman"/>
        </w:rPr>
        <w:t>《工业企业厂界环境噪声排放标准》（GB12348-2008）中3类标准，南侧临产业大道侧的厂界</w:t>
      </w:r>
      <w:r>
        <w:rPr>
          <w:rFonts w:hint="eastAsia" w:ascii="Times New Roman" w:hAnsi="Times New Roman" w:cs="Times New Roman"/>
          <w:lang w:eastAsia="zh-CN"/>
        </w:rPr>
        <w:t>满足</w:t>
      </w:r>
      <w:r>
        <w:rPr>
          <w:rFonts w:hint="default" w:ascii="Times New Roman" w:hAnsi="Times New Roman" w:cs="Times New Roman"/>
        </w:rPr>
        <w:t>《工业企业厂界环境噪声排放标准》（GB12348-2008）中4类标准。</w:t>
      </w:r>
    </w:p>
    <w:p w14:paraId="59999876">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40" w:firstLineChars="200"/>
        <w:jc w:val="both"/>
        <w:textAlignment w:val="auto"/>
        <w:rPr>
          <w:rFonts w:hint="eastAsia" w:ascii="Times New Roman" w:hAnsi="Times New Roman" w:cs="Times New Roman"/>
          <w:lang w:eastAsia="zh-CN"/>
        </w:rPr>
      </w:pPr>
      <w:r>
        <w:rPr>
          <w:rFonts w:hint="default" w:ascii="Times New Roman" w:hAnsi="Times New Roman" w:eastAsia="方正楷体_GBK" w:cs="Times New Roman"/>
        </w:rPr>
        <w:t>（</w:t>
      </w:r>
      <w:r>
        <w:rPr>
          <w:rFonts w:hint="eastAsia" w:ascii="Times New Roman" w:hAnsi="Times New Roman" w:eastAsia="方正楷体_GBK" w:cs="Times New Roman"/>
          <w:lang w:eastAsia="zh-CN"/>
        </w:rPr>
        <w:t>四</w:t>
      </w:r>
      <w:r>
        <w:rPr>
          <w:rFonts w:hint="default" w:ascii="Times New Roman" w:hAnsi="Times New Roman" w:eastAsia="方正楷体_GBK" w:cs="Times New Roman"/>
          <w:spacing w:val="-58"/>
        </w:rPr>
        <w:t>）</w:t>
      </w:r>
      <w:r>
        <w:rPr>
          <w:rFonts w:hint="default" w:ascii="Times New Roman" w:hAnsi="Times New Roman" w:eastAsia="方正楷体_GBK" w:cs="Times New Roman"/>
          <w:spacing w:val="-3"/>
        </w:rPr>
        <w:t>严格落实固体废物分类处置和综合利用措施。</w:t>
      </w:r>
      <w:r>
        <w:rPr>
          <w:rFonts w:hint="eastAsia" w:ascii="Times New Roman" w:hAnsi="Times New Roman" w:cs="Times New Roman"/>
          <w:lang w:eastAsia="zh-CN"/>
        </w:rPr>
        <w:t>项目运营期产生的一般工业固废主要包括阴阳极设备清洗废渣、阴极搅拌设备清洗废液、废边角料、废隔膜、废正极材料、废负极材料自燃产生的废渣、不合格品、废零部件、除尘废滤芯、除尘粉尘、废包装材料、废过滤材料、废渗透膜、空调系统、空压系统废滤芯、污泥、废浆料，其中阴阳极设备清洗废渣定期交下游厂家回收处置；阴极搅拌设备清洗废液交厂家回收处理或外售处置；废边角料、废隔膜、废零部件、除尘废滤芯、废包装材料、废过滤材料、废渗透膜、空调系统、空压系统废滤芯定期交物资单位回收处置；废正极材料、不合格品收集后出售给专门的单位回收利用或报废处置；废负极材料自燃产生的废渣、除尘粉尘、污泥定期送一般固废填埋场填埋处理、废浆料收集后出售给专门的单位回收利用。产生的危险废物主要包括废电解液、废导热油、废活性炭、废润滑油、废机油、废油等、沾染危险化学品的废包装材料、废弃的含油抹布、劳保用品、废过滤材料、精馏废液、浸泡废液、实验室废物、废催化剂等，经集中收集后分类暂存于危险废物暂存间，定期交由有资质单位处置；其中废催化剂应当按照国家规定的危险废物鉴别标准和鉴别方法予以认定，鉴别前按照危险废物管理，鉴别后按鉴别结果进行管理。危险废物暂存间设置必须严格按照《危险废物污染防治技术政策》和《危险废物贮存污染控制标准》（GB18597-2023）要求执行，危险废物转运按照《危险废物转移管理办法》相关要求进行。生活垃圾采用袋装化集中分别收集，交当地环卫部门集中处置。餐厨垃圾采用专用收集桶收集，交具备餐厨垃圾处置资质单位收运处置。</w:t>
      </w:r>
    </w:p>
    <w:p w14:paraId="513E3368">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08" w:firstLineChars="200"/>
        <w:jc w:val="both"/>
        <w:textAlignment w:val="auto"/>
        <w:rPr>
          <w:rFonts w:hint="default" w:ascii="Times New Roman" w:hAnsi="Times New Roman" w:cs="Times New Roman"/>
          <w:lang w:eastAsia="zh-CN"/>
        </w:rPr>
      </w:pPr>
      <w:r>
        <w:rPr>
          <w:rFonts w:hint="default" w:ascii="Times New Roman" w:hAnsi="Times New Roman" w:eastAsia="方正楷体_GBK" w:cs="Times New Roman"/>
          <w:w w:val="95"/>
        </w:rPr>
        <w:t>（</w:t>
      </w:r>
      <w:r>
        <w:rPr>
          <w:rFonts w:hint="eastAsia" w:ascii="Times New Roman" w:hAnsi="Times New Roman" w:eastAsia="方正楷体_GBK" w:cs="Times New Roman"/>
          <w:w w:val="95"/>
          <w:lang w:eastAsia="zh-CN"/>
        </w:rPr>
        <w:t>五</w:t>
      </w:r>
      <w:r>
        <w:rPr>
          <w:rFonts w:hint="default" w:ascii="Times New Roman" w:hAnsi="Times New Roman" w:eastAsia="方正楷体_GBK" w:cs="Times New Roman"/>
          <w:spacing w:val="-39"/>
          <w:w w:val="95"/>
        </w:rPr>
        <w:t>）</w:t>
      </w:r>
      <w:r>
        <w:rPr>
          <w:rFonts w:hint="default" w:ascii="Times New Roman" w:hAnsi="Times New Roman" w:eastAsia="方正楷体_GBK" w:cs="Times New Roman"/>
          <w:spacing w:val="-3"/>
          <w:w w:val="95"/>
        </w:rPr>
        <w:t>严格落实环境风险防范措施。</w:t>
      </w:r>
      <w:r>
        <w:rPr>
          <w:rFonts w:hint="default" w:ascii="Times New Roman" w:hAnsi="Times New Roman" w:cs="Times New Roman"/>
          <w:lang w:eastAsia="zh-CN"/>
        </w:rPr>
        <w:t>项目应认真落实《报告表》中提出的各种风险防范措施，对电芯厂房1、电芯厂房2、凹版车间涉液区域</w:t>
      </w:r>
      <w:r>
        <w:rPr>
          <w:rFonts w:hint="eastAsia" w:ascii="Times New Roman" w:hAnsi="Times New Roman" w:cs="Times New Roman"/>
          <w:lang w:eastAsia="zh-CN"/>
        </w:rPr>
        <w:t>、</w:t>
      </w:r>
      <w:r>
        <w:rPr>
          <w:rFonts w:hint="default" w:ascii="Times New Roman" w:hAnsi="Times New Roman" w:cs="Times New Roman"/>
          <w:lang w:eastAsia="zh-CN"/>
        </w:rPr>
        <w:t>原料仓、电解液仓、NMP罐区、NMP精馏区、危废贮存库、焚烧浸泡房、拆电池房、污水处理站、事故池等区域进行重点防渗处理</w:t>
      </w:r>
      <w:r>
        <w:rPr>
          <w:rFonts w:hint="eastAsia" w:ascii="Times New Roman" w:hAnsi="Times New Roman" w:cs="Times New Roman"/>
          <w:lang w:eastAsia="zh-CN"/>
        </w:rPr>
        <w:t>；动力站、模组厂房及储能装配车间、FE加工棚、成品仓、报废仓（一般工业固废暂存间）等区域进行一般防渗处理。</w:t>
      </w:r>
      <w:r>
        <w:rPr>
          <w:rFonts w:hint="default" w:ascii="Times New Roman" w:hAnsi="Times New Roman" w:cs="Times New Roman"/>
          <w:lang w:eastAsia="zh-CN"/>
        </w:rPr>
        <w:t>NMP罐区设置围堰，其有效容积不小于单个储罐最大容积，储罐安装液位计，围堰内设截流沟、收集井</w:t>
      </w:r>
      <w:r>
        <w:rPr>
          <w:rFonts w:hint="eastAsia" w:ascii="Times New Roman" w:hAnsi="Times New Roman" w:cs="Times New Roman"/>
          <w:lang w:eastAsia="zh-CN"/>
        </w:rPr>
        <w:t>；</w:t>
      </w:r>
      <w:r>
        <w:rPr>
          <w:rFonts w:hint="default" w:ascii="Times New Roman" w:hAnsi="Times New Roman" w:cs="Times New Roman"/>
          <w:lang w:eastAsia="zh-CN"/>
        </w:rPr>
        <w:t>罐区设置禁止携带火源、防爆、防静电设施及标志</w:t>
      </w:r>
      <w:r>
        <w:rPr>
          <w:rFonts w:hint="eastAsia" w:ascii="Times New Roman" w:hAnsi="Times New Roman" w:cs="Times New Roman"/>
          <w:lang w:eastAsia="zh-CN"/>
        </w:rPr>
        <w:t>。</w:t>
      </w:r>
      <w:r>
        <w:rPr>
          <w:rFonts w:hint="default" w:ascii="Times New Roman" w:hAnsi="Times New Roman" w:cs="Times New Roman"/>
          <w:lang w:eastAsia="zh-CN"/>
        </w:rPr>
        <w:t>NMP精馏装置区的NMP中转罐设置围堰，其有效容积不小于单个中转罐的最大容积，围堰内设截流沟。原料仓、电解液仓涉液储存区域设置截流沟、收集井</w:t>
      </w:r>
      <w:r>
        <w:rPr>
          <w:rFonts w:hint="eastAsia" w:ascii="Times New Roman" w:hAnsi="Times New Roman" w:cs="Times New Roman"/>
          <w:lang w:eastAsia="zh-CN"/>
        </w:rPr>
        <w:t>。</w:t>
      </w:r>
      <w:r>
        <w:rPr>
          <w:rFonts w:hint="default" w:ascii="Times New Roman" w:hAnsi="Times New Roman" w:cs="Times New Roman"/>
          <w:lang w:eastAsia="zh-CN"/>
        </w:rPr>
        <w:t>一般固废暂存间内</w:t>
      </w:r>
      <w:r>
        <w:rPr>
          <w:rFonts w:hint="eastAsia" w:ascii="Times New Roman" w:hAnsi="Times New Roman" w:cs="Times New Roman"/>
          <w:lang w:eastAsia="zh-CN"/>
        </w:rPr>
        <w:t>实行</w:t>
      </w:r>
      <w:r>
        <w:rPr>
          <w:rFonts w:hint="default" w:ascii="Times New Roman" w:hAnsi="Times New Roman" w:cs="Times New Roman"/>
          <w:lang w:eastAsia="zh-CN"/>
        </w:rPr>
        <w:t>分区暂存，对NMP废液采用密闭吨桶暂存，</w:t>
      </w:r>
      <w:r>
        <w:rPr>
          <w:rFonts w:hint="eastAsia" w:ascii="Times New Roman" w:hAnsi="Times New Roman" w:cs="Times New Roman"/>
          <w:lang w:eastAsia="zh-CN"/>
        </w:rPr>
        <w:t>并对</w:t>
      </w:r>
      <w:r>
        <w:rPr>
          <w:rFonts w:hint="default" w:ascii="Times New Roman" w:hAnsi="Times New Roman" w:cs="Times New Roman"/>
          <w:lang w:eastAsia="zh-CN"/>
        </w:rPr>
        <w:t>NMP废液暂存区设置截流沟、收集井。厂区设置一座有效容积2900立方米的事故池（兼初期雨水池），并设雨水管网和雨污切换阀。在易燃危险物质储存区域设置可燃气体泄漏报警装置、火灾报警装置</w:t>
      </w:r>
      <w:r>
        <w:rPr>
          <w:rFonts w:hint="eastAsia" w:ascii="Times New Roman" w:hAnsi="Times New Roman" w:cs="Times New Roman"/>
          <w:lang w:eastAsia="zh-CN"/>
        </w:rPr>
        <w:t>，</w:t>
      </w:r>
      <w:r>
        <w:rPr>
          <w:rFonts w:hint="default" w:ascii="Times New Roman" w:hAnsi="Times New Roman" w:cs="Times New Roman"/>
          <w:lang w:eastAsia="zh-CN"/>
        </w:rPr>
        <w:t>配置</w:t>
      </w:r>
      <w:r>
        <w:rPr>
          <w:rFonts w:hint="eastAsia" w:ascii="Times New Roman" w:hAnsi="Times New Roman" w:cs="Times New Roman"/>
          <w:lang w:eastAsia="zh-CN"/>
        </w:rPr>
        <w:t>一定的消防器材和</w:t>
      </w:r>
      <w:r>
        <w:rPr>
          <w:rFonts w:hint="default" w:ascii="Times New Roman" w:hAnsi="Times New Roman" w:cs="Times New Roman"/>
          <w:lang w:eastAsia="zh-CN"/>
        </w:rPr>
        <w:t>应急物资。日常运营过程中要严格按照行业规范和设计要求规范作业，加强污染防治设施及设备的定期检修和维护工作</w:t>
      </w:r>
      <w:r>
        <w:rPr>
          <w:rFonts w:hint="eastAsia" w:ascii="Times New Roman" w:hAnsi="Times New Roman" w:cs="Times New Roman"/>
          <w:lang w:eastAsia="zh-CN"/>
        </w:rPr>
        <w:t>，</w:t>
      </w:r>
      <w:r>
        <w:rPr>
          <w:rFonts w:hint="default" w:ascii="Times New Roman" w:hAnsi="Times New Roman" w:cs="Times New Roman"/>
          <w:lang w:eastAsia="zh-CN"/>
        </w:rPr>
        <w:t>制定详尽有效的环境事故应急预案并备案，定期开展应急演练，充分提高工作人员的事故防范能力，防止因事故引发环境污染。</w:t>
      </w:r>
    </w:p>
    <w:p w14:paraId="4A9642BA">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40" w:firstLineChars="200"/>
        <w:jc w:val="both"/>
        <w:textAlignment w:val="auto"/>
        <w:rPr>
          <w:rFonts w:hint="eastAsia" w:ascii="Times New Roman" w:hAnsi="Times New Roman" w:cs="Times New Roman"/>
          <w:spacing w:val="-10"/>
          <w:lang w:val="en-US" w:eastAsia="zh-CN"/>
        </w:rPr>
      </w:pPr>
      <w:r>
        <w:rPr>
          <w:rFonts w:hint="default" w:ascii="Times New Roman" w:hAnsi="Times New Roman" w:eastAsia="方正楷体_GBK" w:cs="Times New Roman"/>
        </w:rPr>
        <w:t>（</w:t>
      </w:r>
      <w:r>
        <w:rPr>
          <w:rFonts w:hint="eastAsia" w:ascii="Times New Roman" w:hAnsi="Times New Roman" w:eastAsia="方正楷体_GBK" w:cs="Times New Roman"/>
          <w:lang w:eastAsia="zh-CN"/>
        </w:rPr>
        <w:t>六</w:t>
      </w:r>
      <w:r>
        <w:rPr>
          <w:rFonts w:hint="default" w:ascii="Times New Roman" w:hAnsi="Times New Roman" w:eastAsia="方正楷体_GBK" w:cs="Times New Roman"/>
          <w:spacing w:val="-58"/>
        </w:rPr>
        <w:t>）</w:t>
      </w:r>
      <w:r>
        <w:rPr>
          <w:rFonts w:hint="default" w:ascii="Times New Roman" w:hAnsi="Times New Roman" w:eastAsia="方正楷体_GBK" w:cs="Times New Roman"/>
          <w:spacing w:val="-5"/>
        </w:rPr>
        <w:t>严格执行排污总量控制。</w:t>
      </w:r>
      <w:r>
        <w:rPr>
          <w:rFonts w:hint="eastAsia" w:ascii="Times New Roman" w:hAnsi="Times New Roman" w:cs="Times New Roman"/>
          <w:spacing w:val="-10"/>
          <w:lang w:eastAsia="zh-CN"/>
        </w:rPr>
        <w:t>项目实施后废水中化学需氧量、氨氮的排放总量分别为</w:t>
      </w:r>
      <w:r>
        <w:rPr>
          <w:rFonts w:hint="eastAsia" w:ascii="Times New Roman" w:hAnsi="Times New Roman" w:cs="Times New Roman"/>
          <w:spacing w:val="-10"/>
          <w:lang w:val="en-US" w:eastAsia="zh-CN"/>
        </w:rPr>
        <w:t>14.62吨/年、1.46吨/年，分别较原项目削减 0.2 吨/年、 0.02 吨/年；废气主要污染物颗粒物、二氧化硫、氨氮化物、挥发性有机物（以非甲烷总烃计）有组织排放总量分别为37.52吨/年、25.37吨/年、71.91吨/年、59.93吨/年，其中废气污染物颗粒物、二氧化硫、氮氧化物分别较原项目新增约 8.12 吨/年、 0.8 吨/年、 5.67 吨/年，挥发性有机物（以非甲烷总烃计）较原项目削减 0.2684 吨/年。根据《重庆市铜梁区生态环境局关于厦门海辰储能西南智能制造中心及研发中心项目（一期）（重新报批）主要污染物总量指标及来源的函》（铜环函〔2024〕103号），项目废气主要污染物颗粒物、二氧化硫、氮氧化物较原项目新增排放总量按两倍替代削减，从重庆铜梁西南水泥有限公司废气超低排放改造项目削减的总量中予以安排。下一步应按规定载入排污许可证管理。</w:t>
      </w:r>
    </w:p>
    <w:p w14:paraId="2E717544">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00" w:firstLineChars="200"/>
        <w:jc w:val="both"/>
        <w:textAlignment w:val="auto"/>
        <w:rPr>
          <w:rFonts w:hint="default" w:ascii="Times New Roman" w:hAnsi="Times New Roman" w:cs="Times New Roman"/>
          <w:spacing w:val="-10"/>
          <w:lang w:val="en-US" w:eastAsia="zh-CN"/>
        </w:rPr>
      </w:pPr>
      <w:r>
        <w:rPr>
          <w:rFonts w:hint="default" w:ascii="Times New Roman" w:hAnsi="Times New Roman" w:cs="Times New Roman"/>
          <w:spacing w:val="-10"/>
          <w:lang w:val="en-US" w:eastAsia="zh-CN"/>
        </w:rPr>
        <w:t>（</w:t>
      </w:r>
      <w:r>
        <w:rPr>
          <w:rFonts w:hint="eastAsia" w:ascii="Times New Roman" w:hAnsi="Times New Roman" w:cs="Times New Roman"/>
          <w:spacing w:val="-10"/>
          <w:lang w:val="en-US" w:eastAsia="zh-CN"/>
        </w:rPr>
        <w:t>七</w:t>
      </w:r>
      <w:r>
        <w:rPr>
          <w:rFonts w:hint="default" w:ascii="Times New Roman" w:hAnsi="Times New Roman" w:cs="Times New Roman"/>
          <w:spacing w:val="-10"/>
          <w:lang w:val="en-US" w:eastAsia="zh-CN"/>
        </w:rPr>
        <w:t>）</w:t>
      </w:r>
      <w:r>
        <w:rPr>
          <w:rFonts w:hint="eastAsia" w:ascii="Times New Roman" w:hAnsi="Times New Roman" w:cs="Times New Roman"/>
          <w:spacing w:val="-10"/>
          <w:lang w:val="en-US" w:eastAsia="zh-CN"/>
        </w:rPr>
        <w:t>按技术规范规整排污口，其中废气排放口应按规范设置监测平台，废水排放口设流量计。</w:t>
      </w:r>
    </w:p>
    <w:p w14:paraId="4FEFAEEE">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600" w:firstLineChars="200"/>
        <w:jc w:val="both"/>
        <w:textAlignment w:val="auto"/>
        <w:rPr>
          <w:rFonts w:hint="default" w:ascii="Times New Roman" w:hAnsi="Times New Roman" w:cs="Times New Roman"/>
        </w:rPr>
      </w:pPr>
      <w:r>
        <w:rPr>
          <w:rFonts w:hint="default" w:ascii="Times New Roman" w:hAnsi="Times New Roman" w:cs="Times New Roman"/>
          <w:spacing w:val="-10"/>
          <w:lang w:val="en-US" w:eastAsia="zh-CN"/>
        </w:rPr>
        <w:t>（</w:t>
      </w:r>
      <w:r>
        <w:rPr>
          <w:rFonts w:hint="eastAsia" w:ascii="Times New Roman" w:hAnsi="Times New Roman" w:cs="Times New Roman"/>
          <w:spacing w:val="-10"/>
          <w:lang w:val="en-US" w:eastAsia="zh-CN"/>
        </w:rPr>
        <w:t>八</w:t>
      </w:r>
      <w:r>
        <w:rPr>
          <w:rFonts w:hint="default" w:ascii="Times New Roman" w:hAnsi="Times New Roman" w:cs="Times New Roman"/>
          <w:spacing w:val="-10"/>
          <w:lang w:val="en-US" w:eastAsia="zh-CN"/>
        </w:rPr>
        <w:t>）建立健全环境保护管理机构和制度，</w:t>
      </w:r>
      <w:r>
        <w:rPr>
          <w:rFonts w:hint="eastAsia" w:ascii="Times New Roman" w:hAnsi="Times New Roman" w:cs="Times New Roman"/>
          <w:spacing w:val="-10"/>
          <w:lang w:val="en-US" w:eastAsia="zh-CN"/>
        </w:rPr>
        <w:t>加强运营期的环境管理与监测工作。</w:t>
      </w:r>
    </w:p>
    <w:p w14:paraId="5F667732">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leftChars="0" w:right="0" w:firstLine="592" w:firstLineChars="200"/>
        <w:jc w:val="both"/>
        <w:textAlignment w:val="auto"/>
        <w:rPr>
          <w:rFonts w:hint="default" w:ascii="Times New Roman" w:hAnsi="Times New Roman" w:cs="Times New Roman"/>
        </w:rPr>
      </w:pPr>
      <w:r>
        <w:rPr>
          <w:rFonts w:hint="default" w:ascii="Times New Roman" w:hAnsi="Times New Roman" w:cs="Times New Roman"/>
          <w:spacing w:val="-12"/>
        </w:rPr>
        <w:t>三、项目建设必须严格执行环境保护设施与主体工程同时设</w:t>
      </w:r>
      <w:r>
        <w:rPr>
          <w:rFonts w:hint="default" w:ascii="Times New Roman" w:hAnsi="Times New Roman" w:cs="Times New Roman"/>
          <w:spacing w:val="-9"/>
        </w:rPr>
        <w:t>计、同时施工、同时投入使用的环境保护</w:t>
      </w:r>
      <w:r>
        <w:rPr>
          <w:rFonts w:hint="default" w:ascii="Times New Roman" w:hAnsi="Times New Roman" w:eastAsia="Times New Roman" w:cs="Times New Roman"/>
        </w:rPr>
        <w:t>“</w:t>
      </w:r>
      <w:r>
        <w:rPr>
          <w:rFonts w:hint="default" w:ascii="Times New Roman" w:hAnsi="Times New Roman" w:cs="Times New Roman"/>
        </w:rPr>
        <w:t>三同时</w:t>
      </w:r>
      <w:r>
        <w:rPr>
          <w:rFonts w:hint="default" w:ascii="Times New Roman" w:hAnsi="Times New Roman" w:eastAsia="Times New Roman" w:cs="Times New Roman"/>
        </w:rPr>
        <w:t>”</w:t>
      </w:r>
      <w:r>
        <w:rPr>
          <w:rFonts w:hint="default" w:ascii="Times New Roman" w:hAnsi="Times New Roman" w:cs="Times New Roman"/>
          <w:spacing w:val="-5"/>
        </w:rPr>
        <w:t>制度。项目环</w:t>
      </w:r>
      <w:r>
        <w:rPr>
          <w:rFonts w:hint="default" w:ascii="Times New Roman" w:hAnsi="Times New Roman" w:cs="Times New Roman"/>
          <w:spacing w:val="-11"/>
        </w:rPr>
        <w:t>保投资应纳入工程投资概算并予以落实。项目竣工后，你公司应</w:t>
      </w:r>
      <w:r>
        <w:rPr>
          <w:rFonts w:hint="default" w:ascii="Times New Roman" w:hAnsi="Times New Roman" w:cs="Times New Roman"/>
          <w:spacing w:val="-16"/>
        </w:rPr>
        <w:t>按照有关规定对配套建设的环境保护设施进行验收，编制验收报</w:t>
      </w:r>
      <w:r>
        <w:rPr>
          <w:rFonts w:hint="default" w:ascii="Times New Roman" w:hAnsi="Times New Roman" w:cs="Times New Roman"/>
          <w:spacing w:val="-12"/>
        </w:rPr>
        <w:t>告，并通过网站或其他公众便于知晓的方式依法向社会公开环保</w:t>
      </w:r>
      <w:r>
        <w:rPr>
          <w:rFonts w:hint="default" w:ascii="Times New Roman" w:hAnsi="Times New Roman" w:cs="Times New Roman"/>
          <w:spacing w:val="-15"/>
          <w:w w:val="95"/>
        </w:rPr>
        <w:t>设施竣工时间、调试期限、验收报告等信息，同时报生态环境部</w:t>
      </w:r>
      <w:r>
        <w:rPr>
          <w:rFonts w:hint="default" w:ascii="Times New Roman" w:hAnsi="Times New Roman" w:cs="Times New Roman"/>
          <w:spacing w:val="-22"/>
        </w:rPr>
        <w:t xml:space="preserve">门，公示期满 </w:t>
      </w:r>
      <w:r>
        <w:rPr>
          <w:rFonts w:hint="default" w:ascii="Times New Roman" w:hAnsi="Times New Roman" w:eastAsia="Times New Roman" w:cs="Times New Roman"/>
        </w:rPr>
        <w:t xml:space="preserve">5 </w:t>
      </w:r>
      <w:r>
        <w:rPr>
          <w:rFonts w:hint="default" w:ascii="Times New Roman" w:hAnsi="Times New Roman" w:cs="Times New Roman"/>
          <w:spacing w:val="-8"/>
        </w:rPr>
        <w:t>个工作日内，应登录全国建设项目环境影响评价</w:t>
      </w:r>
      <w:r>
        <w:rPr>
          <w:rFonts w:hint="default" w:ascii="Times New Roman" w:hAnsi="Times New Roman" w:cs="Times New Roman"/>
          <w:spacing w:val="-14"/>
        </w:rPr>
        <w:t>管理信息平台，填报验收等相关信息</w:t>
      </w:r>
      <w:r>
        <w:rPr>
          <w:rFonts w:hint="eastAsia" w:ascii="Times New Roman" w:hAnsi="Times New Roman" w:cs="Times New Roman"/>
          <w:spacing w:val="-14"/>
          <w:lang w:eastAsia="zh-CN"/>
        </w:rPr>
        <w:t>。</w:t>
      </w:r>
      <w:r>
        <w:rPr>
          <w:rFonts w:hint="default" w:ascii="Times New Roman" w:hAnsi="Times New Roman" w:cs="Times New Roman"/>
          <w:spacing w:val="-14"/>
        </w:rPr>
        <w:t>纳入排污许可证管理的</w:t>
      </w:r>
      <w:r>
        <w:rPr>
          <w:rFonts w:hint="eastAsia" w:ascii="Times New Roman" w:hAnsi="Times New Roman" w:cs="Times New Roman"/>
          <w:spacing w:val="-14"/>
          <w:lang w:eastAsia="zh-CN"/>
        </w:rPr>
        <w:t>企</w:t>
      </w:r>
      <w:r>
        <w:rPr>
          <w:rFonts w:hint="default" w:ascii="Times New Roman" w:hAnsi="Times New Roman" w:cs="Times New Roman"/>
          <w:spacing w:val="-11"/>
        </w:rPr>
        <w:t>业，必须按照国家排污许可证有关管理规定要求，申领排污许可证，不得无证排污或不按证排污。</w:t>
      </w:r>
    </w:p>
    <w:p w14:paraId="17E5A861">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556" w:firstLineChars="200"/>
        <w:jc w:val="both"/>
        <w:textAlignment w:val="auto"/>
        <w:rPr>
          <w:rFonts w:hint="default" w:ascii="Times New Roman" w:hAnsi="Times New Roman" w:cs="Times New Roman"/>
        </w:rPr>
      </w:pPr>
      <w:r>
        <w:rPr>
          <w:rFonts w:hint="default" w:ascii="Times New Roman" w:hAnsi="Times New Roman" w:cs="Times New Roman"/>
          <w:spacing w:val="-13"/>
          <w:w w:val="95"/>
        </w:rPr>
        <w:t>四、该项目的内容、规模、地点、采用的生产工艺或者防治</w:t>
      </w:r>
      <w:r>
        <w:rPr>
          <w:rFonts w:hint="default" w:ascii="Times New Roman" w:hAnsi="Times New Roman" w:cs="Times New Roman"/>
          <w:spacing w:val="-13"/>
        </w:rPr>
        <w:t>污染、防止生态破坏的措施发生重大变动的，你单位应当重新报批该项目的环境影响评价文件。</w:t>
      </w:r>
    </w:p>
    <w:p w14:paraId="36B82976">
      <w:pPr>
        <w:pStyle w:val="2"/>
        <w:keepNext w:val="0"/>
        <w:keepLines w:val="0"/>
        <w:pageBreakBefore w:val="0"/>
        <w:widowControl w:val="0"/>
        <w:kinsoku/>
        <w:wordWrap/>
        <w:overflowPunct/>
        <w:topLinePunct w:val="0"/>
        <w:autoSpaceDE w:val="0"/>
        <w:autoSpaceDN w:val="0"/>
        <w:bidi w:val="0"/>
        <w:adjustRightInd/>
        <w:snapToGrid/>
        <w:spacing w:before="0" w:line="594" w:lineRule="exact"/>
        <w:ind w:left="0" w:right="0" w:firstLine="592" w:firstLineChars="200"/>
        <w:jc w:val="both"/>
        <w:textAlignment w:val="auto"/>
        <w:rPr>
          <w:rFonts w:hint="default" w:ascii="Times New Roman" w:hAnsi="Times New Roman" w:cs="Times New Roman"/>
          <w:sz w:val="34"/>
        </w:rPr>
      </w:pPr>
      <w:r>
        <w:rPr>
          <w:rFonts w:hint="default" w:ascii="Times New Roman" w:hAnsi="Times New Roman" w:cs="Times New Roman"/>
          <w:spacing w:val="-12"/>
        </w:rPr>
        <w:t>五、若项目实施或运行后，国家和本市提出新的环境质量要求，或发布更加严格的污染物排放标准，或项目的运行出现明显</w:t>
      </w:r>
      <w:r>
        <w:rPr>
          <w:rFonts w:hint="default" w:ascii="Times New Roman" w:hAnsi="Times New Roman" w:cs="Times New Roman"/>
          <w:spacing w:val="-16"/>
        </w:rPr>
        <w:t>影响区域环境质量的状况，你公司有义务按照国家及本市的新要</w:t>
      </w:r>
      <w:r>
        <w:rPr>
          <w:rFonts w:hint="default" w:ascii="Times New Roman" w:hAnsi="Times New Roman" w:cs="Times New Roman"/>
          <w:spacing w:val="-19"/>
        </w:rPr>
        <w:t>求或发生明显影响环境质量的新情况，采取有效的改进措施确保项目满足新的环境保护管理要求。</w:t>
      </w:r>
    </w:p>
    <w:p w14:paraId="5832A3D1">
      <w:pPr>
        <w:pStyle w:val="2"/>
        <w:keepNext w:val="0"/>
        <w:keepLines w:val="0"/>
        <w:pageBreakBefore w:val="0"/>
        <w:widowControl w:val="0"/>
        <w:kinsoku/>
        <w:wordWrap/>
        <w:overflowPunct/>
        <w:topLinePunct w:val="0"/>
        <w:autoSpaceDE w:val="0"/>
        <w:autoSpaceDN w:val="0"/>
        <w:bidi w:val="0"/>
        <w:adjustRightInd/>
        <w:snapToGrid/>
        <w:spacing w:before="1" w:line="594" w:lineRule="exact"/>
        <w:ind w:left="0" w:leftChars="0" w:right="256" w:firstLine="0" w:firstLineChars="0"/>
        <w:jc w:val="both"/>
        <w:textAlignment w:val="auto"/>
        <w:rPr>
          <w:rFonts w:hint="eastAsia" w:ascii="Times New Roman" w:hAnsi="Times New Roman" w:eastAsia="方正仿宋_GBK" w:cs="Times New Roman"/>
          <w:w w:val="100"/>
          <w:lang w:val="en-US" w:eastAsia="zh-CN"/>
        </w:rPr>
      </w:pPr>
      <w:r>
        <w:rPr>
          <w:rFonts w:hint="eastAsia" w:ascii="Times New Roman" w:hAnsi="Times New Roman" w:cs="Times New Roman"/>
          <w:w w:val="100"/>
          <w:lang w:val="en-US" w:eastAsia="zh-CN"/>
        </w:rPr>
        <w:t>（此页无正文）</w:t>
      </w:r>
    </w:p>
    <w:p w14:paraId="72C68B76">
      <w:pPr>
        <w:pStyle w:val="2"/>
        <w:keepNext w:val="0"/>
        <w:keepLines w:val="0"/>
        <w:pageBreakBefore w:val="0"/>
        <w:widowControl w:val="0"/>
        <w:kinsoku/>
        <w:wordWrap/>
        <w:overflowPunct/>
        <w:topLinePunct w:val="0"/>
        <w:autoSpaceDE w:val="0"/>
        <w:autoSpaceDN w:val="0"/>
        <w:bidi w:val="0"/>
        <w:adjustRightInd/>
        <w:snapToGrid/>
        <w:spacing w:before="1" w:line="594" w:lineRule="exact"/>
        <w:ind w:left="0" w:leftChars="0" w:right="256" w:firstLine="0" w:firstLineChars="0"/>
        <w:jc w:val="both"/>
        <w:textAlignment w:val="auto"/>
        <w:rPr>
          <w:rFonts w:hint="default" w:ascii="Times New Roman" w:hAnsi="Times New Roman" w:cs="Times New Roman"/>
          <w:w w:val="100"/>
        </w:rPr>
      </w:pPr>
    </w:p>
    <w:p w14:paraId="3F974B9E">
      <w:pPr>
        <w:pStyle w:val="2"/>
        <w:keepNext w:val="0"/>
        <w:keepLines w:val="0"/>
        <w:pageBreakBefore w:val="0"/>
        <w:widowControl w:val="0"/>
        <w:kinsoku/>
        <w:wordWrap/>
        <w:overflowPunct/>
        <w:topLinePunct w:val="0"/>
        <w:autoSpaceDE w:val="0"/>
        <w:autoSpaceDN w:val="0"/>
        <w:bidi w:val="0"/>
        <w:adjustRightInd/>
        <w:snapToGrid/>
        <w:spacing w:before="1" w:line="594" w:lineRule="exact"/>
        <w:ind w:right="256" w:firstLine="4800" w:firstLineChars="1500"/>
        <w:jc w:val="both"/>
        <w:textAlignment w:val="auto"/>
        <w:rPr>
          <w:rFonts w:hint="default" w:ascii="Times New Roman" w:hAnsi="Times New Roman" w:cs="Times New Roman"/>
          <w:w w:val="100"/>
        </w:rPr>
      </w:pPr>
      <w:r>
        <w:rPr>
          <w:rFonts w:hint="default" w:ascii="Times New Roman" w:hAnsi="Times New Roman" w:cs="Times New Roman"/>
          <w:w w:val="100"/>
        </w:rPr>
        <w:t>重庆市铜梁区生态环境局</w:t>
      </w:r>
    </w:p>
    <w:p w14:paraId="1835F935">
      <w:pPr>
        <w:pStyle w:val="2"/>
        <w:keepNext w:val="0"/>
        <w:keepLines w:val="0"/>
        <w:pageBreakBefore w:val="0"/>
        <w:widowControl w:val="0"/>
        <w:kinsoku/>
        <w:wordWrap/>
        <w:overflowPunct/>
        <w:topLinePunct w:val="0"/>
        <w:autoSpaceDE w:val="0"/>
        <w:autoSpaceDN w:val="0"/>
        <w:bidi w:val="0"/>
        <w:adjustRightInd/>
        <w:snapToGrid/>
        <w:spacing w:before="0" w:line="594" w:lineRule="exact"/>
        <w:ind w:right="0" w:firstLine="5760" w:firstLineChars="1800"/>
        <w:jc w:val="both"/>
        <w:textAlignment w:val="auto"/>
        <w:rPr>
          <w:rFonts w:hint="default" w:ascii="Times New Roman" w:hAnsi="Times New Roman" w:cs="Times New Roman"/>
          <w:spacing w:val="0"/>
          <w:w w:val="100"/>
          <w:sz w:val="32"/>
        </w:rPr>
      </w:pPr>
      <w:r>
        <w:rPr>
          <w:rFonts w:hint="default" w:ascii="Times New Roman" w:hAnsi="Times New Roman" w:cs="Times New Roman"/>
          <w:spacing w:val="0"/>
          <w:w w:val="100"/>
          <w:sz w:val="32"/>
        </w:rPr>
        <w:t>202</w:t>
      </w:r>
      <w:r>
        <w:rPr>
          <w:rFonts w:hint="eastAsia" w:ascii="Times New Roman" w:hAnsi="Times New Roman" w:cs="Times New Roman"/>
          <w:spacing w:val="0"/>
          <w:w w:val="100"/>
          <w:sz w:val="32"/>
          <w:lang w:val="en-US" w:eastAsia="zh-CN"/>
        </w:rPr>
        <w:t>4</w:t>
      </w:r>
      <w:r>
        <w:rPr>
          <w:rFonts w:hint="default" w:ascii="Times New Roman" w:hAnsi="Times New Roman" w:cs="Times New Roman"/>
          <w:spacing w:val="0"/>
          <w:w w:val="100"/>
          <w:sz w:val="32"/>
        </w:rPr>
        <w:t>年</w:t>
      </w:r>
      <w:r>
        <w:rPr>
          <w:rFonts w:hint="eastAsia" w:ascii="Times New Roman" w:hAnsi="Times New Roman" w:cs="Times New Roman"/>
          <w:spacing w:val="0"/>
          <w:w w:val="100"/>
          <w:sz w:val="32"/>
          <w:lang w:val="en-US" w:eastAsia="zh-CN"/>
        </w:rPr>
        <w:t>9</w:t>
      </w:r>
      <w:r>
        <w:rPr>
          <w:rFonts w:hint="default" w:ascii="Times New Roman" w:hAnsi="Times New Roman" w:cs="Times New Roman"/>
          <w:spacing w:val="0"/>
          <w:w w:val="100"/>
          <w:sz w:val="32"/>
        </w:rPr>
        <w:t>月</w:t>
      </w:r>
      <w:r>
        <w:rPr>
          <w:rFonts w:hint="eastAsia" w:ascii="Times New Roman" w:hAnsi="Times New Roman" w:cs="Times New Roman"/>
          <w:spacing w:val="0"/>
          <w:w w:val="100"/>
          <w:sz w:val="32"/>
          <w:lang w:val="en-US" w:eastAsia="zh-CN"/>
        </w:rPr>
        <w:t>29</w:t>
      </w:r>
      <w:r>
        <w:rPr>
          <w:rFonts w:hint="default" w:ascii="Times New Roman" w:hAnsi="Times New Roman" w:cs="Times New Roman"/>
          <w:spacing w:val="0"/>
          <w:w w:val="100"/>
          <w:sz w:val="32"/>
        </w:rPr>
        <w:t>日</w:t>
      </w:r>
    </w:p>
    <w:p w14:paraId="02ED2BDC">
      <w:pPr>
        <w:keepNext w:val="0"/>
        <w:keepLines w:val="0"/>
        <w:pageBreakBefore w:val="0"/>
        <w:widowControl w:val="0"/>
        <w:pBdr>
          <w:bottom w:val="single" w:color="auto" w:sz="4" w:space="0"/>
        </w:pBdr>
        <w:tabs>
          <w:tab w:val="left" w:pos="4836"/>
        </w:tabs>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方正仿宋_GBK" w:cs="Times New Roman"/>
          <w:bCs/>
          <w:kern w:val="0"/>
          <w:sz w:val="32"/>
          <w:szCs w:val="32"/>
          <w:lang w:val="en-US" w:eastAsia="zh-CN" w:bidi="ar-SA"/>
        </w:rPr>
      </w:pPr>
    </w:p>
    <w:p w14:paraId="4D21F64B">
      <w:pPr>
        <w:keepNext w:val="0"/>
        <w:keepLines w:val="0"/>
        <w:pageBreakBefore w:val="0"/>
        <w:widowControl w:val="0"/>
        <w:pBdr>
          <w:bottom w:val="single" w:color="auto" w:sz="4" w:space="0"/>
        </w:pBdr>
        <w:tabs>
          <w:tab w:val="left" w:pos="4836"/>
        </w:tabs>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方正仿宋_GBK" w:cs="Times New Roman"/>
          <w:bCs/>
          <w:kern w:val="0"/>
          <w:sz w:val="32"/>
          <w:szCs w:val="32"/>
          <w:lang w:val="en-US" w:eastAsia="zh-CN" w:bidi="ar-SA"/>
        </w:rPr>
      </w:pPr>
    </w:p>
    <w:p w14:paraId="675630F3">
      <w:pPr>
        <w:keepNext w:val="0"/>
        <w:keepLines w:val="0"/>
        <w:pageBreakBefore w:val="0"/>
        <w:widowControl w:val="0"/>
        <w:pBdr>
          <w:bottom w:val="single" w:color="auto" w:sz="4" w:space="0"/>
        </w:pBdr>
        <w:tabs>
          <w:tab w:val="left" w:pos="4836"/>
        </w:tabs>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方正仿宋_GBK" w:cs="Times New Roman"/>
          <w:bCs/>
          <w:kern w:val="0"/>
          <w:sz w:val="32"/>
          <w:szCs w:val="32"/>
          <w:lang w:val="en-US" w:eastAsia="zh-CN" w:bidi="ar-SA"/>
        </w:rPr>
      </w:pPr>
    </w:p>
    <w:p w14:paraId="09818BCA">
      <w:pPr>
        <w:keepNext w:val="0"/>
        <w:keepLines w:val="0"/>
        <w:pageBreakBefore w:val="0"/>
        <w:widowControl w:val="0"/>
        <w:pBdr>
          <w:bottom w:val="single" w:color="auto" w:sz="4" w:space="0"/>
        </w:pBdr>
        <w:tabs>
          <w:tab w:val="left" w:pos="4836"/>
        </w:tabs>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方正仿宋_GBK" w:cs="Times New Roman"/>
          <w:bCs/>
          <w:kern w:val="0"/>
          <w:sz w:val="32"/>
          <w:szCs w:val="32"/>
          <w:lang w:val="en-US" w:eastAsia="zh-CN" w:bidi="ar-SA"/>
        </w:rPr>
      </w:pPr>
    </w:p>
    <w:p w14:paraId="708543D7">
      <w:pPr>
        <w:keepNext w:val="0"/>
        <w:keepLines w:val="0"/>
        <w:pageBreakBefore w:val="0"/>
        <w:widowControl w:val="0"/>
        <w:pBdr>
          <w:bottom w:val="single" w:color="auto" w:sz="4" w:space="0"/>
        </w:pBdr>
        <w:tabs>
          <w:tab w:val="left" w:pos="4836"/>
        </w:tabs>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方正仿宋_GBK" w:cs="Times New Roman"/>
          <w:bCs/>
          <w:kern w:val="0"/>
          <w:sz w:val="32"/>
          <w:szCs w:val="32"/>
          <w:lang w:val="en-US" w:eastAsia="zh-CN" w:bidi="ar-SA"/>
        </w:rPr>
      </w:pPr>
    </w:p>
    <w:p w14:paraId="3E8B1A90">
      <w:pPr>
        <w:keepNext w:val="0"/>
        <w:keepLines w:val="0"/>
        <w:pageBreakBefore w:val="0"/>
        <w:widowControl w:val="0"/>
        <w:pBdr>
          <w:bottom w:val="single" w:color="auto" w:sz="4" w:space="0"/>
        </w:pBdr>
        <w:tabs>
          <w:tab w:val="left" w:pos="4836"/>
        </w:tabs>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方正仿宋_GBK" w:cs="Times New Roman"/>
          <w:bCs/>
          <w:kern w:val="0"/>
          <w:sz w:val="32"/>
          <w:szCs w:val="32"/>
          <w:lang w:val="en-US" w:eastAsia="zh-CN" w:bidi="ar-SA"/>
        </w:rPr>
      </w:pPr>
    </w:p>
    <w:p w14:paraId="37173691">
      <w:pPr>
        <w:keepNext w:val="0"/>
        <w:keepLines w:val="0"/>
        <w:pageBreakBefore w:val="0"/>
        <w:widowControl w:val="0"/>
        <w:pBdr>
          <w:bottom w:val="single" w:color="auto" w:sz="4" w:space="0"/>
        </w:pBdr>
        <w:tabs>
          <w:tab w:val="left" w:pos="4836"/>
        </w:tabs>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方正仿宋_GBK" w:cs="Times New Roman"/>
          <w:bCs/>
          <w:kern w:val="0"/>
          <w:sz w:val="32"/>
          <w:szCs w:val="32"/>
          <w:lang w:val="en-US" w:eastAsia="zh-CN" w:bidi="ar-SA"/>
        </w:rPr>
      </w:pPr>
    </w:p>
    <w:p w14:paraId="34B241EC">
      <w:pPr>
        <w:keepNext w:val="0"/>
        <w:keepLines w:val="0"/>
        <w:pageBreakBefore w:val="0"/>
        <w:widowControl w:val="0"/>
        <w:pBdr>
          <w:bottom w:val="single" w:color="auto" w:sz="4" w:space="0"/>
        </w:pBdr>
        <w:tabs>
          <w:tab w:val="left" w:pos="4836"/>
        </w:tabs>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方正仿宋_GBK" w:cs="Times New Roman"/>
          <w:bCs/>
          <w:kern w:val="0"/>
          <w:sz w:val="32"/>
          <w:szCs w:val="32"/>
          <w:lang w:val="en-US" w:eastAsia="zh-CN" w:bidi="ar-SA"/>
        </w:rPr>
      </w:pPr>
    </w:p>
    <w:p w14:paraId="373CC169">
      <w:pPr>
        <w:keepNext w:val="0"/>
        <w:keepLines w:val="0"/>
        <w:pageBreakBefore w:val="0"/>
        <w:widowControl w:val="0"/>
        <w:pBdr>
          <w:bottom w:val="single" w:color="auto" w:sz="4" w:space="0"/>
        </w:pBdr>
        <w:tabs>
          <w:tab w:val="left" w:pos="4836"/>
        </w:tabs>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方正仿宋_GBK" w:cs="Times New Roman"/>
          <w:bCs/>
          <w:kern w:val="0"/>
          <w:sz w:val="32"/>
          <w:szCs w:val="32"/>
          <w:lang w:val="en-US" w:eastAsia="zh-CN" w:bidi="ar-SA"/>
        </w:rPr>
      </w:pPr>
    </w:p>
    <w:p w14:paraId="6E2BA1EA">
      <w:pPr>
        <w:keepNext w:val="0"/>
        <w:keepLines w:val="0"/>
        <w:pageBreakBefore w:val="0"/>
        <w:widowControl w:val="0"/>
        <w:pBdr>
          <w:bottom w:val="single" w:color="auto" w:sz="4" w:space="0"/>
        </w:pBdr>
        <w:tabs>
          <w:tab w:val="left" w:pos="4836"/>
        </w:tabs>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方正仿宋_GBK" w:cs="Times New Roman"/>
          <w:bCs/>
          <w:kern w:val="0"/>
          <w:sz w:val="32"/>
          <w:szCs w:val="32"/>
          <w:lang w:val="en-US" w:eastAsia="zh-CN" w:bidi="ar-SA"/>
        </w:rPr>
      </w:pPr>
    </w:p>
    <w:p w14:paraId="52AC70B4">
      <w:pPr>
        <w:keepNext w:val="0"/>
        <w:keepLines w:val="0"/>
        <w:pageBreakBefore w:val="0"/>
        <w:widowControl w:val="0"/>
        <w:pBdr>
          <w:bottom w:val="single" w:color="auto" w:sz="4" w:space="0"/>
        </w:pBdr>
        <w:tabs>
          <w:tab w:val="left" w:pos="4836"/>
        </w:tabs>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方正仿宋_GBK" w:cs="Times New Roman"/>
          <w:bCs/>
          <w:kern w:val="0"/>
          <w:sz w:val="32"/>
          <w:szCs w:val="32"/>
          <w:lang w:val="en-US" w:eastAsia="zh-CN" w:bidi="ar-SA"/>
        </w:rPr>
      </w:pPr>
    </w:p>
    <w:p w14:paraId="411EB351">
      <w:pPr>
        <w:keepNext w:val="0"/>
        <w:keepLines w:val="0"/>
        <w:pageBreakBefore w:val="0"/>
        <w:widowControl w:val="0"/>
        <w:pBdr>
          <w:bottom w:val="single" w:color="auto" w:sz="4" w:space="0"/>
        </w:pBdr>
        <w:tabs>
          <w:tab w:val="left" w:pos="4836"/>
        </w:tabs>
        <w:kinsoku/>
        <w:wordWrap/>
        <w:overflowPunct/>
        <w:topLinePunct w:val="0"/>
        <w:autoSpaceDE/>
        <w:autoSpaceDN/>
        <w:bidi w:val="0"/>
        <w:adjustRightInd w:val="0"/>
        <w:snapToGrid w:val="0"/>
        <w:spacing w:before="0" w:beforeLines="0" w:after="0" w:afterLines="0" w:line="560" w:lineRule="exact"/>
        <w:ind w:left="0" w:leftChars="0" w:right="0" w:rightChars="0" w:firstLine="0" w:firstLineChars="0"/>
        <w:jc w:val="left"/>
        <w:textAlignment w:val="auto"/>
        <w:outlineLvl w:val="9"/>
        <w:rPr>
          <w:rFonts w:hint="default" w:ascii="Times New Roman" w:hAnsi="Times New Roman" w:eastAsia="方正仿宋_GBK" w:cs="Times New Roman"/>
          <w:bCs/>
          <w:kern w:val="0"/>
          <w:sz w:val="32"/>
          <w:szCs w:val="32"/>
          <w:lang w:val="en-US" w:eastAsia="zh-CN" w:bidi="ar-SA"/>
        </w:rPr>
      </w:pPr>
    </w:p>
    <w:p w14:paraId="72F55B27">
      <w:pPr>
        <w:keepNext w:val="0"/>
        <w:keepLines w:val="0"/>
        <w:pageBreakBefore w:val="0"/>
        <w:widowControl w:val="0"/>
        <w:kinsoku/>
        <w:wordWrap/>
        <w:overflowPunct/>
        <w:topLinePunct w:val="0"/>
        <w:autoSpaceDE/>
        <w:autoSpaceDN/>
        <w:bidi w:val="0"/>
        <w:adjustRightInd w:val="0"/>
        <w:snapToGrid w:val="0"/>
        <w:spacing w:before="0" w:beforeLines="0" w:after="0" w:line="240" w:lineRule="auto"/>
        <w:ind w:left="0" w:leftChars="0" w:right="0" w:rightChars="0" w:firstLine="0" w:firstLineChars="0"/>
        <w:jc w:val="both"/>
        <w:textAlignment w:val="auto"/>
        <w:outlineLvl w:val="9"/>
        <w:rPr>
          <w:rFonts w:hint="default" w:ascii="Times New Roman" w:hAnsi="Times New Roman" w:eastAsia="方正仿宋_GBK" w:cs="Times New Roman"/>
          <w:kern w:val="2"/>
          <w:sz w:val="32"/>
          <w:szCs w:val="32"/>
          <w:lang w:val="en-US" w:eastAsia="zh-CN" w:bidi="ar-SA"/>
        </w:rPr>
      </w:pPr>
      <w:bookmarkStart w:id="0" w:name="_GoBack"/>
      <w:bookmarkEnd w:id="0"/>
      <w:r>
        <w:rPr>
          <w:rFonts w:hint="default" w:ascii="Times New Roman" w:hAnsi="Times New Roman" w:cs="Times New Roman"/>
          <w:kern w:val="2"/>
          <w:sz w:val="32"/>
          <w:szCs w:val="24"/>
          <w:lang w:val="en-US" w:bidi="ar-SA"/>
        </w:rPr>
        <mc:AlternateContent>
          <mc:Choice Requires="wps">
            <w:drawing>
              <wp:anchor distT="0" distB="0" distL="114300" distR="114300" simplePos="0" relativeHeight="251662336" behindDoc="0" locked="0" layoutInCell="1" allowOverlap="1">
                <wp:simplePos x="0" y="0"/>
                <wp:positionH relativeFrom="column">
                  <wp:posOffset>-25400</wp:posOffset>
                </wp:positionH>
                <wp:positionV relativeFrom="paragraph">
                  <wp:posOffset>40640</wp:posOffset>
                </wp:positionV>
                <wp:extent cx="5666740" cy="0"/>
                <wp:effectExtent l="0" t="6350" r="0" b="6350"/>
                <wp:wrapNone/>
                <wp:docPr id="9" name="直接连接符 9"/>
                <wp:cNvGraphicFramePr/>
                <a:graphic xmlns:a="http://schemas.openxmlformats.org/drawingml/2006/main">
                  <a:graphicData uri="http://schemas.microsoft.com/office/word/2010/wordprocessingShape">
                    <wps:wsp>
                      <wps:cNvCnPr/>
                      <wps:spPr>
                        <a:xfrm>
                          <a:off x="0" y="0"/>
                          <a:ext cx="566674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pt;margin-top:3.2pt;height:0pt;width:446.2pt;z-index:251662336;mso-width-relative:page;mso-height-relative:page;" filled="f" stroked="t" coordsize="21600,21600" o:gfxdata="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BQAe9UAAAAGAQAADwAAAAAAAAABACAAAAAiAAAAZHJzL2Rvd25yZXYueG1sUEsBAhQA&#10;FAAAAAgAh07iQAc5OiD1AQAA5QMAAA4AAAAAAAAAAQAgAAAAJAEAAGRycy9lMm9Eb2MueG1sUEsF&#10;BgAAAAAGAAYAWQEAAIsFAAAAAA==&#10;">
                <v:fill on="f" focussize="0,0"/>
                <v:stroke weight="1pt" color="#000000" joinstyle="round"/>
                <v:imagedata o:title=""/>
                <o:lock v:ext="edit" aspectratio="f"/>
              </v:line>
            </w:pict>
          </mc:Fallback>
        </mc:AlternateContent>
      </w:r>
    </w:p>
    <w:sectPr>
      <w:footerReference r:id="rId5" w:type="default"/>
      <w:footerReference r:id="rId6" w:type="even"/>
      <w:pgSz w:w="11910" w:h="16840"/>
      <w:pgMar w:top="2098" w:right="1474" w:bottom="1984" w:left="1587" w:header="0" w:footer="1146"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2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3104C">
    <w:pPr>
      <w:pStyle w:val="2"/>
      <w:spacing w:line="14" w:lineRule="auto"/>
      <w:ind w:left="0"/>
      <w:rPr>
        <w:sz w:val="20"/>
      </w:rPr>
    </w:pPr>
    <w:r>
      <mc:AlternateContent>
        <mc:Choice Requires="wps">
          <w:drawing>
            <wp:anchor distT="0" distB="0" distL="114300" distR="114300" simplePos="0" relativeHeight="251659264" behindDoc="1" locked="0" layoutInCell="1" allowOverlap="1">
              <wp:simplePos x="0" y="0"/>
              <wp:positionH relativeFrom="page">
                <wp:posOffset>6167120</wp:posOffset>
              </wp:positionH>
              <wp:positionV relativeFrom="page">
                <wp:posOffset>9824085</wp:posOffset>
              </wp:positionV>
              <wp:extent cx="469900" cy="203835"/>
              <wp:effectExtent l="0" t="0" r="0" b="0"/>
              <wp:wrapNone/>
              <wp:docPr id="4" name="文本框 1"/>
              <wp:cNvGraphicFramePr/>
              <a:graphic xmlns:a="http://schemas.openxmlformats.org/drawingml/2006/main">
                <a:graphicData uri="http://schemas.microsoft.com/office/word/2010/wordprocessingShape">
                  <wps:wsp>
                    <wps:cNvSpPr txBox="1"/>
                    <wps:spPr>
                      <a:xfrm>
                        <a:off x="0" y="0"/>
                        <a:ext cx="469900" cy="203835"/>
                      </a:xfrm>
                      <a:prstGeom prst="rect">
                        <a:avLst/>
                      </a:prstGeom>
                      <a:noFill/>
                      <a:ln>
                        <a:noFill/>
                      </a:ln>
                    </wps:spPr>
                    <wps:txbx>
                      <w:txbxContent>
                        <w:p w14:paraId="73993A9B">
                          <w:pPr>
                            <w:spacing w:before="0" w:line="321" w:lineRule="exact"/>
                            <w:ind w:left="20" w:right="0" w:firstLine="0"/>
                            <w:jc w:val="left"/>
                            <w:rPr>
                              <w:rFonts w:ascii="宋体"/>
                              <w:sz w:val="28"/>
                            </w:rPr>
                          </w:pPr>
                          <w:r>
                            <w:rPr>
                              <w:rFonts w:ascii="宋体"/>
                              <w:sz w:val="28"/>
                            </w:rPr>
                            <w:t xml:space="preserve">- </w:t>
                          </w:r>
                          <w:r>
                            <w:rPr>
                              <w:rFonts w:hint="default" w:ascii="Times New Roman" w:hAnsi="Times New Roman" w:cs="Times New Roman"/>
                            </w:rPr>
                            <w:fldChar w:fldCharType="begin"/>
                          </w:r>
                          <w:r>
                            <w:rPr>
                              <w:rFonts w:hint="default" w:ascii="Times New Roman" w:hAnsi="Times New Roman" w:cs="Times New Roman"/>
                              <w:sz w:val="28"/>
                            </w:rPr>
                            <w:instrText xml:space="preserve"> PAGE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ascii="宋体"/>
                              <w:sz w:val="28"/>
                            </w:rPr>
                            <w:t xml:space="preserve"> -</w:t>
                          </w:r>
                        </w:p>
                      </w:txbxContent>
                    </wps:txbx>
                    <wps:bodyPr lIns="0" tIns="0" rIns="0" bIns="0" upright="1"/>
                  </wps:wsp>
                </a:graphicData>
              </a:graphic>
            </wp:anchor>
          </w:drawing>
        </mc:Choice>
        <mc:Fallback>
          <w:pict>
            <v:shape id="文本框 1" o:spid="_x0000_s1026" o:spt="202" type="#_x0000_t202" style="position:absolute;left:0pt;margin-left:485.6pt;margin-top:773.55pt;height:16.05pt;width:37pt;mso-position-horizontal-relative:page;mso-position-vertical-relative:page;z-index:-251657216;mso-width-relative:page;mso-height-relative:page;" filled="f" stroked="f" coordsize="21600,21600" o:gfxdata="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uylF3bAAAADgEAAA8AAAAAAAAAAQAgAAAAIgAAAGRycy9kb3ducmV2LnhtbFBL&#10;AQIUABQAAAAIAIdO4kD7H3nLugEAAHEDAAAOAAAAAAAAAAEAIAAAACoBAABkcnMvZTJvRG9jLnht&#10;bFBLBQYAAAAABgAGAFkBAABWBQAAAAA=&#10;">
              <v:fill on="f" focussize="0,0"/>
              <v:stroke on="f"/>
              <v:imagedata o:title=""/>
              <o:lock v:ext="edit" aspectratio="f"/>
              <v:textbox inset="0mm,0mm,0mm,0mm">
                <w:txbxContent>
                  <w:p w14:paraId="73993A9B">
                    <w:pPr>
                      <w:spacing w:before="0" w:line="321" w:lineRule="exact"/>
                      <w:ind w:left="20" w:right="0" w:firstLine="0"/>
                      <w:jc w:val="left"/>
                      <w:rPr>
                        <w:rFonts w:ascii="宋体"/>
                        <w:sz w:val="28"/>
                      </w:rPr>
                    </w:pPr>
                    <w:r>
                      <w:rPr>
                        <w:rFonts w:ascii="宋体"/>
                        <w:sz w:val="28"/>
                      </w:rPr>
                      <w:t xml:space="preserve">- </w:t>
                    </w:r>
                    <w:r>
                      <w:rPr>
                        <w:rFonts w:hint="default" w:ascii="Times New Roman" w:hAnsi="Times New Roman" w:cs="Times New Roman"/>
                      </w:rPr>
                      <w:fldChar w:fldCharType="begin"/>
                    </w:r>
                    <w:r>
                      <w:rPr>
                        <w:rFonts w:hint="default" w:ascii="Times New Roman" w:hAnsi="Times New Roman" w:cs="Times New Roman"/>
                        <w:sz w:val="28"/>
                      </w:rPr>
                      <w:instrText xml:space="preserve"> PAGE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ascii="宋体"/>
                        <w:sz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5D5C1A">
    <w:pPr>
      <w:pStyle w:val="2"/>
      <w:spacing w:line="14" w:lineRule="auto"/>
      <w:ind w:left="0"/>
      <w:rPr>
        <w:sz w:val="20"/>
      </w:rPr>
    </w:pPr>
    <w:r>
      <mc:AlternateContent>
        <mc:Choice Requires="wps">
          <w:drawing>
            <wp:anchor distT="0" distB="0" distL="114300" distR="114300" simplePos="0" relativeHeight="251660288" behindDoc="1" locked="0" layoutInCell="1" allowOverlap="1">
              <wp:simplePos x="0" y="0"/>
              <wp:positionH relativeFrom="page">
                <wp:posOffset>1351280</wp:posOffset>
              </wp:positionH>
              <wp:positionV relativeFrom="page">
                <wp:posOffset>9824085</wp:posOffset>
              </wp:positionV>
              <wp:extent cx="558165" cy="203835"/>
              <wp:effectExtent l="0" t="0" r="0" b="0"/>
              <wp:wrapNone/>
              <wp:docPr id="5" name="文本框 3"/>
              <wp:cNvGraphicFramePr/>
              <a:graphic xmlns:a="http://schemas.openxmlformats.org/drawingml/2006/main">
                <a:graphicData uri="http://schemas.microsoft.com/office/word/2010/wordprocessingShape">
                  <wps:wsp>
                    <wps:cNvSpPr txBox="1"/>
                    <wps:spPr>
                      <a:xfrm>
                        <a:off x="0" y="0"/>
                        <a:ext cx="558165" cy="203835"/>
                      </a:xfrm>
                      <a:prstGeom prst="rect">
                        <a:avLst/>
                      </a:prstGeom>
                      <a:noFill/>
                      <a:ln>
                        <a:noFill/>
                      </a:ln>
                    </wps:spPr>
                    <wps:txbx>
                      <w:txbxContent>
                        <w:p w14:paraId="361B433F">
                          <w:pPr>
                            <w:spacing w:before="0" w:line="321" w:lineRule="exact"/>
                            <w:ind w:left="20" w:right="0" w:firstLine="0"/>
                            <w:jc w:val="left"/>
                            <w:rPr>
                              <w:rFonts w:ascii="宋体"/>
                              <w:sz w:val="28"/>
                            </w:rPr>
                          </w:pPr>
                          <w:r>
                            <w:rPr>
                              <w:rFonts w:ascii="宋体"/>
                              <w:sz w:val="28"/>
                            </w:rPr>
                            <w:t>-</w:t>
                          </w:r>
                          <w:r>
                            <w:rPr>
                              <w:rFonts w:hint="default" w:ascii="Times New Roman" w:hAnsi="Times New Roman" w:cs="Times New Roman"/>
                              <w:sz w:val="28"/>
                            </w:rPr>
                            <w:t xml:space="preserve"> </w:t>
                          </w:r>
                          <w:r>
                            <w:rPr>
                              <w:rFonts w:hint="default" w:ascii="Times New Roman" w:hAnsi="Times New Roman" w:cs="Times New Roman"/>
                            </w:rPr>
                            <w:fldChar w:fldCharType="begin"/>
                          </w:r>
                          <w:r>
                            <w:rPr>
                              <w:rFonts w:hint="default" w:ascii="Times New Roman" w:hAnsi="Times New Roman" w:cs="Times New Roman"/>
                              <w:sz w:val="28"/>
                            </w:rPr>
                            <w:instrText xml:space="preserve"> PAGE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ascii="宋体"/>
                              <w:sz w:val="28"/>
                            </w:rPr>
                            <w:t xml:space="preserve"> -</w:t>
                          </w:r>
                        </w:p>
                      </w:txbxContent>
                    </wps:txbx>
                    <wps:bodyPr lIns="0" tIns="0" rIns="0" bIns="0" upright="1"/>
                  </wps:wsp>
                </a:graphicData>
              </a:graphic>
            </wp:anchor>
          </w:drawing>
        </mc:Choice>
        <mc:Fallback>
          <w:pict>
            <v:shape id="文本框 3" o:spid="_x0000_s1026" o:spt="202" type="#_x0000_t202" style="position:absolute;left:0pt;margin-left:106.4pt;margin-top:773.55pt;height:16.05pt;width:43.95pt;mso-position-horizontal-relative:page;mso-position-vertical-relative:page;z-index:-251656192;mso-width-relative:page;mso-height-relative:page;" filled="f" stroked="f" coordsize="21600,21600" o:gfxdata="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W8oQj2gAAAA0BAAAPAAAAAAAAAAEAIAAAACIAAABkcnMvZG93bnJldi54bWxQSwEC&#10;FAAUAAAACACHTuJAB4tNabkBAABxAwAADgAAAAAAAAABACAAAAApAQAAZHJzL2Uyb0RvYy54bWxQ&#10;SwUGAAAAAAYABgBZAQAAVAUAAAAA&#10;">
              <v:fill on="f" focussize="0,0"/>
              <v:stroke on="f"/>
              <v:imagedata o:title=""/>
              <o:lock v:ext="edit" aspectratio="f"/>
              <v:textbox inset="0mm,0mm,0mm,0mm">
                <w:txbxContent>
                  <w:p w14:paraId="361B433F">
                    <w:pPr>
                      <w:spacing w:before="0" w:line="321" w:lineRule="exact"/>
                      <w:ind w:left="20" w:right="0" w:firstLine="0"/>
                      <w:jc w:val="left"/>
                      <w:rPr>
                        <w:rFonts w:ascii="宋体"/>
                        <w:sz w:val="28"/>
                      </w:rPr>
                    </w:pPr>
                    <w:r>
                      <w:rPr>
                        <w:rFonts w:ascii="宋体"/>
                        <w:sz w:val="28"/>
                      </w:rPr>
                      <w:t>-</w:t>
                    </w:r>
                    <w:r>
                      <w:rPr>
                        <w:rFonts w:hint="default" w:ascii="Times New Roman" w:hAnsi="Times New Roman" w:cs="Times New Roman"/>
                        <w:sz w:val="28"/>
                      </w:rPr>
                      <w:t xml:space="preserve"> </w:t>
                    </w:r>
                    <w:r>
                      <w:rPr>
                        <w:rFonts w:hint="default" w:ascii="Times New Roman" w:hAnsi="Times New Roman" w:cs="Times New Roman"/>
                      </w:rPr>
                      <w:fldChar w:fldCharType="begin"/>
                    </w:r>
                    <w:r>
                      <w:rPr>
                        <w:rFonts w:hint="default" w:ascii="Times New Roman" w:hAnsi="Times New Roman" w:cs="Times New Roman"/>
                        <w:sz w:val="28"/>
                      </w:rPr>
                      <w:instrText xml:space="preserve"> PAGE </w:instrText>
                    </w:r>
                    <w:r>
                      <w:rPr>
                        <w:rFonts w:hint="default" w:ascii="Times New Roman" w:hAnsi="Times New Roman" w:cs="Times New Roman"/>
                      </w:rPr>
                      <w:fldChar w:fldCharType="separate"/>
                    </w:r>
                    <w:r>
                      <w:rPr>
                        <w:rFonts w:hint="default" w:ascii="Times New Roman" w:hAnsi="Times New Roman" w:cs="Times New Roman"/>
                      </w:rPr>
                      <w:t>10</w:t>
                    </w:r>
                    <w:r>
                      <w:rPr>
                        <w:rFonts w:hint="default" w:ascii="Times New Roman" w:hAnsi="Times New Roman" w:cs="Times New Roman"/>
                      </w:rPr>
                      <w:fldChar w:fldCharType="end"/>
                    </w:r>
                    <w:r>
                      <w:rPr>
                        <w:rFonts w:ascii="宋体"/>
                        <w:sz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EE5B37"/>
    <w:multiLevelType w:val="singleLevel"/>
    <w:tmpl w:val="F1EE5B37"/>
    <w:lvl w:ilvl="0" w:tentative="0">
      <w:start w:val="1"/>
      <w:numFmt w:val="chineseCounting"/>
      <w:suff w:val="nothing"/>
      <w:lvlText w:val="（%1）"/>
      <w:lvlJc w:val="left"/>
      <w:rPr>
        <w:rFonts w:hint="eastAsia"/>
      </w:rPr>
    </w:lvl>
  </w:abstractNum>
  <w:abstractNum w:abstractNumId="1">
    <w:nsid w:val="39552020"/>
    <w:multiLevelType w:val="singleLevel"/>
    <w:tmpl w:val="3955202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iMzBjMzcyYTc0ZTQ5ZDg5MDU4ZDU5MjkyNGRjNGQifQ=="/>
  </w:docVars>
  <w:rsids>
    <w:rsidRoot w:val="00172A27"/>
    <w:rsid w:val="003F5F2A"/>
    <w:rsid w:val="00704336"/>
    <w:rsid w:val="009D0EA3"/>
    <w:rsid w:val="01657C13"/>
    <w:rsid w:val="01BD64E7"/>
    <w:rsid w:val="01C761D7"/>
    <w:rsid w:val="01D42288"/>
    <w:rsid w:val="03016292"/>
    <w:rsid w:val="030452F8"/>
    <w:rsid w:val="03084CFA"/>
    <w:rsid w:val="033B0403"/>
    <w:rsid w:val="046A44ED"/>
    <w:rsid w:val="04762137"/>
    <w:rsid w:val="04E55FDD"/>
    <w:rsid w:val="05432019"/>
    <w:rsid w:val="056401E1"/>
    <w:rsid w:val="0571302A"/>
    <w:rsid w:val="062A31D9"/>
    <w:rsid w:val="064A5A9D"/>
    <w:rsid w:val="07BF2E70"/>
    <w:rsid w:val="07EC6998"/>
    <w:rsid w:val="080A5070"/>
    <w:rsid w:val="08362309"/>
    <w:rsid w:val="0845254C"/>
    <w:rsid w:val="08647E8A"/>
    <w:rsid w:val="08B82D1E"/>
    <w:rsid w:val="09454BD0"/>
    <w:rsid w:val="096E7880"/>
    <w:rsid w:val="09A03EDE"/>
    <w:rsid w:val="09EC7123"/>
    <w:rsid w:val="0A8F3F52"/>
    <w:rsid w:val="0AB13EC9"/>
    <w:rsid w:val="0B0440DB"/>
    <w:rsid w:val="0BA56877"/>
    <w:rsid w:val="0BC45746"/>
    <w:rsid w:val="0C177D5B"/>
    <w:rsid w:val="0C7C502D"/>
    <w:rsid w:val="0DD51C7C"/>
    <w:rsid w:val="0EE20AF5"/>
    <w:rsid w:val="0EFA2408"/>
    <w:rsid w:val="0F8E4BBC"/>
    <w:rsid w:val="10612472"/>
    <w:rsid w:val="10EA711E"/>
    <w:rsid w:val="10FE58C3"/>
    <w:rsid w:val="11002D49"/>
    <w:rsid w:val="12861A76"/>
    <w:rsid w:val="12D9220E"/>
    <w:rsid w:val="13076D7C"/>
    <w:rsid w:val="13733702"/>
    <w:rsid w:val="138F28CD"/>
    <w:rsid w:val="13DA4490"/>
    <w:rsid w:val="13DC2025"/>
    <w:rsid w:val="140E7208"/>
    <w:rsid w:val="14EE4069"/>
    <w:rsid w:val="15015A4D"/>
    <w:rsid w:val="15023C9F"/>
    <w:rsid w:val="15581B10"/>
    <w:rsid w:val="15674EC2"/>
    <w:rsid w:val="15B14D7D"/>
    <w:rsid w:val="15D13671"/>
    <w:rsid w:val="15DB629E"/>
    <w:rsid w:val="15F1786F"/>
    <w:rsid w:val="16270B89"/>
    <w:rsid w:val="16C77805"/>
    <w:rsid w:val="16FC296F"/>
    <w:rsid w:val="17143815"/>
    <w:rsid w:val="17487963"/>
    <w:rsid w:val="17D061C5"/>
    <w:rsid w:val="18075128"/>
    <w:rsid w:val="18A62B93"/>
    <w:rsid w:val="18D05E62"/>
    <w:rsid w:val="1A1B135F"/>
    <w:rsid w:val="1A361CF4"/>
    <w:rsid w:val="1AB05F4B"/>
    <w:rsid w:val="1B0B4F2F"/>
    <w:rsid w:val="1B7900EB"/>
    <w:rsid w:val="1B9413C8"/>
    <w:rsid w:val="1BA3785E"/>
    <w:rsid w:val="1BDE43F2"/>
    <w:rsid w:val="1C016D84"/>
    <w:rsid w:val="1C0B3AE0"/>
    <w:rsid w:val="1CC932F4"/>
    <w:rsid w:val="1CCE7662"/>
    <w:rsid w:val="1D3C3AC6"/>
    <w:rsid w:val="1D5E3A3C"/>
    <w:rsid w:val="1DCB6BF8"/>
    <w:rsid w:val="1DEC729A"/>
    <w:rsid w:val="1E320A25"/>
    <w:rsid w:val="1E696B3C"/>
    <w:rsid w:val="1F040077"/>
    <w:rsid w:val="1F501AAA"/>
    <w:rsid w:val="1F6E3CDF"/>
    <w:rsid w:val="1FA76AAE"/>
    <w:rsid w:val="1FDE0E64"/>
    <w:rsid w:val="2043516B"/>
    <w:rsid w:val="217952E8"/>
    <w:rsid w:val="22475AC6"/>
    <w:rsid w:val="22EC3898"/>
    <w:rsid w:val="22FE3670"/>
    <w:rsid w:val="232E63B1"/>
    <w:rsid w:val="233233FB"/>
    <w:rsid w:val="2342170A"/>
    <w:rsid w:val="24992818"/>
    <w:rsid w:val="24C60CE2"/>
    <w:rsid w:val="255B1EFD"/>
    <w:rsid w:val="25DD15C5"/>
    <w:rsid w:val="274B6DD8"/>
    <w:rsid w:val="27800A53"/>
    <w:rsid w:val="27960276"/>
    <w:rsid w:val="28666C3A"/>
    <w:rsid w:val="29303854"/>
    <w:rsid w:val="2A48213D"/>
    <w:rsid w:val="2A5B05BB"/>
    <w:rsid w:val="2A9C5BA4"/>
    <w:rsid w:val="2B0A5203"/>
    <w:rsid w:val="2BA271EA"/>
    <w:rsid w:val="2C0B23D8"/>
    <w:rsid w:val="2C273B93"/>
    <w:rsid w:val="2C4E7080"/>
    <w:rsid w:val="2C7D1A05"/>
    <w:rsid w:val="2C8D1C48"/>
    <w:rsid w:val="2C902915"/>
    <w:rsid w:val="2CB52F4D"/>
    <w:rsid w:val="2D7A7AF3"/>
    <w:rsid w:val="2D857E7C"/>
    <w:rsid w:val="2DE03FF9"/>
    <w:rsid w:val="2DE33AEA"/>
    <w:rsid w:val="2EAD65D1"/>
    <w:rsid w:val="2EDF69A7"/>
    <w:rsid w:val="2F1C3757"/>
    <w:rsid w:val="2F3F11F4"/>
    <w:rsid w:val="3005243D"/>
    <w:rsid w:val="30C95DC9"/>
    <w:rsid w:val="30DA11D4"/>
    <w:rsid w:val="30DD3460"/>
    <w:rsid w:val="30E43E01"/>
    <w:rsid w:val="31135440"/>
    <w:rsid w:val="31215055"/>
    <w:rsid w:val="31C205E6"/>
    <w:rsid w:val="31F14BB1"/>
    <w:rsid w:val="324F6CD9"/>
    <w:rsid w:val="327E5810"/>
    <w:rsid w:val="32A72670"/>
    <w:rsid w:val="32AE2918"/>
    <w:rsid w:val="32FD3B86"/>
    <w:rsid w:val="33873091"/>
    <w:rsid w:val="33B0446E"/>
    <w:rsid w:val="33B73D82"/>
    <w:rsid w:val="33CE29A3"/>
    <w:rsid w:val="346040E6"/>
    <w:rsid w:val="347436ED"/>
    <w:rsid w:val="34CE2DFE"/>
    <w:rsid w:val="355754E9"/>
    <w:rsid w:val="35B44146"/>
    <w:rsid w:val="360016DD"/>
    <w:rsid w:val="36054F45"/>
    <w:rsid w:val="363B44C3"/>
    <w:rsid w:val="36E83F1F"/>
    <w:rsid w:val="36F9612C"/>
    <w:rsid w:val="3771090C"/>
    <w:rsid w:val="380D00E1"/>
    <w:rsid w:val="38E63823"/>
    <w:rsid w:val="3963760F"/>
    <w:rsid w:val="3A06303A"/>
    <w:rsid w:val="3A8C21FC"/>
    <w:rsid w:val="3B5A363D"/>
    <w:rsid w:val="3B9308FD"/>
    <w:rsid w:val="3BD50F16"/>
    <w:rsid w:val="3C30439E"/>
    <w:rsid w:val="3CB60D47"/>
    <w:rsid w:val="3D0C48C1"/>
    <w:rsid w:val="3D4453F9"/>
    <w:rsid w:val="3D6407A3"/>
    <w:rsid w:val="3DDD2303"/>
    <w:rsid w:val="3DEE2762"/>
    <w:rsid w:val="3EB70DA6"/>
    <w:rsid w:val="3EC3599D"/>
    <w:rsid w:val="3EC86B10"/>
    <w:rsid w:val="3F03223E"/>
    <w:rsid w:val="3F805E0F"/>
    <w:rsid w:val="40252A5D"/>
    <w:rsid w:val="40507E8F"/>
    <w:rsid w:val="40917FC2"/>
    <w:rsid w:val="40E340D5"/>
    <w:rsid w:val="4168282C"/>
    <w:rsid w:val="42786A9F"/>
    <w:rsid w:val="42BD1165"/>
    <w:rsid w:val="42E67C4A"/>
    <w:rsid w:val="43065E58"/>
    <w:rsid w:val="43210CDB"/>
    <w:rsid w:val="438277B8"/>
    <w:rsid w:val="43C26223"/>
    <w:rsid w:val="443A225E"/>
    <w:rsid w:val="44F7014F"/>
    <w:rsid w:val="459B6D2C"/>
    <w:rsid w:val="45D73ADC"/>
    <w:rsid w:val="45DF42F9"/>
    <w:rsid w:val="460C7C2A"/>
    <w:rsid w:val="466852F9"/>
    <w:rsid w:val="484511D1"/>
    <w:rsid w:val="48645AFB"/>
    <w:rsid w:val="48A028AB"/>
    <w:rsid w:val="48C37541"/>
    <w:rsid w:val="48C90054"/>
    <w:rsid w:val="494B0A69"/>
    <w:rsid w:val="49635483"/>
    <w:rsid w:val="4A0D5D1E"/>
    <w:rsid w:val="4A2C0CE9"/>
    <w:rsid w:val="4A6766AD"/>
    <w:rsid w:val="4AB23FA7"/>
    <w:rsid w:val="4ABD7744"/>
    <w:rsid w:val="4AD45EA0"/>
    <w:rsid w:val="4AFA2747"/>
    <w:rsid w:val="4B315A3D"/>
    <w:rsid w:val="4BC55D72"/>
    <w:rsid w:val="4BCA036B"/>
    <w:rsid w:val="4C5B0FC3"/>
    <w:rsid w:val="4CC055ED"/>
    <w:rsid w:val="4CE54CDE"/>
    <w:rsid w:val="4CEC4311"/>
    <w:rsid w:val="4D521C43"/>
    <w:rsid w:val="4DA92202"/>
    <w:rsid w:val="4E5263F6"/>
    <w:rsid w:val="4ED908C5"/>
    <w:rsid w:val="4F0911AA"/>
    <w:rsid w:val="4F0A73DE"/>
    <w:rsid w:val="4F3D0E54"/>
    <w:rsid w:val="4F4E4E0F"/>
    <w:rsid w:val="4FBE01E7"/>
    <w:rsid w:val="4FBF3F5F"/>
    <w:rsid w:val="4FE6773D"/>
    <w:rsid w:val="50AB0518"/>
    <w:rsid w:val="50F05223"/>
    <w:rsid w:val="516C3C72"/>
    <w:rsid w:val="51B353FD"/>
    <w:rsid w:val="523160BA"/>
    <w:rsid w:val="525C5A95"/>
    <w:rsid w:val="528B0128"/>
    <w:rsid w:val="52927562"/>
    <w:rsid w:val="529A353A"/>
    <w:rsid w:val="538A5B0B"/>
    <w:rsid w:val="53A45945"/>
    <w:rsid w:val="53EE6BC1"/>
    <w:rsid w:val="53F57F4F"/>
    <w:rsid w:val="5447369C"/>
    <w:rsid w:val="54890697"/>
    <w:rsid w:val="54D03D57"/>
    <w:rsid w:val="561A5A4B"/>
    <w:rsid w:val="56FE536D"/>
    <w:rsid w:val="57FB18AC"/>
    <w:rsid w:val="58337298"/>
    <w:rsid w:val="58421289"/>
    <w:rsid w:val="58671E6C"/>
    <w:rsid w:val="58D5034F"/>
    <w:rsid w:val="597E2795"/>
    <w:rsid w:val="599B37FC"/>
    <w:rsid w:val="59DD74BB"/>
    <w:rsid w:val="59F111B9"/>
    <w:rsid w:val="5A105AE3"/>
    <w:rsid w:val="5A3B2434"/>
    <w:rsid w:val="5B0B1E06"/>
    <w:rsid w:val="5B301583"/>
    <w:rsid w:val="5B55600E"/>
    <w:rsid w:val="5BC31F35"/>
    <w:rsid w:val="5BE34E8E"/>
    <w:rsid w:val="5C0C0A03"/>
    <w:rsid w:val="5D844B17"/>
    <w:rsid w:val="5E142A39"/>
    <w:rsid w:val="5E6A153A"/>
    <w:rsid w:val="5E9F11E3"/>
    <w:rsid w:val="5EAA7B88"/>
    <w:rsid w:val="5EC0115A"/>
    <w:rsid w:val="5F9D61ED"/>
    <w:rsid w:val="5FDC1FC3"/>
    <w:rsid w:val="60BA67A8"/>
    <w:rsid w:val="6116474A"/>
    <w:rsid w:val="619F774C"/>
    <w:rsid w:val="61B60E88"/>
    <w:rsid w:val="61D27B22"/>
    <w:rsid w:val="62C76F5B"/>
    <w:rsid w:val="62DB0C58"/>
    <w:rsid w:val="62F6048F"/>
    <w:rsid w:val="63A1155A"/>
    <w:rsid w:val="63F0428F"/>
    <w:rsid w:val="642E6B65"/>
    <w:rsid w:val="64552344"/>
    <w:rsid w:val="64F733FB"/>
    <w:rsid w:val="65B65064"/>
    <w:rsid w:val="65C50D8B"/>
    <w:rsid w:val="65CE23AE"/>
    <w:rsid w:val="66742F55"/>
    <w:rsid w:val="671B5AC7"/>
    <w:rsid w:val="672C7CD4"/>
    <w:rsid w:val="6755244F"/>
    <w:rsid w:val="67EE4F89"/>
    <w:rsid w:val="680F19A3"/>
    <w:rsid w:val="688B0A2A"/>
    <w:rsid w:val="69C83532"/>
    <w:rsid w:val="6A627569"/>
    <w:rsid w:val="6A910383"/>
    <w:rsid w:val="6A9875AD"/>
    <w:rsid w:val="6B647ABE"/>
    <w:rsid w:val="6BB77FE6"/>
    <w:rsid w:val="6BCD763B"/>
    <w:rsid w:val="6CC62031"/>
    <w:rsid w:val="6D282CEC"/>
    <w:rsid w:val="6D667370"/>
    <w:rsid w:val="6DCF206C"/>
    <w:rsid w:val="6DFF1C9E"/>
    <w:rsid w:val="6E3C77CC"/>
    <w:rsid w:val="6E3D6323"/>
    <w:rsid w:val="6E7A7577"/>
    <w:rsid w:val="6EFF5CCE"/>
    <w:rsid w:val="6F0D3724"/>
    <w:rsid w:val="6FE160CC"/>
    <w:rsid w:val="716342F2"/>
    <w:rsid w:val="71C11A27"/>
    <w:rsid w:val="72084E9A"/>
    <w:rsid w:val="72A11576"/>
    <w:rsid w:val="738B7B30"/>
    <w:rsid w:val="73977025"/>
    <w:rsid w:val="73E93F75"/>
    <w:rsid w:val="73F47FAE"/>
    <w:rsid w:val="741415F4"/>
    <w:rsid w:val="74416441"/>
    <w:rsid w:val="753A35BC"/>
    <w:rsid w:val="76312F87"/>
    <w:rsid w:val="763C3364"/>
    <w:rsid w:val="76A827A7"/>
    <w:rsid w:val="77065E4C"/>
    <w:rsid w:val="77416E84"/>
    <w:rsid w:val="775C13F1"/>
    <w:rsid w:val="77674410"/>
    <w:rsid w:val="779B4755"/>
    <w:rsid w:val="77BA09E4"/>
    <w:rsid w:val="785B5D23"/>
    <w:rsid w:val="786D18F8"/>
    <w:rsid w:val="786D3CA8"/>
    <w:rsid w:val="79003EF8"/>
    <w:rsid w:val="79240B33"/>
    <w:rsid w:val="7A1D1DC5"/>
    <w:rsid w:val="7A2860D9"/>
    <w:rsid w:val="7B2014A6"/>
    <w:rsid w:val="7B424F78"/>
    <w:rsid w:val="7B6A2721"/>
    <w:rsid w:val="7C1903CF"/>
    <w:rsid w:val="7C1C7EBF"/>
    <w:rsid w:val="7C3A0345"/>
    <w:rsid w:val="7C4371FA"/>
    <w:rsid w:val="7D0B583E"/>
    <w:rsid w:val="7D793CFE"/>
    <w:rsid w:val="7D87580C"/>
    <w:rsid w:val="7D8C6BBD"/>
    <w:rsid w:val="7E3665E9"/>
    <w:rsid w:val="7E3E236F"/>
    <w:rsid w:val="7E7278BD"/>
    <w:rsid w:val="7EA63A70"/>
    <w:rsid w:val="7EDE320A"/>
    <w:rsid w:val="7F3E639F"/>
    <w:rsid w:val="7FBC45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方正仿宋_GBK" w:hAnsi="方正仿宋_GBK" w:eastAsia="方正仿宋_GBK" w:cs="方正仿宋_GBK"/>
      <w:sz w:val="22"/>
      <w:szCs w:val="22"/>
      <w:lang w:val="zh-CN" w:eastAsia="zh-CN" w:bidi="zh-CN"/>
    </w:rPr>
  </w:style>
  <w:style w:type="character" w:default="1" w:styleId="6">
    <w:name w:val="Default Paragraph Font"/>
    <w:autoRedefine/>
    <w:semiHidden/>
    <w:unhideWhenUsed/>
    <w:qFormat/>
    <w:uiPriority w:val="1"/>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ind w:left="266"/>
    </w:pPr>
    <w:rPr>
      <w:rFonts w:ascii="方正仿宋_GBK" w:hAnsi="方正仿宋_GBK" w:eastAsia="方正仿宋_GBK" w:cs="方正仿宋_GBK"/>
      <w:sz w:val="32"/>
      <w:szCs w:val="32"/>
      <w:lang w:val="zh-CN" w:eastAsia="zh-CN" w:bidi="zh-CN"/>
    </w:rPr>
  </w:style>
  <w:style w:type="paragraph" w:styleId="3">
    <w:name w:val="footer"/>
    <w:autoRedefine/>
    <w:qFormat/>
    <w:uiPriority w:val="0"/>
    <w:pPr>
      <w:widowControl w:val="0"/>
      <w:tabs>
        <w:tab w:val="center" w:pos="4153"/>
        <w:tab w:val="right" w:pos="8306"/>
      </w:tabs>
      <w:adjustRightInd w:val="0"/>
      <w:snapToGrid w:val="0"/>
      <w:spacing w:line="570" w:lineRule="exact"/>
      <w:ind w:firstLine="420" w:firstLineChars="200"/>
      <w:jc w:val="left"/>
    </w:pPr>
    <w:rPr>
      <w:rFonts w:ascii="方正仿宋_GBK" w:hAnsi="方正仿宋_GBK" w:eastAsia="方正仿宋_GBK" w:cs="Times New Roman"/>
      <w:kern w:val="2"/>
      <w:sz w:val="18"/>
      <w:szCs w:val="24"/>
      <w:lang w:val="en-US" w:eastAsia="zh-CN" w:bidi="ar-SA"/>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autoRedefine/>
    <w:semiHidden/>
    <w:unhideWhenUsed/>
    <w:qFormat/>
    <w:uiPriority w:val="2"/>
    <w:tblPr>
      <w:tblCellMar>
        <w:top w:w="0" w:type="dxa"/>
        <w:left w:w="0" w:type="dxa"/>
        <w:bottom w:w="0" w:type="dxa"/>
        <w:right w:w="0" w:type="dxa"/>
      </w:tblCellMar>
    </w:tblPr>
  </w:style>
  <w:style w:type="paragraph" w:styleId="8">
    <w:name w:val="List Paragraph"/>
    <w:basedOn w:val="1"/>
    <w:autoRedefine/>
    <w:qFormat/>
    <w:uiPriority w:val="1"/>
    <w:rPr>
      <w:lang w:val="zh-CN" w:eastAsia="zh-CN" w:bidi="zh-CN"/>
    </w:rPr>
  </w:style>
  <w:style w:type="paragraph" w:customStyle="1" w:styleId="9">
    <w:name w:val="Table Paragraph"/>
    <w:basedOn w:val="1"/>
    <w:autoRedefine/>
    <w:qFormat/>
    <w:uiPriority w:val="1"/>
    <w:rPr>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5386</Words>
  <Characters>5954</Characters>
  <TotalTime>12</TotalTime>
  <ScaleCrop>false</ScaleCrop>
  <LinksUpToDate>false</LinksUpToDate>
  <CharactersWithSpaces>6013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2022-10-10T06:32:00Z</dcterms:created>
  <dc:creator>cnc</dc:creator>
  <cp:lastModifiedBy>Pikachu</cp:lastModifiedBy>
  <cp:lastPrinted>2023-06-21T07:42:00Z</cp:lastPrinted>
  <dcterms:modified xsi:type="dcterms:W3CDTF">2024-09-29T07:53:42Z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2022-10-08T00:00:00Z</vt:filetime>
  </property>
  <property fmtid="{D5CDD505-2E9C-101B-9397-08002B2CF9AE}" pid="3" name="Creator">
    <vt:lpwstr>WPS 文字</vt:lpwstr>
  </property>
  <property fmtid="{D5CDD505-2E9C-101B-9397-08002B2CF9AE}" pid="4" name="LastSaved">
    <vt:filetime>2022-10-10T00:00:00Z</vt:filetime>
  </property>
  <property fmtid="{D5CDD505-2E9C-101B-9397-08002B2CF9AE}" pid="5" name="KSOProductBuildVer">
    <vt:lpwstr>2052-12.1.0.18276</vt:lpwstr>
  </property>
  <property fmtid="{D5CDD505-2E9C-101B-9397-08002B2CF9AE}" pid="6" name="ICV">
    <vt:lpwstr>23113E2744AA4A539D5CC1668652312D_13</vt:lpwstr>
  </property>
</Properties>
</file>