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156" w:beforeLines="50" w:after="0" w:line="570" w:lineRule="exact"/>
        <w:ind w:left="0" w:right="0" w:firstLine="0" w:firstLineChars="0"/>
        <w:jc w:val="center"/>
        <w:textAlignment w:val="auto"/>
        <w:rPr>
          <w:rFonts w:hint="default" w:ascii="Times New Roman" w:hAnsi="Times New Roman" w:cs="Times New Roman"/>
          <w:kern w:val="2"/>
          <w:sz w:val="32"/>
          <w:szCs w:val="32"/>
          <w:lang w:val="en-US" w:bidi="ar-SA"/>
        </w:rPr>
      </w:pPr>
      <w:r>
        <w:rPr>
          <w:rFonts w:cs="Times New Roman"/>
          <w:kern w:val="2"/>
          <w:sz w:val="32"/>
          <w:szCs w:val="24"/>
          <w:lang w:val="en-US" w:bidi="ar-SA"/>
        </w:rPr>
        <w:pict>
          <v:line id="直线 13" o:spid="_x0000_s1041" o:spt="20" style="position:absolute;left:0pt;margin-left:4.45pt;margin-top:27.05pt;height:0.05pt;width:442.2pt;mso-position-horizontal-relative:margin;mso-position-vertical-relative:line;z-index:251661312;mso-width-relative:page;mso-height-relative:page;" filled="f" stroked="t" coordsize="21600,21600">
            <v:path arrowok="t"/>
            <v:fill on="f" focussize="0,0"/>
            <v:stroke weight="1.41724409448819pt" color="#FF0000"/>
            <v:imagedata o:title=""/>
            <o:lock v:ext="edit" grouping="f" rotation="f" text="f" aspectratio="f"/>
          </v:line>
        </w:pict>
      </w:r>
      <w:r>
        <w:rPr>
          <w:rFonts w:hint="eastAsia" w:ascii="方正仿宋_GBK" w:hAnsi="方正仿宋_GBK" w:eastAsia="方正仿宋_GBK" w:cs="方正仿宋_GBK"/>
          <w:kern w:val="2"/>
          <w:sz w:val="32"/>
          <w:szCs w:val="32"/>
          <w:lang w:val="en-US" w:bidi="ar-SA"/>
        </w:rPr>
        <w:t>渝（铜）环准</w:t>
      </w:r>
      <w:r>
        <w:rPr>
          <w:rFonts w:hint="default" w:ascii="Times New Roman" w:hAnsi="Times New Roman" w:eastAsia="方正仿宋_GBK" w:cs="Times New Roman"/>
          <w:kern w:val="2"/>
          <w:sz w:val="32"/>
          <w:szCs w:val="32"/>
          <w:lang w:val="en-US" w:bidi="ar-SA"/>
        </w:rPr>
        <w:t>〔20</w:t>
      </w:r>
      <w:r>
        <w:rPr>
          <w:rFonts w:hint="eastAsia" w:ascii="Times New Roman" w:hAnsi="Times New Roman" w:cs="Times New Roman"/>
          <w:kern w:val="2"/>
          <w:sz w:val="32"/>
          <w:szCs w:val="32"/>
          <w:lang w:val="en-US" w:eastAsia="zh-CN" w:bidi="ar-SA"/>
        </w:rPr>
        <w:t>23</w:t>
      </w:r>
      <w:r>
        <w:rPr>
          <w:rFonts w:hint="default" w:ascii="Times New Roman" w:hAnsi="Times New Roman" w:eastAsia="方正仿宋_GBK" w:cs="Times New Roman"/>
          <w:kern w:val="2"/>
          <w:sz w:val="32"/>
          <w:szCs w:val="32"/>
          <w:lang w:val="en-US" w:bidi="ar-SA"/>
        </w:rPr>
        <w:t>〕</w:t>
      </w:r>
      <w:r>
        <w:rPr>
          <w:rFonts w:hint="eastAsia" w:ascii="Times New Roman" w:hAnsi="Times New Roman" w:cs="Times New Roman"/>
          <w:kern w:val="2"/>
          <w:sz w:val="32"/>
          <w:szCs w:val="32"/>
          <w:lang w:val="en-US" w:eastAsia="zh-CN" w:bidi="ar-SA"/>
        </w:rPr>
        <w:t>54</w:t>
      </w:r>
      <w:r>
        <w:rPr>
          <w:rFonts w:hint="default" w:ascii="Times New Roman" w:hAnsi="Times New Roman" w:eastAsia="方正仿宋_GBK" w:cs="Times New Roman"/>
          <w:kern w:val="2"/>
          <w:sz w:val="32"/>
          <w:szCs w:val="32"/>
          <w:lang w:val="en-US" w:bidi="ar-SA"/>
        </w:rPr>
        <w:t>号</w:t>
      </w:r>
    </w:p>
    <w:p>
      <w:pPr>
        <w:keepNext w:val="0"/>
        <w:keepLines w:val="0"/>
        <w:pageBreakBefore w:val="0"/>
        <w:kinsoku/>
        <w:wordWrap/>
        <w:overflowPunct/>
        <w:topLinePunct w:val="0"/>
        <w:autoSpaceDE/>
        <w:autoSpaceDN/>
        <w:bidi w:val="0"/>
        <w:adjustRightInd w:val="0"/>
        <w:snapToGrid w:val="0"/>
        <w:spacing w:before="0" w:beforeLines="0" w:after="0" w:afterLines="0" w:line="540" w:lineRule="exact"/>
        <w:ind w:left="0" w:leftChars="0" w:right="0" w:firstLine="0" w:firstLineChars="0"/>
        <w:jc w:val="both"/>
        <w:textAlignment w:val="auto"/>
        <w:outlineLvl w:val="9"/>
        <w:rPr>
          <w:rFonts w:hint="default" w:ascii="Times New Roman" w:hAnsi="Times New Roman" w:eastAsia="方正仿宋_GBK" w:cs="Times New Roman"/>
          <w:kern w:val="0"/>
          <w:sz w:val="32"/>
          <w:szCs w:val="32"/>
          <w:lang w:val="en-US" w:bidi="ar-SA"/>
        </w:rPr>
      </w:pPr>
      <w:r>
        <w:rPr>
          <w:rFonts w:hint="default" w:ascii="Times New Roman" w:hAnsi="Times New Roman" w:eastAsia="方正仿宋_GBK" w:cs="Times New Roman"/>
          <w:kern w:val="0"/>
          <w:sz w:val="32"/>
          <w:szCs w:val="32"/>
          <w:lang w:val="en-US" w:bidi="ar-SA"/>
        </w:rPr>
        <w:t>重庆金汇能新材料有限公司：</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92" w:firstLineChars="200"/>
        <w:jc w:val="both"/>
        <w:textAlignment w:val="auto"/>
        <w:rPr>
          <w:rFonts w:hint="default" w:ascii="Times New Roman" w:hAnsi="Times New Roman" w:cs="Times New Roman"/>
        </w:rPr>
      </w:pPr>
      <w:r>
        <w:rPr>
          <w:rFonts w:hint="default" w:ascii="Times New Roman" w:hAnsi="Times New Roman" w:cs="Times New Roman"/>
          <w:spacing w:val="21"/>
          <w:w w:val="95"/>
        </w:rPr>
        <w:t>你公司</w:t>
      </w:r>
      <w:r>
        <w:rPr>
          <w:rFonts w:hint="default" w:ascii="Times New Roman" w:hAnsi="Times New Roman" w:eastAsia="方正仿宋_GBK" w:cs="Times New Roman"/>
          <w:kern w:val="0"/>
          <w:sz w:val="32"/>
          <w:szCs w:val="32"/>
          <w:lang w:val="en-US" w:bidi="ar-SA"/>
        </w:rPr>
        <w:t>年产10万吨负极材料生产项目</w:t>
      </w:r>
      <w:r>
        <w:rPr>
          <w:rFonts w:hint="default" w:ascii="Times New Roman" w:hAnsi="Times New Roman" w:cs="Times New Roman"/>
          <w:spacing w:val="24"/>
          <w:w w:val="95"/>
        </w:rPr>
        <w:t>（</w:t>
      </w:r>
      <w:r>
        <w:rPr>
          <w:rFonts w:hint="default" w:ascii="Times New Roman" w:hAnsi="Times New Roman" w:cs="Times New Roman"/>
          <w:spacing w:val="18"/>
          <w:w w:val="95"/>
        </w:rPr>
        <w:t>项目代码：</w:t>
      </w:r>
      <w:r>
        <w:rPr>
          <w:rFonts w:hint="default" w:ascii="Times New Roman" w:hAnsi="Times New Roman" w:eastAsia="Times New Roman" w:cs="Times New Roman"/>
          <w:spacing w:val="18"/>
        </w:rPr>
        <w:t>2207-500151-04-01-419625</w:t>
      </w:r>
      <w:r>
        <w:rPr>
          <w:rFonts w:hint="default" w:ascii="Times New Roman" w:hAnsi="Times New Roman" w:cs="Times New Roman"/>
          <w:spacing w:val="18"/>
        </w:rPr>
        <w:t>）</w:t>
      </w:r>
      <w:r>
        <w:rPr>
          <w:rFonts w:hint="default" w:ascii="Times New Roman" w:hAnsi="Times New Roman" w:cs="Times New Roman"/>
          <w:spacing w:val="5"/>
        </w:rPr>
        <w:t>环境影响评价文件审批申请表及相</w:t>
      </w:r>
      <w:r>
        <w:rPr>
          <w:rFonts w:hint="default" w:ascii="Times New Roman" w:hAnsi="Times New Roman" w:cs="Times New Roman"/>
          <w:spacing w:val="-10"/>
        </w:rPr>
        <w:t>关材料收悉。根据《中华人民共和国环境影响评价法》等法律法</w:t>
      </w:r>
      <w:r>
        <w:rPr>
          <w:rFonts w:hint="default" w:ascii="Times New Roman" w:hAnsi="Times New Roman" w:cs="Times New Roman"/>
          <w:spacing w:val="-14"/>
        </w:rPr>
        <w:t>规的有关规定，我局原则同意重庆环科源博达环保科技有限公司</w:t>
      </w:r>
      <w:r>
        <w:rPr>
          <w:rFonts w:hint="default" w:ascii="Times New Roman" w:hAnsi="Times New Roman" w:cs="Times New Roman"/>
          <w:spacing w:val="-1"/>
          <w:w w:val="95"/>
        </w:rPr>
        <w:t>（社会信用代码：</w:t>
      </w:r>
      <w:r>
        <w:rPr>
          <w:rFonts w:hint="default" w:ascii="Times New Roman" w:hAnsi="Times New Roman" w:eastAsia="Times New Roman" w:cs="Times New Roman"/>
          <w:spacing w:val="-1"/>
          <w:w w:val="95"/>
        </w:rPr>
        <w:t>91500105MA5U5P5431</w:t>
      </w:r>
      <w:r>
        <w:rPr>
          <w:rFonts w:hint="default" w:ascii="Times New Roman" w:hAnsi="Times New Roman" w:cs="Times New Roman"/>
          <w:spacing w:val="-1"/>
          <w:w w:val="95"/>
        </w:rPr>
        <w:t>）</w:t>
      </w:r>
      <w:r>
        <w:rPr>
          <w:rFonts w:hint="default" w:ascii="Times New Roman" w:hAnsi="Times New Roman" w:cs="Times New Roman"/>
          <w:w w:val="95"/>
        </w:rPr>
        <w:t>编写的该项目环</w:t>
      </w:r>
      <w:r>
        <w:rPr>
          <w:rFonts w:hint="default" w:ascii="Times New Roman" w:hAnsi="Times New Roman" w:cs="Times New Roman"/>
          <w:spacing w:val="-7"/>
        </w:rPr>
        <w:t>境影响报告</w:t>
      </w:r>
      <w:r>
        <w:rPr>
          <w:rFonts w:hint="eastAsia" w:ascii="Times New Roman" w:hAnsi="Times New Roman" w:cs="Times New Roman"/>
          <w:spacing w:val="-7"/>
          <w:lang w:eastAsia="zh-CN"/>
        </w:rPr>
        <w:t>书</w:t>
      </w:r>
      <w:r>
        <w:rPr>
          <w:rFonts w:hint="default" w:ascii="Times New Roman" w:hAnsi="Times New Roman" w:cs="Times New Roman"/>
        </w:rPr>
        <w:t>（以下简称</w:t>
      </w:r>
      <w:r>
        <w:rPr>
          <w:rFonts w:hint="default" w:ascii="Times New Roman" w:hAnsi="Times New Roman" w:eastAsia="Times New Roman" w:cs="Times New Roman"/>
        </w:rPr>
        <w:t>“</w:t>
      </w:r>
      <w:r>
        <w:rPr>
          <w:rFonts w:hint="default" w:ascii="Times New Roman" w:hAnsi="Times New Roman" w:cs="Times New Roman"/>
        </w:rPr>
        <w:t>报告</w:t>
      </w:r>
      <w:r>
        <w:rPr>
          <w:rFonts w:hint="eastAsia" w:ascii="Times New Roman" w:hAnsi="Times New Roman" w:cs="Times New Roman"/>
          <w:lang w:eastAsia="zh-CN"/>
        </w:rPr>
        <w:t>书</w:t>
      </w:r>
      <w:r>
        <w:rPr>
          <w:rFonts w:hint="default" w:ascii="Times New Roman" w:hAnsi="Times New Roman" w:eastAsia="Times New Roman" w:cs="Times New Roman"/>
          <w:spacing w:val="-20"/>
        </w:rPr>
        <w:t>”</w:t>
      </w:r>
      <w:r>
        <w:rPr>
          <w:rFonts w:hint="default" w:ascii="Times New Roman" w:hAnsi="Times New Roman" w:cs="Times New Roman"/>
          <w:spacing w:val="-20"/>
        </w:rPr>
        <w:t>）</w:t>
      </w:r>
      <w:r>
        <w:rPr>
          <w:rFonts w:hint="default" w:ascii="Times New Roman" w:hAnsi="Times New Roman" w:cs="Times New Roman"/>
        </w:rPr>
        <w:t>结论及其提出的环境保护措施。</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line="594" w:lineRule="exact"/>
        <w:ind w:left="0" w:firstLine="592" w:firstLineChars="200"/>
        <w:jc w:val="both"/>
        <w:textAlignment w:val="auto"/>
        <w:rPr>
          <w:rFonts w:hint="default" w:ascii="Times New Roman" w:hAnsi="Times New Roman" w:cs="Times New Roman"/>
          <w:spacing w:val="-12"/>
        </w:rPr>
      </w:pPr>
      <w:r>
        <w:rPr>
          <w:rFonts w:hint="default" w:ascii="Times New Roman" w:hAnsi="Times New Roman" w:cs="Times New Roman"/>
          <w:spacing w:val="-12"/>
        </w:rPr>
        <w:t>项目的主要建设内容：项目位于</w:t>
      </w:r>
      <w:r>
        <w:rPr>
          <w:rFonts w:hint="eastAsia" w:ascii="Times New Roman" w:hAnsi="Times New Roman" w:cs="Times New Roman"/>
          <w:color w:val="000000" w:themeColor="text1"/>
          <w:kern w:val="44"/>
          <w:lang w:eastAsia="zh-CN"/>
        </w:rPr>
        <w:t>重庆市铜梁区大庙镇金狮大道888号</w:t>
      </w:r>
      <w:r>
        <w:rPr>
          <w:rFonts w:hint="default" w:ascii="Times New Roman" w:hAnsi="Times New Roman" w:cs="Times New Roman"/>
          <w:spacing w:val="-12"/>
        </w:rPr>
        <w:t>，拟建项目主要</w:t>
      </w:r>
      <w:r>
        <w:rPr>
          <w:rFonts w:hint="eastAsia" w:ascii="Times New Roman" w:hAnsi="Times New Roman" w:cs="Times New Roman"/>
          <w:spacing w:val="-12"/>
          <w:lang w:eastAsia="zh-CN"/>
        </w:rPr>
        <w:t>新建</w:t>
      </w:r>
      <w:r>
        <w:rPr>
          <w:rFonts w:hint="eastAsia" w:ascii="Times New Roman" w:hAnsi="Times New Roman" w:cs="Times New Roman"/>
          <w:spacing w:val="-12"/>
          <w:lang w:val="en-US" w:eastAsia="zh-CN"/>
        </w:rPr>
        <w:t>1条</w:t>
      </w:r>
      <w:r>
        <w:rPr>
          <w:rFonts w:hint="default" w:ascii="Times New Roman" w:hAnsi="Times New Roman" w:cs="Times New Roman"/>
          <w:spacing w:val="-12"/>
        </w:rPr>
        <w:t>负极装备石墨坩埚生产线</w:t>
      </w:r>
      <w:r>
        <w:rPr>
          <w:rFonts w:hint="eastAsia" w:ascii="Times New Roman" w:hAnsi="Times New Roman" w:cs="Times New Roman"/>
          <w:spacing w:val="-12"/>
          <w:lang w:eastAsia="zh-CN"/>
        </w:rPr>
        <w:t>，</w:t>
      </w:r>
      <w:r>
        <w:rPr>
          <w:rFonts w:hint="eastAsia" w:ascii="Times New Roman" w:hAnsi="Times New Roman" w:cs="Times New Roman"/>
          <w:spacing w:val="-12"/>
          <w:lang w:val="en-US" w:eastAsia="zh-CN"/>
        </w:rPr>
        <w:t>1条</w:t>
      </w:r>
      <w:r>
        <w:rPr>
          <w:rFonts w:hint="default" w:ascii="Times New Roman" w:hAnsi="Times New Roman" w:cs="Times New Roman"/>
          <w:spacing w:val="-12"/>
        </w:rPr>
        <w:t>锂离子电池石墨类负极材料生产线</w:t>
      </w:r>
      <w:r>
        <w:rPr>
          <w:rFonts w:hint="eastAsia" w:ascii="Times New Roman" w:hAnsi="Times New Roman" w:cs="Times New Roman"/>
          <w:spacing w:val="-12"/>
          <w:lang w:eastAsia="zh-CN"/>
        </w:rPr>
        <w:t>，</w:t>
      </w:r>
      <w:r>
        <w:rPr>
          <w:rFonts w:hint="eastAsia" w:ascii="Times New Roman" w:hAnsi="Times New Roman" w:cs="Times New Roman"/>
          <w:spacing w:val="-12"/>
          <w:lang w:val="en-US" w:eastAsia="zh-CN"/>
        </w:rPr>
        <w:t>1条</w:t>
      </w:r>
      <w:r>
        <w:rPr>
          <w:rFonts w:hint="default" w:ascii="Times New Roman" w:hAnsi="Times New Roman" w:cs="Times New Roman"/>
          <w:spacing w:val="-12"/>
        </w:rPr>
        <w:t>硅炭负极材料生产线</w:t>
      </w:r>
      <w:r>
        <w:rPr>
          <w:rFonts w:hint="eastAsia" w:ascii="Times New Roman" w:hAnsi="Times New Roman" w:cs="Times New Roman"/>
          <w:spacing w:val="-12"/>
          <w:lang w:eastAsia="zh-CN"/>
        </w:rPr>
        <w:t>，</w:t>
      </w:r>
      <w:r>
        <w:rPr>
          <w:rFonts w:hint="eastAsia" w:ascii="Times New Roman" w:hAnsi="Times New Roman" w:cs="Times New Roman"/>
          <w:spacing w:val="-12"/>
          <w:lang w:val="en-US" w:eastAsia="zh-CN"/>
        </w:rPr>
        <w:t>1条</w:t>
      </w:r>
      <w:r>
        <w:rPr>
          <w:rFonts w:hint="default" w:ascii="Times New Roman" w:hAnsi="Times New Roman" w:cs="Times New Roman"/>
          <w:spacing w:val="-12"/>
        </w:rPr>
        <w:t>硅炭负极材料中试线</w:t>
      </w:r>
      <w:r>
        <w:rPr>
          <w:rFonts w:hint="eastAsia" w:ascii="Times New Roman" w:hAnsi="Times New Roman" w:cs="Times New Roman"/>
          <w:spacing w:val="-12"/>
          <w:lang w:eastAsia="zh-CN"/>
        </w:rPr>
        <w:t>；配套建设</w:t>
      </w:r>
      <w:r>
        <w:rPr>
          <w:rFonts w:hint="default" w:ascii="Times New Roman" w:hAnsi="Times New Roman" w:cs="Times New Roman"/>
          <w:spacing w:val="-12"/>
        </w:rPr>
        <w:t>沥青中转站、原料中转站（一）、原料中转站（二）、成品车间、空压站、循环水系统、消防水站、配电房、食堂及宿舍、科研中心及办公楼、门卫等公用工程及辅助设施</w:t>
      </w:r>
      <w:r>
        <w:rPr>
          <w:rFonts w:hint="eastAsia" w:ascii="Times New Roman" w:hAnsi="Times New Roman" w:cs="Times New Roman"/>
          <w:spacing w:val="-12"/>
          <w:lang w:eastAsia="zh-CN"/>
        </w:rPr>
        <w:t>。项目建成后，年产负极装备石墨坩埚35万套、年产预炭化品10万t（其中预炭化动力电池负极材料6万t/a、预炭化储能电池负极材料4万t/a）、年产储能电池负极材料成品3万t（为预炭化储能电池负极材料成品）；年产硅炭负极材料0.5万t、年产硅炭负极材料中试产品300t。</w:t>
      </w:r>
      <w:r>
        <w:rPr>
          <w:rFonts w:hint="default" w:ascii="Times New Roman" w:hAnsi="Times New Roman" w:cs="Times New Roman"/>
          <w:spacing w:val="-12"/>
        </w:rPr>
        <w:t>项目总投资</w:t>
      </w:r>
      <w:r>
        <w:rPr>
          <w:rFonts w:hint="eastAsia" w:ascii="Times New Roman" w:hAnsi="Times New Roman" w:cs="Times New Roman"/>
          <w:spacing w:val="-12"/>
          <w:lang w:val="en-US" w:eastAsia="zh-CN"/>
        </w:rPr>
        <w:t>100000</w:t>
      </w:r>
      <w:r>
        <w:rPr>
          <w:rFonts w:hint="default" w:ascii="Times New Roman" w:hAnsi="Times New Roman" w:cs="Times New Roman"/>
          <w:spacing w:val="-12"/>
        </w:rPr>
        <w:t>万元，其中环保投资</w:t>
      </w:r>
      <w:r>
        <w:rPr>
          <w:rFonts w:hint="eastAsia" w:ascii="Times New Roman" w:hAnsi="Times New Roman" w:cs="Times New Roman"/>
          <w:spacing w:val="-12"/>
          <w:lang w:val="en-US" w:eastAsia="zh-CN"/>
        </w:rPr>
        <w:t>4294.85</w:t>
      </w:r>
      <w:r>
        <w:rPr>
          <w:rFonts w:hint="default" w:ascii="Times New Roman" w:hAnsi="Times New Roman" w:cs="Times New Roman"/>
          <w:spacing w:val="-12"/>
        </w:rPr>
        <w:t>万元。项目劳动定员550</w:t>
      </w:r>
      <w:r>
        <w:rPr>
          <w:rFonts w:hint="eastAsia" w:ascii="Times New Roman" w:hAnsi="Times New Roman" w:cs="Times New Roman"/>
          <w:spacing w:val="-12"/>
          <w:lang w:eastAsia="zh-CN"/>
        </w:rPr>
        <w:t>人</w:t>
      </w:r>
      <w:r>
        <w:rPr>
          <w:rFonts w:hint="default" w:ascii="Times New Roman" w:hAnsi="Times New Roman" w:cs="Times New Roman"/>
          <w:spacing w:val="-12"/>
        </w:rPr>
        <w:t>，年生产3</w:t>
      </w:r>
      <w:r>
        <w:rPr>
          <w:rFonts w:hint="eastAsia" w:ascii="Times New Roman" w:hAnsi="Times New Roman" w:cs="Times New Roman"/>
          <w:spacing w:val="-12"/>
          <w:lang w:val="en-US" w:eastAsia="zh-CN"/>
        </w:rPr>
        <w:t>33</w:t>
      </w:r>
      <w:r>
        <w:rPr>
          <w:rFonts w:hint="default" w:ascii="Times New Roman" w:hAnsi="Times New Roman" w:cs="Times New Roman"/>
          <w:spacing w:val="-12"/>
        </w:rPr>
        <w:t>天。</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line="594" w:lineRule="exact"/>
        <w:ind w:left="0" w:firstLine="592" w:firstLineChars="200"/>
        <w:jc w:val="both"/>
        <w:textAlignment w:val="auto"/>
        <w:rPr>
          <w:rFonts w:hint="default" w:ascii="Times New Roman" w:hAnsi="Times New Roman" w:cs="Times New Roman"/>
        </w:rPr>
      </w:pPr>
      <w:r>
        <w:rPr>
          <w:rFonts w:hint="default" w:ascii="Times New Roman" w:hAnsi="Times New Roman" w:cs="Times New Roman"/>
          <w:spacing w:val="-12"/>
        </w:rPr>
        <w:t>项目建设与运营管理中，必须认真落实项目环境影响报</w:t>
      </w:r>
      <w:r>
        <w:rPr>
          <w:rFonts w:hint="default" w:ascii="Times New Roman" w:hAnsi="Times New Roman" w:cs="Times New Roman"/>
          <w:spacing w:val="-7"/>
        </w:rPr>
        <w:t>告</w:t>
      </w:r>
      <w:r>
        <w:rPr>
          <w:rFonts w:hint="eastAsia" w:ascii="Times New Roman" w:hAnsi="Times New Roman" w:cs="Times New Roman"/>
          <w:spacing w:val="-7"/>
          <w:lang w:eastAsia="zh-CN"/>
        </w:rPr>
        <w:t>书</w:t>
      </w:r>
      <w:r>
        <w:rPr>
          <w:rFonts w:hint="default" w:ascii="Times New Roman" w:hAnsi="Times New Roman" w:cs="Times New Roman"/>
          <w:spacing w:val="-7"/>
        </w:rPr>
        <w:t>中提出的各项污染防治措施，实施清洁生产，减少污染物产生和排放，重点应做好以下工作：</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0" w:line="594" w:lineRule="exact"/>
        <w:ind w:left="0" w:right="0" w:firstLine="640" w:firstLineChars="200"/>
        <w:jc w:val="both"/>
        <w:textAlignment w:val="auto"/>
        <w:rPr>
          <w:rFonts w:hint="default" w:ascii="Times New Roman" w:hAnsi="Times New Roman" w:cs="Times New Roman"/>
        </w:rPr>
      </w:pPr>
      <w:r>
        <w:rPr>
          <w:rFonts w:hint="default" w:ascii="Times New Roman" w:hAnsi="Times New Roman" w:eastAsia="方正楷体_GBK" w:cs="Times New Roman"/>
        </w:rPr>
        <w:t>严格落实废气污染防治措施。</w:t>
      </w:r>
      <w:r>
        <w:rPr>
          <w:rFonts w:hint="eastAsia" w:ascii="Times New Roman" w:hAnsi="Times New Roman" w:cs="Times New Roman"/>
          <w:lang w:eastAsia="zh-CN"/>
        </w:rPr>
        <w:t>项目运营期负极装备石墨坩埚生产线产生的细石墨化焦仓粉尘、转运、斗提、落料点粉尘等共用1套“1#脉冲式布袋除尘器”，处理达标后经1根15m高排气筒（1-1#）排放；磨粉给料仓粉尘、筛分粉尘、配料仓粉尘共用1套“2#脉冲式布袋除尘器”，处理达标后经1根15m高排气筒（1-2#）排放；磨粉粉尘采用密闭管道全部收集后，通过“旋风+布袋”除尘系统处理后经1根40m高排气筒（1-3#）排放；中碎粉尘通过在进料输送皮带落料点设置集气罩，在复合破碎机、对辊破碎机处等产尘节点设置密闭管道进行收集，废气全部收集后送入“3#脉冲式布袋除尘器”处理后经1根40m高排气筒（1-4#）排放；返回料初级破碎粉尘、返回料二破粉尘通过设置集尘罩、废气收集管道收集废气后共用1套“4#脉冲式布袋除尘器”处理达标后经1根40m高排气筒（1-5#）排放；返回料筛分粉尘通过在返回料处理筛分机、斗提机处分别设置的集尘管道全部收集后送入“5#脉冲式布袋除尘器”处理后经1根40m高排气筒（1-6#）排放；固体沥青破碎粉尘通过在锤击破碎机上方及下方落料点分别设置的集气罩收集后，经“6#脉冲式布袋除尘器”处理达标后由1根15m高排气筒（1-7#）排放；沥青融化废气、液体沥青储罐呼吸废气、湿混捏废气、成型废气经密闭管道全部收集后，共用</w:t>
      </w:r>
      <w:r>
        <w:rPr>
          <w:rFonts w:hint="eastAsia" w:ascii="Times New Roman" w:hAnsi="Times New Roman" w:cs="Times New Roman"/>
          <w:lang w:val="en-US" w:eastAsia="zh-CN"/>
        </w:rPr>
        <w:t>1</w:t>
      </w:r>
      <w:r>
        <w:rPr>
          <w:rFonts w:hint="eastAsia" w:ascii="Times New Roman" w:hAnsi="Times New Roman" w:cs="Times New Roman"/>
          <w:lang w:eastAsia="zh-CN"/>
        </w:rPr>
        <w:t>套“焦粉吸附净化+脉冲式布袋除尘器”处理系统处理后经1根</w:t>
      </w:r>
      <w:r>
        <w:rPr>
          <w:rFonts w:hint="eastAsia" w:ascii="Times New Roman" w:hAnsi="Times New Roman" w:cs="Times New Roman"/>
          <w:lang w:val="en-US" w:eastAsia="zh-CN"/>
        </w:rPr>
        <w:t>40</w:t>
      </w:r>
      <w:r>
        <w:rPr>
          <w:rFonts w:hint="eastAsia" w:ascii="Times New Roman" w:hAnsi="Times New Roman" w:cs="Times New Roman"/>
          <w:lang w:eastAsia="zh-CN"/>
        </w:rPr>
        <w:t>m高排气筒（1-8#）排放；焙烧废气，焙烧采用低氮燃烧技术，烟气采用“SNCR脱硝+焦粉吸附”预处理后，送入1套石灰石－石膏湿法脱硫系统处理达标后通过1根25m高排气筒（1-9#）排放；机加粉尘，10台机加车床的每个铣刀处均配备1个伴随式集气罩，每台机加车床配备1套“旋风除尘+布袋除尘”处理系统，10台机加车床机加粉尘分别处理后合并一起经1根15m高排气筒（1-10#）排放。锂离子电池石墨类负极材料生产线产生的卸料、初级破碎及转运粉尘分别在生石油焦卸料口处、分体式破碎格栅落料点、输送皮带转输落料点处设置集气罩收集后送入1套布袋除尘器处理后经1根15m高排气筒（2-1#）排放；一次破碎及转输粉尘分别在破碎机进料口处、斗提机、输送皮带转输落料点处设置集气罩集中收集后送入1套布袋除尘器处理后经1根15m高排气筒（2-2#）排放；烘干废气、二次破碎粉尘经2套“旋风+布袋除尘”系统分别处理后经1根15m高排气筒（2-3#）排放；磨粉粉尘、整形粉尘，磨粉、整形工序共设置的8套磨粉磨、8套整形系统，每套系统均配备1套“旋风除尘+布袋除尘器”装置，废气经分别处理后合并一起通过1根15m高排气筒（2-4#）排放；固体沥青磨粉粉尘经“旋风除尘+布袋除尘器”装置处理后通过1根15m高排气筒（2-5#）排放；预炭化废气，均采用低氮燃烧技术，与预处理后的焙烧废气共用1套石灰石－石膏湿法脱硫系统处理达标后通过1根25m高排气筒（1-9#）排放；整形粉尘，整形及包装工序共配备6台整形机，每套整形机配备1套“旋风除尘器+脉冲式布袋除尘器”系统，处理后的废气通过1根20m高排气筒（2-6#）排放；解聚粉尘，2套解聚设备均单独配备“旋风+布袋除尘”系统处理，处理后合并一起经1根20m排气筒（3-1#）排放。硅炭负极材料生产线产生的筛分废气经筛分机配套的布袋除尘器全部收集处理后，通过1根15m高排气筒（4-1#）排放。硅炭中试产品A中试线产生的破碎废气经“旋风除尘+布袋除尘器”收集处理后，通过1根15m高排气筒（</w:t>
      </w:r>
      <w:r>
        <w:rPr>
          <w:rFonts w:hint="eastAsia" w:ascii="Times New Roman" w:hAnsi="Times New Roman" w:cs="Times New Roman"/>
          <w:lang w:val="en-US" w:eastAsia="zh-CN"/>
        </w:rPr>
        <w:t>5</w:t>
      </w:r>
      <w:r>
        <w:rPr>
          <w:rFonts w:hint="eastAsia" w:ascii="Times New Roman" w:hAnsi="Times New Roman" w:cs="Times New Roman"/>
          <w:lang w:eastAsia="zh-CN"/>
        </w:rPr>
        <w:t>-1#）排放。采取有效措施控制无组织排放，各料仓设置“仓顶式布袋除尘器+在线过滤器（滤筒除尘）”处理后车间内无组织排放，经密闭车间（仅物料进出期间开启物流通道）沉降后外排。项目营运期焙烧废气（颗粒物、SO</w:t>
      </w:r>
      <w:r>
        <w:rPr>
          <w:rFonts w:hint="eastAsia" w:ascii="Times New Roman" w:hAnsi="Times New Roman" w:cs="Times New Roman"/>
          <w:vertAlign w:val="subscript"/>
          <w:lang w:eastAsia="zh-CN"/>
        </w:rPr>
        <w:t>2</w:t>
      </w:r>
      <w:r>
        <w:rPr>
          <w:rFonts w:hint="eastAsia" w:ascii="Times New Roman" w:hAnsi="Times New Roman" w:cs="Times New Roman"/>
          <w:lang w:eastAsia="zh-CN"/>
        </w:rPr>
        <w:t>、NO</w:t>
      </w:r>
      <w:r>
        <w:rPr>
          <w:rFonts w:hint="eastAsia" w:ascii="Times New Roman" w:hAnsi="Times New Roman" w:cs="Times New Roman"/>
          <w:vertAlign w:val="subscript"/>
          <w:lang w:eastAsia="zh-CN"/>
        </w:rPr>
        <w:t>x</w:t>
      </w:r>
      <w:r>
        <w:rPr>
          <w:rFonts w:hint="eastAsia" w:ascii="Times New Roman" w:hAnsi="Times New Roman" w:cs="Times New Roman"/>
          <w:lang w:eastAsia="zh-CN"/>
        </w:rPr>
        <w:t>、沥青烟、苯并[a]芘等）、预炭化废气（颗粒物、SO</w:t>
      </w:r>
      <w:r>
        <w:rPr>
          <w:rFonts w:hint="eastAsia" w:ascii="Times New Roman" w:hAnsi="Times New Roman" w:cs="Times New Roman"/>
          <w:vertAlign w:val="subscript"/>
          <w:lang w:eastAsia="zh-CN"/>
        </w:rPr>
        <w:t>2</w:t>
      </w:r>
      <w:r>
        <w:rPr>
          <w:rFonts w:hint="eastAsia" w:ascii="Times New Roman" w:hAnsi="Times New Roman" w:cs="Times New Roman"/>
          <w:lang w:eastAsia="zh-CN"/>
        </w:rPr>
        <w:t>、NO</w:t>
      </w:r>
      <w:r>
        <w:rPr>
          <w:rFonts w:hint="eastAsia" w:ascii="Times New Roman" w:hAnsi="Times New Roman" w:cs="Times New Roman"/>
          <w:vertAlign w:val="subscript"/>
          <w:lang w:eastAsia="zh-CN"/>
        </w:rPr>
        <w:t>x</w:t>
      </w:r>
      <w:r>
        <w:rPr>
          <w:rFonts w:hint="eastAsia" w:ascii="Times New Roman" w:hAnsi="Times New Roman" w:cs="Times New Roman"/>
          <w:lang w:eastAsia="zh-CN"/>
        </w:rPr>
        <w:t>、沥青烟、苯并[a]芘等）执行重庆市地方标准《工业炉窑大气污染物排放标准》（DB50/659-2016）表1、表2、表3规定的其他区域排放限值，《工业炉窑大气污染物排放标准》（DB50/659-2016）中未规定其他特征污染物（沥青烟、苯并[a]芘）执行重庆市地方标准《大气污染物综合排放标准》（DB50/418-2016）表1中大气污染物排放限值；臭气浓度执行《恶臭污染物排放标准》（GB14554-93）表2标准浓度限值。预炭化动力电池负极材料烘干工序，采用烘干机燃烧室产生的高温烟气与生石油焦、生针状焦直接接触加热烘干物料，执行重庆市地方标准《大气污染物综合排放标准》（DB50/418-2016）表1中大气污染物排放限值。沥青熔化废气、液体沥青储罐呼吸废气、湿混捏废气等产生的沥青烟、苯并[a]芘等执行重庆市地方标准《大气污染物综合排放标准》（DB50/418-2016）表1中大气污染物排放限值。负极装备石墨坩埚生产线、锂离子电池石墨类负极材料生产线含碳粉尘排放其他含尘废气执行重庆市地方标准《大气污染物综合排放标准》（DB50/418-2016）表1中其他区域“碳黑尘”排放浓度限值；其他不含碳粉尘执行《大气污染物综合排放标准》（DB50/418-2016）中其他颗粒物控制标准。燃气锅炉、热媒锅炉废气执行《锅炉大气污染物排放标准》（DB50/ 658-2016）及其修改单标准限值；职工食堂油烟执行《餐饮业大气污染物排放标准》（DB 50/859-2018）排放限值；无组织排放颗粒物、沥青烟、苯并[a]芘等执行重庆市地方标准《大气污染物综合排放标准》（DB50/418-2016）表1中大气污染物排放限值，臭气浓度执行《恶臭污染物排放标准》（GB14554-93）表1中的恶臭污染物厂界标准限值。</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rPr>
          <w:rFonts w:hint="eastAsia" w:ascii="Times New Roman" w:hAnsi="Times New Roman" w:eastAsia="方正仿宋_GBK" w:cs="Times New Roman"/>
          <w:lang w:eastAsia="zh-CN"/>
        </w:rPr>
      </w:pPr>
      <w:r>
        <w:rPr>
          <w:rFonts w:hint="default" w:ascii="Times New Roman" w:hAnsi="Times New Roman" w:eastAsia="方正楷体_GBK" w:cs="Times New Roman"/>
        </w:rPr>
        <w:t>（二）严格落实水污染防治措施。</w:t>
      </w:r>
      <w:r>
        <w:rPr>
          <w:rFonts w:hint="eastAsia" w:ascii="Times New Roman" w:hAnsi="Times New Roman" w:cs="Times New Roman"/>
          <w:lang w:eastAsia="zh-CN"/>
        </w:rPr>
        <w:t>项目</w:t>
      </w:r>
      <w:r>
        <w:rPr>
          <w:rFonts w:hint="default" w:ascii="Times New Roman" w:hAnsi="Times New Roman" w:cs="Times New Roman"/>
          <w:lang w:eastAsia="zh-CN"/>
        </w:rPr>
        <w:t>运</w:t>
      </w:r>
      <w:r>
        <w:rPr>
          <w:rFonts w:hint="default" w:ascii="Times New Roman" w:hAnsi="Times New Roman" w:cs="Times New Roman"/>
        </w:rPr>
        <w:t>营期</w:t>
      </w:r>
      <w:r>
        <w:rPr>
          <w:rFonts w:hint="eastAsia" w:ascii="Times New Roman" w:hAnsi="Times New Roman" w:cs="Times New Roman"/>
          <w:lang w:eastAsia="zh-CN"/>
        </w:rPr>
        <w:t>实行雨污分流，全厂设置独立生活污水排水系统，生产废水排水系统、雨水排水系统。拟建项目废水主要包括生活污水、科研中心实验废水、过滤废水以及脱硫废水。生活污水进入厂区化粪池处理；科研中心实验废水、过滤废水以及脱硫废水进入厂区生产废水处理站统一处理，采取“中和+絮凝+澄清”的处理工艺。生产废水、生活污水经分别处理达《污水综合排放标准》（GB8978-1996）三级标准（其中氨氮、总磷参照执行《污水排入城镇下水道水质标准》（GB/T31962-2015）B级标准）后通过全厂废水总排放口（DW001）排入市政污水管网，进入大庙园区污水处理厂深度处理达《城镇污水处理厂污染物排放标准》（GB18918-2002）一级A标准后排入桂林河，最终汇入小安溪。</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08" w:firstLineChars="200"/>
        <w:jc w:val="both"/>
        <w:textAlignment w:val="auto"/>
        <w:rPr>
          <w:rFonts w:hint="default" w:ascii="Times New Roman" w:hAnsi="Times New Roman" w:cs="Times New Roman"/>
        </w:rPr>
      </w:pPr>
      <w:r>
        <w:rPr>
          <w:rFonts w:hint="default" w:ascii="Times New Roman" w:hAnsi="Times New Roman" w:eastAsia="方正楷体_GBK" w:cs="Times New Roman"/>
          <w:w w:val="95"/>
        </w:rPr>
        <w:t>（</w:t>
      </w:r>
      <w:r>
        <w:rPr>
          <w:rFonts w:hint="eastAsia" w:ascii="Times New Roman" w:hAnsi="Times New Roman" w:eastAsia="方正楷体_GBK" w:cs="Times New Roman"/>
          <w:w w:val="95"/>
          <w:lang w:eastAsia="zh-CN"/>
        </w:rPr>
        <w:t>三</w:t>
      </w:r>
      <w:r>
        <w:rPr>
          <w:rFonts w:hint="default" w:ascii="Times New Roman" w:hAnsi="Times New Roman" w:eastAsia="方正楷体_GBK" w:cs="Times New Roman"/>
          <w:spacing w:val="-39"/>
          <w:w w:val="95"/>
        </w:rPr>
        <w:t>）</w:t>
      </w:r>
      <w:r>
        <w:rPr>
          <w:rFonts w:hint="default" w:ascii="Times New Roman" w:hAnsi="Times New Roman" w:eastAsia="方正楷体_GBK" w:cs="Times New Roman"/>
        </w:rPr>
        <w:t>严格落实噪声污染防治措施</w:t>
      </w:r>
      <w:r>
        <w:rPr>
          <w:rFonts w:hint="default" w:ascii="Times New Roman" w:hAnsi="Times New Roman" w:cs="Times New Roman"/>
        </w:rPr>
        <w:t>。</w:t>
      </w:r>
      <w:r>
        <w:rPr>
          <w:rFonts w:hint="eastAsia" w:ascii="Times New Roman" w:hAnsi="Times New Roman" w:cs="Times New Roman"/>
          <w:lang w:eastAsia="zh-CN"/>
        </w:rPr>
        <w:t>项目</w:t>
      </w:r>
      <w:r>
        <w:rPr>
          <w:rFonts w:hint="default" w:ascii="Times New Roman" w:hAnsi="Times New Roman" w:cs="Times New Roman"/>
        </w:rPr>
        <w:t>运营期</w:t>
      </w:r>
      <w:r>
        <w:rPr>
          <w:rFonts w:hint="eastAsia" w:ascii="Times New Roman" w:hAnsi="Times New Roman" w:cs="Times New Roman"/>
          <w:lang w:eastAsia="zh-CN"/>
        </w:rPr>
        <w:t>通过采取</w:t>
      </w:r>
      <w:r>
        <w:rPr>
          <w:rFonts w:hint="default" w:ascii="Times New Roman" w:hAnsi="Times New Roman" w:cs="Times New Roman"/>
        </w:rPr>
        <w:t>基础减振、建筑隔声、绿化降噪、消声等措施</w:t>
      </w:r>
      <w:r>
        <w:rPr>
          <w:rFonts w:hint="eastAsia" w:ascii="Times New Roman" w:hAnsi="Times New Roman" w:cs="Times New Roman"/>
          <w:lang w:eastAsia="zh-CN"/>
        </w:rPr>
        <w:t>，确保</w:t>
      </w:r>
      <w:r>
        <w:rPr>
          <w:rFonts w:hint="default" w:ascii="Times New Roman" w:hAnsi="Times New Roman" w:cs="Times New Roman"/>
        </w:rPr>
        <w:t>厂界噪声满足《工业企业厂界环境噪声排放标准》（GB12348-2008）3类标准要求。</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rPr>
          <w:rFonts w:hint="eastAsia" w:ascii="Times New Roman" w:hAnsi="Times New Roman" w:cs="Times New Roman"/>
          <w:lang w:eastAsia="zh-CN"/>
        </w:rPr>
      </w:pPr>
      <w:r>
        <w:rPr>
          <w:rFonts w:hint="default" w:ascii="Times New Roman" w:hAnsi="Times New Roman" w:eastAsia="方正楷体_GBK" w:cs="Times New Roman"/>
        </w:rPr>
        <w:t>（</w:t>
      </w:r>
      <w:r>
        <w:rPr>
          <w:rFonts w:hint="eastAsia" w:ascii="Times New Roman" w:hAnsi="Times New Roman" w:eastAsia="方正楷体_GBK" w:cs="Times New Roman"/>
          <w:lang w:eastAsia="zh-CN"/>
        </w:rPr>
        <w:t>四</w:t>
      </w:r>
      <w:r>
        <w:rPr>
          <w:rFonts w:hint="default" w:ascii="Times New Roman" w:hAnsi="Times New Roman" w:eastAsia="方正楷体_GBK" w:cs="Times New Roman"/>
          <w:spacing w:val="-58"/>
        </w:rPr>
        <w:t>）</w:t>
      </w:r>
      <w:r>
        <w:rPr>
          <w:rFonts w:hint="default" w:ascii="Times New Roman" w:hAnsi="Times New Roman" w:eastAsia="方正楷体_GBK" w:cs="Times New Roman"/>
          <w:spacing w:val="-3"/>
        </w:rPr>
        <w:t>严格落实固体废物分类处置和综合利用措施。</w:t>
      </w:r>
      <w:r>
        <w:rPr>
          <w:rFonts w:hint="eastAsia" w:ascii="Times New Roman" w:hAnsi="Times New Roman" w:cs="Times New Roman"/>
          <w:lang w:eastAsia="zh-CN"/>
        </w:rPr>
        <w:t>项目运营期产生的一般工业固废主要包括</w:t>
      </w:r>
      <w:r>
        <w:rPr>
          <w:szCs w:val="21"/>
        </w:rPr>
        <w:t>高磁废料</w:t>
      </w:r>
      <w:r>
        <w:rPr>
          <w:rFonts w:hint="eastAsia" w:ascii="Times New Roman" w:hAnsi="Times New Roman" w:cs="Times New Roman"/>
          <w:lang w:eastAsia="zh-CN"/>
        </w:rPr>
        <w:t>、废氧化亚硅、除磁杂质、废滤材、废离子交换树脂、化粪池污泥、沉淀池污泥、</w:t>
      </w:r>
      <w:r>
        <w:rPr>
          <w:szCs w:val="21"/>
        </w:rPr>
        <w:t>脱硫石膏</w:t>
      </w:r>
      <w:r>
        <w:rPr>
          <w:rFonts w:hint="eastAsia"/>
          <w:szCs w:val="21"/>
          <w:lang w:eastAsia="zh-CN"/>
        </w:rPr>
        <w:t>、</w:t>
      </w:r>
      <w:r>
        <w:rPr>
          <w:spacing w:val="-4"/>
          <w:kern w:val="24"/>
          <w:szCs w:val="21"/>
        </w:rPr>
        <w:t>废弃包装袋</w:t>
      </w:r>
      <w:r>
        <w:rPr>
          <w:rFonts w:hint="eastAsia" w:ascii="Times New Roman" w:hAnsi="Times New Roman" w:cs="Times New Roman"/>
          <w:lang w:eastAsia="zh-CN"/>
        </w:rPr>
        <w:t>等；其中高磁废料、废氧化亚硅在厂区固废库暂存后，分别收集后交下游厂家回收利用，废滤材、废离子交换树脂交由厂家回收综合利用，生化污泥定期委托专业单位进行清掏处置，生产废水处理站产生脱硫石膏、沉淀池污泥作为建材交周边水泥等建材企业综合利用，废弃包装袋交由当地一般工业固体废物处置场处置。产生的危险废物主要包括</w:t>
      </w:r>
      <w:r>
        <w:t>废矿物油</w:t>
      </w:r>
      <w:r>
        <w:rPr>
          <w:rFonts w:hint="eastAsia" w:ascii="Times New Roman" w:hAnsi="Times New Roman" w:cs="Times New Roman"/>
          <w:lang w:eastAsia="zh-CN"/>
        </w:rPr>
        <w:t>、</w:t>
      </w:r>
      <w:r>
        <w:t>废导热油</w:t>
      </w:r>
      <w:r>
        <w:rPr>
          <w:rFonts w:hint="eastAsia" w:ascii="Times New Roman" w:hAnsi="Times New Roman" w:cs="Times New Roman"/>
          <w:lang w:eastAsia="zh-CN"/>
        </w:rPr>
        <w:t>、</w:t>
      </w:r>
      <w:r>
        <w:rPr>
          <w:szCs w:val="21"/>
        </w:rPr>
        <w:t>废机油</w:t>
      </w:r>
      <w:r>
        <w:rPr>
          <w:rFonts w:hint="eastAsia" w:ascii="Times New Roman" w:hAnsi="Times New Roman" w:cs="Times New Roman"/>
          <w:lang w:eastAsia="zh-CN"/>
        </w:rPr>
        <w:t>以及</w:t>
      </w:r>
      <w:r>
        <w:rPr>
          <w:szCs w:val="21"/>
        </w:rPr>
        <w:t>废弃的含油抹布、劳保用品</w:t>
      </w:r>
      <w:r>
        <w:rPr>
          <w:rFonts w:hint="eastAsia" w:ascii="Times New Roman" w:hAnsi="Times New Roman" w:cs="Times New Roman"/>
          <w:lang w:eastAsia="zh-CN"/>
        </w:rPr>
        <w:t>等，采用专用容器桶收集后暂存于厂区拟设置的标准危险废物暂存间内，并按规定定期交由具备危险废物处理资质的单位处置，危险废物严格按照《危险废物贮存污染控制标准》（GB18597-2023）和《危险废物收集贮存运输技术规范》（HJ2025-2012）的要求，对危险废物进行收集、储存、转运和处置。生活垃圾采用袋装化集中收集，交当地环卫部门集中处置。餐厨垃圾采用专用收集桶收集，交具备餐厨垃圾处置资质单位收运处置</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08" w:firstLineChars="200"/>
        <w:jc w:val="both"/>
        <w:textAlignment w:val="auto"/>
        <w:rPr>
          <w:rFonts w:hint="default" w:ascii="Times New Roman" w:hAnsi="Times New Roman" w:cs="Times New Roman"/>
        </w:rPr>
      </w:pPr>
      <w:r>
        <w:rPr>
          <w:rFonts w:hint="default" w:ascii="Times New Roman" w:hAnsi="Times New Roman" w:eastAsia="方正楷体_GBK" w:cs="Times New Roman"/>
          <w:w w:val="95"/>
        </w:rPr>
        <w:t>（</w:t>
      </w:r>
      <w:r>
        <w:rPr>
          <w:rFonts w:hint="eastAsia" w:ascii="Times New Roman" w:hAnsi="Times New Roman" w:eastAsia="方正楷体_GBK" w:cs="Times New Roman"/>
          <w:w w:val="95"/>
          <w:lang w:eastAsia="zh-CN"/>
        </w:rPr>
        <w:t>五</w:t>
      </w:r>
      <w:r>
        <w:rPr>
          <w:rFonts w:hint="default" w:ascii="Times New Roman" w:hAnsi="Times New Roman" w:eastAsia="方正楷体_GBK" w:cs="Times New Roman"/>
          <w:spacing w:val="-39"/>
          <w:w w:val="95"/>
        </w:rPr>
        <w:t>）</w:t>
      </w:r>
      <w:r>
        <w:rPr>
          <w:rFonts w:hint="default" w:ascii="Times New Roman" w:hAnsi="Times New Roman" w:eastAsia="方正楷体_GBK" w:cs="Times New Roman"/>
          <w:spacing w:val="-3"/>
          <w:w w:val="95"/>
        </w:rPr>
        <w:t>严格落实环境风险防范措施。</w:t>
      </w:r>
      <w:r>
        <w:rPr>
          <w:rFonts w:hint="default" w:ascii="Times New Roman" w:hAnsi="Times New Roman" w:cs="Times New Roman"/>
          <w:spacing w:val="-6"/>
          <w:w w:val="95"/>
        </w:rPr>
        <w:t>项目应认真落实《报告</w:t>
      </w:r>
      <w:r>
        <w:rPr>
          <w:rFonts w:hint="eastAsia" w:ascii="Times New Roman" w:hAnsi="Times New Roman" w:cs="Times New Roman"/>
          <w:spacing w:val="-10"/>
          <w:lang w:eastAsia="zh-CN"/>
        </w:rPr>
        <w:t>书</w:t>
      </w:r>
      <w:r>
        <w:rPr>
          <w:rFonts w:hint="default" w:ascii="Times New Roman" w:hAnsi="Times New Roman" w:cs="Times New Roman"/>
          <w:spacing w:val="-10"/>
        </w:rPr>
        <w:t>》中提出的各种风险防范措施，对沥青熔化装置、沥青储罐、生产废水处理站、危废暂存间、事故池等区域进行重点防渗处理</w:t>
      </w:r>
      <w:r>
        <w:rPr>
          <w:rFonts w:hint="eastAsia" w:ascii="Times New Roman" w:hAnsi="Times New Roman" w:cs="Times New Roman"/>
          <w:spacing w:val="-10"/>
          <w:lang w:eastAsia="zh-CN"/>
        </w:rPr>
        <w:t>；在易燃危险物质储存区域设置可燃气体泄漏报警装置、火灾报警装置；在沥青罐区设置围堰，围堰不小于单个沥青储罐最大容积；强化导热油储油槽管理，设置高位储油槽（</w:t>
      </w:r>
      <w:r>
        <w:rPr>
          <w:rFonts w:hint="eastAsia" w:ascii="Times New Roman" w:hAnsi="Times New Roman" w:cs="Times New Roman"/>
          <w:spacing w:val="-10"/>
          <w:lang w:val="en-US" w:eastAsia="zh-CN"/>
        </w:rPr>
        <w:t>40立方米</w:t>
      </w:r>
      <w:r>
        <w:rPr>
          <w:rFonts w:hint="eastAsia" w:ascii="Times New Roman" w:hAnsi="Times New Roman" w:cs="Times New Roman"/>
          <w:spacing w:val="-10"/>
          <w:lang w:eastAsia="zh-CN"/>
        </w:rPr>
        <w:t>）；厂区设雨水管网和雨污切换阀，并设置一座有效容积不低于2500立方米的事故池（兼初期雨水池）。日常运营过程中要严格</w:t>
      </w:r>
      <w:r>
        <w:rPr>
          <w:rFonts w:hint="default" w:ascii="Times New Roman" w:hAnsi="Times New Roman" w:cs="Times New Roman"/>
          <w:spacing w:val="-10"/>
        </w:rPr>
        <w:t>按照</w:t>
      </w:r>
      <w:r>
        <w:rPr>
          <w:rFonts w:hint="eastAsia" w:ascii="Times New Roman" w:hAnsi="Times New Roman" w:cs="Times New Roman"/>
          <w:spacing w:val="-10"/>
          <w:lang w:eastAsia="zh-CN"/>
        </w:rPr>
        <w:t>行业规范</w:t>
      </w:r>
      <w:r>
        <w:rPr>
          <w:rFonts w:hint="default" w:ascii="Times New Roman" w:hAnsi="Times New Roman" w:cs="Times New Roman"/>
          <w:spacing w:val="-10"/>
        </w:rPr>
        <w:t>和设计要求</w:t>
      </w:r>
      <w:r>
        <w:rPr>
          <w:rFonts w:hint="eastAsia" w:ascii="Times New Roman" w:hAnsi="Times New Roman" w:cs="Times New Roman"/>
          <w:spacing w:val="-10"/>
          <w:lang w:eastAsia="zh-CN"/>
        </w:rPr>
        <w:t>规范作业，</w:t>
      </w:r>
      <w:r>
        <w:rPr>
          <w:rFonts w:hint="default" w:ascii="Times New Roman" w:hAnsi="Times New Roman" w:cs="Times New Roman"/>
          <w:spacing w:val="-10"/>
        </w:rPr>
        <w:t>制定</w:t>
      </w:r>
      <w:r>
        <w:rPr>
          <w:rFonts w:hint="eastAsia" w:ascii="Times New Roman" w:hAnsi="Times New Roman" w:cs="Times New Roman"/>
          <w:spacing w:val="-10"/>
          <w:lang w:eastAsia="zh-CN"/>
        </w:rPr>
        <w:t>详尽有效的</w:t>
      </w:r>
      <w:r>
        <w:rPr>
          <w:rFonts w:hint="default" w:ascii="Times New Roman" w:hAnsi="Times New Roman" w:cs="Times New Roman"/>
          <w:spacing w:val="-10"/>
        </w:rPr>
        <w:t>环境</w:t>
      </w:r>
      <w:r>
        <w:rPr>
          <w:rFonts w:hint="eastAsia" w:ascii="Times New Roman" w:hAnsi="Times New Roman" w:cs="Times New Roman"/>
          <w:spacing w:val="-10"/>
          <w:lang w:eastAsia="zh-CN"/>
        </w:rPr>
        <w:t>事故</w:t>
      </w:r>
      <w:r>
        <w:rPr>
          <w:rFonts w:hint="default" w:ascii="Times New Roman" w:hAnsi="Times New Roman" w:cs="Times New Roman"/>
          <w:spacing w:val="-10"/>
        </w:rPr>
        <w:t>应急预案并</w:t>
      </w:r>
      <w:r>
        <w:rPr>
          <w:rFonts w:hint="eastAsia" w:ascii="Times New Roman" w:hAnsi="Times New Roman" w:cs="Times New Roman"/>
          <w:spacing w:val="-10"/>
          <w:lang w:eastAsia="zh-CN"/>
        </w:rPr>
        <w:t>备案，</w:t>
      </w:r>
      <w:r>
        <w:rPr>
          <w:rFonts w:hint="default" w:ascii="Times New Roman" w:hAnsi="Times New Roman" w:cs="Times New Roman"/>
          <w:spacing w:val="-10"/>
        </w:rPr>
        <w:t>定期开展</w:t>
      </w:r>
      <w:r>
        <w:rPr>
          <w:rFonts w:hint="eastAsia" w:ascii="Times New Roman" w:hAnsi="Times New Roman" w:cs="Times New Roman"/>
          <w:spacing w:val="-10"/>
          <w:lang w:eastAsia="zh-CN"/>
        </w:rPr>
        <w:t>应急</w:t>
      </w:r>
      <w:r>
        <w:rPr>
          <w:rFonts w:hint="default" w:ascii="Times New Roman" w:hAnsi="Times New Roman" w:cs="Times New Roman"/>
          <w:spacing w:val="-10"/>
        </w:rPr>
        <w:t>演练，</w:t>
      </w:r>
      <w:r>
        <w:rPr>
          <w:rFonts w:hint="eastAsia" w:ascii="Times New Roman" w:hAnsi="Times New Roman" w:cs="Times New Roman"/>
          <w:spacing w:val="-10"/>
          <w:lang w:eastAsia="zh-CN"/>
        </w:rPr>
        <w:t>充分提高工作人员的事故防范能力，</w:t>
      </w:r>
      <w:r>
        <w:rPr>
          <w:rFonts w:hint="default" w:ascii="Times New Roman" w:hAnsi="Times New Roman" w:cs="Times New Roman"/>
          <w:spacing w:val="-10"/>
        </w:rPr>
        <w:t>防止因事故引发环境污染。</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rPr>
          <w:rFonts w:hint="eastAsia" w:ascii="Times New Roman" w:hAnsi="Times New Roman" w:cs="Times New Roman"/>
          <w:spacing w:val="-10"/>
          <w:lang w:val="en-US" w:eastAsia="zh-CN"/>
        </w:rPr>
      </w:pPr>
      <w:r>
        <w:rPr>
          <w:rFonts w:hint="default" w:ascii="Times New Roman" w:hAnsi="Times New Roman" w:eastAsia="方正楷体_GBK" w:cs="Times New Roman"/>
        </w:rPr>
        <w:t>（</w:t>
      </w:r>
      <w:r>
        <w:rPr>
          <w:rFonts w:hint="eastAsia" w:ascii="Times New Roman" w:hAnsi="Times New Roman" w:eastAsia="方正楷体_GBK" w:cs="Times New Roman"/>
          <w:lang w:eastAsia="zh-CN"/>
        </w:rPr>
        <w:t>六</w:t>
      </w:r>
      <w:r>
        <w:rPr>
          <w:rFonts w:hint="default" w:ascii="Times New Roman" w:hAnsi="Times New Roman" w:eastAsia="方正楷体_GBK" w:cs="Times New Roman"/>
          <w:spacing w:val="-58"/>
        </w:rPr>
        <w:t>）</w:t>
      </w:r>
      <w:r>
        <w:rPr>
          <w:rFonts w:hint="default" w:ascii="Times New Roman" w:hAnsi="Times New Roman" w:eastAsia="方正楷体_GBK" w:cs="Times New Roman"/>
          <w:spacing w:val="-5"/>
        </w:rPr>
        <w:t>严格执行排污总量控制。</w:t>
      </w:r>
      <w:r>
        <w:rPr>
          <w:rFonts w:hint="eastAsia" w:ascii="Times New Roman" w:hAnsi="Times New Roman" w:cs="Times New Roman"/>
          <w:spacing w:val="-10"/>
          <w:lang w:eastAsia="zh-CN"/>
        </w:rPr>
        <w:t>拟建项目污染物总量控制建议指标为：废水中化学需氧量、氨氮的排放总量分别为</w:t>
      </w:r>
      <w:r>
        <w:rPr>
          <w:rFonts w:hint="eastAsia" w:ascii="Times New Roman" w:hAnsi="Times New Roman" w:cs="Times New Roman"/>
          <w:spacing w:val="-10"/>
          <w:lang w:val="en-US" w:eastAsia="zh-CN"/>
        </w:rPr>
        <w:t>2.741吨/年、0.439吨/年；大气污染物二氧化硫、氨氮化物有组织排放总量分别为38.346吨/年、83.375吨/年。二氧化硫、氨氮化物总量指标来源于重庆铜梁西南水泥有限公司废气超低排放改造项目的削减排放量，其余总量指标按照相关要求获取。</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00" w:firstLineChars="200"/>
        <w:jc w:val="both"/>
        <w:textAlignment w:val="auto"/>
        <w:rPr>
          <w:rFonts w:hint="default" w:ascii="Times New Roman" w:hAnsi="Times New Roman" w:cs="Times New Roman"/>
          <w:spacing w:val="-10"/>
          <w:lang w:val="en-US" w:eastAsia="zh-CN"/>
        </w:rPr>
      </w:pPr>
      <w:r>
        <w:rPr>
          <w:rFonts w:hint="default" w:ascii="Times New Roman" w:hAnsi="Times New Roman" w:cs="Times New Roman"/>
          <w:spacing w:val="-10"/>
          <w:lang w:val="en-US" w:eastAsia="zh-CN"/>
        </w:rPr>
        <w:t>（</w:t>
      </w:r>
      <w:r>
        <w:rPr>
          <w:rFonts w:hint="eastAsia" w:ascii="Times New Roman" w:hAnsi="Times New Roman" w:cs="Times New Roman"/>
          <w:spacing w:val="-10"/>
          <w:lang w:val="en-US" w:eastAsia="zh-CN"/>
        </w:rPr>
        <w:t>七</w:t>
      </w:r>
      <w:r>
        <w:rPr>
          <w:rFonts w:hint="default" w:ascii="Times New Roman" w:hAnsi="Times New Roman" w:cs="Times New Roman"/>
          <w:spacing w:val="-10"/>
          <w:lang w:val="en-US" w:eastAsia="zh-CN"/>
        </w:rPr>
        <w:t>）</w:t>
      </w:r>
      <w:r>
        <w:rPr>
          <w:rFonts w:hint="eastAsia" w:ascii="Times New Roman" w:hAnsi="Times New Roman" w:cs="Times New Roman"/>
          <w:spacing w:val="-10"/>
          <w:lang w:val="en-US" w:eastAsia="zh-CN"/>
        </w:rPr>
        <w:t>按技术规范规整排污口，其中废气排放口应按规范设置监测平台，废水排放口设流量计。</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00" w:firstLineChars="200"/>
        <w:jc w:val="both"/>
        <w:textAlignment w:val="auto"/>
        <w:rPr>
          <w:rFonts w:hint="default" w:ascii="Times New Roman" w:hAnsi="Times New Roman" w:cs="Times New Roman"/>
        </w:rPr>
      </w:pPr>
      <w:r>
        <w:rPr>
          <w:rFonts w:hint="default" w:ascii="Times New Roman" w:hAnsi="Times New Roman" w:cs="Times New Roman"/>
          <w:spacing w:val="-10"/>
          <w:lang w:val="en-US" w:eastAsia="zh-CN"/>
        </w:rPr>
        <w:t>（</w:t>
      </w:r>
      <w:r>
        <w:rPr>
          <w:rFonts w:hint="eastAsia" w:ascii="Times New Roman" w:hAnsi="Times New Roman" w:cs="Times New Roman"/>
          <w:spacing w:val="-10"/>
          <w:lang w:val="en-US" w:eastAsia="zh-CN"/>
        </w:rPr>
        <w:t>八</w:t>
      </w:r>
      <w:r>
        <w:rPr>
          <w:rFonts w:hint="default" w:ascii="Times New Roman" w:hAnsi="Times New Roman" w:cs="Times New Roman"/>
          <w:spacing w:val="-10"/>
          <w:lang w:val="en-US" w:eastAsia="zh-CN"/>
        </w:rPr>
        <w:t>）建立健全环境保护管理机构和制度，</w:t>
      </w:r>
      <w:r>
        <w:rPr>
          <w:rFonts w:hint="eastAsia" w:ascii="Times New Roman" w:hAnsi="Times New Roman" w:cs="Times New Roman"/>
          <w:spacing w:val="-10"/>
          <w:lang w:val="en-US" w:eastAsia="zh-CN"/>
        </w:rPr>
        <w:t>加强运营期的环境管理与监测工作。</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leftChars="0" w:right="0" w:firstLine="592" w:firstLineChars="200"/>
        <w:jc w:val="both"/>
        <w:textAlignment w:val="auto"/>
        <w:rPr>
          <w:rFonts w:hint="default" w:ascii="Times New Roman" w:hAnsi="Times New Roman" w:cs="Times New Roman"/>
        </w:rPr>
      </w:pPr>
      <w:r>
        <w:rPr>
          <w:rFonts w:hint="default" w:ascii="Times New Roman" w:hAnsi="Times New Roman" w:cs="Times New Roman"/>
          <w:spacing w:val="-12"/>
        </w:rPr>
        <w:t>三、项目建设必须严格执行环境保护设施与主体工程同时设</w:t>
      </w:r>
      <w:r>
        <w:rPr>
          <w:rFonts w:hint="default" w:ascii="Times New Roman" w:hAnsi="Times New Roman" w:cs="Times New Roman"/>
          <w:spacing w:val="-9"/>
        </w:rPr>
        <w:t>计、同时施工、同时投入使用的环境保护</w:t>
      </w:r>
      <w:r>
        <w:rPr>
          <w:rFonts w:hint="default" w:ascii="Times New Roman" w:hAnsi="Times New Roman" w:eastAsia="Times New Roman" w:cs="Times New Roman"/>
        </w:rPr>
        <w:t>“</w:t>
      </w:r>
      <w:r>
        <w:rPr>
          <w:rFonts w:hint="default" w:ascii="Times New Roman" w:hAnsi="Times New Roman" w:cs="Times New Roman"/>
        </w:rPr>
        <w:t>三同时</w:t>
      </w:r>
      <w:r>
        <w:rPr>
          <w:rFonts w:hint="default" w:ascii="Times New Roman" w:hAnsi="Times New Roman" w:eastAsia="Times New Roman" w:cs="Times New Roman"/>
        </w:rPr>
        <w:t>”</w:t>
      </w:r>
      <w:r>
        <w:rPr>
          <w:rFonts w:hint="default" w:ascii="Times New Roman" w:hAnsi="Times New Roman" w:cs="Times New Roman"/>
          <w:spacing w:val="-5"/>
        </w:rPr>
        <w:t>制度。项目环</w:t>
      </w:r>
      <w:r>
        <w:rPr>
          <w:rFonts w:hint="default" w:ascii="Times New Roman" w:hAnsi="Times New Roman" w:cs="Times New Roman"/>
          <w:spacing w:val="-11"/>
        </w:rPr>
        <w:t>保投资应纳入工程投资概算并予以落实。项目竣工后，你公司应</w:t>
      </w:r>
      <w:r>
        <w:rPr>
          <w:rFonts w:hint="default" w:ascii="Times New Roman" w:hAnsi="Times New Roman" w:cs="Times New Roman"/>
          <w:spacing w:val="-16"/>
        </w:rPr>
        <w:t>按照有关规定对配套建设的环境保护设施进行验收，编制验收报</w:t>
      </w:r>
      <w:r>
        <w:rPr>
          <w:rFonts w:hint="default" w:ascii="Times New Roman" w:hAnsi="Times New Roman" w:cs="Times New Roman"/>
          <w:spacing w:val="-12"/>
        </w:rPr>
        <w:t>告，并通过网站或其他公众便于知晓的方式依法向社会公开环保</w:t>
      </w:r>
      <w:r>
        <w:rPr>
          <w:rFonts w:hint="default" w:ascii="Times New Roman" w:hAnsi="Times New Roman" w:cs="Times New Roman"/>
          <w:spacing w:val="-15"/>
          <w:w w:val="95"/>
        </w:rPr>
        <w:t>设施竣工时间、调试期限、验收报告等信息，同时报生态环境部</w:t>
      </w:r>
      <w:r>
        <w:rPr>
          <w:rFonts w:hint="default" w:ascii="Times New Roman" w:hAnsi="Times New Roman" w:cs="Times New Roman"/>
          <w:spacing w:val="-22"/>
        </w:rPr>
        <w:t xml:space="preserve">门，公示期满 </w:t>
      </w:r>
      <w:r>
        <w:rPr>
          <w:rFonts w:hint="default" w:ascii="Times New Roman" w:hAnsi="Times New Roman" w:eastAsia="Times New Roman" w:cs="Times New Roman"/>
        </w:rPr>
        <w:t xml:space="preserve">5 </w:t>
      </w:r>
      <w:r>
        <w:rPr>
          <w:rFonts w:hint="default" w:ascii="Times New Roman" w:hAnsi="Times New Roman" w:cs="Times New Roman"/>
          <w:spacing w:val="-8"/>
        </w:rPr>
        <w:t>个工作日内，应登录全国建设项目环境影响评价</w:t>
      </w:r>
      <w:r>
        <w:rPr>
          <w:rFonts w:hint="default" w:ascii="Times New Roman" w:hAnsi="Times New Roman" w:cs="Times New Roman"/>
          <w:spacing w:val="-14"/>
        </w:rPr>
        <w:t>管理信息平台，填报验收等相关信息</w:t>
      </w:r>
      <w:r>
        <w:rPr>
          <w:rFonts w:hint="eastAsia" w:ascii="Times New Roman" w:hAnsi="Times New Roman" w:cs="Times New Roman"/>
          <w:spacing w:val="-14"/>
          <w:lang w:eastAsia="zh-CN"/>
        </w:rPr>
        <w:t>。</w:t>
      </w:r>
      <w:r>
        <w:rPr>
          <w:rFonts w:hint="default" w:ascii="Times New Roman" w:hAnsi="Times New Roman" w:cs="Times New Roman"/>
          <w:spacing w:val="-14"/>
        </w:rPr>
        <w:t>纳入排污许可证管理的</w:t>
      </w:r>
      <w:r>
        <w:rPr>
          <w:rFonts w:hint="eastAsia" w:ascii="Times New Roman" w:hAnsi="Times New Roman" w:cs="Times New Roman"/>
          <w:spacing w:val="-14"/>
          <w:lang w:eastAsia="zh-CN"/>
        </w:rPr>
        <w:t>企</w:t>
      </w:r>
      <w:r>
        <w:rPr>
          <w:rFonts w:hint="default" w:ascii="Times New Roman" w:hAnsi="Times New Roman" w:cs="Times New Roman"/>
          <w:spacing w:val="-11"/>
        </w:rPr>
        <w:t>业，必须按照国家排污许可证有关管理规定要求，申领排污许可证，不得无证排污或不按证排污。</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556" w:firstLineChars="200"/>
        <w:jc w:val="both"/>
        <w:textAlignment w:val="auto"/>
        <w:rPr>
          <w:rFonts w:hint="default" w:ascii="Times New Roman" w:hAnsi="Times New Roman" w:cs="Times New Roman"/>
        </w:rPr>
      </w:pPr>
      <w:r>
        <w:rPr>
          <w:rFonts w:hint="default" w:ascii="Times New Roman" w:hAnsi="Times New Roman" w:cs="Times New Roman"/>
          <w:spacing w:val="-13"/>
          <w:w w:val="95"/>
        </w:rPr>
        <w:t>四、该项目的内容、规模、地点、采用的生产工艺或者防治</w:t>
      </w:r>
      <w:r>
        <w:rPr>
          <w:rFonts w:hint="default" w:ascii="Times New Roman" w:hAnsi="Times New Roman" w:cs="Times New Roman"/>
          <w:spacing w:val="-13"/>
        </w:rPr>
        <w:t>污染、防止生态破坏的措施发生重大变动的，你单位应当重新报批该项目的环境影响评价文件。</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592" w:firstLineChars="200"/>
        <w:jc w:val="both"/>
        <w:textAlignment w:val="auto"/>
        <w:rPr>
          <w:rFonts w:hint="default" w:ascii="Times New Roman" w:hAnsi="Times New Roman" w:cs="Times New Roman"/>
          <w:sz w:val="34"/>
        </w:rPr>
      </w:pPr>
      <w:r>
        <w:rPr>
          <w:rFonts w:hint="default" w:ascii="Times New Roman" w:hAnsi="Times New Roman" w:cs="Times New Roman"/>
          <w:spacing w:val="-12"/>
        </w:rPr>
        <w:t>五、若项目实施或运行后，国家和本市提出新的环境质量要求，或发布更加严格的污染物排放标准，或项目的运行出现明显</w:t>
      </w:r>
      <w:r>
        <w:rPr>
          <w:rFonts w:hint="default" w:ascii="Times New Roman" w:hAnsi="Times New Roman" w:cs="Times New Roman"/>
          <w:spacing w:val="-16"/>
        </w:rPr>
        <w:t>影响区域环境质量的状况，你公司有义务按照国家及本市的新要</w:t>
      </w:r>
      <w:r>
        <w:rPr>
          <w:rFonts w:hint="default" w:ascii="Times New Roman" w:hAnsi="Times New Roman" w:cs="Times New Roman"/>
          <w:spacing w:val="-19"/>
        </w:rPr>
        <w:t>求或发生明显影响环境质量的新情况，采取有效的改进措施确保项目满足新的环境保护管理要求。</w:t>
      </w:r>
    </w:p>
    <w:p>
      <w:pPr>
        <w:pStyle w:val="2"/>
        <w:keepNext w:val="0"/>
        <w:keepLines w:val="0"/>
        <w:pageBreakBefore w:val="0"/>
        <w:widowControl w:val="0"/>
        <w:kinsoku/>
        <w:wordWrap/>
        <w:overflowPunct/>
        <w:topLinePunct w:val="0"/>
        <w:autoSpaceDE w:val="0"/>
        <w:autoSpaceDN w:val="0"/>
        <w:bidi w:val="0"/>
        <w:adjustRightInd/>
        <w:snapToGrid/>
        <w:spacing w:before="1" w:line="594" w:lineRule="exact"/>
        <w:ind w:right="256" w:firstLine="4800" w:firstLineChars="1500"/>
        <w:jc w:val="both"/>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val="0"/>
        <w:autoSpaceDN w:val="0"/>
        <w:bidi w:val="0"/>
        <w:adjustRightInd/>
        <w:snapToGrid/>
        <w:spacing w:before="1" w:line="594" w:lineRule="exact"/>
        <w:ind w:left="0" w:leftChars="0" w:right="256" w:firstLine="0" w:firstLineChars="0"/>
        <w:jc w:val="both"/>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val="0"/>
        <w:autoSpaceDN w:val="0"/>
        <w:bidi w:val="0"/>
        <w:adjustRightInd/>
        <w:snapToGrid/>
        <w:spacing w:before="1" w:line="594" w:lineRule="exact"/>
        <w:ind w:left="0" w:leftChars="0" w:right="256" w:firstLine="0" w:firstLineChars="0"/>
        <w:jc w:val="both"/>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val="0"/>
        <w:autoSpaceDN w:val="0"/>
        <w:bidi w:val="0"/>
        <w:adjustRightInd/>
        <w:snapToGrid/>
        <w:spacing w:before="1" w:line="594" w:lineRule="exact"/>
        <w:ind w:right="256" w:firstLine="4800" w:firstLineChars="1500"/>
        <w:jc w:val="both"/>
        <w:textAlignment w:val="auto"/>
        <w:rPr>
          <w:rFonts w:hint="default" w:ascii="Times New Roman" w:hAnsi="Times New Roman" w:cs="Times New Roman"/>
        </w:rPr>
      </w:pPr>
      <w:r>
        <w:rPr>
          <w:rFonts w:hint="default" w:ascii="Times New Roman" w:hAnsi="Times New Roman" w:cs="Times New Roman"/>
        </w:rPr>
        <w:t>重庆市铜梁区生态环境局</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080" w:firstLineChars="1900"/>
        <w:jc w:val="both"/>
        <w:textAlignment w:val="auto"/>
        <w:rPr>
          <w:rFonts w:hint="default" w:ascii="Times New Roman" w:hAnsi="Times New Roman" w:eastAsia="方正仿宋_GBK" w:cs="Times New Roman"/>
          <w:bCs/>
          <w:kern w:val="0"/>
          <w:sz w:val="32"/>
          <w:szCs w:val="32"/>
          <w:lang w:val="en-US" w:eastAsia="zh-CN" w:bidi="ar-SA"/>
        </w:rPr>
      </w:pPr>
      <w:r>
        <w:rPr>
          <w:rFonts w:hint="default" w:ascii="Times New Roman" w:hAnsi="Times New Roman" w:cs="Times New Roman"/>
          <w:spacing w:val="0"/>
          <w:sz w:val="32"/>
        </w:rPr>
        <w:t>202</w:t>
      </w:r>
      <w:r>
        <w:rPr>
          <w:rFonts w:hint="eastAsia" w:ascii="Times New Roman" w:hAnsi="Times New Roman" w:cs="Times New Roman"/>
          <w:spacing w:val="0"/>
          <w:sz w:val="32"/>
          <w:lang w:val="en-US" w:eastAsia="zh-CN"/>
        </w:rPr>
        <w:t>3</w:t>
      </w:r>
      <w:r>
        <w:rPr>
          <w:rFonts w:hint="default" w:ascii="Times New Roman" w:hAnsi="Times New Roman" w:cs="Times New Roman"/>
          <w:spacing w:val="0"/>
          <w:sz w:val="32"/>
        </w:rPr>
        <w:t>年</w:t>
      </w:r>
      <w:r>
        <w:rPr>
          <w:rFonts w:hint="eastAsia" w:ascii="Times New Roman" w:hAnsi="Times New Roman" w:cs="Times New Roman"/>
          <w:spacing w:val="0"/>
          <w:sz w:val="32"/>
          <w:lang w:val="en-US" w:eastAsia="zh-CN"/>
        </w:rPr>
        <w:t>8</w:t>
      </w:r>
      <w:r>
        <w:rPr>
          <w:rFonts w:hint="default" w:ascii="Times New Roman" w:hAnsi="Times New Roman" w:cs="Times New Roman"/>
          <w:spacing w:val="0"/>
          <w:sz w:val="32"/>
        </w:rPr>
        <w:t>月</w:t>
      </w:r>
      <w:r>
        <w:rPr>
          <w:rFonts w:hint="eastAsia" w:ascii="Times New Roman" w:hAnsi="Times New Roman" w:cs="Times New Roman"/>
          <w:spacing w:val="0"/>
          <w:sz w:val="32"/>
          <w:lang w:val="en-US" w:eastAsia="zh-CN"/>
        </w:rPr>
        <w:t>28</w:t>
      </w:r>
      <w:r>
        <w:rPr>
          <w:rFonts w:hint="default" w:ascii="Times New Roman" w:hAnsi="Times New Roman" w:cs="Times New Roman"/>
          <w:spacing w:val="0"/>
          <w:sz w:val="32"/>
        </w:rPr>
        <w:t>日</w:t>
      </w:r>
    </w:p>
    <w:p>
      <w:pPr>
        <w:keepNext w:val="0"/>
        <w:keepLines w:val="0"/>
        <w:pageBreakBefore w:val="0"/>
        <w:widowControl w:val="0"/>
        <w:pBdr>
          <w:bottom w:val="single" w:color="auto" w:sz="4" w:space="0"/>
        </w:pBdr>
        <w:tabs>
          <w:tab w:val="left" w:pos="4836"/>
        </w:tabs>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方正仿宋_GBK" w:cs="Times New Roman"/>
          <w:bCs/>
          <w:kern w:val="0"/>
          <w:sz w:val="32"/>
          <w:szCs w:val="32"/>
          <w:lang w:val="en-US" w:eastAsia="zh-CN" w:bidi="ar-SA"/>
        </w:rPr>
      </w:pPr>
    </w:p>
    <w:p>
      <w:pPr>
        <w:keepNext w:val="0"/>
        <w:keepLines w:val="0"/>
        <w:pageBreakBefore w:val="0"/>
        <w:widowControl w:val="0"/>
        <w:pBdr>
          <w:bottom w:val="single" w:color="auto" w:sz="4" w:space="0"/>
        </w:pBdr>
        <w:tabs>
          <w:tab w:val="left" w:pos="4836"/>
        </w:tabs>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方正仿宋_GBK" w:cs="Times New Roman"/>
          <w:bCs/>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0" w:beforeLines="0" w:after="0" w:line="240" w:lineRule="auto"/>
        <w:ind w:left="0" w:leftChars="0" w:right="0" w:rightChars="0" w:firstLine="0" w:firstLineChars="0"/>
        <w:jc w:val="both"/>
        <w:textAlignment w:val="auto"/>
        <w:outlineLvl w:val="9"/>
        <w:rPr>
          <w:rFonts w:hint="default" w:ascii="Times New Roman" w:hAnsi="Times New Roman" w:eastAsia="方正仿宋_GBK" w:cs="Times New Roman"/>
          <w:kern w:val="2"/>
          <w:sz w:val="32"/>
          <w:szCs w:val="32"/>
          <w:lang w:val="en-US" w:bidi="ar-SA"/>
        </w:rPr>
      </w:pPr>
      <w:bookmarkStart w:id="0" w:name="_GoBack"/>
      <w:bookmarkEnd w:id="0"/>
    </w:p>
    <w:sectPr>
      <w:footerReference r:id="rId5" w:type="default"/>
      <w:footerReference r:id="rId6" w:type="even"/>
      <w:pgSz w:w="11910" w:h="16840"/>
      <w:pgMar w:top="2098" w:right="1474" w:bottom="1984" w:left="1587" w:header="0" w:footer="1146"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2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embedRegular r:id="rId1" w:fontKey="{6700F50C-A628-45C1-BCE5-C77F2ED35492}"/>
  </w:font>
  <w:font w:name="方正仿宋_GBK">
    <w:panose1 w:val="03000509000000000000"/>
    <w:charset w:val="86"/>
    <w:family w:val="script"/>
    <w:pitch w:val="default"/>
    <w:sig w:usb0="00000001" w:usb1="080E0000" w:usb2="00000000" w:usb3="00000000" w:csb0="00040000" w:csb1="00000000"/>
    <w:embedRegular r:id="rId2" w:fontKey="{1BA68170-8455-4465-A7B0-B0D95591AA80}"/>
  </w:font>
  <w:font w:name="方正楷体_GBK">
    <w:panose1 w:val="03000509000000000000"/>
    <w:charset w:val="86"/>
    <w:family w:val="script"/>
    <w:pitch w:val="default"/>
    <w:sig w:usb0="00000001" w:usb1="080E0000" w:usb2="00000000" w:usb3="00000000" w:csb0="00040000" w:csb1="00000000"/>
    <w:embedRegular r:id="rId3" w:fontKey="{FFA14AC8-1EBD-4A64-99C8-4C70B23E91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pict>
        <v:shape id="_x0000_s2049" o:spid="_x0000_s2049" o:spt="202" type="#_x0000_t202" style="position:absolute;left:0pt;margin-left:485.6pt;margin-top:773.55pt;height:16.05pt;width:37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ascii="宋体"/>
                    <w:sz w:val="28"/>
                  </w:rPr>
                </w:pPr>
                <w:r>
                  <w:rPr>
                    <w:rFonts w:ascii="宋体"/>
                    <w:sz w:val="28"/>
                  </w:rPr>
                  <w:t xml:space="preserve">- </w:t>
                </w:r>
                <w:r>
                  <w:rPr>
                    <w:rFonts w:hint="default" w:ascii="Times New Roman" w:hAnsi="Times New Roman" w:cs="Times New Roman"/>
                  </w:rPr>
                  <w:fldChar w:fldCharType="begin"/>
                </w:r>
                <w:r>
                  <w:rPr>
                    <w:rFonts w:hint="default" w:ascii="Times New Roman" w:hAnsi="Times New Roman" w:cs="Times New Roman"/>
                    <w:sz w:val="28"/>
                  </w:rPr>
                  <w:instrText xml:space="preserve"> PAGE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ascii="宋体"/>
                    <w:sz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pict>
        <v:shape id="_x0000_s2051" o:spid="_x0000_s2051" o:spt="202" type="#_x0000_t202" style="position:absolute;left:0pt;margin-left:106.4pt;margin-top:773.55pt;height:16.05pt;width:43.9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ascii="宋体"/>
                    <w:sz w:val="28"/>
                  </w:rPr>
                </w:pPr>
                <w:r>
                  <w:rPr>
                    <w:rFonts w:ascii="宋体"/>
                    <w:sz w:val="28"/>
                  </w:rPr>
                  <w:t>-</w:t>
                </w:r>
                <w:r>
                  <w:rPr>
                    <w:rFonts w:hint="default" w:ascii="Times New Roman" w:hAnsi="Times New Roman" w:cs="Times New Roman"/>
                    <w:sz w:val="28"/>
                  </w:rPr>
                  <w:t xml:space="preserve"> </w:t>
                </w:r>
                <w:r>
                  <w:rPr>
                    <w:rFonts w:hint="default" w:ascii="Times New Roman" w:hAnsi="Times New Roman" w:cs="Times New Roman"/>
                  </w:rPr>
                  <w:fldChar w:fldCharType="begin"/>
                </w:r>
                <w:r>
                  <w:rPr>
                    <w:rFonts w:hint="default" w:ascii="Times New Roman" w:hAnsi="Times New Roman" w:cs="Times New Roman"/>
                    <w:sz w:val="28"/>
                  </w:rPr>
                  <w:instrText xml:space="preserve"> PAGE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ascii="宋体"/>
                    <w:sz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EE5B37"/>
    <w:multiLevelType w:val="singleLevel"/>
    <w:tmpl w:val="F1EE5B37"/>
    <w:lvl w:ilvl="0" w:tentative="0">
      <w:start w:val="1"/>
      <w:numFmt w:val="chineseCounting"/>
      <w:suff w:val="nothing"/>
      <w:lvlText w:val="（%1）"/>
      <w:lvlJc w:val="left"/>
      <w:rPr>
        <w:rFonts w:hint="eastAsia"/>
      </w:rPr>
    </w:lvl>
  </w:abstractNum>
  <w:abstractNum w:abstractNumId="1">
    <w:nsid w:val="39552020"/>
    <w:multiLevelType w:val="singleLevel"/>
    <w:tmpl w:val="3955202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OGZiMzBjMzcyYTc0ZTQ5ZDg5MDU4ZDU5MjkyNGRjNGQifQ=="/>
  </w:docVars>
  <w:rsids>
    <w:rsidRoot w:val="00000000"/>
    <w:rsid w:val="003F5F2A"/>
    <w:rsid w:val="00704336"/>
    <w:rsid w:val="01C761D7"/>
    <w:rsid w:val="030452F8"/>
    <w:rsid w:val="03084CFA"/>
    <w:rsid w:val="033B0403"/>
    <w:rsid w:val="046A44ED"/>
    <w:rsid w:val="04762137"/>
    <w:rsid w:val="04E55FDD"/>
    <w:rsid w:val="056401E1"/>
    <w:rsid w:val="064A5A9D"/>
    <w:rsid w:val="07EC6998"/>
    <w:rsid w:val="080A5070"/>
    <w:rsid w:val="08362309"/>
    <w:rsid w:val="0845254C"/>
    <w:rsid w:val="08ED4AC5"/>
    <w:rsid w:val="096E7880"/>
    <w:rsid w:val="097561E4"/>
    <w:rsid w:val="09EC7123"/>
    <w:rsid w:val="0A8F3F52"/>
    <w:rsid w:val="0C177D5B"/>
    <w:rsid w:val="10282D83"/>
    <w:rsid w:val="10612472"/>
    <w:rsid w:val="10EA711E"/>
    <w:rsid w:val="10FE58C3"/>
    <w:rsid w:val="13076D7C"/>
    <w:rsid w:val="13733702"/>
    <w:rsid w:val="138F28CD"/>
    <w:rsid w:val="13DA4490"/>
    <w:rsid w:val="13DC2025"/>
    <w:rsid w:val="140E7208"/>
    <w:rsid w:val="15015A4D"/>
    <w:rsid w:val="15674EC2"/>
    <w:rsid w:val="15B14D7D"/>
    <w:rsid w:val="15F1786F"/>
    <w:rsid w:val="16270B89"/>
    <w:rsid w:val="16D84BAB"/>
    <w:rsid w:val="16FC296F"/>
    <w:rsid w:val="17143815"/>
    <w:rsid w:val="17487963"/>
    <w:rsid w:val="17D061C5"/>
    <w:rsid w:val="18D05E62"/>
    <w:rsid w:val="1A361CF4"/>
    <w:rsid w:val="1AB05F4B"/>
    <w:rsid w:val="1AFE1423"/>
    <w:rsid w:val="1B0B4F2F"/>
    <w:rsid w:val="1B9413C8"/>
    <w:rsid w:val="1BDE43F2"/>
    <w:rsid w:val="1C1444A3"/>
    <w:rsid w:val="1CC932F4"/>
    <w:rsid w:val="1CE43119"/>
    <w:rsid w:val="1D3C3AC6"/>
    <w:rsid w:val="1DCB6BF8"/>
    <w:rsid w:val="1F040077"/>
    <w:rsid w:val="1F6E3CDF"/>
    <w:rsid w:val="2043516B"/>
    <w:rsid w:val="22475AC6"/>
    <w:rsid w:val="22EC3898"/>
    <w:rsid w:val="232E63B1"/>
    <w:rsid w:val="2342170A"/>
    <w:rsid w:val="24992818"/>
    <w:rsid w:val="24B2466D"/>
    <w:rsid w:val="24C60CE2"/>
    <w:rsid w:val="255B1EFD"/>
    <w:rsid w:val="25DD15C5"/>
    <w:rsid w:val="27800A53"/>
    <w:rsid w:val="27D8088F"/>
    <w:rsid w:val="28666C3A"/>
    <w:rsid w:val="2A9C5BA4"/>
    <w:rsid w:val="2B0A5203"/>
    <w:rsid w:val="2BA271EA"/>
    <w:rsid w:val="2C4E7080"/>
    <w:rsid w:val="2C8D1C48"/>
    <w:rsid w:val="2C902915"/>
    <w:rsid w:val="2DE03FF9"/>
    <w:rsid w:val="2EDF69A7"/>
    <w:rsid w:val="2F0C1427"/>
    <w:rsid w:val="3005243D"/>
    <w:rsid w:val="30DA11D4"/>
    <w:rsid w:val="30E43E01"/>
    <w:rsid w:val="31215055"/>
    <w:rsid w:val="31C205E6"/>
    <w:rsid w:val="324F6CD9"/>
    <w:rsid w:val="327E5810"/>
    <w:rsid w:val="32A72670"/>
    <w:rsid w:val="32FD3B86"/>
    <w:rsid w:val="33873091"/>
    <w:rsid w:val="33CE29A3"/>
    <w:rsid w:val="33D17C47"/>
    <w:rsid w:val="346040E6"/>
    <w:rsid w:val="34CE2DFE"/>
    <w:rsid w:val="355754E9"/>
    <w:rsid w:val="360016DD"/>
    <w:rsid w:val="363B44C3"/>
    <w:rsid w:val="3771090C"/>
    <w:rsid w:val="3A06303A"/>
    <w:rsid w:val="3A8C21FC"/>
    <w:rsid w:val="3B5A363D"/>
    <w:rsid w:val="3B8A60CA"/>
    <w:rsid w:val="3B9308FD"/>
    <w:rsid w:val="3BD50F16"/>
    <w:rsid w:val="3C30439E"/>
    <w:rsid w:val="3CB60D47"/>
    <w:rsid w:val="3D4453F9"/>
    <w:rsid w:val="3D6407A3"/>
    <w:rsid w:val="3DEE2762"/>
    <w:rsid w:val="3E3A0475"/>
    <w:rsid w:val="3EB70DA6"/>
    <w:rsid w:val="3EC86B10"/>
    <w:rsid w:val="3F03223E"/>
    <w:rsid w:val="40252A5D"/>
    <w:rsid w:val="4042770F"/>
    <w:rsid w:val="40917FC2"/>
    <w:rsid w:val="4168282C"/>
    <w:rsid w:val="42786A9F"/>
    <w:rsid w:val="42BD1165"/>
    <w:rsid w:val="42E67C4A"/>
    <w:rsid w:val="43065E58"/>
    <w:rsid w:val="430A4266"/>
    <w:rsid w:val="43210CDB"/>
    <w:rsid w:val="43C26223"/>
    <w:rsid w:val="44F7014F"/>
    <w:rsid w:val="45D73ADC"/>
    <w:rsid w:val="45DF42F9"/>
    <w:rsid w:val="466852F9"/>
    <w:rsid w:val="48A028AB"/>
    <w:rsid w:val="48C90054"/>
    <w:rsid w:val="49635483"/>
    <w:rsid w:val="4A0D5D1E"/>
    <w:rsid w:val="4ABD7744"/>
    <w:rsid w:val="4AD45EA0"/>
    <w:rsid w:val="4AFA2747"/>
    <w:rsid w:val="4B315A3D"/>
    <w:rsid w:val="4BC55D72"/>
    <w:rsid w:val="4C5B0FC3"/>
    <w:rsid w:val="4CE54CDE"/>
    <w:rsid w:val="4CEC4311"/>
    <w:rsid w:val="4F0911AA"/>
    <w:rsid w:val="4F3D0E54"/>
    <w:rsid w:val="4F4E4E0F"/>
    <w:rsid w:val="4FBE01E7"/>
    <w:rsid w:val="4FEB1908"/>
    <w:rsid w:val="50CC7050"/>
    <w:rsid w:val="50F05223"/>
    <w:rsid w:val="516C3C72"/>
    <w:rsid w:val="51B353FD"/>
    <w:rsid w:val="528B0128"/>
    <w:rsid w:val="52927562"/>
    <w:rsid w:val="5447369C"/>
    <w:rsid w:val="54D03D57"/>
    <w:rsid w:val="554E7235"/>
    <w:rsid w:val="5571073C"/>
    <w:rsid w:val="561A5A4B"/>
    <w:rsid w:val="56FE536D"/>
    <w:rsid w:val="57FB18AC"/>
    <w:rsid w:val="58337298"/>
    <w:rsid w:val="58671E6C"/>
    <w:rsid w:val="58BD2CE2"/>
    <w:rsid w:val="58D5034F"/>
    <w:rsid w:val="597E2795"/>
    <w:rsid w:val="59DD74BB"/>
    <w:rsid w:val="59F111B9"/>
    <w:rsid w:val="5A3B2434"/>
    <w:rsid w:val="5BC31F35"/>
    <w:rsid w:val="5C6E6361"/>
    <w:rsid w:val="5E2D6537"/>
    <w:rsid w:val="5EAA7B88"/>
    <w:rsid w:val="5EC0115A"/>
    <w:rsid w:val="60BA67A8"/>
    <w:rsid w:val="619F774C"/>
    <w:rsid w:val="61D27B22"/>
    <w:rsid w:val="62CA6A4B"/>
    <w:rsid w:val="62DB0C58"/>
    <w:rsid w:val="62F6048F"/>
    <w:rsid w:val="63055B10"/>
    <w:rsid w:val="63A1155A"/>
    <w:rsid w:val="64552344"/>
    <w:rsid w:val="64F733FB"/>
    <w:rsid w:val="65C50D8B"/>
    <w:rsid w:val="66742F55"/>
    <w:rsid w:val="672C7CD4"/>
    <w:rsid w:val="67EE4F89"/>
    <w:rsid w:val="680F19A3"/>
    <w:rsid w:val="681F1498"/>
    <w:rsid w:val="688B0A2A"/>
    <w:rsid w:val="69C83532"/>
    <w:rsid w:val="6A910383"/>
    <w:rsid w:val="6BB77FE6"/>
    <w:rsid w:val="6BCD763B"/>
    <w:rsid w:val="6CAB4C01"/>
    <w:rsid w:val="6DCF206C"/>
    <w:rsid w:val="6E007F44"/>
    <w:rsid w:val="6E3D6323"/>
    <w:rsid w:val="6E7A7577"/>
    <w:rsid w:val="6EFF5CCE"/>
    <w:rsid w:val="6FC75452"/>
    <w:rsid w:val="70840239"/>
    <w:rsid w:val="71324139"/>
    <w:rsid w:val="71C11A27"/>
    <w:rsid w:val="72084E9A"/>
    <w:rsid w:val="72A11576"/>
    <w:rsid w:val="738B7B30"/>
    <w:rsid w:val="73B52DFF"/>
    <w:rsid w:val="73E93F75"/>
    <w:rsid w:val="74416441"/>
    <w:rsid w:val="753A35BC"/>
    <w:rsid w:val="763C3364"/>
    <w:rsid w:val="76A827A7"/>
    <w:rsid w:val="77416E84"/>
    <w:rsid w:val="775C13F1"/>
    <w:rsid w:val="77674410"/>
    <w:rsid w:val="77BA09E4"/>
    <w:rsid w:val="786D18F8"/>
    <w:rsid w:val="786D3CA8"/>
    <w:rsid w:val="78B33DB1"/>
    <w:rsid w:val="7A1D1DC5"/>
    <w:rsid w:val="7A2860D9"/>
    <w:rsid w:val="7B2014A6"/>
    <w:rsid w:val="7B424F78"/>
    <w:rsid w:val="7B6A2721"/>
    <w:rsid w:val="7C1903CF"/>
    <w:rsid w:val="7C1C7EBF"/>
    <w:rsid w:val="7C3A0345"/>
    <w:rsid w:val="7D87580C"/>
    <w:rsid w:val="7D8C6BBD"/>
    <w:rsid w:val="7E3E236F"/>
    <w:rsid w:val="7E48158B"/>
    <w:rsid w:val="7E7278BD"/>
    <w:rsid w:val="7EDE320A"/>
    <w:rsid w:val="7FBC45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66"/>
    </w:pPr>
    <w:rPr>
      <w:rFonts w:ascii="方正仿宋_GBK" w:hAnsi="方正仿宋_GBK" w:eastAsia="方正仿宋_GBK" w:cs="方正仿宋_GBK"/>
      <w:sz w:val="32"/>
      <w:szCs w:val="32"/>
      <w:lang w:val="zh-CN" w:eastAsia="zh-CN" w:bidi="zh-CN"/>
    </w:rPr>
  </w:style>
  <w:style w:type="paragraph" w:styleId="3">
    <w:name w:val="footer"/>
    <w:qFormat/>
    <w:uiPriority w:val="0"/>
    <w:pPr>
      <w:widowControl w:val="0"/>
      <w:tabs>
        <w:tab w:val="center" w:pos="4153"/>
        <w:tab w:val="right" w:pos="8306"/>
      </w:tabs>
      <w:adjustRightInd w:val="0"/>
      <w:snapToGrid w:val="0"/>
      <w:spacing w:line="570" w:lineRule="exact"/>
      <w:ind w:firstLine="420" w:firstLineChars="200"/>
      <w:jc w:val="left"/>
    </w:pPr>
    <w:rPr>
      <w:rFonts w:ascii="方正仿宋_GBK" w:hAnsi="方正仿宋_GBK" w:eastAsia="方正仿宋_GBK" w:cs="Times New Roman"/>
      <w:kern w:val="2"/>
      <w:sz w:val="18"/>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3333</Words>
  <Characters>3662</Characters>
  <TotalTime>117</TotalTime>
  <ScaleCrop>false</ScaleCrop>
  <LinksUpToDate>false</LinksUpToDate>
  <CharactersWithSpaces>3677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2022-10-10T06:32:00Z</dcterms:created>
  <dc:creator>cnc</dc:creator>
  <cp:lastModifiedBy>Pikachu</cp:lastModifiedBy>
  <cp:lastPrinted>2022-11-16T07:46:00Z</cp:lastPrinted>
  <dcterms:modified xsi:type="dcterms:W3CDTF">2023-08-29T02:30:04Z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2022-10-08T00:00:00Z</vt:filetime>
  </property>
  <property fmtid="{D5CDD505-2E9C-101B-9397-08002B2CF9AE}" pid="3" name="Creator">
    <vt:lpwstr>WPS 文字</vt:lpwstr>
  </property>
  <property fmtid="{D5CDD505-2E9C-101B-9397-08002B2CF9AE}" pid="4" name="LastSaved">
    <vt:filetime>2022-10-10T00:00:00Z</vt:filetime>
  </property>
  <property fmtid="{D5CDD505-2E9C-101B-9397-08002B2CF9AE}" pid="5" name="KSOProductBuildVer">
    <vt:lpwstr>2052-12.1.0.15120</vt:lpwstr>
  </property>
  <property fmtid="{D5CDD505-2E9C-101B-9397-08002B2CF9AE}" pid="6" name="ICV">
    <vt:lpwstr>F5495B17B43D490EA046A3896F10B009</vt:lpwstr>
  </property>
</Properties>
</file>