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sectPr>
          <w:footerReference r:id="rId3" w:type="default"/>
          <w:pgSz w:w="11906" w:h="16838"/>
          <w:pgMar w:top="1440" w:right="1800" w:bottom="1440" w:left="1800" w:header="851" w:footer="992" w:gutter="0"/>
          <w:cols w:space="425" w:num="1"/>
          <w:docGrid w:type="lines" w:linePitch="312" w:charSpace="0"/>
        </w:sectPr>
      </w:pPr>
      <w:r>
        <w:drawing>
          <wp:inline distT="0" distB="0" distL="0" distR="0">
            <wp:extent cx="5274310" cy="7213600"/>
            <wp:effectExtent l="0" t="0" r="2540" b="6350"/>
            <wp:docPr id="163344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4675" name="图片 1"/>
                    <pic:cNvPicPr>
                      <a:picLocks noChangeAspect="1"/>
                    </pic:cNvPicPr>
                  </pic:nvPicPr>
                  <pic:blipFill>
                    <a:blip r:embed="rId7"/>
                    <a:stretch>
                      <a:fillRect/>
                    </a:stretch>
                  </pic:blipFill>
                  <pic:spPr>
                    <a:xfrm>
                      <a:off x="0" y="0"/>
                      <a:ext cx="5274310" cy="7213600"/>
                    </a:xfrm>
                    <a:prstGeom prst="rect">
                      <a:avLst/>
                    </a:prstGeom>
                  </pic:spPr>
                </pic:pic>
              </a:graphicData>
            </a:graphic>
          </wp:inline>
        </w:drawing>
      </w:r>
      <w:r>
        <w:rPr>
          <w:rFonts w:hint="eastAsia" w:ascii="Times New Roman" w:hAnsi="Times New Roman" w:cs="Times New Roman"/>
        </w:rPr>
        <w:t xml:space="preserve"> </w:t>
      </w:r>
    </w:p>
    <w:p>
      <w:pPr>
        <w:rPr>
          <w:rFonts w:ascii="Times New Roman" w:hAnsi="Times New Roman" w:eastAsia="楷体_GB2312" w:cs="Times New Roman"/>
          <w:sz w:val="36"/>
          <w:szCs w:val="36"/>
        </w:rPr>
        <w:sectPr>
          <w:pgSz w:w="11906" w:h="16838"/>
          <w:pgMar w:top="1440" w:right="1800" w:bottom="1440" w:left="1800" w:header="851" w:footer="992" w:gutter="0"/>
          <w:cols w:space="425" w:num="1"/>
          <w:docGrid w:type="lines" w:linePitch="312" w:charSpace="0"/>
        </w:sectPr>
      </w:pPr>
      <w:r>
        <w:drawing>
          <wp:inline distT="0" distB="0" distL="0" distR="0">
            <wp:extent cx="5274310" cy="7512685"/>
            <wp:effectExtent l="0" t="0" r="2540" b="0"/>
            <wp:docPr id="982582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2232" name="图片 1"/>
                    <pic:cNvPicPr>
                      <a:picLocks noChangeAspect="1"/>
                    </pic:cNvPicPr>
                  </pic:nvPicPr>
                  <pic:blipFill>
                    <a:blip r:embed="rId8"/>
                    <a:stretch>
                      <a:fillRect/>
                    </a:stretch>
                  </pic:blipFill>
                  <pic:spPr>
                    <a:xfrm>
                      <a:off x="0" y="0"/>
                      <a:ext cx="5274310" cy="7512685"/>
                    </a:xfrm>
                    <a:prstGeom prst="rect">
                      <a:avLst/>
                    </a:prstGeom>
                  </pic:spPr>
                </pic:pic>
              </a:graphicData>
            </a:graphic>
          </wp:inline>
        </w:drawing>
      </w:r>
    </w:p>
    <w:p>
      <w:pPr>
        <w:rPr>
          <w:rFonts w:ascii="Times New Roman" w:hAnsi="Times New Roman" w:eastAsia="楷体_GB2312" w:cs="Times New Roman"/>
          <w:sz w:val="36"/>
          <w:szCs w:val="36"/>
        </w:rPr>
        <w:sectPr>
          <w:pgSz w:w="11906" w:h="16838"/>
          <w:pgMar w:top="1440" w:right="1800" w:bottom="1440" w:left="1800" w:header="851" w:footer="992" w:gutter="0"/>
          <w:cols w:space="425" w:num="1"/>
          <w:docGrid w:type="lines" w:linePitch="312" w:charSpace="0"/>
        </w:sectPr>
      </w:pPr>
      <w:r>
        <w:drawing>
          <wp:inline distT="0" distB="0" distL="0" distR="0">
            <wp:extent cx="5274310" cy="6362065"/>
            <wp:effectExtent l="0" t="0" r="2540" b="635"/>
            <wp:docPr id="1842808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08950" name="图片 1"/>
                    <pic:cNvPicPr>
                      <a:picLocks noChangeAspect="1"/>
                    </pic:cNvPicPr>
                  </pic:nvPicPr>
                  <pic:blipFill>
                    <a:blip r:embed="rId9"/>
                    <a:stretch>
                      <a:fillRect/>
                    </a:stretch>
                  </pic:blipFill>
                  <pic:spPr>
                    <a:xfrm>
                      <a:off x="0" y="0"/>
                      <a:ext cx="5274310" cy="6362065"/>
                    </a:xfrm>
                    <a:prstGeom prst="rect">
                      <a:avLst/>
                    </a:prstGeom>
                  </pic:spPr>
                </pic:pic>
              </a:graphicData>
            </a:graphic>
          </wp:inline>
        </w:drawing>
      </w:r>
    </w:p>
    <w:p>
      <w:pPr>
        <w:rPr>
          <w:rFonts w:ascii="Times New Roman" w:hAnsi="Times New Roman" w:eastAsia="楷体_GB2312" w:cs="Times New Roman"/>
          <w:sz w:val="36"/>
          <w:szCs w:val="36"/>
        </w:rPr>
        <w:sectPr>
          <w:pgSz w:w="11906" w:h="16838"/>
          <w:pgMar w:top="1440" w:right="1800" w:bottom="1440" w:left="1800" w:header="851" w:footer="992" w:gutter="0"/>
          <w:cols w:space="425" w:num="1"/>
          <w:docGrid w:type="lines" w:linePitch="312" w:charSpace="0"/>
        </w:sectPr>
      </w:pPr>
      <w:r>
        <w:drawing>
          <wp:inline distT="0" distB="0" distL="0" distR="0">
            <wp:extent cx="5274310" cy="7460615"/>
            <wp:effectExtent l="0" t="0" r="2540" b="6985"/>
            <wp:docPr id="1628998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98267" name="图片 1"/>
                    <pic:cNvPicPr>
                      <a:picLocks noChangeAspect="1"/>
                    </pic:cNvPicPr>
                  </pic:nvPicPr>
                  <pic:blipFill>
                    <a:blip r:embed="rId10"/>
                    <a:stretch>
                      <a:fillRect/>
                    </a:stretch>
                  </pic:blipFill>
                  <pic:spPr>
                    <a:xfrm>
                      <a:off x="0" y="0"/>
                      <a:ext cx="5274310" cy="7460615"/>
                    </a:xfrm>
                    <a:prstGeom prst="rect">
                      <a:avLst/>
                    </a:prstGeom>
                  </pic:spPr>
                </pic:pic>
              </a:graphicData>
            </a:graphic>
          </wp:inline>
        </w:drawing>
      </w:r>
    </w:p>
    <w:p>
      <w:pPr>
        <w:rPr>
          <w:rFonts w:ascii="Times New Roman" w:hAnsi="Times New Roman" w:eastAsia="楷体_GB2312" w:cs="Times New Roman"/>
          <w:sz w:val="36"/>
          <w:szCs w:val="36"/>
        </w:rPr>
      </w:pPr>
      <w:r>
        <w:drawing>
          <wp:inline distT="0" distB="0" distL="0" distR="0">
            <wp:extent cx="5274310" cy="6713855"/>
            <wp:effectExtent l="0" t="0" r="2540" b="0"/>
            <wp:docPr id="1700664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64505" name="图片 1"/>
                    <pic:cNvPicPr>
                      <a:picLocks noChangeAspect="1"/>
                    </pic:cNvPicPr>
                  </pic:nvPicPr>
                  <pic:blipFill>
                    <a:blip r:embed="rId11"/>
                    <a:stretch>
                      <a:fillRect/>
                    </a:stretch>
                  </pic:blipFill>
                  <pic:spPr>
                    <a:xfrm>
                      <a:off x="0" y="0"/>
                      <a:ext cx="5274310" cy="6713855"/>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黑体" w:cs="Times New Roman"/>
          <w:sz w:val="30"/>
          <w:szCs w:val="30"/>
        </w:rPr>
      </w:pPr>
      <w:r>
        <w:rPr>
          <w:rFonts w:ascii="Times New Roman" w:hAnsi="Times New Roman" w:eastAsia="黑体" w:cs="Times New Roman"/>
          <w:sz w:val="30"/>
          <w:szCs w:val="30"/>
        </w:rPr>
        <w:t>一、建设项目基本情况</w:t>
      </w:r>
    </w:p>
    <w:tbl>
      <w:tblPr>
        <w:tblStyle w:val="18"/>
        <w:tblW w:w="906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644"/>
        <w:gridCol w:w="2101"/>
        <w:gridCol w:w="2126"/>
        <w:gridCol w:w="3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建设项目名称</w:t>
            </w:r>
          </w:p>
        </w:tc>
        <w:tc>
          <w:tcPr>
            <w:tcW w:w="7294" w:type="dxa"/>
            <w:gridSpan w:val="3"/>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年生产500万件汽摩配件及通用零部件建设项目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项目代码</w:t>
            </w:r>
          </w:p>
        </w:tc>
        <w:tc>
          <w:tcPr>
            <w:tcW w:w="7294" w:type="dxa"/>
            <w:gridSpan w:val="3"/>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2209-500151-04-05-731370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建设单位联系人</w:t>
            </w:r>
          </w:p>
        </w:tc>
        <w:tc>
          <w:tcPr>
            <w:tcW w:w="210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王仁均</w:t>
            </w:r>
          </w:p>
        </w:tc>
        <w:tc>
          <w:tcPr>
            <w:tcW w:w="21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联系方式</w:t>
            </w:r>
          </w:p>
        </w:tc>
        <w:tc>
          <w:tcPr>
            <w:tcW w:w="3067" w:type="dxa"/>
            <w:vAlign w:val="center"/>
          </w:tcPr>
          <w:p>
            <w:pPr>
              <w:adjustRightInd w:val="0"/>
              <w:snapToGrid w:val="0"/>
              <w:jc w:val="center"/>
              <w:rPr>
                <w:rFonts w:ascii="Times New Roman" w:hAnsi="Times New Roman" w:eastAsia="宋体" w:cs="Times New Roman"/>
                <w:szCs w:val="21"/>
              </w:rPr>
            </w:pPr>
            <w:bookmarkStart w:id="0" w:name="_Hlk127368524"/>
            <w:r>
              <w:rPr>
                <w:rFonts w:ascii="Times New Roman" w:hAnsi="Times New Roman" w:eastAsia="宋体" w:cs="Times New Roman"/>
                <w:szCs w:val="21"/>
              </w:rPr>
              <w:t>139</w:t>
            </w:r>
            <w:r>
              <w:rPr>
                <w:rFonts w:hint="eastAsia" w:ascii="Times New Roman" w:hAnsi="Times New Roman" w:eastAsia="宋体" w:cs="Times New Roman"/>
                <w:szCs w:val="21"/>
                <w:lang w:val="en-US" w:eastAsia="zh-CN"/>
              </w:rPr>
              <w:t>******</w:t>
            </w:r>
            <w:r>
              <w:rPr>
                <w:rFonts w:ascii="Times New Roman" w:hAnsi="Times New Roman" w:eastAsia="宋体" w:cs="Times New Roman"/>
                <w:szCs w:val="21"/>
              </w:rPr>
              <w:t>52</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7294" w:type="dxa"/>
            <w:gridSpan w:val="3"/>
            <w:vAlign w:val="center"/>
          </w:tcPr>
          <w:p>
            <w:pPr>
              <w:adjustRightInd w:val="0"/>
              <w:snapToGrid w:val="0"/>
              <w:jc w:val="center"/>
              <w:rPr>
                <w:rFonts w:ascii="Times New Roman" w:hAnsi="Times New Roman" w:eastAsia="宋体" w:cs="Times New Roman"/>
                <w:szCs w:val="21"/>
              </w:rPr>
            </w:pPr>
            <w:bookmarkStart w:id="1" w:name="_Hlk127368425"/>
            <w:r>
              <w:rPr>
                <w:rFonts w:ascii="Times New Roman" w:hAnsi="Times New Roman" w:eastAsia="宋体" w:cs="Times New Roman"/>
                <w:szCs w:val="21"/>
              </w:rPr>
              <w:t>重庆市铜梁区虎峰镇石岭村5社12号</w:t>
            </w:r>
            <w:bookmarkEnd w:id="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地理坐标</w:t>
            </w:r>
          </w:p>
        </w:tc>
        <w:tc>
          <w:tcPr>
            <w:tcW w:w="7294"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szCs w:val="21"/>
                <w:u w:val="single"/>
              </w:rPr>
              <w:t>106</w:t>
            </w:r>
            <w:r>
              <w:rPr>
                <w:rFonts w:ascii="Times New Roman" w:hAnsi="Times New Roman" w:eastAsia="宋体" w:cs="Times New Roman"/>
                <w:szCs w:val="21"/>
              </w:rPr>
              <w:t>度</w:t>
            </w:r>
            <w:r>
              <w:rPr>
                <w:rFonts w:ascii="Times New Roman" w:hAnsi="Times New Roman" w:eastAsia="宋体" w:cs="Times New Roman"/>
                <w:szCs w:val="21"/>
                <w:u w:val="single"/>
              </w:rPr>
              <w:t>7</w:t>
            </w:r>
            <w:r>
              <w:rPr>
                <w:rFonts w:ascii="Times New Roman" w:hAnsi="Times New Roman" w:eastAsia="宋体" w:cs="Times New Roman"/>
                <w:szCs w:val="21"/>
              </w:rPr>
              <w:t>分</w:t>
            </w:r>
            <w:r>
              <w:rPr>
                <w:rFonts w:ascii="Times New Roman" w:hAnsi="Times New Roman" w:eastAsia="宋体" w:cs="Times New Roman"/>
                <w:szCs w:val="21"/>
                <w:u w:val="single"/>
              </w:rPr>
              <w:t>25.280</w:t>
            </w:r>
            <w:r>
              <w:rPr>
                <w:rFonts w:ascii="Times New Roman" w:hAnsi="Times New Roman" w:eastAsia="宋体" w:cs="Times New Roman"/>
                <w:szCs w:val="21"/>
              </w:rPr>
              <w:t>秒，</w:t>
            </w:r>
            <w:r>
              <w:rPr>
                <w:rFonts w:ascii="Times New Roman" w:hAnsi="Times New Roman" w:eastAsia="宋体" w:cs="Times New Roman"/>
                <w:szCs w:val="21"/>
                <w:u w:val="single"/>
              </w:rPr>
              <w:t>29</w:t>
            </w:r>
            <w:r>
              <w:rPr>
                <w:rFonts w:ascii="Times New Roman" w:hAnsi="Times New Roman" w:eastAsia="宋体" w:cs="Times New Roman"/>
                <w:szCs w:val="21"/>
              </w:rPr>
              <w:t>度</w:t>
            </w:r>
            <w:r>
              <w:rPr>
                <w:rFonts w:ascii="Times New Roman" w:hAnsi="Times New Roman" w:eastAsia="宋体" w:cs="Times New Roman"/>
                <w:szCs w:val="21"/>
                <w:u w:val="single"/>
              </w:rPr>
              <w:t>43</w:t>
            </w:r>
            <w:r>
              <w:rPr>
                <w:rFonts w:ascii="Times New Roman" w:hAnsi="Times New Roman" w:eastAsia="宋体" w:cs="Times New Roman"/>
                <w:szCs w:val="21"/>
              </w:rPr>
              <w:t>分</w:t>
            </w:r>
            <w:r>
              <w:rPr>
                <w:rFonts w:ascii="Times New Roman" w:hAnsi="Times New Roman" w:eastAsia="宋体" w:cs="Times New Roman"/>
                <w:szCs w:val="21"/>
                <w:u w:val="single"/>
              </w:rPr>
              <w:t>58.230</w:t>
            </w:r>
            <w:r>
              <w:rPr>
                <w:rFonts w:ascii="Times New Roman" w:hAnsi="Times New Roman" w:eastAsia="宋体" w:cs="Times New Roman"/>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国民经济</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行业类别</w:t>
            </w:r>
          </w:p>
        </w:tc>
        <w:tc>
          <w:tcPr>
            <w:tcW w:w="210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C3392有色金属铸造</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C3489其他通用零部件制造</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C3670 汽车零部件及配件制造</w:t>
            </w:r>
          </w:p>
        </w:tc>
        <w:tc>
          <w:tcPr>
            <w:tcW w:w="2126" w:type="dxa"/>
            <w:vAlign w:val="center"/>
          </w:tcPr>
          <w:p>
            <w:pPr>
              <w:adjustRightInd w:val="0"/>
              <w:snapToGrid w:val="0"/>
              <w:jc w:val="center"/>
              <w:rPr>
                <w:rFonts w:ascii="Times New Roman" w:hAnsi="Times New Roman" w:eastAsia="宋体" w:cs="Times New Roman"/>
                <w:szCs w:val="21"/>
              </w:rPr>
            </w:pPr>
            <w:bookmarkStart w:id="2" w:name="_Hlk49843745"/>
            <w:r>
              <w:rPr>
                <w:rFonts w:ascii="Times New Roman" w:hAnsi="Times New Roman" w:eastAsia="宋体" w:cs="Times New Roman"/>
                <w:szCs w:val="21"/>
              </w:rPr>
              <w:t>建设项目</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行业类别</w:t>
            </w:r>
            <w:bookmarkEnd w:id="2"/>
          </w:p>
        </w:tc>
        <w:tc>
          <w:tcPr>
            <w:tcW w:w="3067"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三十-68铸造及其他金属制品制造339</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三十一-69通用零部件制造348</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三十三-71 汽车零部件及配件制造367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建设性质</w:t>
            </w:r>
          </w:p>
        </w:tc>
        <w:tc>
          <w:tcPr>
            <w:tcW w:w="2101"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√新建（迁建）</w:t>
            </w:r>
          </w:p>
          <w:p>
            <w:pPr>
              <w:jc w:val="left"/>
              <w:rPr>
                <w:rFonts w:ascii="Times New Roman" w:hAnsi="Times New Roman" w:eastAsia="宋体" w:cs="Times New Roman"/>
                <w:szCs w:val="21"/>
              </w:rPr>
            </w:pPr>
            <w:r>
              <w:rPr>
                <w:rFonts w:ascii="Times New Roman" w:hAnsi="Times New Roman" w:eastAsia="宋体" w:cs="Times New Roman"/>
                <w:szCs w:val="21"/>
              </w:rPr>
              <w:t>□改建</w:t>
            </w:r>
          </w:p>
          <w:p>
            <w:pPr>
              <w:jc w:val="left"/>
              <w:rPr>
                <w:rFonts w:ascii="Times New Roman" w:hAnsi="Times New Roman" w:eastAsia="宋体" w:cs="Times New Roman"/>
                <w:szCs w:val="21"/>
              </w:rPr>
            </w:pPr>
            <w:r>
              <w:rPr>
                <w:rFonts w:ascii="Times New Roman" w:hAnsi="Times New Roman" w:eastAsia="宋体" w:cs="Times New Roman"/>
                <w:szCs w:val="21"/>
              </w:rPr>
              <w:t>□扩建</w:t>
            </w:r>
          </w:p>
          <w:p>
            <w:pPr>
              <w:jc w:val="left"/>
              <w:rPr>
                <w:rFonts w:ascii="Times New Roman" w:hAnsi="Times New Roman" w:eastAsia="宋体" w:cs="Times New Roman"/>
                <w:szCs w:val="21"/>
              </w:rPr>
            </w:pPr>
            <w:r>
              <w:rPr>
                <w:rFonts w:ascii="Times New Roman" w:hAnsi="Times New Roman" w:eastAsia="宋体" w:cs="Times New Roman"/>
                <w:szCs w:val="21"/>
              </w:rPr>
              <w:t>□技术改造</w:t>
            </w:r>
          </w:p>
        </w:tc>
        <w:tc>
          <w:tcPr>
            <w:tcW w:w="21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建设项目</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申报情形</w:t>
            </w:r>
          </w:p>
        </w:tc>
        <w:tc>
          <w:tcPr>
            <w:tcW w:w="3067"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√首次申报项目</w:t>
            </w:r>
          </w:p>
          <w:p>
            <w:pPr>
              <w:jc w:val="left"/>
              <w:rPr>
                <w:rFonts w:ascii="Times New Roman" w:hAnsi="Times New Roman" w:eastAsia="宋体" w:cs="Times New Roman"/>
                <w:szCs w:val="21"/>
              </w:rPr>
            </w:pPr>
            <w:r>
              <w:rPr>
                <w:rFonts w:ascii="Times New Roman" w:hAnsi="Times New Roman" w:eastAsia="宋体" w:cs="Times New Roman"/>
                <w:szCs w:val="21"/>
              </w:rPr>
              <w:t>□不予批准后再次申报项目</w:t>
            </w:r>
          </w:p>
          <w:p>
            <w:pPr>
              <w:jc w:val="left"/>
              <w:rPr>
                <w:rFonts w:ascii="Times New Roman" w:hAnsi="Times New Roman" w:eastAsia="宋体" w:cs="Times New Roman"/>
                <w:szCs w:val="21"/>
              </w:rPr>
            </w:pPr>
            <w:r>
              <w:rPr>
                <w:rFonts w:ascii="Times New Roman" w:hAnsi="Times New Roman" w:eastAsia="宋体" w:cs="Times New Roman"/>
                <w:szCs w:val="21"/>
              </w:rPr>
              <w:t>□超五年重新审核项目</w:t>
            </w:r>
          </w:p>
          <w:p>
            <w:pPr>
              <w:jc w:val="left"/>
              <w:rPr>
                <w:rFonts w:ascii="Times New Roman" w:hAnsi="Times New Roman" w:eastAsia="宋体" w:cs="Times New Roman"/>
                <w:szCs w:val="21"/>
              </w:rPr>
            </w:pPr>
            <w:r>
              <w:rPr>
                <w:rFonts w:ascii="Times New Roman" w:hAnsi="Times New Roman" w:eastAsia="宋体"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项目审批（核准/</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备案）部门（选填）</w:t>
            </w:r>
          </w:p>
        </w:tc>
        <w:tc>
          <w:tcPr>
            <w:tcW w:w="210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重庆市铜梁区发展和改革委员会</w:t>
            </w:r>
          </w:p>
        </w:tc>
        <w:tc>
          <w:tcPr>
            <w:tcW w:w="21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项目审批（核准/</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备案）文号（选填）</w:t>
            </w:r>
          </w:p>
        </w:tc>
        <w:tc>
          <w:tcPr>
            <w:tcW w:w="30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总投资（万元）</w:t>
            </w:r>
          </w:p>
        </w:tc>
        <w:tc>
          <w:tcPr>
            <w:tcW w:w="210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4600</w:t>
            </w:r>
          </w:p>
        </w:tc>
        <w:tc>
          <w:tcPr>
            <w:tcW w:w="2126"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环保投资（万元）</w:t>
            </w:r>
          </w:p>
        </w:tc>
        <w:tc>
          <w:tcPr>
            <w:tcW w:w="30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环保投资占比（%）</w:t>
            </w:r>
          </w:p>
        </w:tc>
        <w:tc>
          <w:tcPr>
            <w:tcW w:w="210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0.65</w:t>
            </w:r>
          </w:p>
        </w:tc>
        <w:tc>
          <w:tcPr>
            <w:tcW w:w="2126" w:type="dxa"/>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施工工期</w:t>
            </w:r>
          </w:p>
        </w:tc>
        <w:tc>
          <w:tcPr>
            <w:tcW w:w="30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617" w:hRule="atLeast"/>
          <w:jc w:val="center"/>
        </w:trPr>
        <w:tc>
          <w:tcPr>
            <w:tcW w:w="1768" w:type="dxa"/>
            <w:gridSpan w:val="2"/>
            <w:tcMar>
              <w:top w:w="16" w:type="dxa"/>
              <w:left w:w="16" w:type="dxa"/>
              <w:right w:w="16" w:type="dxa"/>
            </w:tcMar>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是否开工建设</w:t>
            </w:r>
          </w:p>
        </w:tc>
        <w:tc>
          <w:tcPr>
            <w:tcW w:w="2101" w:type="dxa"/>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sym w:font="Wingdings 2" w:char="00A3"/>
            </w:r>
            <w:r>
              <w:rPr>
                <w:rFonts w:ascii="Times New Roman" w:hAnsi="Times New Roman" w:eastAsia="宋体" w:cs="Times New Roman"/>
                <w:szCs w:val="21"/>
              </w:rPr>
              <w:t>否</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√是：</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u w:val="single"/>
              </w:rPr>
              <w:t>根据铜环执责改字﹝2</w:t>
            </w:r>
            <w:r>
              <w:rPr>
                <w:rFonts w:ascii="Times New Roman" w:hAnsi="Times New Roman" w:eastAsia="宋体" w:cs="Times New Roman"/>
                <w:szCs w:val="21"/>
                <w:u w:val="single"/>
              </w:rPr>
              <w:t>023</w:t>
            </w:r>
            <w:r>
              <w:rPr>
                <w:rFonts w:hint="eastAsia" w:ascii="Times New Roman" w:hAnsi="Times New Roman" w:eastAsia="宋体" w:cs="Times New Roman"/>
                <w:szCs w:val="21"/>
                <w:u w:val="single"/>
              </w:rPr>
              <w:t>﹞4</w:t>
            </w:r>
            <w:r>
              <w:rPr>
                <w:rFonts w:ascii="Times New Roman" w:hAnsi="Times New Roman" w:eastAsia="宋体" w:cs="Times New Roman"/>
                <w:szCs w:val="21"/>
                <w:u w:val="single"/>
              </w:rPr>
              <w:t>3</w:t>
            </w:r>
            <w:r>
              <w:rPr>
                <w:rFonts w:hint="eastAsia" w:ascii="Times New Roman" w:hAnsi="Times New Roman" w:eastAsia="宋体" w:cs="Times New Roman"/>
                <w:szCs w:val="21"/>
                <w:u w:val="single"/>
              </w:rPr>
              <w:t>号文件，企业于2</w:t>
            </w:r>
            <w:r>
              <w:rPr>
                <w:rFonts w:ascii="Times New Roman" w:hAnsi="Times New Roman" w:eastAsia="宋体" w:cs="Times New Roman"/>
                <w:szCs w:val="21"/>
                <w:u w:val="single"/>
              </w:rPr>
              <w:t>023</w:t>
            </w:r>
            <w:r>
              <w:rPr>
                <w:rFonts w:hint="eastAsia" w:ascii="Times New Roman" w:hAnsi="Times New Roman" w:eastAsia="宋体" w:cs="Times New Roman"/>
                <w:szCs w:val="21"/>
                <w:u w:val="single"/>
              </w:rPr>
              <w:t>年4月开工建设，构成未批先建的环境违法行为，责令公司立即改正环境违法行为。</w:t>
            </w:r>
          </w:p>
        </w:tc>
        <w:tc>
          <w:tcPr>
            <w:tcW w:w="2126" w:type="dxa"/>
            <w:tcMar>
              <w:top w:w="16" w:type="dxa"/>
              <w:left w:w="16" w:type="dxa"/>
              <w:right w:w="16" w:type="dxa"/>
            </w:tcMar>
            <w:vAlign w:val="center"/>
          </w:tcPr>
          <w:p>
            <w:pPr>
              <w:adjustRightInd w:val="0"/>
              <w:snapToGrid w:val="0"/>
              <w:jc w:val="center"/>
              <w:rPr>
                <w:rFonts w:ascii="Times New Roman" w:hAnsi="Times New Roman" w:eastAsia="宋体" w:cs="Times New Roman"/>
                <w:spacing w:val="-6"/>
                <w:szCs w:val="21"/>
              </w:rPr>
            </w:pPr>
            <w:r>
              <w:rPr>
                <w:rFonts w:ascii="Times New Roman" w:hAnsi="Times New Roman" w:eastAsia="宋体" w:cs="Times New Roman"/>
                <w:spacing w:val="-6"/>
                <w:szCs w:val="21"/>
              </w:rPr>
              <w:t>用地（用海）</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pacing w:val="-6"/>
                <w:szCs w:val="21"/>
              </w:rPr>
              <w:t>面积（m</w:t>
            </w:r>
            <w:r>
              <w:rPr>
                <w:rFonts w:ascii="Times New Roman" w:hAnsi="Times New Roman" w:eastAsia="宋体" w:cs="Times New Roman"/>
                <w:spacing w:val="-6"/>
                <w:szCs w:val="21"/>
                <w:vertAlign w:val="superscript"/>
              </w:rPr>
              <w:t>2</w:t>
            </w:r>
            <w:r>
              <w:rPr>
                <w:rFonts w:ascii="Times New Roman" w:hAnsi="Times New Roman" w:eastAsia="宋体" w:cs="Times New Roman"/>
                <w:spacing w:val="-6"/>
                <w:szCs w:val="21"/>
              </w:rPr>
              <w:t>）</w:t>
            </w:r>
          </w:p>
        </w:tc>
        <w:tc>
          <w:tcPr>
            <w:tcW w:w="30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768" w:type="dxa"/>
            <w:gridSpan w:val="2"/>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专项评价设置情况</w:t>
            </w:r>
          </w:p>
        </w:tc>
        <w:tc>
          <w:tcPr>
            <w:tcW w:w="7294" w:type="dxa"/>
            <w:gridSpan w:val="3"/>
            <w:vAlign w:val="center"/>
          </w:tcPr>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根据建设项目环境影响报告表编制技术指南（污染影响类）（试行）</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表1，本项目无需设置专项评价，对照如下：</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（1）大气</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拟建项目大气排放废气不含有《有毒有害大气污染物名录》中的有毒有害污染物，故不开展大气专项评价。</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（2）废水</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拟建项目废水排放方式为间接排放，因此不开展地表水专项评价。</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（3）环境风险</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拟建项目危险物质储存量未超过临界量，因此不开展环境风险专项评价。</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（4）生态</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拟建项目不属于河道取水的污染类建设项目，因此不开展生态专项评价。</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（5）海洋</w:t>
            </w:r>
          </w:p>
          <w:p>
            <w:pPr>
              <w:autoSpaceDE w:val="0"/>
              <w:autoSpaceDN w:val="0"/>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拟建项目不属于直接向海排放污染物的海洋工程建设项目，因此不开展海洋专项评价。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768" w:type="dxa"/>
            <w:gridSpan w:val="2"/>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szCs w:val="21"/>
              </w:rPr>
              <w:t>规划情况</w:t>
            </w:r>
          </w:p>
        </w:tc>
        <w:tc>
          <w:tcPr>
            <w:tcW w:w="7294" w:type="dxa"/>
            <w:gridSpan w:val="3"/>
            <w:vAlign w:val="center"/>
          </w:tcPr>
          <w:p>
            <w:pPr>
              <w:autoSpaceDE w:val="0"/>
              <w:autoSpaceDN w:val="0"/>
              <w:adjustRightInd w:val="0"/>
              <w:snapToGrid w:val="0"/>
              <w:spacing w:line="360" w:lineRule="auto"/>
              <w:rPr>
                <w:rFonts w:ascii="Times New Roman" w:hAnsi="Times New Roman" w:eastAsia="宋体" w:cs="Times New Roman"/>
                <w:kern w:val="0"/>
                <w:szCs w:val="21"/>
              </w:rPr>
            </w:pPr>
            <w:r>
              <w:rPr>
                <w:rFonts w:ascii="Times New Roman" w:hAnsi="Times New Roman" w:eastAsia="宋体" w:cs="Times New Roman"/>
                <w:kern w:val="0"/>
                <w:szCs w:val="21"/>
              </w:rPr>
              <w:t>规划文件名称：《重庆市铜梁区镇域工业集聚区发展规划（2021-2025）》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30" w:hRule="atLeast"/>
          <w:jc w:val="center"/>
        </w:trPr>
        <w:tc>
          <w:tcPr>
            <w:tcW w:w="1768"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规划环境影响</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szCs w:val="21"/>
              </w:rPr>
              <w:t>评价情况</w:t>
            </w:r>
          </w:p>
        </w:tc>
        <w:tc>
          <w:tcPr>
            <w:tcW w:w="7294" w:type="dxa"/>
            <w:gridSpan w:val="3"/>
            <w:vAlign w:val="center"/>
          </w:tcPr>
          <w:p>
            <w:pPr>
              <w:autoSpaceDE w:val="0"/>
              <w:autoSpaceDN w:val="0"/>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规划环评名称：《重庆市铜梁区镇域工业集聚区发展规划（2021-2025）环境影响评价报告书》</w:t>
            </w:r>
          </w:p>
          <w:p>
            <w:pPr>
              <w:autoSpaceDE w:val="0"/>
              <w:autoSpaceDN w:val="0"/>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审查机关：重庆市铜梁区生态环境局</w:t>
            </w:r>
          </w:p>
          <w:p>
            <w:pPr>
              <w:autoSpaceDE w:val="0"/>
              <w:autoSpaceDN w:val="0"/>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审查文件名称：《关于重庆市铜梁区镇域工业集聚区发展规划（2021~2025）环境影响报告书审查意见的函》</w:t>
            </w:r>
          </w:p>
          <w:p>
            <w:pPr>
              <w:autoSpaceDE w:val="0"/>
              <w:autoSpaceDN w:val="0"/>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文号：渝环函[2020]290号</w:t>
            </w:r>
          </w:p>
          <w:p>
            <w:pPr>
              <w:autoSpaceDE w:val="0"/>
              <w:autoSpaceDN w:val="0"/>
              <w:adjustRightInd w:val="0"/>
              <w:snapToGri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批准日期：2020年12月30日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60" w:hRule="atLeast"/>
          <w:jc w:val="center"/>
        </w:trPr>
        <w:tc>
          <w:tcPr>
            <w:tcW w:w="1768" w:type="dxa"/>
            <w:gridSpan w:val="2"/>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规划及规划环境</w:t>
            </w:r>
          </w:p>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影响评价符合性分析</w:t>
            </w:r>
          </w:p>
        </w:tc>
        <w:tc>
          <w:tcPr>
            <w:tcW w:w="7294" w:type="dxa"/>
            <w:gridSpan w:val="3"/>
          </w:tcPr>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（1）《重庆市铜梁区镇域工业集聚区发展规划（2021-2025）》符合性分析</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重庆市铜梁区镇域工业发展规划（2021-2025）环境影响报告书》，根据铜梁全区地貌和自然条件、交通要素情况和产业发展基础，考虑镇街产业布局需要，以铜梁高新区和大庙工业园区周边的十个镇街为重点发展区域，共划分为西部、东南部和南部三个片区。虎峰镇属于东南部片区，依托中心镇区规划的工业用地，主要布局发展汽摩零部件制造、机械加工和家具制造。本项目位于虎峰镇石岭村5社，属于铜梁区镇域工业发展规划（2021-2025）环境影响报告书中虎峰镇点状发展区域的范围，主要生产汽车零部件</w:t>
            </w:r>
            <w:r>
              <w:rPr>
                <w:rFonts w:hint="eastAsia" w:ascii="Times New Roman" w:hAnsi="Times New Roman" w:eastAsia="宋体" w:cs="Times New Roman"/>
                <w:kern w:val="0"/>
                <w:sz w:val="24"/>
                <w:szCs w:val="24"/>
              </w:rPr>
              <w:t>和通用零部件</w:t>
            </w:r>
            <w:r>
              <w:rPr>
                <w:rFonts w:ascii="Times New Roman" w:hAnsi="Times New Roman" w:eastAsia="宋体" w:cs="Times New Roman"/>
                <w:kern w:val="0"/>
                <w:sz w:val="24"/>
                <w:szCs w:val="24"/>
              </w:rPr>
              <w:t>，属于汽车零部件及配件制造业，为该片区主要发展行业。</w:t>
            </w:r>
          </w:p>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（2）与《重庆市</w:t>
            </w:r>
            <w:bookmarkStart w:id="3" w:name="_Hlk154477761"/>
            <w:r>
              <w:rPr>
                <w:rFonts w:ascii="Times New Roman" w:hAnsi="Times New Roman" w:eastAsia="宋体" w:cs="Times New Roman"/>
                <w:b/>
                <w:bCs/>
                <w:kern w:val="0"/>
                <w:sz w:val="24"/>
                <w:szCs w:val="24"/>
              </w:rPr>
              <w:t>铜梁区镇域工业集聚区</w:t>
            </w:r>
            <w:bookmarkEnd w:id="3"/>
            <w:r>
              <w:rPr>
                <w:rFonts w:ascii="Times New Roman" w:hAnsi="Times New Roman" w:eastAsia="宋体" w:cs="Times New Roman"/>
                <w:b/>
                <w:bCs/>
                <w:kern w:val="0"/>
                <w:sz w:val="24"/>
                <w:szCs w:val="24"/>
              </w:rPr>
              <w:t>发展规划（2021-2025）环境影响报告书》的符合性分析</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拟建项目位于</w:t>
            </w:r>
            <w:bookmarkStart w:id="4" w:name="_Hlk154477751"/>
            <w:r>
              <w:rPr>
                <w:rFonts w:ascii="Times New Roman" w:hAnsi="Times New Roman" w:eastAsia="宋体" w:cs="Times New Roman"/>
                <w:kern w:val="0"/>
                <w:sz w:val="24"/>
                <w:szCs w:val="24"/>
              </w:rPr>
              <w:t>重庆市铜梁区虎峰镇石岭村5社</w:t>
            </w:r>
            <w:bookmarkEnd w:id="4"/>
            <w:r>
              <w:rPr>
                <w:rFonts w:ascii="Times New Roman" w:hAnsi="Times New Roman" w:eastAsia="宋体" w:cs="Times New Roman"/>
                <w:kern w:val="0"/>
                <w:sz w:val="24"/>
                <w:szCs w:val="24"/>
              </w:rPr>
              <w:t>，与《重庆市铜梁区镇域工业集聚区发展规划（2021-2025）环境影响报告书》相关内容对比分析如下：</w:t>
            </w:r>
          </w:p>
          <w:p>
            <w:pPr>
              <w:autoSpaceDE w:val="0"/>
              <w:autoSpaceDN w:val="0"/>
              <w:adjustRightInd w:val="0"/>
              <w:snapToGrid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表1-1  拟建项目与规划环评符合性分析</w:t>
            </w:r>
          </w:p>
          <w:tbl>
            <w:tblPr>
              <w:tblStyle w:val="18"/>
              <w:tblW w:w="71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58"/>
              <w:gridCol w:w="3120"/>
              <w:gridCol w:w="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295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规划环评情况</w:t>
                  </w:r>
                </w:p>
              </w:tc>
              <w:tc>
                <w:tcPr>
                  <w:tcW w:w="31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拟建项目情况</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空间布局约束</w:t>
                  </w: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小企业创业基地开发建设过程中注意控制开发边界，不得侵占生态保护红线。</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本项目位于虎峰镇点状发展区域，租用原有企业空置厂房，未侵占生态保护红线。</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4" w:type="dxa"/>
                  <w:vMerge w:val="continue"/>
                  <w:vAlign w:val="center"/>
                </w:tcPr>
                <w:p>
                  <w:pPr>
                    <w:jc w:val="center"/>
                    <w:rPr>
                      <w:rFonts w:ascii="Times New Roman" w:hAnsi="Times New Roman" w:eastAsia="宋体" w:cs="Times New Roman"/>
                      <w:szCs w:val="21"/>
                    </w:rPr>
                  </w:pP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禁止新建单机10万千瓦以下和设计寿命期满的单机20万千瓦以下常规燃煤火电机。按照国家要求分步淘汰关停环保、能耗、安全等不达标的30万千瓦以下燃煤机组，并落实相关政策。</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本项目生产过程中使用的能源主要为天然气，不涉及燃煤火电机和燃煤机组。</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污染物排放约束</w:t>
                  </w: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持续推进企业大气污染防治，加强涉及挥发性有机物排放企业的VOCs 的治理，新建涉及喷涂的建设项目鼓励使用环保涂料。</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本项目在生产过程中产生的非甲烷总烃</w:t>
                  </w:r>
                  <w:r>
                    <w:rPr>
                      <w:rFonts w:hint="eastAsia" w:ascii="Times New Roman" w:hAnsi="Times New Roman" w:eastAsia="宋体" w:cs="Times New Roman"/>
                      <w:szCs w:val="21"/>
                    </w:rPr>
                    <w:t>采取治理措施后达标 排放</w:t>
                  </w:r>
                  <w:r>
                    <w:rPr>
                      <w:rFonts w:ascii="Times New Roman" w:hAnsi="Times New Roman" w:eastAsia="宋体" w:cs="Times New Roman"/>
                      <w:szCs w:val="21"/>
                    </w:rPr>
                    <w:t>；项目不涉及喷漆。</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4" w:type="dxa"/>
                  <w:vMerge w:val="continue"/>
                  <w:vAlign w:val="center"/>
                </w:tcPr>
                <w:p>
                  <w:pPr>
                    <w:jc w:val="center"/>
                    <w:rPr>
                      <w:rFonts w:ascii="Times New Roman" w:hAnsi="Times New Roman" w:eastAsia="宋体" w:cs="Times New Roman"/>
                      <w:szCs w:val="21"/>
                    </w:rPr>
                  </w:pP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新建水泥等企业以及燃煤锅炉项目要执行大气污染物特别排放限值。</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本项目不属于水泥等企业以及燃煤锅炉项目。</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jc w:val="center"/>
              </w:trPr>
              <w:tc>
                <w:tcPr>
                  <w:tcW w:w="70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环境风险防控</w:t>
                  </w: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强化工业园区环境风险管控。实施技术、工艺、设备等生态化、循环化改造，加快布局分散的企业向园区集中，按要求设置生态隔离带，建设相应的防护工程。</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本项目位于虎峰镇点状发展区域，将按要求强化环境风险管控。</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jc w:val="center"/>
              </w:trPr>
              <w:tc>
                <w:tcPr>
                  <w:tcW w:w="704" w:type="dxa"/>
                  <w:vMerge w:val="continue"/>
                  <w:vAlign w:val="center"/>
                </w:tcPr>
                <w:p>
                  <w:pPr>
                    <w:jc w:val="center"/>
                    <w:rPr>
                      <w:rFonts w:ascii="Times New Roman" w:hAnsi="Times New Roman" w:eastAsia="宋体" w:cs="Times New Roman"/>
                      <w:szCs w:val="21"/>
                    </w:rPr>
                  </w:pP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强化环境应急队伍建设和物资储备。开展以石化、化工、有色金属采选等行业为重点，加强企业和园区环境应急物资储备。</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w:t>
                  </w:r>
                  <w:r>
                    <w:rPr>
                      <w:rFonts w:hint="eastAsia" w:ascii="Times New Roman" w:hAnsi="Times New Roman" w:eastAsia="宋体" w:cs="Times New Roman"/>
                      <w:szCs w:val="21"/>
                    </w:rPr>
                    <w:t>实施建设后要求企业</w:t>
                  </w:r>
                  <w:r>
                    <w:rPr>
                      <w:rFonts w:ascii="Times New Roman" w:hAnsi="Times New Roman" w:eastAsia="宋体" w:cs="Times New Roman"/>
                      <w:szCs w:val="21"/>
                    </w:rPr>
                    <w:t>强化环境应急物资储备工作。</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704" w:type="dxa"/>
                  <w:vMerge w:val="continue"/>
                  <w:vAlign w:val="center"/>
                </w:tcPr>
                <w:p>
                  <w:pPr>
                    <w:jc w:val="center"/>
                    <w:rPr>
                      <w:rFonts w:ascii="Times New Roman" w:hAnsi="Times New Roman" w:eastAsia="宋体" w:cs="Times New Roman"/>
                      <w:szCs w:val="21"/>
                    </w:rPr>
                  </w:pP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实施有毒有害物质全过程监管。严格新（改、扩）建生产有毒有害化学品项目的审批。</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本项目不属于生产有毒有害化学品项目。</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704" w:type="dxa"/>
                  <w:vMerge w:val="continue"/>
                  <w:vAlign w:val="center"/>
                </w:tcPr>
                <w:p>
                  <w:pPr>
                    <w:jc w:val="center"/>
                    <w:rPr>
                      <w:rFonts w:ascii="Times New Roman" w:hAnsi="Times New Roman" w:eastAsia="宋体" w:cs="Times New Roman"/>
                      <w:szCs w:val="21"/>
                    </w:rPr>
                  </w:pP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禁止建设存在重大环境安全隐患的工业项目。</w:t>
                  </w:r>
                </w:p>
              </w:tc>
              <w:tc>
                <w:tcPr>
                  <w:tcW w:w="3120" w:type="dxa"/>
                  <w:vAlign w:val="center"/>
                </w:tcPr>
                <w:p>
                  <w:pPr>
                    <w:rPr>
                      <w:rFonts w:ascii="Times New Roman" w:hAnsi="Times New Roman" w:eastAsia="宋体" w:cs="Times New Roman"/>
                      <w:szCs w:val="21"/>
                    </w:rPr>
                  </w:pPr>
                  <w:r>
                    <w:rPr>
                      <w:rFonts w:ascii="Times New Roman" w:hAnsi="Times New Roman" w:eastAsia="宋体" w:cs="Times New Roman"/>
                      <w:szCs w:val="21"/>
                    </w:rPr>
                    <w:t>本项目不属于存在重大环境安全隐患的工业项目。</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70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资源开发利用要求</w:t>
                  </w: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在高污染燃料禁燃区内，禁止销售、燃用高污染燃料；现有使用高污染燃料的设施应当限期淘汰或者改用天然气、页岩气、电、风能等其他清洁能源。</w:t>
                  </w:r>
                </w:p>
              </w:tc>
              <w:tc>
                <w:tcPr>
                  <w:tcW w:w="3120"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本项目生产过程主要以清洁能源天然气为主，清洁生产水平可达到国内先进水平，不使用燃煤。</w:t>
                  </w: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704" w:type="dxa"/>
                  <w:vMerge w:val="continue"/>
                  <w:vAlign w:val="center"/>
                </w:tcPr>
                <w:p>
                  <w:pPr>
                    <w:jc w:val="center"/>
                    <w:rPr>
                      <w:rFonts w:ascii="Times New Roman" w:hAnsi="Times New Roman" w:eastAsia="宋体" w:cs="Times New Roman"/>
                      <w:szCs w:val="21"/>
                    </w:rPr>
                  </w:pP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新建和改造的工业项目清洁生产水平不得低于国家清洁生产标准的国内基本水平。其中，“一小时经济圈”和国家级开发区内的，应达到国内先进水平。重点控制区域内（主城区、近郊区）新建高耗能项目单位产品（产值）能耗要达到国际先进水平。</w:t>
                  </w:r>
                </w:p>
              </w:tc>
              <w:tc>
                <w:tcPr>
                  <w:tcW w:w="3120" w:type="dxa"/>
                  <w:vMerge w:val="continue"/>
                  <w:vAlign w:val="center"/>
                </w:tcPr>
                <w:p>
                  <w:pPr>
                    <w:rPr>
                      <w:rFonts w:ascii="Times New Roman" w:hAnsi="Times New Roman" w:eastAsia="宋体" w:cs="Times New Roman"/>
                      <w:szCs w:val="21"/>
                    </w:rPr>
                  </w:pP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704" w:type="dxa"/>
                  <w:vMerge w:val="continue"/>
                  <w:vAlign w:val="center"/>
                </w:tcPr>
                <w:p>
                  <w:pPr>
                    <w:jc w:val="center"/>
                    <w:rPr>
                      <w:rFonts w:ascii="Times New Roman" w:hAnsi="Times New Roman" w:eastAsia="宋体" w:cs="Times New Roman"/>
                      <w:szCs w:val="21"/>
                    </w:rPr>
                  </w:pPr>
                </w:p>
              </w:tc>
              <w:tc>
                <w:tcPr>
                  <w:tcW w:w="2958" w:type="dxa"/>
                  <w:vAlign w:val="center"/>
                </w:tcPr>
                <w:p>
                  <w:pPr>
                    <w:rPr>
                      <w:rFonts w:ascii="Times New Roman" w:hAnsi="Times New Roman" w:eastAsia="宋体" w:cs="Times New Roman"/>
                      <w:szCs w:val="21"/>
                    </w:rPr>
                  </w:pPr>
                  <w:r>
                    <w:rPr>
                      <w:rFonts w:ascii="Times New Roman" w:hAnsi="Times New Roman" w:eastAsia="宋体" w:cs="Times New Roman"/>
                      <w:szCs w:val="21"/>
                    </w:rPr>
                    <w:t>新建耗煤项目实行煤炭减量替代，加强煤层气（煤矿瓦斯）综合利用。大力推进散煤治理，按照煤炭集中使用、清洁利用的原则，重点削减非电力用煤，提高电力用煤比例。</w:t>
                  </w:r>
                </w:p>
              </w:tc>
              <w:tc>
                <w:tcPr>
                  <w:tcW w:w="3120" w:type="dxa"/>
                  <w:vMerge w:val="continue"/>
                  <w:vAlign w:val="center"/>
                </w:tcPr>
                <w:p>
                  <w:pPr>
                    <w:rPr>
                      <w:rFonts w:ascii="Times New Roman" w:hAnsi="Times New Roman" w:eastAsia="宋体" w:cs="Times New Roman"/>
                      <w:szCs w:val="21"/>
                    </w:rPr>
                  </w:pPr>
                </w:p>
              </w:tc>
              <w:tc>
                <w:tcPr>
                  <w:tcW w:w="3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70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总量管控</w:t>
                  </w:r>
                </w:p>
              </w:tc>
              <w:tc>
                <w:tcPr>
                  <w:tcW w:w="2958"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根据规划环评核定原铜梁区钢隆纸业有限公司总量指标为：总V</w:t>
                  </w:r>
                  <w:r>
                    <w:rPr>
                      <w:rFonts w:ascii="Times New Roman" w:hAnsi="Times New Roman" w:eastAsia="宋体" w:cs="Times New Roman"/>
                      <w:szCs w:val="21"/>
                    </w:rPr>
                    <w:t>OC</w:t>
                  </w:r>
                  <w:r>
                    <w:rPr>
                      <w:rFonts w:hint="eastAsia" w:ascii="Times New Roman" w:hAnsi="Times New Roman" w:eastAsia="宋体" w:cs="Times New Roman"/>
                      <w:szCs w:val="21"/>
                    </w:rPr>
                    <w:t>s</w:t>
                  </w:r>
                  <w:r>
                    <w:rPr>
                      <w:rFonts w:ascii="Times New Roman" w:hAnsi="Times New Roman" w:eastAsia="宋体" w:cs="Times New Roman"/>
                      <w:szCs w:val="21"/>
                    </w:rPr>
                    <w:t>:1.333</w:t>
                  </w:r>
                  <w:r>
                    <w:rPr>
                      <w:rFonts w:hint="eastAsia" w:ascii="Times New Roman" w:hAnsi="Times New Roman" w:eastAsia="宋体" w:cs="Times New Roman"/>
                      <w:szCs w:val="21"/>
                    </w:rPr>
                    <w:t>t/a、颗粒物：3</w:t>
                  </w:r>
                  <w:r>
                    <w:rPr>
                      <w:rFonts w:ascii="Times New Roman" w:hAnsi="Times New Roman" w:eastAsia="宋体" w:cs="Times New Roman"/>
                      <w:szCs w:val="21"/>
                    </w:rPr>
                    <w:t>0.067</w:t>
                  </w:r>
                  <w:r>
                    <w:rPr>
                      <w:rFonts w:hint="eastAsia" w:ascii="Times New Roman" w:hAnsi="Times New Roman" w:eastAsia="宋体" w:cs="Times New Roman"/>
                      <w:szCs w:val="21"/>
                    </w:rPr>
                    <w:t>t/a、S</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hint="eastAsia" w:ascii="Times New Roman" w:hAnsi="Times New Roman" w:eastAsia="宋体" w:cs="Times New Roman"/>
                      <w:szCs w:val="21"/>
                    </w:rPr>
                    <w:t>:</w:t>
                  </w:r>
                  <w:r>
                    <w:rPr>
                      <w:rFonts w:ascii="Times New Roman" w:hAnsi="Times New Roman" w:eastAsia="宋体" w:cs="Times New Roman"/>
                      <w:szCs w:val="21"/>
                    </w:rPr>
                    <w:t>2.467</w:t>
                  </w:r>
                  <w:r>
                    <w:rPr>
                      <w:rFonts w:hint="eastAsia" w:ascii="Times New Roman" w:hAnsi="Times New Roman" w:eastAsia="宋体" w:cs="Times New Roman"/>
                      <w:szCs w:val="21"/>
                    </w:rPr>
                    <w:t>t/a、N</w:t>
                  </w:r>
                  <w:r>
                    <w:rPr>
                      <w:rFonts w:ascii="Times New Roman" w:hAnsi="Times New Roman" w:eastAsia="宋体" w:cs="Times New Roman"/>
                      <w:szCs w:val="21"/>
                    </w:rPr>
                    <w:t>O</w:t>
                  </w:r>
                  <w:r>
                    <w:rPr>
                      <w:rFonts w:ascii="Times New Roman" w:hAnsi="Times New Roman" w:eastAsia="宋体" w:cs="Times New Roman"/>
                      <w:szCs w:val="21"/>
                      <w:vertAlign w:val="subscript"/>
                    </w:rPr>
                    <w:t>X</w:t>
                  </w:r>
                  <w:r>
                    <w:rPr>
                      <w:rFonts w:hint="eastAsia" w:ascii="Times New Roman" w:hAnsi="Times New Roman" w:eastAsia="宋体" w:cs="Times New Roman"/>
                      <w:szCs w:val="21"/>
                    </w:rPr>
                    <w:t>：</w:t>
                  </w:r>
                  <w:r>
                    <w:rPr>
                      <w:rFonts w:ascii="Times New Roman" w:hAnsi="Times New Roman" w:eastAsia="宋体" w:cs="Times New Roman"/>
                      <w:szCs w:val="21"/>
                    </w:rPr>
                    <w:t>5.333</w:t>
                  </w:r>
                  <w:r>
                    <w:rPr>
                      <w:rFonts w:hint="eastAsia" w:ascii="Times New Roman" w:hAnsi="Times New Roman" w:eastAsia="宋体" w:cs="Times New Roman"/>
                      <w:szCs w:val="21"/>
                    </w:rPr>
                    <w:t>t/a。</w:t>
                  </w:r>
                </w:p>
              </w:tc>
              <w:tc>
                <w:tcPr>
                  <w:tcW w:w="3120" w:type="dxa"/>
                  <w:vAlign w:val="center"/>
                </w:tcPr>
                <w:p>
                  <w:pPr>
                    <w:rPr>
                      <w:rFonts w:ascii="Times New Roman" w:hAnsi="Times New Roman" w:eastAsia="宋体" w:cs="Times New Roman"/>
                      <w:szCs w:val="21"/>
                    </w:rPr>
                  </w:pPr>
                  <w:bookmarkStart w:id="27" w:name="_GoBack"/>
                  <w:bookmarkEnd w:id="27"/>
                  <w:r>
                    <w:rPr>
                      <w:rFonts w:hint="eastAsia" w:ascii="Times New Roman" w:hAnsi="Times New Roman" w:eastAsia="宋体" w:cs="Times New Roman"/>
                      <w:szCs w:val="21"/>
                      <w:lang w:eastAsia="zh-CN"/>
                    </w:rPr>
                    <w:t>截至目前</w:t>
                  </w:r>
                  <w:r>
                    <w:rPr>
                      <w:rFonts w:hint="eastAsia" w:ascii="Times New Roman" w:hAnsi="Times New Roman" w:eastAsia="宋体" w:cs="Times New Roman"/>
                      <w:szCs w:val="21"/>
                    </w:rPr>
                    <w:t>，租赁钢隆纸业公司工业用地的企业共计2家（详见附件1</w:t>
                  </w:r>
                  <w:r>
                    <w:rPr>
                      <w:rFonts w:ascii="Times New Roman" w:hAnsi="Times New Roman" w:eastAsia="宋体" w:cs="Times New Roman"/>
                      <w:szCs w:val="21"/>
                    </w:rPr>
                    <w:t>4</w:t>
                  </w:r>
                  <w:r>
                    <w:rPr>
                      <w:rFonts w:hint="eastAsia" w:ascii="Times New Roman" w:hAnsi="Times New Roman" w:eastAsia="宋体" w:cs="Times New Roman"/>
                      <w:szCs w:val="21"/>
                    </w:rPr>
                    <w:t>相关企业批文内容），其中重庆圣航机械有限公司排放污染物量为：V</w:t>
                  </w:r>
                  <w:r>
                    <w:rPr>
                      <w:rFonts w:ascii="Times New Roman" w:hAnsi="Times New Roman" w:eastAsia="宋体" w:cs="Times New Roman"/>
                      <w:szCs w:val="21"/>
                    </w:rPr>
                    <w:t>OCs:0.075t/a、颗粒物</w:t>
                  </w:r>
                  <w:r>
                    <w:rPr>
                      <w:rFonts w:hint="eastAsia" w:ascii="Times New Roman" w:hAnsi="Times New Roman" w:eastAsia="宋体" w:cs="Times New Roman"/>
                      <w:szCs w:val="21"/>
                    </w:rPr>
                    <w:t>:</w:t>
                  </w:r>
                  <w:r>
                    <w:rPr>
                      <w:rFonts w:ascii="Times New Roman" w:hAnsi="Times New Roman" w:eastAsia="宋体" w:cs="Times New Roman"/>
                      <w:szCs w:val="21"/>
                    </w:rPr>
                    <w:t>0.971t/a、</w:t>
                  </w:r>
                  <w:r>
                    <w:rPr>
                      <w:rFonts w:hint="eastAsia" w:ascii="Times New Roman" w:hAnsi="Times New Roman" w:eastAsia="宋体" w:cs="Times New Roman"/>
                      <w:szCs w:val="21"/>
                    </w:rPr>
                    <w:t>S</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hint="eastAsia" w:ascii="Times New Roman" w:hAnsi="Times New Roman" w:eastAsia="宋体" w:cs="Times New Roman"/>
                      <w:szCs w:val="21"/>
                    </w:rPr>
                    <w:t>:</w:t>
                  </w:r>
                  <w:r>
                    <w:rPr>
                      <w:rFonts w:ascii="Times New Roman" w:hAnsi="Times New Roman" w:eastAsia="宋体" w:cs="Times New Roman"/>
                      <w:szCs w:val="21"/>
                    </w:rPr>
                    <w:t>0.355t/a、</w:t>
                  </w:r>
                  <w:r>
                    <w:rPr>
                      <w:rFonts w:hint="eastAsia" w:ascii="Times New Roman" w:hAnsi="Times New Roman" w:eastAsia="宋体" w:cs="Times New Roman"/>
                      <w:szCs w:val="21"/>
                    </w:rPr>
                    <w:t>N</w:t>
                  </w:r>
                  <w:r>
                    <w:rPr>
                      <w:rFonts w:ascii="Times New Roman" w:hAnsi="Times New Roman" w:eastAsia="宋体" w:cs="Times New Roman"/>
                      <w:szCs w:val="21"/>
                    </w:rPr>
                    <w:t>O</w:t>
                  </w:r>
                  <w:r>
                    <w:rPr>
                      <w:rFonts w:ascii="Times New Roman" w:hAnsi="Times New Roman" w:eastAsia="宋体" w:cs="Times New Roman"/>
                      <w:szCs w:val="21"/>
                      <w:vertAlign w:val="subscript"/>
                    </w:rPr>
                    <w:t>X</w:t>
                  </w:r>
                  <w:r>
                    <w:rPr>
                      <w:rFonts w:ascii="Times New Roman" w:hAnsi="Times New Roman" w:eastAsia="宋体" w:cs="Times New Roman"/>
                      <w:szCs w:val="21"/>
                    </w:rPr>
                    <w:t>：0.076t/a</w:t>
                  </w:r>
                  <w:r>
                    <w:rPr>
                      <w:rFonts w:hint="eastAsia" w:ascii="Times New Roman" w:hAnsi="Times New Roman" w:eastAsia="宋体" w:cs="Times New Roman"/>
                      <w:szCs w:val="21"/>
                    </w:rPr>
                    <w:t>；重庆赛达机械配件有限公司排放污染物量为：</w:t>
                  </w:r>
                  <w:r>
                    <w:rPr>
                      <w:rFonts w:ascii="Times New Roman" w:hAnsi="Times New Roman" w:eastAsia="宋体" w:cs="Times New Roman"/>
                      <w:szCs w:val="21"/>
                    </w:rPr>
                    <w:t>颗粒物：0.7514t/a</w:t>
                  </w:r>
                  <w:r>
                    <w:rPr>
                      <w:rFonts w:hint="eastAsia" w:ascii="Times New Roman" w:hAnsi="Times New Roman" w:eastAsia="宋体" w:cs="Times New Roman"/>
                      <w:szCs w:val="21"/>
                    </w:rPr>
                    <w:t>。</w:t>
                  </w:r>
                </w:p>
                <w:p>
                  <w:pPr>
                    <w:rPr>
                      <w:rFonts w:ascii="Times New Roman" w:hAnsi="Times New Roman" w:eastAsia="宋体" w:cs="Times New Roman"/>
                      <w:szCs w:val="21"/>
                    </w:rPr>
                  </w:pPr>
                  <w:r>
                    <w:rPr>
                      <w:rFonts w:hint="eastAsia" w:ascii="Times New Roman" w:hAnsi="Times New Roman" w:eastAsia="宋体" w:cs="Times New Roman"/>
                      <w:szCs w:val="21"/>
                    </w:rPr>
                    <w:t>因此钢隆纸业公司工业用地剩余总量为V</w:t>
                  </w:r>
                  <w:r>
                    <w:rPr>
                      <w:rFonts w:ascii="Times New Roman" w:hAnsi="Times New Roman" w:eastAsia="宋体" w:cs="Times New Roman"/>
                      <w:szCs w:val="21"/>
                    </w:rPr>
                    <w:t>OCs:1.258t/a、颗粒物：28.3446t/a、</w:t>
                  </w:r>
                  <w:r>
                    <w:rPr>
                      <w:rFonts w:hint="eastAsia" w:ascii="Times New Roman" w:hAnsi="Times New Roman" w:eastAsia="宋体" w:cs="Times New Roman"/>
                      <w:szCs w:val="21"/>
                    </w:rPr>
                    <w:t>S</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hint="eastAsia" w:ascii="Times New Roman" w:hAnsi="Times New Roman" w:eastAsia="宋体" w:cs="Times New Roman"/>
                      <w:szCs w:val="21"/>
                    </w:rPr>
                    <w:t>:</w:t>
                  </w:r>
                  <w:r>
                    <w:rPr>
                      <w:rFonts w:ascii="Times New Roman" w:hAnsi="Times New Roman" w:eastAsia="宋体" w:cs="Times New Roman"/>
                      <w:szCs w:val="21"/>
                    </w:rPr>
                    <w:t>2.112t/a、</w:t>
                  </w:r>
                  <w:r>
                    <w:rPr>
                      <w:rFonts w:hint="eastAsia" w:ascii="Times New Roman" w:hAnsi="Times New Roman" w:eastAsia="宋体" w:cs="Times New Roman"/>
                      <w:szCs w:val="21"/>
                    </w:rPr>
                    <w:t>N</w:t>
                  </w:r>
                  <w:r>
                    <w:rPr>
                      <w:rFonts w:ascii="Times New Roman" w:hAnsi="Times New Roman" w:eastAsia="宋体" w:cs="Times New Roman"/>
                      <w:szCs w:val="21"/>
                    </w:rPr>
                    <w:t>O</w:t>
                  </w:r>
                  <w:r>
                    <w:rPr>
                      <w:rFonts w:ascii="Times New Roman" w:hAnsi="Times New Roman" w:eastAsia="宋体" w:cs="Times New Roman"/>
                      <w:szCs w:val="21"/>
                      <w:vertAlign w:val="subscript"/>
                    </w:rPr>
                    <w:t>X</w:t>
                  </w:r>
                  <w:r>
                    <w:rPr>
                      <w:rFonts w:ascii="Times New Roman" w:hAnsi="Times New Roman" w:eastAsia="宋体" w:cs="Times New Roman"/>
                      <w:szCs w:val="21"/>
                    </w:rPr>
                    <w:t>：5.257t/a。</w:t>
                  </w:r>
                </w:p>
                <w:p>
                  <w:pPr>
                    <w:rPr>
                      <w:rFonts w:ascii="Times New Roman" w:hAnsi="Times New Roman" w:eastAsia="宋体" w:cs="Times New Roman"/>
                      <w:szCs w:val="21"/>
                    </w:rPr>
                  </w:pPr>
                  <w:r>
                    <w:rPr>
                      <w:rFonts w:hint="eastAsia" w:ascii="Times New Roman" w:hAnsi="Times New Roman" w:eastAsia="宋体" w:cs="Times New Roman"/>
                      <w:szCs w:val="21"/>
                    </w:rPr>
                    <w:t>本项目排放污染物量为</w:t>
                  </w:r>
                  <w:r>
                    <w:rPr>
                      <w:rFonts w:ascii="Times New Roman" w:hAnsi="Times New Roman" w:eastAsia="宋体" w:cs="Times New Roman"/>
                      <w:szCs w:val="21"/>
                    </w:rPr>
                    <w:t>颗粒物：0.218t/a、</w:t>
                  </w:r>
                  <w:r>
                    <w:rPr>
                      <w:rFonts w:hint="eastAsia" w:ascii="Times New Roman" w:hAnsi="Times New Roman" w:eastAsia="宋体" w:cs="Times New Roman"/>
                      <w:szCs w:val="21"/>
                    </w:rPr>
                    <w:t>S</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hint="eastAsia" w:ascii="Times New Roman" w:hAnsi="Times New Roman" w:eastAsia="宋体" w:cs="Times New Roman"/>
                      <w:szCs w:val="21"/>
                    </w:rPr>
                    <w:t>:</w:t>
                  </w:r>
                  <w:r>
                    <w:rPr>
                      <w:rFonts w:ascii="Times New Roman" w:hAnsi="Times New Roman" w:eastAsia="宋体" w:cs="Times New Roman"/>
                      <w:szCs w:val="21"/>
                    </w:rPr>
                    <w:t>0.017t/a、</w:t>
                  </w:r>
                  <w:r>
                    <w:rPr>
                      <w:rFonts w:hint="eastAsia" w:ascii="Times New Roman" w:hAnsi="Times New Roman" w:eastAsia="宋体" w:cs="Times New Roman"/>
                      <w:szCs w:val="21"/>
                    </w:rPr>
                    <w:t>N</w:t>
                  </w:r>
                  <w:r>
                    <w:rPr>
                      <w:rFonts w:ascii="Times New Roman" w:hAnsi="Times New Roman" w:eastAsia="宋体" w:cs="Times New Roman"/>
                      <w:szCs w:val="21"/>
                    </w:rPr>
                    <w:t>O</w:t>
                  </w:r>
                  <w:r>
                    <w:rPr>
                      <w:rFonts w:ascii="Times New Roman" w:hAnsi="Times New Roman" w:eastAsia="宋体" w:cs="Times New Roman"/>
                      <w:szCs w:val="21"/>
                      <w:vertAlign w:val="subscript"/>
                    </w:rPr>
                    <w:t>X</w:t>
                  </w:r>
                  <w:r>
                    <w:rPr>
                      <w:rFonts w:ascii="Times New Roman" w:hAnsi="Times New Roman" w:eastAsia="宋体" w:cs="Times New Roman"/>
                      <w:szCs w:val="21"/>
                    </w:rPr>
                    <w:t>：0.163t/a</w:t>
                  </w:r>
                  <w:r>
                    <w:rPr>
                      <w:rFonts w:hint="eastAsia" w:ascii="Times New Roman" w:hAnsi="Times New Roman" w:eastAsia="宋体" w:cs="Times New Roman"/>
                      <w:szCs w:val="21"/>
                    </w:rPr>
                    <w:t>、非甲烷总烃0</w:t>
                  </w:r>
                  <w:r>
                    <w:rPr>
                      <w:rFonts w:ascii="Times New Roman" w:hAnsi="Times New Roman" w:eastAsia="宋体" w:cs="Times New Roman"/>
                      <w:szCs w:val="21"/>
                    </w:rPr>
                    <w:t>.608</w:t>
                  </w:r>
                  <w:r>
                    <w:rPr>
                      <w:rFonts w:hint="eastAsia" w:ascii="Times New Roman" w:hAnsi="Times New Roman" w:eastAsia="宋体" w:cs="Times New Roman"/>
                      <w:szCs w:val="21"/>
                    </w:rPr>
                    <w:t>t/a。钢隆纸业剩余总量满足本项目需求。</w:t>
                  </w:r>
                </w:p>
              </w:tc>
              <w:tc>
                <w:tcPr>
                  <w:tcW w:w="34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bl>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由上表可知：本项目符合《重庆市铜梁区镇域工业集聚区发展规划（2021~2025）环境影响报告书》中虎峰镇点状发展区域的产业定位，本项目为汽车零部件制造，符合虎峰镇点状发展区域的规划定位。</w:t>
            </w:r>
          </w:p>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（3）与《关于重庆市铜梁区镇域工业集聚区发展规划（2021~2025）环境影响报告书审查意见的函》（渝环函〔2020〕290号）符合性分析</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与《重庆市铜梁区镇域工业集聚区发展规划（2021~2025）环境影响报告书审查意见的函》（渝环函〔2020〕290号）相关内容对比分析如下：</w:t>
            </w:r>
          </w:p>
          <w:p>
            <w:pPr>
              <w:autoSpaceDE w:val="0"/>
              <w:autoSpaceDN w:val="0"/>
              <w:adjustRightInd w:val="0"/>
              <w:snapToGrid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表1-2  与渝环函〔2020〕290号符合性分析</w:t>
            </w:r>
          </w:p>
          <w:tbl>
            <w:tblPr>
              <w:tblStyle w:val="18"/>
              <w:tblW w:w="69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3836"/>
              <w:gridCol w:w="1819"/>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3836"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审查意见的函中相关要求</w:t>
                  </w:r>
                </w:p>
              </w:tc>
              <w:tc>
                <w:tcPr>
                  <w:tcW w:w="1819"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本项目情况</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一）强化空间管控，优化布局。工业集聚区场镇居住区上风向严格管控有机废气排放或易扰民的企业。工业集聚区不得占用生态保护红线、自然保护地、饮用水源保护区等环境敏感区，位于以上环境敏感区的现有工业企业，应根据相关保护要求强化污染治理或逐步退出。</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本项目位于虎峰镇点状发展区域，未占用生态保护红线、自然保护地、饮用水源保护区等环境敏感区。</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6"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二）严格环境准入、推动产业高质量发展。规划区应不断优化产业发展方向，严格落实报告书制定的生态环境准入清单要求。除在工业用地上“零土地”（不涉及新增建设用地）技术改造升级“两不增”（不增加污染物排放总量、不增大环境风险）的建设项目、或在安全或者产业布局等方面有特殊要求的项目外，新建有污染物排放的工业项目应当进入工业集聚区或工业园区。</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本项目位于虎峰镇点状发展区域，属于工业集聚区</w:t>
                  </w:r>
                  <w:r>
                    <w:rPr>
                      <w:rFonts w:hint="eastAsia" w:ascii="Times New Roman" w:hAnsi="Times New Roman" w:eastAsia="宋体" w:cs="Times New Roman"/>
                      <w:szCs w:val="21"/>
                    </w:rPr>
                    <w:t>（中心镇区外）</w:t>
                  </w:r>
                  <w:r>
                    <w:rPr>
                      <w:rFonts w:ascii="Times New Roman" w:hAnsi="Times New Roman" w:eastAsia="宋体" w:cs="Times New Roman"/>
                      <w:szCs w:val="21"/>
                    </w:rPr>
                    <w:t>，租用钢隆纸业空置厂房生产，不新增建设用地。本项目污染物的排放总量主要来源于钢隆纸业的污染物排放总量，项目属于汽车零部件制造业，不</w:t>
                  </w:r>
                  <w:r>
                    <w:rPr>
                      <w:rFonts w:hint="eastAsia" w:ascii="Times New Roman" w:hAnsi="Times New Roman" w:eastAsia="宋体" w:cs="Times New Roman"/>
                      <w:szCs w:val="21"/>
                    </w:rPr>
                    <w:t>会</w:t>
                  </w:r>
                  <w:r>
                    <w:rPr>
                      <w:rFonts w:ascii="Times New Roman" w:hAnsi="Times New Roman" w:eastAsia="宋体" w:cs="Times New Roman"/>
                      <w:szCs w:val="21"/>
                    </w:rPr>
                    <w:t>增大环境风险。</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三）加强大气污染防治。严格落实清洁能源计划，禁止新建20蒸吨以下的燃煤锅炉；工业废气应采取有效治理措施，涉及涂装工序、涂料使用的项目，鼓励使用水性、高固份等环保涂料；严格落实挥发性有机物污染防治政策要求；工业企业严格执行大气污染物特别排放限值；严格限制排放重金属（汞、铬、镉、铅和类金属砷）废气的工业项目。</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本项目生产过程中使用熔化炉，燃烧废气经15m高排气筒排放；生产过程中不涉及喷涂工序、涂料使用；不排放重金属废气。</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四）加强水环境保护。推进工业集聚区污水集中收集处理，与生活污水性质相似的工业废水满足接管要求后可以排入镇街污水处理厂。采取源头防治为主的原则，落实分区、分级防渗措施，防止规划实施对区域地下水环境的污染。应按监测计划定期开展地下水跟踪监测工作，并根据监测结论督促相关企业完善相应的地下水污染防治措施。</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w:t>
                  </w:r>
                  <w:r>
                    <w:rPr>
                      <w:rFonts w:hint="eastAsia" w:ascii="Times New Roman" w:hAnsi="Times New Roman" w:eastAsia="宋体" w:cs="Times New Roman"/>
                      <w:szCs w:val="21"/>
                    </w:rPr>
                    <w:t>生产过程中不涉及工业废水排放</w:t>
                  </w:r>
                  <w:r>
                    <w:rPr>
                      <w:rFonts w:ascii="Times New Roman" w:hAnsi="Times New Roman" w:eastAsia="宋体" w:cs="Times New Roman"/>
                      <w:szCs w:val="21"/>
                    </w:rPr>
                    <w:t>；生活废水经厂区生化池处理后用作农肥。</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五）做好固体废物及土壤污染防控。一般工业固废应遵循减量化、资源化、无害化原则，从生产流程上削减固体废物的排放量；严格落实危险废物环境管理制度，对危险废物收集、贮存、运输、利用、处置各环节进行全过程环境监管。严格执行土壤污染状况调查、风险评估和污染土壤修复制度，建立污染地块目录及其开发利用的负面清单，土地开发利用必须满足规划用地土壤环境质量要求；强化工业企业土壤污染防治，避免对农用地造成不利影响。</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设置一般固废暂存间、危废暂存间和生活垃圾收集点。一般固体废物和危险废物分类收集后分暂存于一般固体废物暂存间和危废暂存间，定期交由有处理资质的单位处理；生活垃圾由环卫部门统一清运。厂房地面已硬化，不会对土壤造成污染。</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6</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（六）强化噪声污染防控。合理布局企业噪声源，高噪声企业选址和布局应满足相应的环境防护距离要求。选择低噪声设备，采取消声、隔声、减振等措施，确保厂界噪声达标和不得扰民。</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本项目对产生噪声的设备采取隔声减振等措施降噪，厂界噪声达标排放。</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7</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七）强化环境风险防控。高度重视环境风险防范体系建设，建立健全环境风险防控体系，严格落实各项环境风险防范措施，开展突发环境事件风险评估和应急预案编制工作。定期开展突发环境事件应急演练，保障区域环境安全。</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本项目通过提出环境风险防范措施，制定可行的应急预案，环境风险较小。</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8</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八）规范环境管理。加强日常环境监管，落实建设项目环境影响评价和固定污染源排污许可制度。建立包括环境空气、地表水、地下水、土壤等环境要素的监控体系，落实跟踪环境监测计划。适时开展环境影响跟踪评价，规划在实施过程中，若规划目标、产业定位、布局等方面进行重大调整或者修订，应重新进行规划环境影响评价。</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本项目按要求开展环境影响评价并严格执行固定污染源排放许可制度。</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58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9</w:t>
                  </w:r>
                </w:p>
              </w:tc>
              <w:tc>
                <w:tcPr>
                  <w:tcW w:w="3836"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九）积极推进规划环评与“三线一单”的联动以及建设项目环评与规划环评的联动。强化规划环评与铜梁区“三线一单”（生态保护红线、环境质量底线、资源利用上线、生态环境准入清单）的联动，主要管控措施应符合铜梁区“三线一单”要求。规划区内建设项目在开展环境影响评价时，应结合生态空间保护与管控要求，在落实环境质量底线的基础上深入论证项目建设可能产生的生态环境影响，严格生态环境准入要求，执行切实可行的污染防治和环境风险防控措施，预防或者减轻建设项目实施可能产生的不良环境影响。对与规划主导产业定位相符的建设项目，其环境政策性、环境现状调查等内容可适当简化。</w:t>
                  </w:r>
                </w:p>
              </w:tc>
              <w:tc>
                <w:tcPr>
                  <w:tcW w:w="1819" w:type="dxa"/>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本项目位于重庆市铜梁区虎峰镇点状发展区域，符合铜梁区“三线一单”要求。</w:t>
                  </w:r>
                </w:p>
              </w:tc>
              <w:tc>
                <w:tcPr>
                  <w:tcW w:w="702" w:type="dxa"/>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根据表1-1和表1-2可知，拟建项目不属于“限制”、“禁止”清单，符合规划要求，根据非禁既入的原则，项目与规划及批复要求不冲突。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jc w:val="center"/>
        </w:trPr>
        <w:tc>
          <w:tcPr>
            <w:tcW w:w="1124"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2"/>
              </w:rPr>
              <w:t>其他符合性分析</w:t>
            </w:r>
          </w:p>
        </w:tc>
        <w:tc>
          <w:tcPr>
            <w:tcW w:w="7938" w:type="dxa"/>
            <w:gridSpan w:val="4"/>
            <w:vAlign w:val="center"/>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1.1  “三线一单”的符合性分析</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本项目位于重庆市铜梁区虎峰镇石岭村5社12号，租用钢隆纸业现有厂房，根据铜梁区“三线一单”图集可知，本项目位置属于重点管控单元（铜梁区重点管控单元-小安溪段家塘，编号：ZH50015120001），详见</w:t>
            </w:r>
            <w:r>
              <w:rPr>
                <w:rFonts w:ascii="Times New Roman" w:hAnsi="Times New Roman" w:eastAsia="宋体" w:cs="Times New Roman"/>
                <w:b/>
                <w:bCs/>
                <w:kern w:val="0"/>
                <w:sz w:val="24"/>
                <w:szCs w:val="24"/>
                <w:u w:val="single"/>
              </w:rPr>
              <w:t>附图6</w:t>
            </w:r>
            <w:r>
              <w:rPr>
                <w:rFonts w:ascii="Times New Roman" w:hAnsi="Times New Roman" w:eastAsia="宋体" w:cs="Times New Roman"/>
                <w:kern w:val="0"/>
                <w:sz w:val="24"/>
                <w:szCs w:val="24"/>
              </w:rPr>
              <w:t>。</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本项目与“三线一单”的符合性分析见表1.1-1。</w:t>
            </w:r>
          </w:p>
          <w:p>
            <w:pPr>
              <w:autoSpaceDE w:val="0"/>
              <w:autoSpaceDN w:val="0"/>
              <w:adjustRightInd w:val="0"/>
              <w:snapToGrid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表1.1-1  与“三线一单”符合性分析</w:t>
            </w:r>
          </w:p>
          <w:tbl>
            <w:tblPr>
              <w:tblStyle w:val="18"/>
              <w:tblW w:w="74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425"/>
              <w:gridCol w:w="2012"/>
              <w:gridCol w:w="1953"/>
              <w:gridCol w:w="332"/>
              <w:gridCol w:w="1735"/>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2925" w:type="dxa"/>
                  <w:gridSpan w:val="3"/>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环境管控单元编码</w:t>
                  </w:r>
                </w:p>
              </w:tc>
              <w:tc>
                <w:tcPr>
                  <w:tcW w:w="228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环境管控单元名称</w:t>
                  </w:r>
                </w:p>
              </w:tc>
              <w:tc>
                <w:tcPr>
                  <w:tcW w:w="228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2925" w:type="dxa"/>
                  <w:gridSpan w:val="3"/>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ZH50015120001</w:t>
                  </w:r>
                </w:p>
              </w:tc>
              <w:tc>
                <w:tcPr>
                  <w:tcW w:w="228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铜梁区重点管控单元-小安溪段家塘</w:t>
                  </w:r>
                </w:p>
              </w:tc>
              <w:tc>
                <w:tcPr>
                  <w:tcW w:w="228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铜梁区重点管控单元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管控要求层级</w:t>
                  </w:r>
                </w:p>
              </w:tc>
              <w:tc>
                <w:tcPr>
                  <w:tcW w:w="4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管控类别</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总体管控要求</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拟建项目实际情况</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全市总体管控要求</w:t>
                  </w:r>
                </w:p>
              </w:tc>
              <w:tc>
                <w:tcPr>
                  <w:tcW w:w="4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空间布局约束</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2.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3.在长江鱼嘴以上江段及其一级支流汇入口上游20公里、嘉陵江及其一级支流汇入口上游20公里、集中式饮用水水源取水口上游20公里范围内的沿岸地区（江河50年一遇洪水位向陆域一侧1公里范围内），禁止新建、扩建排放重点重金属（铬、镉、汞、砷、铅等五类重金属）、剧毒物质和持久性有机污染物的工业项目。4.严格执行相关行业企业布局选址要求，优化环境防护距离设置，按要求设置生态隔离带，防范工业园区（工业集聚区）涉生态环境“邻避”问题，将环境防护距离优化控制在园区边界或用地红线以内。5.加快布局分散的企业向园区集中，鼓励现有工业项目、化工项目分别搬入工业集聚区、化工产业集聚区。6.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本项目位于重庆市铜梁区虎峰镇石岭村5社12号，租用钢隆纸业现有厂房，符合全市空间布局约束要求。</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污染物排放管控</w:t>
                  </w:r>
                </w:p>
              </w:tc>
              <w:tc>
                <w:tcPr>
                  <w:tcW w:w="3965" w:type="dxa"/>
                  <w:gridSpan w:val="2"/>
                  <w:shd w:val="clear" w:color="auto" w:fill="auto"/>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1.未达到国家环境质量标准的重点区域、流域的有关地方人民政府，应当制定限期达标规划，并采取措施按期达标。</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2.巩固“十一小”（不符合国家产业政策的小型造纸、制革、印染、染料、炼焦、炼硫、炼砷、炼油、电镀、农药、涉磷生产和使用等企业）取缔成果，防止死灰复燃。巩固“十一大”（造纸、焦化、氮肥、有色金属、印染、农副产品及食品加工、原料药制造(生化制药)、制革、农药、电镀以及涉磷产品等）企业污染整治成果。</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3.城区及江津区、合川区、璧山区、铜梁区二氧化硫、氮氧化物、颗粒物、挥发性有机物严格执行大气污染物特别排放限值，并逐步将执行范围扩大到重点控制区重点行业。</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4.新建、改建、扩建涉VOCs排放的项目，加强源头控制，使用低（无）VOCs含量的原辅料，加强废气收集，安装高效治理设施。有条件的工业集聚区建设集中喷涂中心，配备高效治污设施，替代企业独立喷涂工序。</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5.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本项目属于汽车零部件制造</w:t>
                  </w:r>
                  <w:r>
                    <w:rPr>
                      <w:rFonts w:hint="eastAsia" w:ascii="Times New Roman" w:hAnsi="Times New Roman" w:eastAsia="宋体" w:cs="Times New Roman"/>
                      <w:szCs w:val="21"/>
                    </w:rPr>
                    <w:t>和通用零部件制造</w:t>
                  </w:r>
                  <w:r>
                    <w:rPr>
                      <w:rFonts w:ascii="Times New Roman" w:hAnsi="Times New Roman" w:eastAsia="宋体" w:cs="Times New Roman"/>
                      <w:szCs w:val="21"/>
                    </w:rPr>
                    <w:t>，位于重庆市铜梁区虎峰镇石岭村5社12号，租用钢隆纸业现有厂房，铜梁区属于达标区域。项目产生的废气均经过处理后达标排放，满足污染物排放管控要求。</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环境风险防控</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健全风险防范体系，制定环境风险防范协调联动工作机制。开展涉及化工生产的工业园区突发环境事件风险评估。长江三峡库区干流流域、城市集中式饮用水源、涉及化工生产的化工园区等按要求开展突发环境事件风险评估。2.禁止建设存在重大环境安全隐患的工业项目。严禁工艺技术落后、环境风险高的化工企业向我市转移。</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本项目属于汽车零部件制造</w:t>
                  </w:r>
                  <w:r>
                    <w:rPr>
                      <w:rFonts w:hint="eastAsia" w:ascii="Times New Roman" w:hAnsi="Times New Roman" w:eastAsia="宋体" w:cs="Times New Roman"/>
                      <w:szCs w:val="21"/>
                    </w:rPr>
                    <w:t>和通用零部件制造</w:t>
                  </w:r>
                  <w:r>
                    <w:rPr>
                      <w:rFonts w:ascii="Times New Roman" w:hAnsi="Times New Roman" w:eastAsia="宋体" w:cs="Times New Roman"/>
                      <w:szCs w:val="21"/>
                    </w:rPr>
                    <w:t>，位于重庆市铜梁区虎峰镇石岭村5社12号，租用钢隆纸业现有厂房，不属于上述限制类项目。</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资源开发利用效率</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加强资源节约集约利用。实行能源、水资源、建设用地总量和强度双控行动，推进节能、节水、节地、节材等节约自然资源行动，从源头减少污染物排放。2.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3.电力、钢铁、纺织、造纸、石油石化、化工、食品发酵等高耗水行业达到先进定额标准。4.重点控制区域新建高耗能项目单位产品（产值）能耗要达到国际先进水平。5.水利水电工程应保证合理的生态流量，具备条件的都应实施生态流量监测监控。</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本项目属于汽车零部件制造</w:t>
                  </w:r>
                  <w:r>
                    <w:rPr>
                      <w:rFonts w:hint="eastAsia" w:ascii="Times New Roman" w:hAnsi="Times New Roman" w:eastAsia="宋体" w:cs="Times New Roman"/>
                      <w:szCs w:val="21"/>
                    </w:rPr>
                    <w:t>和通用零部件制造</w:t>
                  </w:r>
                  <w:r>
                    <w:rPr>
                      <w:rFonts w:ascii="Times New Roman" w:hAnsi="Times New Roman" w:eastAsia="宋体" w:cs="Times New Roman"/>
                      <w:szCs w:val="21"/>
                    </w:rPr>
                    <w:t>，位于重庆市铜梁区虎峰镇石岭村5社12号，租用钢隆纸业现有厂房，符合资源开发利用效率管控要求。</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铜梁区总体管控要求</w:t>
                  </w:r>
                </w:p>
              </w:tc>
              <w:tc>
                <w:tcPr>
                  <w:tcW w:w="425"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空间布局约束</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第一条 保护好巴岳山、毓青山等自然生态环境，形成以生态功能区为支撑，国家禁止开发区域为重要组成部分的生态空间体系。小企业基地规划范围不得侵占生态空间。</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本项目位于重庆市铜梁区虎峰镇石岭村5社12号，租用钢隆纸业现有厂房，不新增用地，项目占地不涉及自然保护区。</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第二条 铜梁高新区白土坝片区采取“腾笼换鸟”的方式，推动现有产业.提档升级，发展环境影响小、风险可控的产业。</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本项目位于重庆市铜梁区虎峰镇石岭村5社12号，租用钢隆纸业现有厂房，不属于白土坝片区。</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488" w:type="dxa"/>
                  <w:vMerge w:val="continue"/>
                  <w:vAlign w:val="center"/>
                </w:tcPr>
                <w:p>
                  <w:pPr>
                    <w:adjustRightInd w:val="0"/>
                    <w:snapToGrid w:val="0"/>
                    <w:jc w:val="center"/>
                    <w:rPr>
                      <w:rFonts w:ascii="Times New Roman" w:hAnsi="Times New Roman" w:eastAsia="宋体" w:cs="Times New Roman"/>
                      <w:kern w:val="0"/>
                      <w:szCs w:val="21"/>
                    </w:rPr>
                  </w:pPr>
                </w:p>
              </w:tc>
              <w:tc>
                <w:tcPr>
                  <w:tcW w:w="425"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污染物排放管控</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第三条 城市生活污水处理厂全面达到《城镇污水处理厂污染物排放标准》(GB18919-2002) 一级A排放标准，生活污水处理厂污泥无害化处置率达到85%。</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本项目的污废水生化池处理后作为农肥使用，不外排。</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第四条 持续推进企业大气污染防治。二氧化硫、氦氧化物、颗粒物、VOCs严格执行大气污染物特别排放限值，鼓励辖区内水泥、烧结砖瓦窑企业错峰生产。</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本项目污染物严格执行《铸造工业大气污染物排放标准》（GB39726-2020）排放要求。</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第五条 新建、改建、扩建涉VOCs的项目，要加强源头控制，使用低(元)VOCs含量的原辅料，加强</w:t>
                  </w:r>
                  <w:r>
                    <w:rPr>
                      <w:rFonts w:hint="eastAsia" w:ascii="Times New Roman" w:hAnsi="Times New Roman" w:eastAsia="宋体" w:cs="Times New Roman"/>
                      <w:szCs w:val="21"/>
                    </w:rPr>
                    <w:t>废</w:t>
                  </w:r>
                  <w:r>
                    <w:rPr>
                      <w:rFonts w:ascii="Times New Roman" w:hAnsi="Times New Roman" w:eastAsia="宋体" w:cs="Times New Roman"/>
                      <w:szCs w:val="21"/>
                    </w:rPr>
                    <w:t>气收集，安装高效治理设施。</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w:t>
                  </w:r>
                  <w:r>
                    <w:rPr>
                      <w:rFonts w:hint="eastAsia" w:ascii="Times New Roman" w:hAnsi="Times New Roman" w:eastAsia="宋体" w:cs="Times New Roman"/>
                      <w:szCs w:val="21"/>
                    </w:rPr>
                    <w:t>生产使用低V</w:t>
                  </w:r>
                  <w:r>
                    <w:rPr>
                      <w:rFonts w:ascii="Times New Roman" w:hAnsi="Times New Roman" w:eastAsia="宋体" w:cs="Times New Roman"/>
                      <w:szCs w:val="21"/>
                    </w:rPr>
                    <w:t>OC</w:t>
                  </w:r>
                  <w:r>
                    <w:rPr>
                      <w:rFonts w:hint="eastAsia" w:ascii="Times New Roman" w:hAnsi="Times New Roman" w:eastAsia="宋体" w:cs="Times New Roman"/>
                      <w:szCs w:val="21"/>
                    </w:rPr>
                    <w:t>s原辅料，加强废气收集，安装治理设施。</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第六条 持续推进小安溪综合整治，加强农业面源污染防治；加快农村分散污水有效处理，推进农村生活垃圾进行集中收集并转运统一处置。</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本项目位于重庆市铜梁区虎峰镇石岭村5社12号，租用钢隆纸业现有厂房，污废水经生化池处理后，作为农肥使用，不外排。</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88" w:type="dxa"/>
                  <w:vMerge w:val="continue"/>
                  <w:vAlign w:val="center"/>
                </w:tcPr>
                <w:p>
                  <w:pPr>
                    <w:adjustRightInd w:val="0"/>
                    <w:snapToGrid w:val="0"/>
                    <w:jc w:val="center"/>
                    <w:rPr>
                      <w:rFonts w:ascii="Times New Roman" w:hAnsi="Times New Roman" w:eastAsia="宋体" w:cs="Times New Roman"/>
                      <w:szCs w:val="21"/>
                    </w:rPr>
                  </w:pPr>
                </w:p>
              </w:tc>
              <w:tc>
                <w:tcPr>
                  <w:tcW w:w="425"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第七条 严格落实畜禽养殖规划，取缔或搬迁小安溪流域禁养区畜禽养殖场。</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本项目不属于畜禽养殖行业。</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488" w:type="dxa"/>
                  <w:vMerge w:val="continue"/>
                  <w:vAlign w:val="center"/>
                </w:tcPr>
                <w:p>
                  <w:pPr>
                    <w:adjustRightInd w:val="0"/>
                    <w:snapToGrid w:val="0"/>
                    <w:jc w:val="center"/>
                    <w:rPr>
                      <w:rFonts w:ascii="Times New Roman" w:hAnsi="Times New Roman" w:eastAsia="宋体" w:cs="Times New Roman"/>
                      <w:kern w:val="0"/>
                      <w:szCs w:val="21"/>
                    </w:rPr>
                  </w:pPr>
                </w:p>
              </w:tc>
              <w:tc>
                <w:tcPr>
                  <w:tcW w:w="4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环境风险防控</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第八条 生产、存储危险化学品及产生大量废水的企业，应配套有效措施，防止因渗漏污染地下水、土壤，以及因事故废水直排污染地表水体。</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本项目不属于生产、存储危险化学品及产生大量废水的企业。</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488" w:type="dxa"/>
                  <w:vMerge w:val="continue"/>
                  <w:vAlign w:val="center"/>
                </w:tcPr>
                <w:p>
                  <w:pPr>
                    <w:adjustRightInd w:val="0"/>
                    <w:snapToGrid w:val="0"/>
                    <w:jc w:val="center"/>
                    <w:rPr>
                      <w:rFonts w:ascii="Times New Roman" w:hAnsi="Times New Roman" w:eastAsia="宋体" w:cs="Times New Roman"/>
                      <w:kern w:val="0"/>
                      <w:szCs w:val="21"/>
                    </w:rPr>
                  </w:pPr>
                </w:p>
              </w:tc>
              <w:tc>
                <w:tcPr>
                  <w:tcW w:w="425"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资源利用效率</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第九条 推行节水措施和中水回用提高水资源回用率，鼓励工业企业提高中水回用率。</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本项目推行节水措施，无生产废水产生。</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488"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单元管控要求</w:t>
                  </w:r>
                </w:p>
              </w:tc>
              <w:tc>
                <w:tcPr>
                  <w:tcW w:w="425" w:type="dxa"/>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空间布局约束</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限制引入高耗水、高排水项目。引导现有企业和后续入驻企业向工业园区或者小企业创业基地聚集。旧县小企业创业基地开发建设时避让旧县小安溪自来水厂水源地保护区。</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本项目为新建项目，不属于高耗水、高排水项目；项目位于</w:t>
                  </w:r>
                  <w:r>
                    <w:rPr>
                      <w:rFonts w:ascii="Times New Roman" w:hAnsi="Times New Roman" w:eastAsia="宋体" w:cs="Times New Roman"/>
                      <w:bCs/>
                      <w:kern w:val="0"/>
                      <w:szCs w:val="21"/>
                    </w:rPr>
                    <w:t>虎峰镇内，不涉及旧县小安溪自来水厂水源地保护区。</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488" w:type="dxa"/>
                  <w:vMerge w:val="continue"/>
                  <w:vAlign w:val="center"/>
                </w:tcPr>
                <w:p>
                  <w:pPr>
                    <w:adjustRightInd w:val="0"/>
                    <w:snapToGrid w:val="0"/>
                    <w:jc w:val="center"/>
                    <w:rPr>
                      <w:rFonts w:ascii="Times New Roman" w:hAnsi="Times New Roman" w:eastAsia="宋体" w:cs="Times New Roman"/>
                      <w:kern w:val="0"/>
                      <w:szCs w:val="21"/>
                    </w:rPr>
                  </w:pPr>
                </w:p>
              </w:tc>
              <w:tc>
                <w:tcPr>
                  <w:tcW w:w="425" w:type="dxa"/>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污染物排放管控</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对不能满足总量控制和水环境质量目标要求的工业企业进行综合治理，对不能稳定达标排放、未完成限期治理任务的排污企业实施停产治理；加强对重点污染企业的监控。加强农业面源治理。加快推广使用低毒、低残留农药，推进化肥农药使用减量化。持续推进企业大气污染防治，加强涉及挥发性有机物排放企业的VOCs的治理，新建涉及喷涂的建设项目鼓励使用环保涂料。鼓励烧结砖瓦窑开展错峰生产。加快推进大庙组团污水处理厂建设，完善区域配套管网。城市建成区生活污水集中处理率达到95%；镇街生活污水集中处理率达到85%。启动小安溪流域适养区畜禽养殖场（户）环境污染整治，建立示范项目，引导畜禽养殖场（户）规范化养殖。</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项目采取有效污染治理措施，能够稳定达标排放；不涉及农业面源污染，不属于烧结砖瓦窑项目；</w:t>
                  </w:r>
                  <w:r>
                    <w:rPr>
                      <w:rFonts w:hint="eastAsia" w:ascii="Times New Roman" w:hAnsi="Times New Roman" w:eastAsia="宋体" w:cs="Times New Roman"/>
                      <w:kern w:val="0"/>
                      <w:szCs w:val="21"/>
                    </w:rPr>
                    <w:t>不</w:t>
                  </w:r>
                  <w:r>
                    <w:rPr>
                      <w:rFonts w:ascii="Times New Roman" w:hAnsi="Times New Roman" w:eastAsia="宋体" w:cs="Times New Roman"/>
                      <w:kern w:val="0"/>
                      <w:szCs w:val="21"/>
                    </w:rPr>
                    <w:t>涉及喷涂工序；</w:t>
                  </w:r>
                  <w:r>
                    <w:rPr>
                      <w:rFonts w:hint="eastAsia" w:ascii="Times New Roman" w:hAnsi="Times New Roman" w:eastAsia="宋体" w:cs="Times New Roman"/>
                      <w:kern w:val="0"/>
                      <w:szCs w:val="21"/>
                    </w:rPr>
                    <w:t>生活</w:t>
                  </w:r>
                  <w:r>
                    <w:rPr>
                      <w:rFonts w:ascii="Times New Roman" w:hAnsi="Times New Roman" w:eastAsia="宋体" w:cs="Times New Roman"/>
                      <w:kern w:val="0"/>
                      <w:szCs w:val="21"/>
                    </w:rPr>
                    <w:t>污水经生化池处理后，作为农肥使用，不外排。</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488" w:type="dxa"/>
                  <w:vMerge w:val="continue"/>
                  <w:vAlign w:val="center"/>
                </w:tcPr>
                <w:p>
                  <w:pPr>
                    <w:adjustRightInd w:val="0"/>
                    <w:snapToGrid w:val="0"/>
                    <w:jc w:val="center"/>
                    <w:rPr>
                      <w:rFonts w:ascii="Times New Roman" w:hAnsi="Times New Roman" w:eastAsia="宋体" w:cs="Times New Roman"/>
                      <w:kern w:val="0"/>
                      <w:szCs w:val="21"/>
                    </w:rPr>
                  </w:pPr>
                </w:p>
              </w:tc>
              <w:tc>
                <w:tcPr>
                  <w:tcW w:w="425" w:type="dxa"/>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环境风险防控</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建设环境应急物资储备库，企业环境应急装备和储备物资应纳入储备体系。小企业基地应开展环境影响评价工作，并建立环境风险防控体系。生产、存储危险化学品及产生大量废水的企业，应配套有效措施，防止因渗漏污染地下水、土壤，以及因事故废水直排污染地表水体。</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项目拟建立环境风险防控体系，配套有效措施，防止污染地下水及土壤。</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488" w:type="dxa"/>
                  <w:vMerge w:val="continue"/>
                  <w:vAlign w:val="center"/>
                </w:tcPr>
                <w:p>
                  <w:pPr>
                    <w:adjustRightInd w:val="0"/>
                    <w:snapToGrid w:val="0"/>
                    <w:jc w:val="center"/>
                    <w:rPr>
                      <w:rFonts w:ascii="Times New Roman" w:hAnsi="Times New Roman" w:eastAsia="宋体" w:cs="Times New Roman"/>
                      <w:kern w:val="0"/>
                      <w:szCs w:val="21"/>
                    </w:rPr>
                  </w:pPr>
                </w:p>
              </w:tc>
              <w:tc>
                <w:tcPr>
                  <w:tcW w:w="425" w:type="dxa"/>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资源开发效率要求</w:t>
                  </w:r>
                </w:p>
              </w:tc>
              <w:tc>
                <w:tcPr>
                  <w:tcW w:w="396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推行节水措施和中水回用提高水资源回用率。鼓励工业企业实施中水回用，推进造纸、化工等重点行业工业水循环利用。</w:t>
                  </w:r>
                </w:p>
              </w:tc>
              <w:tc>
                <w:tcPr>
                  <w:tcW w:w="2067"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项目积极推行节水措施。</w:t>
                  </w:r>
                </w:p>
              </w:tc>
              <w:tc>
                <w:tcPr>
                  <w:tcW w:w="55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通过上表分析，本项目符合“三线一单”的相关要求。</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1.2 产业政策符合性分析</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本项目为汽车零部件制造</w:t>
            </w:r>
            <w:r>
              <w:rPr>
                <w:rFonts w:hint="eastAsia" w:ascii="Times New Roman" w:hAnsi="Times New Roman" w:eastAsia="宋体" w:cs="Times New Roman"/>
                <w:kern w:val="0"/>
                <w:sz w:val="24"/>
                <w:szCs w:val="24"/>
              </w:rPr>
              <w:t>和通用零部件制造</w:t>
            </w:r>
            <w:r>
              <w:rPr>
                <w:rFonts w:ascii="Times New Roman" w:hAnsi="Times New Roman" w:eastAsia="宋体" w:cs="Times New Roman"/>
                <w:kern w:val="0"/>
                <w:sz w:val="24"/>
                <w:szCs w:val="24"/>
              </w:rPr>
              <w:t>，不属于《产业结构调整指导目录（2024年本）》中的鼓励类、限制类、淘汰类，属于允许类。项目采用的生产工艺设备均不属于《产业结构调整指导目录（2024年本）》和《部分工业行业淘汰落后生产工艺装备和产品指导名录（2010年本）》中规定的限制类和淘汰类。因此，项目建设符合国家的产业政策。</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同时，重庆市铜梁区发展和改革委员会以颁发《重庆市企业投资项目备案证》（项目备案编码：2209-500151-04-05-731370）的形式同意该项目备案建设。</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因此，本项目的建设符合国家和重庆市的产业政策要求。</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1.3与《重庆市产业投资准入工作手册》（渝发改投〔2022〕1436号）符合性分析</w:t>
            </w:r>
          </w:p>
          <w:p>
            <w:pPr>
              <w:autoSpaceDE w:val="0"/>
              <w:autoSpaceDN w:val="0"/>
              <w:adjustRightInd w:val="0"/>
              <w:snapToGrid w:val="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表1.3-1  重庆市产业投资准入工作手册符合性分析</w:t>
            </w:r>
          </w:p>
          <w:tbl>
            <w:tblPr>
              <w:tblStyle w:val="18"/>
              <w:tblpPr w:leftFromText="180" w:rightFromText="180" w:vertAnchor="text" w:tblpXSpec="center" w:tblpY="1"/>
              <w:tblOverlap w:val="never"/>
              <w:tblW w:w="7489" w:type="dxa"/>
              <w:tblInd w:w="0" w:type="dxa"/>
              <w:tblLayout w:type="fixed"/>
              <w:tblCellMar>
                <w:top w:w="0" w:type="dxa"/>
                <w:left w:w="108" w:type="dxa"/>
                <w:bottom w:w="0" w:type="dxa"/>
                <w:right w:w="108" w:type="dxa"/>
              </w:tblCellMar>
            </w:tblPr>
            <w:tblGrid>
              <w:gridCol w:w="403"/>
              <w:gridCol w:w="3845"/>
              <w:gridCol w:w="2268"/>
              <w:gridCol w:w="973"/>
            </w:tblGrid>
            <w:tr>
              <w:tblPrEx>
                <w:tblLayout w:type="fixed"/>
                <w:tblCellMar>
                  <w:top w:w="0" w:type="dxa"/>
                  <w:left w:w="108" w:type="dxa"/>
                  <w:bottom w:w="0" w:type="dxa"/>
                  <w:right w:w="108" w:type="dxa"/>
                </w:tblCellMar>
              </w:tblPrEx>
              <w:trPr>
                <w:trHeight w:val="600" w:hRule="atLeast"/>
                <w:tblHeader/>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产业投资准入政策</w:t>
                  </w:r>
                </w:p>
              </w:tc>
              <w:tc>
                <w:tcPr>
                  <w:tcW w:w="22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本项目情况</w:t>
                  </w:r>
                </w:p>
              </w:tc>
              <w:tc>
                <w:tcPr>
                  <w:tcW w:w="97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符合性分析</w:t>
                  </w:r>
                </w:p>
              </w:tc>
            </w:tr>
            <w:tr>
              <w:tblPrEx>
                <w:tblLayout w:type="fixed"/>
                <w:tblCellMar>
                  <w:top w:w="0" w:type="dxa"/>
                  <w:left w:w="108" w:type="dxa"/>
                  <w:bottom w:w="0" w:type="dxa"/>
                  <w:right w:w="108" w:type="dxa"/>
                </w:tblCellMar>
              </w:tblPrEx>
              <w:trPr>
                <w:trHeight w:val="368" w:hRule="atLeast"/>
                <w:tblHeader/>
              </w:trPr>
              <w:tc>
                <w:tcPr>
                  <w:tcW w:w="74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全市范围内不予准入的产业</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国家产业结构调整指导目录中的淘汰类项目。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本项目不属于国家产业结构调整指导目录淘汰类项目。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8"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天然林商业性采伐。</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本项目不属于天然林商业性采伐。</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法律法规和相关政策明令不予准入的其他项目。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本项目不属于法律法规和相关政策明令不予准入的项目。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国家产业结构调整指导目录中的淘汰类项目。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本项目不属于国家产业结构调整指导目录淘汰类项目。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天然林商业性采伐。</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本项目不属于天然林商业性采伐。</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法律法规和相关政策明令不予准入的其他项目。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本项目不属于法律法规和相关政策明令不予准入的项目。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74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重点区域范围内不予准入的产业</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外环绕城高速公路以内长江、嘉陵江水域采砂。</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拟建项目不属于采砂项目。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二十五度以上陡坡地开垦种植农作物。</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拟建项目不开垦种植农作物。</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807"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在自然保护区核心区、缓冲区的岸线和河段范围内投资建设旅游和生产经营项目。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拟建项目不在上述区域。</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108"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拟建项目不在上述区域。</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1270"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长江干流岸线3公里范围内和重要支流岸线1公里范围内新建、改建、扩建尾矿库、冶炼渣库和磷石膏库（以提升安全、生态环境保护水平为目的的改建除外）。</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拟建项目不涉及尾矿库、冶炼渣库和磷石膏库。</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821"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在风景名胜区核心景区的岸线和河段范围内投资建设与风景名胜资源保护无关的项目。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拟建项目不在上述区域。</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847"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在国家湿地公园的岸线和河段范围内挖沙、采矿，以及任何不符合主体功能定位的投资建设项目。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拟建项目不在上述区域。</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155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在《长江岸线保护和开发利用总体规划》划定的岸线保护区和保留区内投资建设除事关公共安全及公众利益的防洪护岸、河道治理、供水、生态环境保护、航道整治、国家重要基础设施以外的项目。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项目用地为</w:t>
                  </w:r>
                  <w:r>
                    <w:rPr>
                      <w:rFonts w:hint="eastAsia"/>
                      <w:kern w:val="0"/>
                      <w:szCs w:val="21"/>
                    </w:rPr>
                    <w:t>工业</w:t>
                  </w:r>
                  <w:r>
                    <w:rPr>
                      <w:kern w:val="0"/>
                      <w:szCs w:val="21"/>
                    </w:rPr>
                    <w:t>用地，不涉及岸线保护区和保留区。</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1109"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在《全国重要江河湖泊水功能区划》划定的河段及湖泊保护区、保留区内投资建设不利于水资源及自然生态保护的项目。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拟建项目不涉及。</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74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全市范围内限制准入的产业</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新建、扩建不符合国家产能置换要求的严重过剩产能行业的项目。新建、扩建不符合要求的高耗能高排放项目。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拟建项目不属于严重过剩产能行业，不属于高耗能高排放项目。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新建、扩建不符合国家石化、现代煤化工等产业布局规划的项目。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拟建项目不属于石化、现代煤化工项目。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在合规园区外新建、扩建钢铁、石化、化工、焦化、建材、有色、制浆造纸等高污染项目。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拟建项目位于虎峰镇点状发展区域，且不属于钢铁、石化、化工、焦化、建材、有色、制浆造纸等高污染项目。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《汽车产业投资管理规定》（国家发展和改革委员会令第22号）明确禁止建设的汽车投资项目。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拟建项目不属于《汽车产业投资管理规定》（国家发展和改革委员会令第22号）明确禁止建设的汽车投资项目。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748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0"/>
                    <w:rPr>
                      <w:rFonts w:ascii="Times New Roman" w:hAnsi="Times New Roman" w:eastAsia="宋体" w:cs="Times New Roman"/>
                      <w:kern w:val="0"/>
                      <w:szCs w:val="21"/>
                    </w:rPr>
                  </w:pPr>
                  <w:r>
                    <w:rPr>
                      <w:rFonts w:ascii="Times New Roman" w:hAnsi="Times New Roman" w:eastAsia="宋体" w:cs="Times New Roman"/>
                      <w:kern w:val="0"/>
                      <w:szCs w:val="21"/>
                    </w:rPr>
                    <w:t>重点区域范围内限制准入的产业</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长江干支流、重要湖泊岸线1公里范围内新建、扩建化工园区和化工项目，长江、嘉陵江、乌江岸线1公里范围内布局新建纸浆制造、印染等存在环境风险的项目。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拟建项目不属于化工、纸浆制造、印染等项目。</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r>
              <w:tblPrEx>
                <w:tblLayout w:type="fixed"/>
                <w:tblCellMar>
                  <w:top w:w="0" w:type="dxa"/>
                  <w:left w:w="108" w:type="dxa"/>
                  <w:bottom w:w="0" w:type="dxa"/>
                  <w:right w:w="108" w:type="dxa"/>
                </w:tblCellMar>
              </w:tblPrEx>
              <w:trPr>
                <w:trHeight w:val="274" w:hRule="atLeast"/>
              </w:trPr>
              <w:tc>
                <w:tcPr>
                  <w:tcW w:w="403"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845" w:type="dxa"/>
                  <w:tcBorders>
                    <w:top w:val="single" w:color="auto" w:sz="4" w:space="0"/>
                    <w:left w:val="single" w:color="auto" w:sz="4" w:space="0"/>
                    <w:bottom w:val="single" w:color="auto" w:sz="4" w:space="0"/>
                    <w:right w:val="single" w:color="auto" w:sz="4" w:space="0"/>
                  </w:tcBorders>
                  <w:vAlign w:val="center"/>
                </w:tcPr>
                <w:p>
                  <w:pPr>
                    <w:adjustRightInd w:val="0"/>
                    <w:snapToGrid w:val="0"/>
                    <w:outlineLvl w:val="0"/>
                    <w:rPr>
                      <w:rFonts w:ascii="Times New Roman" w:hAnsi="Times New Roman" w:eastAsia="宋体" w:cs="Times New Roman"/>
                      <w:kern w:val="0"/>
                      <w:szCs w:val="21"/>
                    </w:rPr>
                  </w:pPr>
                  <w:r>
                    <w:rPr>
                      <w:rFonts w:ascii="Times New Roman" w:hAnsi="Times New Roman" w:eastAsia="宋体" w:cs="Times New Roman"/>
                      <w:kern w:val="0"/>
                      <w:szCs w:val="21"/>
                    </w:rPr>
                    <w:t>在水产种质资源保护区的岸线和河段范围内新建围湖造田等投资建设项目。</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拟建项目不涉及。</w:t>
                  </w:r>
                </w:p>
              </w:tc>
              <w:tc>
                <w:tcPr>
                  <w:tcW w:w="973" w:type="dxa"/>
                  <w:tcBorders>
                    <w:top w:val="single" w:color="auto" w:sz="4" w:space="0"/>
                    <w:left w:val="single" w:color="auto" w:sz="4" w:space="0"/>
                    <w:bottom w:val="single" w:color="auto" w:sz="4" w:space="0"/>
                    <w:right w:val="single" w:color="auto" w:sz="4" w:space="0"/>
                  </w:tcBorders>
                  <w:vAlign w:val="center"/>
                </w:tcPr>
                <w:p>
                  <w:pPr>
                    <w:pStyle w:val="23"/>
                    <w:spacing w:line="240" w:lineRule="auto"/>
                    <w:jc w:val="both"/>
                    <w:outlineLvl w:val="0"/>
                    <w:rPr>
                      <w:kern w:val="0"/>
                      <w:szCs w:val="21"/>
                    </w:rPr>
                  </w:pPr>
                  <w:r>
                    <w:rPr>
                      <w:kern w:val="0"/>
                      <w:szCs w:val="21"/>
                    </w:rPr>
                    <w:t>符合</w:t>
                  </w:r>
                </w:p>
              </w:tc>
            </w:tr>
          </w:tbl>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由上表可知，项目的建设符合《重庆市产业投资准入工作手册》（渝发改投〔2022〕1436号）要求。</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1.4 与《关于严格工业布局和准入的通知》（渝发改工〔2018〕781号）符合性分析</w:t>
            </w:r>
          </w:p>
          <w:p>
            <w:pPr>
              <w:autoSpaceDE w:val="0"/>
              <w:autoSpaceDN w:val="0"/>
              <w:adjustRightInd w:val="0"/>
              <w:snapToGrid w:val="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表1.4-1  与关于严格工业布局和准入的通知符合性分析</w:t>
            </w:r>
          </w:p>
          <w:tbl>
            <w:tblPr>
              <w:tblStyle w:val="18"/>
              <w:tblW w:w="75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2307"/>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序号</w:t>
                  </w:r>
                </w:p>
              </w:tc>
              <w:tc>
                <w:tcPr>
                  <w:tcW w:w="3402"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文件规定</w:t>
                  </w:r>
                </w:p>
              </w:tc>
              <w:tc>
                <w:tcPr>
                  <w:tcW w:w="2307"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项目情况</w:t>
                  </w:r>
                </w:p>
              </w:tc>
              <w:tc>
                <w:tcPr>
                  <w:tcW w:w="952"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优化空间布局</w:t>
                  </w:r>
                </w:p>
              </w:tc>
              <w:tc>
                <w:tcPr>
                  <w:tcW w:w="3402" w:type="dxa"/>
                  <w:vAlign w:val="center"/>
                </w:tcPr>
                <w:p>
                  <w:pPr>
                    <w:pStyle w:val="25"/>
                    <w:spacing w:line="280" w:lineRule="exact"/>
                    <w:jc w:val="both"/>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2307" w:type="dxa"/>
                  <w:vAlign w:val="center"/>
                </w:tcPr>
                <w:p>
                  <w:pPr>
                    <w:pStyle w:val="25"/>
                    <w:spacing w:line="280" w:lineRule="exact"/>
                    <w:jc w:val="both"/>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项目不位于长江干流及主要支流岸线1公里范围，不属于重化工、纺织、造纸等存在污染风险的工业项目。</w:t>
                  </w:r>
                </w:p>
              </w:tc>
              <w:tc>
                <w:tcPr>
                  <w:tcW w:w="952"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新建项目入园</w:t>
                  </w:r>
                </w:p>
              </w:tc>
              <w:tc>
                <w:tcPr>
                  <w:tcW w:w="3402" w:type="dxa"/>
                  <w:vAlign w:val="center"/>
                </w:tcPr>
                <w:p>
                  <w:pPr>
                    <w:pStyle w:val="25"/>
                    <w:spacing w:line="280" w:lineRule="exact"/>
                    <w:jc w:val="both"/>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新建有污染排放的工业项目，</w:t>
                  </w:r>
                  <w:r>
                    <w:rPr>
                      <w:rFonts w:hint="eastAsia" w:ascii="Times New Roman" w:hAnsi="Times New Roman" w:eastAsia="宋体" w:cs="Times New Roman"/>
                      <w:color w:val="auto"/>
                      <w:kern w:val="2"/>
                      <w:sz w:val="21"/>
                      <w:szCs w:val="21"/>
                    </w:rPr>
                    <w:t>除</w:t>
                  </w:r>
                  <w:r>
                    <w:rPr>
                      <w:rFonts w:ascii="Times New Roman" w:hAnsi="Times New Roman" w:eastAsia="宋体" w:cs="Times New Roman"/>
                      <w:color w:val="auto"/>
                      <w:kern w:val="2"/>
                      <w:sz w:val="21"/>
                      <w:szCs w:val="21"/>
                    </w:rPr>
                    <w:t>在安全生产或者产业布局等方面有特殊要求外，应当进入工业园区，对未进入工业园区的项目，或在工业园区以外区域实施单纯增加产能的技改的项目，不得办理核准及备案手续。</w:t>
                  </w:r>
                </w:p>
              </w:tc>
              <w:tc>
                <w:tcPr>
                  <w:tcW w:w="2307" w:type="dxa"/>
                  <w:vAlign w:val="center"/>
                </w:tcPr>
                <w:p>
                  <w:pPr>
                    <w:pStyle w:val="25"/>
                    <w:spacing w:line="280" w:lineRule="exact"/>
                    <w:jc w:val="both"/>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本项目位于重庆市铜梁区虎峰镇石岭村5社12号，属于虎峰镇点状发展区域。</w:t>
                  </w:r>
                </w:p>
              </w:tc>
              <w:tc>
                <w:tcPr>
                  <w:tcW w:w="952"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严格产业准入</w:t>
                  </w:r>
                </w:p>
              </w:tc>
              <w:tc>
                <w:tcPr>
                  <w:tcW w:w="3402" w:type="dxa"/>
                  <w:vAlign w:val="center"/>
                </w:tcPr>
                <w:p>
                  <w:pPr>
                    <w:pStyle w:val="25"/>
                    <w:spacing w:line="280" w:lineRule="exact"/>
                    <w:jc w:val="both"/>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2307" w:type="dxa"/>
                  <w:vAlign w:val="center"/>
                </w:tcPr>
                <w:p>
                  <w:pPr>
                    <w:pStyle w:val="25"/>
                    <w:spacing w:line="280" w:lineRule="exact"/>
                    <w:jc w:val="both"/>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项目不属于过剩产能和“两高一资”项目，不属于造纸、印染、煤电、传统化工、传统燃油汽车、涉及重金属以及有毒有害和持久性污染物排放的项目。</w:t>
                  </w:r>
                </w:p>
              </w:tc>
              <w:tc>
                <w:tcPr>
                  <w:tcW w:w="952" w:type="dxa"/>
                  <w:vAlign w:val="center"/>
                </w:tcPr>
                <w:p>
                  <w:pPr>
                    <w:pStyle w:val="25"/>
                    <w:spacing w:line="280" w:lineRule="exact"/>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符合</w:t>
                  </w:r>
                </w:p>
              </w:tc>
            </w:tr>
          </w:tbl>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由上表可知，项目的建设符合《关于严格工业布局和准入的通知》（渝发改工〔2018〕781号）要求。</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1.5与《长江经济带发展负面清单指南（试行，2022年版）》（长江办[2022]7号）、《四川省、重庆市长江经济带发展负面清单实施细则（试行，2022年版）》的通知（川长办发〔2022〕17号）符合性分析</w:t>
            </w:r>
          </w:p>
          <w:p>
            <w:pPr>
              <w:autoSpaceDE w:val="0"/>
              <w:autoSpaceDN w:val="0"/>
              <w:adjustRightInd w:val="0"/>
              <w:snapToGrid w:val="0"/>
              <w:jc w:val="center"/>
              <w:rPr>
                <w:rFonts w:ascii="Times New Roman" w:hAnsi="Times New Roman" w:eastAsia="宋体" w:cs="Times New Roman"/>
                <w:b/>
                <w:bCs/>
                <w:spacing w:val="-2"/>
                <w:kern w:val="0"/>
                <w:sz w:val="24"/>
                <w:szCs w:val="24"/>
              </w:rPr>
            </w:pPr>
            <w:r>
              <w:rPr>
                <w:rFonts w:ascii="Times New Roman" w:hAnsi="Times New Roman" w:eastAsia="宋体" w:cs="Times New Roman"/>
                <w:b/>
                <w:bCs/>
                <w:spacing w:val="-2"/>
                <w:kern w:val="0"/>
                <w:sz w:val="24"/>
                <w:szCs w:val="24"/>
              </w:rPr>
              <w:t>表1.5-1 与长江经济带发展负面清单指南（试行，2022年版）符合性分析</w:t>
            </w:r>
          </w:p>
          <w:tbl>
            <w:tblPr>
              <w:tblStyle w:val="19"/>
              <w:tblW w:w="76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4249"/>
              <w:gridCol w:w="2204"/>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负面清单内容</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项目情况</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禁止建设不符合全国和省级港口布局规划以及港口总体规划的码头项目，禁止建设不符合《长江干线过江通道布局规划》的过长江通道项目。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本项目不属于码头项目和过长江通道项目</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禁止在自然保护区核心区、缓冲区的岸线和河段范围内投资建设旅游和生产经营项目。禁止在风景名胜区核心景区的岸线和河段范围内投资建设与风景名胜资源保护无关的项目。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本项目位于重庆市铜梁区虎峰镇石岭村5社12号钢隆纸业现有厂房内，不在自然保护区核心区、缓冲区的岸线和河段范围内。</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2"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本项目位于重庆市铜梁区虎峰镇石岭村5社12号钢隆纸业现有厂房内，不在饮用水水源保护区。</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本项目位于重庆市铜梁区虎峰镇石岭村5社12号钢隆纸业现有厂房内，不在上述范围。</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5"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湖湖泊水功能区划》划定的河段及湖泊保护区、保留区内投资建设不利于水资源及自然生态保护的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本项目位于重庆市铜梁区虎峰镇石岭村5社12号钢隆纸业现有厂房内，不在上述范围。</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禁止未经许可在长江干支流及湖泊新设、改设或扩大排污口。</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本项目不涉及新设、改设或扩大排污口。</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禁止在“一江一口两湖七河”和332个水生生物保护区开展生产性捕捞。</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本项目不涉及捕捞活动。</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1"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本项目不</w:t>
                  </w:r>
                  <w:r>
                    <w:rPr>
                      <w:rFonts w:hint="eastAsia" w:ascii="Times New Roman" w:hAnsi="Times New Roman" w:eastAsia="宋体" w:cs="Times New Roman"/>
                      <w:szCs w:val="21"/>
                    </w:rPr>
                    <w:t>属</w:t>
                  </w:r>
                  <w:r>
                    <w:rPr>
                      <w:rFonts w:ascii="Times New Roman" w:hAnsi="Times New Roman" w:eastAsia="宋体" w:cs="Times New Roman"/>
                      <w:szCs w:val="21"/>
                    </w:rPr>
                    <w:t>于长江干支流、长江干流岸线三公里范围内、重要湖泊岸线一公里范围内，不属于尾矿库、冶炼渣库和磷石膏库等项目。</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5"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禁止在合规园区外新建、扩建钢铁、石化、化工、焦化、建材、有色、制浆造纸等高污染项目。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本项目为汽车零部件制造</w:t>
                  </w:r>
                  <w:r>
                    <w:rPr>
                      <w:rFonts w:hint="eastAsia" w:ascii="Times New Roman" w:hAnsi="Times New Roman" w:eastAsia="宋体" w:cs="Times New Roman"/>
                      <w:szCs w:val="21"/>
                    </w:rPr>
                    <w:t>和通用零部件制造</w:t>
                  </w:r>
                  <w:r>
                    <w:rPr>
                      <w:rFonts w:ascii="Times New Roman" w:hAnsi="Times New Roman" w:eastAsia="宋体" w:cs="Times New Roman"/>
                      <w:szCs w:val="21"/>
                    </w:rPr>
                    <w:t>，不属于钢铁、石化、化工、焦化、建材、有色、制浆造纸等高污染项目。</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禁止新建、扩建不符合国家石化、现代煤化工等产业布局规划的项目。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本项目不属于石化、现代煤化工等项目。</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禁止新建、扩建法律法规和相关政策明令禁止的落后产能项目。禁止新建、扩建不合符要求的高耗能高排放项目。</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本项目不属于落后产能项目和高耗能高排放项目。</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jc w:val="center"/>
              </w:trPr>
              <w:tc>
                <w:tcPr>
                  <w:tcW w:w="48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424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法律法规及相关政策文件有更加严格规定的从其规定。</w:t>
                  </w:r>
                </w:p>
              </w:tc>
              <w:tc>
                <w:tcPr>
                  <w:tcW w:w="22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本项目严格遵循法律法规及相关政策文件要求。</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autoSpaceDE w:val="0"/>
              <w:autoSpaceDN w:val="0"/>
              <w:adjustRightInd w:val="0"/>
              <w:snapToGrid w:val="0"/>
              <w:jc w:val="center"/>
              <w:rPr>
                <w:rFonts w:ascii="Times New Roman" w:hAnsi="Times New Roman" w:eastAsia="宋体" w:cs="Times New Roman"/>
                <w:b/>
                <w:bCs/>
                <w:spacing w:val="-2"/>
                <w:kern w:val="0"/>
                <w:sz w:val="24"/>
                <w:szCs w:val="24"/>
              </w:rPr>
            </w:pPr>
            <w:r>
              <w:rPr>
                <w:rFonts w:ascii="Times New Roman" w:hAnsi="Times New Roman" w:eastAsia="宋体" w:cs="Times New Roman"/>
                <w:b/>
                <w:bCs/>
                <w:spacing w:val="-2"/>
                <w:kern w:val="0"/>
                <w:sz w:val="24"/>
                <w:szCs w:val="24"/>
              </w:rPr>
              <w:t>表1.5-2  与四川省、重庆市长江经济带发展负面清单实施细则（试行，2022年版）符合性分析</w:t>
            </w:r>
          </w:p>
          <w:tbl>
            <w:tblPr>
              <w:tblStyle w:val="18"/>
              <w:tblpPr w:leftFromText="180" w:rightFromText="180" w:vertAnchor="text" w:tblpXSpec="center" w:tblpY="1"/>
              <w:tblOverlap w:val="never"/>
              <w:tblW w:w="7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1"/>
              <w:gridCol w:w="1701"/>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相关要求</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项目情况</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1</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新建、改建和扩建不符合全国港口布局规划，以及《四川省内河水运发展规划》《泸州-宜宾-乐山港口群布局规划》《重庆港总体规划（2035年）》等省级港口布局规划及市级港口总体规划的码头项目。禁止新建、改建和扩建不符合《长江干线过江通道布局规划（2020-2035）》的过长江通道项目（含桥梁、隧道），国家发展改革委同意过长江通道线位调整的除外。</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本项目不属于码头项目、过长江通道项目。</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2"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2</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在自然保护区核心区、缓冲区的岸线和河段范围内投资建设旅游和生产经营项目。自然保护区的内部未分区的，依照核心区和缓冲区的规定管控。禁止违反风景名胜区规划，在风景名胜区内设立各类开发区。禁止在风景名胜区核心景区的岸线和河段范围内建设宾馆、招待所、培训中心、疗养院以及与风景名胜资源保护无关的项目。</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本项目重庆市铜梁区虎峰镇石岭村5社12号钢隆纸业现有厂房内，不位于自然保护区和风景名胜区，不属于禁止范围。</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3</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在饮用水水源准保护区的岸线和河段范围内新建、扩建对水体污染严重的建设项目，禁止改建增加排污量的建设项目。饮用水水源二级保护区的岸线和河段范围内，除遵守准保护区规定外，禁止新建、改建、扩建排放污染物的投资建设项目；禁止从事对水体有污染的水产养殖等活动。饮用水水源一级保护区的岸线和河段范围内，除遵守二级保护区规定外，禁止新建、改建、扩建与供水设施和保护水源无关的项目，以及网箱养殖、畜禽养殖、旅游等可能污染饮用水水体的投资建设项目。</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本项目位于重庆市铜梁区虎峰镇石岭村5社12号钢隆纸业现有厂房内，不涉及饮用水水源地。</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0"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4</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在水产种质资源保护区岸线和河段范围内新建围湖造田、围湖造地或挖沙采石等投资建设项目。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本项目不涉及新建排污口，不属于挖砂、采矿类项目。</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5"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5</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禁止在《全国重要江河湖泊水功能区划》划定的河段保护区、保留区内投资建设不利于水资源及自然生态保护的项目。禁止在长江流域江河、湖泊新设、改设或者扩大排污口，经有管辖权的生态环境主管部门或者长江流域生态环境监督管理机构同意的除外。禁止在长江于流、大渡河、峨江、赤水河、汜江、嘉陵江、乌江、汉江和51个（四川省45个、重庆市6个）水生生物保护区开展生产性捕捞。</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本项目不属于禁止类建设项目。</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6</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禁止在生态保护红线区域、永久基本农田集中区域和其他需要特别保护的区域内选址建设尾矿库、冶炼渣库、磷石膏库。</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本项目占地范围不涉及生态保护红线及永久基本农田范围。</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7</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在长江于支流、重要湖泊岸线一公里范围内新建、扩建化工园区和化工项目。禁止在长江于流岸线三公里范围内和重要支流岸线一公里范围内新建、改建、扩建尾矿库、冶炼渣库、磷石膏库，以提升安全、生态环境保护水平为目的的改建除外。禁止在合规园区外新建、扩建钢铁、石化、化工、焦化、建材、有色等高污染项目。</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本项目位于重庆市铜梁区虎峰镇石岭村5社12号钢隆纸业现有厂房内，不位于长江干支流一公里范围内，不属于化工等高污染项目。</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8</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禁止新建、扩建不符合国家石化、现代煤化工等产业布局规划的项目。</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本项目不属于石化、现代煤化工产业。</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9</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本项目不属于禁止的落后产能项目。</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70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10</w:t>
                  </w:r>
                </w:p>
              </w:tc>
              <w:tc>
                <w:tcPr>
                  <w:tcW w:w="453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禁止新建、扩建不符合要求的高耗能、高排放、低水平项目。禁止新建、扩建不符合国家产能置换要求的严重过剩产能行业的项目。对于不符合国家产能置换要求的严重过剩产能行业，不得以其他任何名义、任何方式备案新增产能项目。</w:t>
                  </w:r>
                </w:p>
              </w:tc>
              <w:tc>
                <w:tcPr>
                  <w:tcW w:w="1701"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本目不属于高耗能、高排放、低水平项目，不属于严重过剩产能行业的项目。</w:t>
                  </w:r>
                </w:p>
              </w:tc>
              <w:tc>
                <w:tcPr>
                  <w:tcW w:w="649" w:type="dxa"/>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上表可知，项目的建设符合《长江经济带发展负面清单指南（试行，2022年版）》（长江办[2022]7号）、《四川省、重庆市长江经济带发展负面清单实施细则（试行，2022年版）》的通知（川长办发〔2022〕17号）要求。</w:t>
            </w:r>
          </w:p>
          <w:p>
            <w:pPr>
              <w:autoSpaceDE w:val="0"/>
              <w:autoSpaceDN w:val="0"/>
              <w:adjustRightInd w:val="0"/>
              <w:snapToGrid w:val="0"/>
              <w:spacing w:line="360" w:lineRule="auto"/>
              <w:jc w:val="left"/>
              <w:rPr>
                <w:rFonts w:ascii="Times New Roman" w:hAnsi="Times New Roman" w:eastAsia="宋体" w:cs="Times New Roman"/>
                <w:b/>
                <w:bCs/>
                <w:sz w:val="24"/>
                <w:szCs w:val="24"/>
              </w:rPr>
            </w:pPr>
            <w:r>
              <w:rPr>
                <w:rFonts w:ascii="Times New Roman" w:hAnsi="Times New Roman" w:eastAsia="宋体" w:cs="Times New Roman"/>
                <w:b/>
                <w:bCs/>
                <w:kern w:val="0"/>
                <w:sz w:val="24"/>
                <w:szCs w:val="24"/>
              </w:rPr>
              <w:t>1.6</w:t>
            </w:r>
            <w:r>
              <w:rPr>
                <w:rFonts w:ascii="Times New Roman" w:hAnsi="Times New Roman" w:eastAsia="宋体" w:cs="Times New Roman"/>
                <w:b/>
                <w:bCs/>
                <w:sz w:val="24"/>
                <w:szCs w:val="24"/>
              </w:rPr>
              <w:t>与《铸造企业规范条件》（T/CFA0310021-2023）的符合性分析</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拟建项目与《铸造企业规范条件》（T/CFA0310021-2023）的符合性分析详见表1.6-1。</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表1.6-1  铸造企业规范条件符合性分析</w:t>
            </w:r>
          </w:p>
          <w:tbl>
            <w:tblPr>
              <w:tblStyle w:val="19"/>
              <w:tblW w:w="7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53"/>
              <w:gridCol w:w="1842"/>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8" w:type="dxa"/>
                  <w:gridSpan w:val="2"/>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铸造企业规范条件</w:t>
                  </w:r>
                </w:p>
              </w:tc>
              <w:tc>
                <w:tcPr>
                  <w:tcW w:w="1842" w:type="dxa"/>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项目情况</w:t>
                  </w:r>
                </w:p>
              </w:tc>
              <w:tc>
                <w:tcPr>
                  <w:tcW w:w="882" w:type="dxa"/>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建设条件与布局</w:t>
                  </w:r>
                </w:p>
              </w:tc>
              <w:tc>
                <w:tcPr>
                  <w:tcW w:w="4253" w:type="dxa"/>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1、企业的布局及厂址的确定应符合国家相关法律法规、产业政策以及各地方政府装备制造业和铸造行业的总体规划要求。</w:t>
                  </w:r>
                </w:p>
                <w:p>
                  <w:pPr>
                    <w:adjustRightInd w:val="0"/>
                    <w:snapToGrid w:val="0"/>
                    <w:rPr>
                      <w:rFonts w:ascii="Times New Roman" w:hAnsi="Times New Roman" w:eastAsia="宋体" w:cs="Times New Roman"/>
                      <w:szCs w:val="21"/>
                    </w:rPr>
                  </w:pPr>
                  <w:r>
                    <w:rPr>
                      <w:rFonts w:ascii="Times New Roman" w:hAnsi="Times New Roman" w:eastAsia="宋体" w:cs="Times New Roman"/>
                      <w:szCs w:val="21"/>
                    </w:rPr>
                    <w:t>2、企业生产场所应依法取得土地使用权并符合土地使用性质</w:t>
                  </w:r>
                  <w:r>
                    <w:rPr>
                      <w:rFonts w:hint="eastAsia" w:ascii="Times New Roman" w:hAnsi="Times New Roman" w:eastAsia="宋体" w:cs="Times New Roman"/>
                      <w:szCs w:val="21"/>
                    </w:rPr>
                    <w:t>。</w:t>
                  </w:r>
                </w:p>
              </w:tc>
              <w:tc>
                <w:tcPr>
                  <w:tcW w:w="184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企业厂区所属地块为工业用地且已依法取得土地使用权</w:t>
                  </w:r>
                  <w:r>
                    <w:rPr>
                      <w:rFonts w:hint="eastAsia" w:ascii="Times New Roman" w:hAnsi="Times New Roman" w:eastAsia="宋体" w:cs="Times New Roman"/>
                      <w:kern w:val="0"/>
                      <w:szCs w:val="21"/>
                    </w:rPr>
                    <w:t>。</w:t>
                  </w:r>
                </w:p>
              </w:tc>
              <w:tc>
                <w:tcPr>
                  <w:tcW w:w="88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restart"/>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生产工艺</w:t>
                  </w:r>
                </w:p>
              </w:tc>
              <w:tc>
                <w:tcPr>
                  <w:tcW w:w="4253" w:type="dxa"/>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1、企业应根据生产铸件的材质、品种、批量，合理选择低污染、低排放、低能耗、经济高效的铸造工艺。</w:t>
                  </w:r>
                </w:p>
              </w:tc>
              <w:tc>
                <w:tcPr>
                  <w:tcW w:w="1842" w:type="dxa"/>
                  <w:vMerge w:val="restart"/>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项目为有色合金</w:t>
                  </w:r>
                  <w:r>
                    <w:rPr>
                      <w:rFonts w:hint="eastAsia" w:ascii="Times New Roman" w:hAnsi="Times New Roman" w:eastAsia="宋体" w:cs="Times New Roman"/>
                      <w:kern w:val="0"/>
                      <w:szCs w:val="21"/>
                    </w:rPr>
                    <w:t>压力铸件</w:t>
                  </w:r>
                  <w:r>
                    <w:rPr>
                      <w:rFonts w:ascii="Times New Roman" w:hAnsi="Times New Roman" w:eastAsia="宋体" w:cs="Times New Roman"/>
                      <w:kern w:val="0"/>
                      <w:szCs w:val="21"/>
                    </w:rPr>
                    <w:t>，属于金属型铸造工艺，本项目不使用精炼剂。</w:t>
                  </w:r>
                </w:p>
              </w:tc>
              <w:tc>
                <w:tcPr>
                  <w:tcW w:w="88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continue"/>
                </w:tcPr>
                <w:p>
                  <w:pPr>
                    <w:adjustRightInd w:val="0"/>
                    <w:snapToGrid w:val="0"/>
                    <w:jc w:val="center"/>
                    <w:rPr>
                      <w:rFonts w:ascii="Times New Roman" w:hAnsi="Times New Roman" w:eastAsia="宋体" w:cs="Times New Roman"/>
                      <w:szCs w:val="21"/>
                    </w:rPr>
                  </w:pPr>
                </w:p>
              </w:tc>
              <w:tc>
                <w:tcPr>
                  <w:tcW w:w="4253" w:type="dxa"/>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2、企业不应使用国家明令淘汰的生产工艺。不应采用粘土砂干型/芯、油砂制芯、七〇砂制型/芯等落后铸造工艺；粘土砂批量铸件生产企业不应采用手工造型；水玻璃熔模精密铸造企业模壳硬化不应采用氯化铵硬化工艺；铝合金、锌合金等有色金属熔炼不应采用六氯乙烷等有毒有害的精炼剂。</w:t>
                  </w:r>
                </w:p>
              </w:tc>
              <w:tc>
                <w:tcPr>
                  <w:tcW w:w="1842" w:type="dxa"/>
                  <w:vMerge w:val="continue"/>
                </w:tcPr>
                <w:p>
                  <w:pPr>
                    <w:adjustRightInd w:val="0"/>
                    <w:snapToGrid w:val="0"/>
                    <w:jc w:val="center"/>
                    <w:rPr>
                      <w:rFonts w:ascii="Times New Roman" w:hAnsi="Times New Roman" w:eastAsia="宋体" w:cs="Times New Roman"/>
                      <w:szCs w:val="21"/>
                    </w:rPr>
                  </w:pPr>
                </w:p>
              </w:tc>
              <w:tc>
                <w:tcPr>
                  <w:tcW w:w="882" w:type="dxa"/>
                  <w:vMerge w:val="continue"/>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continue"/>
                </w:tcPr>
                <w:p>
                  <w:pPr>
                    <w:adjustRightInd w:val="0"/>
                    <w:snapToGrid w:val="0"/>
                    <w:jc w:val="center"/>
                    <w:rPr>
                      <w:rFonts w:ascii="Times New Roman" w:hAnsi="Times New Roman" w:eastAsia="宋体" w:cs="Times New Roman"/>
                      <w:szCs w:val="21"/>
                    </w:rPr>
                  </w:pPr>
                </w:p>
              </w:tc>
              <w:tc>
                <w:tcPr>
                  <w:tcW w:w="4253" w:type="dxa"/>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3、新</w:t>
                  </w:r>
                  <w:r>
                    <w:rPr>
                      <w:rFonts w:hint="eastAsia" w:ascii="Times New Roman" w:hAnsi="Times New Roman" w:eastAsia="宋体" w:cs="Times New Roman"/>
                      <w:szCs w:val="21"/>
                    </w:rPr>
                    <w:t>（改、扩）</w:t>
                  </w:r>
                  <w:r>
                    <w:rPr>
                      <w:rFonts w:ascii="Times New Roman" w:hAnsi="Times New Roman" w:eastAsia="宋体" w:cs="Times New Roman"/>
                      <w:szCs w:val="21"/>
                    </w:rPr>
                    <w:t>建粘土砂型铸造项目应采用自动化造型；新（</w:t>
                  </w:r>
                  <w:r>
                    <w:rPr>
                      <w:rFonts w:hint="eastAsia" w:ascii="Times New Roman" w:hAnsi="Times New Roman" w:eastAsia="宋体" w:cs="Times New Roman"/>
                      <w:szCs w:val="21"/>
                    </w:rPr>
                    <w:t>改、扩</w:t>
                  </w:r>
                  <w:r>
                    <w:rPr>
                      <w:rFonts w:ascii="Times New Roman" w:hAnsi="Times New Roman" w:eastAsia="宋体" w:cs="Times New Roman"/>
                      <w:szCs w:val="21"/>
                    </w:rPr>
                    <w:t>）建熔模精密铸造项目不应采用水玻璃熔模精密铸造工。</w:t>
                  </w:r>
                </w:p>
              </w:tc>
              <w:tc>
                <w:tcPr>
                  <w:tcW w:w="1842" w:type="dxa"/>
                  <w:vMerge w:val="continue"/>
                </w:tcPr>
                <w:p>
                  <w:pPr>
                    <w:adjustRightInd w:val="0"/>
                    <w:snapToGrid w:val="0"/>
                    <w:jc w:val="center"/>
                    <w:rPr>
                      <w:rFonts w:ascii="Times New Roman" w:hAnsi="Times New Roman" w:eastAsia="宋体" w:cs="Times New Roman"/>
                      <w:szCs w:val="21"/>
                    </w:rPr>
                  </w:pPr>
                </w:p>
              </w:tc>
              <w:tc>
                <w:tcPr>
                  <w:tcW w:w="882" w:type="dxa"/>
                  <w:vMerge w:val="continue"/>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restart"/>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生产装备</w:t>
                  </w:r>
                </w:p>
              </w:tc>
              <w:tc>
                <w:tcPr>
                  <w:tcW w:w="4253" w:type="dxa"/>
                </w:tcPr>
                <w:p>
                  <w:pPr>
                    <w:autoSpaceDE w:val="0"/>
                    <w:autoSpaceDN w:val="0"/>
                    <w:adjustRightInd w:val="0"/>
                    <w:rPr>
                      <w:rFonts w:ascii="Times New Roman" w:hAnsi="Times New Roman" w:eastAsia="宋体" w:cs="Times New Roman"/>
                      <w:kern w:val="0"/>
                      <w:szCs w:val="21"/>
                    </w:rPr>
                  </w:pPr>
                  <w:r>
                    <w:rPr>
                      <w:rFonts w:ascii="Times New Roman" w:hAnsi="Times New Roman" w:eastAsia="TimesNewRomanPSMT" w:cs="Times New Roman"/>
                      <w:kern w:val="0"/>
                      <w:szCs w:val="21"/>
                    </w:rPr>
                    <w:t>1</w:t>
                  </w:r>
                  <w:r>
                    <w:rPr>
                      <w:rFonts w:ascii="Times New Roman" w:hAnsi="Times New Roman" w:eastAsia="宋体" w:cs="Times New Roman"/>
                      <w:kern w:val="0"/>
                      <w:szCs w:val="21"/>
                    </w:rPr>
                    <w:t>、企业不应使用国家明令淘汰的生产装备，如：无芯工频感应电炉、</w:t>
                  </w:r>
                  <w:r>
                    <w:rPr>
                      <w:rFonts w:ascii="Times New Roman" w:hAnsi="Times New Roman" w:eastAsia="TimesNewRomanPSMT" w:cs="Times New Roman"/>
                      <w:kern w:val="0"/>
                      <w:szCs w:val="21"/>
                    </w:rPr>
                    <w:t>0.25</w:t>
                  </w:r>
                  <w:r>
                    <w:rPr>
                      <w:rFonts w:ascii="Times New Roman" w:hAnsi="Times New Roman" w:eastAsia="宋体" w:cs="Times New Roman"/>
                      <w:kern w:val="0"/>
                      <w:szCs w:val="21"/>
                    </w:rPr>
                    <w:t>吨及以上无磁轭的铝壳中频感应电炉等。</w:t>
                  </w:r>
                </w:p>
                <w:p>
                  <w:pPr>
                    <w:autoSpaceDE w:val="0"/>
                    <w:autoSpaceDN w:val="0"/>
                    <w:adjustRightInd w:val="0"/>
                    <w:rPr>
                      <w:rFonts w:ascii="Times New Roman" w:hAnsi="Times New Roman" w:eastAsia="宋体" w:cs="Times New Roman"/>
                      <w:szCs w:val="21"/>
                    </w:rPr>
                  </w:pPr>
                  <w:r>
                    <w:rPr>
                      <w:rFonts w:ascii="Times New Roman" w:hAnsi="Times New Roman" w:eastAsia="TimesNewRomanPSMT" w:cs="Times New Roman"/>
                      <w:kern w:val="0"/>
                      <w:szCs w:val="21"/>
                    </w:rPr>
                    <w:t>2</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铸件生产企业采用冲天炉熔炼，其设备熔化率宜大于1</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吨/小时。</w:t>
                  </w:r>
                </w:p>
              </w:tc>
              <w:tc>
                <w:tcPr>
                  <w:tcW w:w="184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项目采用燃气炉进行铝合金熔化</w:t>
                  </w:r>
                </w:p>
              </w:tc>
              <w:tc>
                <w:tcPr>
                  <w:tcW w:w="88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continue"/>
                </w:tcPr>
                <w:p>
                  <w:pPr>
                    <w:adjustRightInd w:val="0"/>
                    <w:snapToGrid w:val="0"/>
                    <w:rPr>
                      <w:rFonts w:ascii="Times New Roman" w:hAnsi="Times New Roman" w:eastAsia="宋体" w:cs="Times New Roman"/>
                      <w:szCs w:val="21"/>
                    </w:rPr>
                  </w:pPr>
                </w:p>
              </w:tc>
              <w:tc>
                <w:tcPr>
                  <w:tcW w:w="4253" w:type="dxa"/>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熔炼（化）及炉前检测设备：</w:t>
                  </w:r>
                </w:p>
                <w:p>
                  <w:pPr>
                    <w:autoSpaceDE w:val="0"/>
                    <w:autoSpaceDN w:val="0"/>
                    <w:adjustRightInd w:val="0"/>
                    <w:rPr>
                      <w:rFonts w:ascii="Times New Roman" w:hAnsi="Times New Roman" w:eastAsia="宋体" w:cs="Times New Roman"/>
                      <w:kern w:val="0"/>
                      <w:szCs w:val="21"/>
                    </w:rPr>
                  </w:pPr>
                  <w:r>
                    <w:rPr>
                      <w:rFonts w:ascii="Times New Roman" w:hAnsi="Times New Roman" w:eastAsia="TimesNewRomanPSMT" w:cs="Times New Roman"/>
                      <w:kern w:val="0"/>
                      <w:szCs w:val="21"/>
                    </w:rPr>
                    <w:t>1</w:t>
                  </w:r>
                  <w:r>
                    <w:rPr>
                      <w:rFonts w:ascii="Times New Roman" w:hAnsi="Times New Roman" w:eastAsia="宋体" w:cs="Times New Roman"/>
                      <w:kern w:val="0"/>
                      <w:szCs w:val="21"/>
                    </w:rPr>
                    <w:t>、企业应配备与生产能力相匹配的熔炼</w:t>
                  </w:r>
                  <w:r>
                    <w:rPr>
                      <w:rFonts w:hint="eastAsia" w:ascii="Times New Roman" w:hAnsi="Times New Roman" w:eastAsia="宋体" w:cs="Times New Roman"/>
                      <w:kern w:val="0"/>
                      <w:szCs w:val="21"/>
                    </w:rPr>
                    <w:t>（化）</w:t>
                  </w:r>
                  <w:r>
                    <w:rPr>
                      <w:rFonts w:ascii="Times New Roman" w:hAnsi="Times New Roman" w:eastAsia="宋体" w:cs="Times New Roman"/>
                      <w:kern w:val="0"/>
                      <w:szCs w:val="21"/>
                    </w:rPr>
                    <w:t>设备，如冲天炉、中频感应电炉、电弧炉、精炼炉（</w:t>
                  </w:r>
                  <w:r>
                    <w:rPr>
                      <w:rFonts w:ascii="Times New Roman" w:hAnsi="Times New Roman" w:eastAsia="TimesNewRomanPSMT" w:cs="Times New Roman"/>
                      <w:kern w:val="0"/>
                      <w:szCs w:val="21"/>
                    </w:rPr>
                    <w:t>AOD</w:t>
                  </w:r>
                  <w:r>
                    <w:rPr>
                      <w:rFonts w:ascii="Times New Roman" w:hAnsi="Times New Roman" w:eastAsia="宋体" w:cs="Times New Roman"/>
                      <w:kern w:val="0"/>
                      <w:szCs w:val="21"/>
                    </w:rPr>
                    <w:t>、</w:t>
                  </w:r>
                  <w:r>
                    <w:rPr>
                      <w:rFonts w:ascii="Times New Roman" w:hAnsi="Times New Roman" w:eastAsia="TimesNewRomanPSMT" w:cs="Times New Roman"/>
                      <w:kern w:val="0"/>
                      <w:szCs w:val="21"/>
                    </w:rPr>
                    <w:t>VOD</w:t>
                  </w:r>
                  <w:r>
                    <w:rPr>
                      <w:rFonts w:ascii="Times New Roman" w:hAnsi="Times New Roman" w:eastAsia="宋体" w:cs="Times New Roman"/>
                      <w:kern w:val="0"/>
                      <w:szCs w:val="21"/>
                    </w:rPr>
                    <w:t>、</w:t>
                  </w:r>
                  <w:r>
                    <w:rPr>
                      <w:rFonts w:ascii="Times New Roman" w:hAnsi="Times New Roman" w:eastAsia="TimesNewRomanPSMT" w:cs="Times New Roman"/>
                      <w:kern w:val="0"/>
                      <w:szCs w:val="21"/>
                    </w:rPr>
                    <w:t>LF</w:t>
                  </w:r>
                  <w:r>
                    <w:rPr>
                      <w:rFonts w:ascii="Times New Roman" w:hAnsi="Times New Roman" w:eastAsia="宋体" w:cs="Times New Roman"/>
                      <w:kern w:val="0"/>
                      <w:szCs w:val="21"/>
                    </w:rPr>
                    <w:t>炉等）、电阻炉、燃气炉、保温炉等。</w:t>
                  </w:r>
                </w:p>
                <w:p>
                  <w:pPr>
                    <w:autoSpaceDE w:val="0"/>
                    <w:autoSpaceDN w:val="0"/>
                    <w:adjustRightInd w:val="0"/>
                    <w:rPr>
                      <w:rFonts w:ascii="Times New Roman" w:hAnsi="Times New Roman" w:eastAsia="宋体" w:cs="Times New Roman"/>
                      <w:kern w:val="0"/>
                      <w:szCs w:val="21"/>
                    </w:rPr>
                  </w:pPr>
                  <w:r>
                    <w:rPr>
                      <w:rFonts w:ascii="Times New Roman" w:hAnsi="Times New Roman" w:eastAsia="TimesNewRomanPSMT" w:cs="Times New Roman"/>
                      <w:kern w:val="0"/>
                      <w:szCs w:val="21"/>
                    </w:rPr>
                    <w:t>2</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企业熔炼（化）设备炉</w:t>
                  </w:r>
                  <w:r>
                    <w:rPr>
                      <w:rFonts w:ascii="Times New Roman" w:hAnsi="Times New Roman" w:eastAsia="宋体" w:cs="Times New Roman"/>
                      <w:kern w:val="0"/>
                      <w:szCs w:val="21"/>
                    </w:rPr>
                    <w:t>前应配置必要的化学成分分析、金属液温度测量等检测仪器。</w:t>
                  </w:r>
                </w:p>
              </w:tc>
              <w:tc>
                <w:tcPr>
                  <w:tcW w:w="184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项目配备与生产能力相匹配的熔炼、保温设备，且配置有化学成分分析、金属液温度测量等检测仪器。</w:t>
                  </w:r>
                </w:p>
              </w:tc>
              <w:tc>
                <w:tcPr>
                  <w:tcW w:w="88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continue"/>
                </w:tcPr>
                <w:p>
                  <w:pPr>
                    <w:adjustRightInd w:val="0"/>
                    <w:snapToGrid w:val="0"/>
                    <w:rPr>
                      <w:rFonts w:ascii="Times New Roman" w:hAnsi="Times New Roman" w:eastAsia="宋体" w:cs="Times New Roman"/>
                      <w:szCs w:val="21"/>
                    </w:rPr>
                  </w:pPr>
                </w:p>
              </w:tc>
              <w:tc>
                <w:tcPr>
                  <w:tcW w:w="4253" w:type="dxa"/>
                </w:tcPr>
                <w:p>
                  <w:pPr>
                    <w:adjustRightInd w:val="0"/>
                    <w:snapToGrid w:val="0"/>
                    <w:spacing w:line="240" w:lineRule="atLeast"/>
                    <w:rPr>
                      <w:rFonts w:ascii="Times New Roman" w:hAnsi="Times New Roman" w:eastAsia="宋体" w:cs="Times New Roman"/>
                      <w:szCs w:val="21"/>
                    </w:rPr>
                  </w:pPr>
                  <w:r>
                    <w:rPr>
                      <w:rFonts w:ascii="Times New Roman" w:hAnsi="Times New Roman" w:eastAsia="宋体" w:cs="Times New Roman"/>
                      <w:szCs w:val="21"/>
                    </w:rPr>
                    <w:t>成型设备：</w:t>
                  </w:r>
                </w:p>
                <w:p>
                  <w:pPr>
                    <w:adjustRightInd w:val="0"/>
                    <w:snapToGrid w:val="0"/>
                    <w:spacing w:line="240" w:lineRule="atLeast"/>
                    <w:rPr>
                      <w:rFonts w:ascii="Times New Roman" w:hAnsi="Times New Roman" w:eastAsia="宋体" w:cs="Times New Roman"/>
                      <w:szCs w:val="21"/>
                    </w:rPr>
                  </w:pPr>
                  <w:r>
                    <w:rPr>
                      <w:rFonts w:ascii="Times New Roman" w:hAnsi="Times New Roman" w:eastAsia="宋体" w:cs="Times New Roman"/>
                      <w:szCs w:val="21"/>
                    </w:rPr>
                    <w:t>企业应配备与产品及生产能力相匹配的造型、制芯及成型设备（线），如粘土砂造型机（线）、树脂砂混砂机、壳型（芯）机、铁模覆砂生产线、水玻璃砂生产线、消失模/V法/实型铸造设备、离心铸造设备、冷/热室压铸机、低压铸造机、重力铸造设备、挤压铸造设备、差压铸造设备、熔模铸造设备（线）、冷/热芯盒制芯机（中心）、制芯中心、快速成型设备等。</w:t>
                  </w:r>
                </w:p>
              </w:tc>
              <w:tc>
                <w:tcPr>
                  <w:tcW w:w="184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项目配备与产品及生产能力相匹配的</w:t>
                  </w:r>
                  <w:r>
                    <w:rPr>
                      <w:rFonts w:hint="eastAsia" w:ascii="Times New Roman" w:hAnsi="Times New Roman" w:eastAsia="宋体" w:cs="Times New Roman"/>
                      <w:kern w:val="0"/>
                      <w:szCs w:val="21"/>
                    </w:rPr>
                    <w:t>压力</w:t>
                  </w:r>
                  <w:r>
                    <w:rPr>
                      <w:rFonts w:ascii="Times New Roman" w:hAnsi="Times New Roman" w:eastAsia="宋体" w:cs="Times New Roman"/>
                      <w:kern w:val="0"/>
                      <w:szCs w:val="21"/>
                    </w:rPr>
                    <w:t>铸造设备。</w:t>
                  </w:r>
                </w:p>
              </w:tc>
              <w:tc>
                <w:tcPr>
                  <w:tcW w:w="88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continue"/>
                </w:tcPr>
                <w:p>
                  <w:pPr>
                    <w:adjustRightInd w:val="0"/>
                    <w:snapToGrid w:val="0"/>
                    <w:rPr>
                      <w:rFonts w:ascii="Times New Roman" w:hAnsi="Times New Roman" w:eastAsia="宋体" w:cs="Times New Roman"/>
                      <w:szCs w:val="21"/>
                    </w:rPr>
                  </w:pPr>
                </w:p>
              </w:tc>
              <w:tc>
                <w:tcPr>
                  <w:tcW w:w="4253" w:type="dxa"/>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砂处理</w:t>
                  </w:r>
                  <w:r>
                    <w:rPr>
                      <w:rFonts w:hint="eastAsia" w:ascii="Times New Roman" w:hAnsi="Times New Roman" w:eastAsia="宋体" w:cs="Times New Roman"/>
                      <w:kern w:val="0"/>
                      <w:szCs w:val="21"/>
                    </w:rPr>
                    <w:t>及砂再生</w:t>
                  </w:r>
                  <w:r>
                    <w:rPr>
                      <w:rFonts w:ascii="Times New Roman" w:hAnsi="Times New Roman" w:eastAsia="宋体" w:cs="Times New Roman"/>
                      <w:kern w:val="0"/>
                      <w:szCs w:val="21"/>
                    </w:rPr>
                    <w:t>设备：</w:t>
                  </w:r>
                </w:p>
                <w:p>
                  <w:pPr>
                    <w:autoSpaceDE w:val="0"/>
                    <w:autoSpaceDN w:val="0"/>
                    <w:adjustRightInd w:val="0"/>
                    <w:rPr>
                      <w:rFonts w:ascii="Times New Roman" w:hAnsi="Times New Roman" w:eastAsia="宋体" w:cs="Times New Roman"/>
                      <w:kern w:val="0"/>
                      <w:szCs w:val="21"/>
                    </w:rPr>
                  </w:pPr>
                  <w:r>
                    <w:rPr>
                      <w:rFonts w:ascii="Times New Roman" w:hAnsi="Times New Roman" w:eastAsia="TimesNewRomanPSMT" w:cs="Times New Roman"/>
                      <w:kern w:val="0"/>
                      <w:szCs w:val="21"/>
                    </w:rPr>
                    <w:t>1</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采用粘土砂、树脂自硬砂、酯硬化水玻璃砂铸造工艺的企业应配备完善的砂处理及砂再生设备</w:t>
                  </w:r>
                  <w:r>
                    <w:rPr>
                      <w:rFonts w:ascii="Times New Roman" w:hAnsi="Times New Roman" w:eastAsia="宋体" w:cs="Times New Roman"/>
                      <w:kern w:val="0"/>
                      <w:szCs w:val="21"/>
                    </w:rPr>
                    <w:t>，各种旧砂的回用率应达到表</w:t>
                  </w:r>
                  <w:r>
                    <w:rPr>
                      <w:rFonts w:ascii="Times New Roman" w:hAnsi="Times New Roman" w:eastAsia="TimesNewRomanPSMT" w:cs="Times New Roman"/>
                      <w:kern w:val="0"/>
                      <w:szCs w:val="21"/>
                    </w:rPr>
                    <w:t>2</w:t>
                  </w:r>
                  <w:r>
                    <w:rPr>
                      <w:rFonts w:ascii="Times New Roman" w:hAnsi="Times New Roman" w:eastAsia="宋体" w:cs="Times New Roman"/>
                      <w:kern w:val="0"/>
                      <w:szCs w:val="21"/>
                    </w:rPr>
                    <w:t>的要求。</w:t>
                  </w:r>
                </w:p>
                <w:p>
                  <w:pPr>
                    <w:autoSpaceDE w:val="0"/>
                    <w:autoSpaceDN w:val="0"/>
                    <w:adjustRightInd w:val="0"/>
                    <w:rPr>
                      <w:rFonts w:ascii="Times New Roman" w:hAnsi="Times New Roman" w:eastAsia="宋体" w:cs="Times New Roman"/>
                      <w:kern w:val="0"/>
                      <w:szCs w:val="21"/>
                    </w:rPr>
                  </w:pPr>
                  <w:r>
                    <w:rPr>
                      <w:rFonts w:ascii="Times New Roman" w:hAnsi="Times New Roman" w:eastAsia="TimesNewRomanPSMT" w:cs="Times New Roman"/>
                      <w:kern w:val="0"/>
                      <w:szCs w:val="21"/>
                    </w:rPr>
                    <w:t>2</w:t>
                  </w:r>
                  <w:r>
                    <w:rPr>
                      <w:rFonts w:ascii="Times New Roman" w:hAnsi="Times New Roman" w:eastAsia="宋体" w:cs="Times New Roman"/>
                      <w:kern w:val="0"/>
                      <w:szCs w:val="21"/>
                    </w:rPr>
                    <w:t>、采用水玻璃砂型铸造工艺的企业宜配置合理再生设备。</w:t>
                  </w:r>
                </w:p>
              </w:tc>
              <w:tc>
                <w:tcPr>
                  <w:tcW w:w="1842"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项目不涉及砂处理及旧砂处理设备</w:t>
                  </w:r>
                </w:p>
              </w:tc>
              <w:tc>
                <w:tcPr>
                  <w:tcW w:w="88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continue"/>
                </w:tcPr>
                <w:p>
                  <w:pPr>
                    <w:adjustRightInd w:val="0"/>
                    <w:snapToGrid w:val="0"/>
                    <w:rPr>
                      <w:rFonts w:ascii="Times New Roman" w:hAnsi="Times New Roman" w:eastAsia="宋体" w:cs="Times New Roman"/>
                      <w:szCs w:val="21"/>
                    </w:rPr>
                  </w:pPr>
                </w:p>
              </w:tc>
              <w:tc>
                <w:tcPr>
                  <w:tcW w:w="4253" w:type="dxa"/>
                  <w:vAlign w:val="center"/>
                </w:tcPr>
                <w:p>
                  <w:pPr>
                    <w:autoSpaceDE w:val="0"/>
                    <w:autoSpaceDN w:val="0"/>
                    <w:adjustRightInd w:val="0"/>
                    <w:rPr>
                      <w:rFonts w:ascii="Times New Roman" w:hAnsi="Times New Roman" w:eastAsia="TimesNewRomanPSMT" w:cs="Times New Roman"/>
                      <w:kern w:val="0"/>
                      <w:szCs w:val="21"/>
                    </w:rPr>
                  </w:pPr>
                  <w:r>
                    <w:rPr>
                      <w:rFonts w:hint="eastAsia" w:ascii="Times New Roman" w:hAnsi="Times New Roman" w:eastAsia="宋体" w:cs="Times New Roman"/>
                      <w:kern w:val="0"/>
                      <w:szCs w:val="21"/>
                    </w:rPr>
                    <w:t>铸件的外观质量（尺寸精度、表面粗糙度等）、内在质量（化学成分、金相组织等）及力学性能等指标应符合规定的技术要求。</w:t>
                  </w:r>
                </w:p>
              </w:tc>
              <w:tc>
                <w:tcPr>
                  <w:tcW w:w="1842" w:type="dxa"/>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kern w:val="0"/>
                      <w:szCs w:val="21"/>
                    </w:rPr>
                    <w:t>项目具备与其产能和质量保证体系相匹配的试验室和必要的检测设备。</w:t>
                  </w:r>
                </w:p>
              </w:tc>
              <w:tc>
                <w:tcPr>
                  <w:tcW w:w="88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由上表可知，拟建项目基本符合《铸造企业规范条件》（T/CFA 0310021-2023）要求。</w:t>
            </w:r>
          </w:p>
          <w:p>
            <w:pPr>
              <w:autoSpaceDE w:val="0"/>
              <w:autoSpaceDN w:val="0"/>
              <w:adjustRightInd w:val="0"/>
              <w:snapToGrid w:val="0"/>
              <w:spacing w:line="360" w:lineRule="auto"/>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1.7与《</w:t>
            </w:r>
            <w:r>
              <w:rPr>
                <w:rFonts w:hint="eastAsia" w:ascii="Times New Roman" w:hAnsi="Times New Roman" w:eastAsia="宋体" w:cs="Times New Roman"/>
                <w:b/>
                <w:bCs/>
                <w:sz w:val="24"/>
                <w:szCs w:val="24"/>
              </w:rPr>
              <w:t>关于推动铸造和锻压行业高质量发展的指导意见</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工信部联通装</w:t>
            </w:r>
            <w:r>
              <w:rPr>
                <w:rFonts w:ascii="Times New Roman" w:hAnsi="Times New Roman" w:eastAsia="宋体" w:cs="Times New Roman"/>
                <w:b/>
                <w:bCs/>
                <w:sz w:val="24"/>
                <w:szCs w:val="24"/>
              </w:rPr>
              <w:t>〔2023〕40号）符合性分析</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拟建项目与《关于推动铸造和锻压行业高质量发展</w:t>
            </w:r>
            <w:r>
              <w:rPr>
                <w:rFonts w:hint="eastAsia" w:ascii="Times New Roman" w:hAnsi="Times New Roman" w:eastAsia="宋体" w:cs="Times New Roman"/>
                <w:kern w:val="0"/>
                <w:sz w:val="24"/>
                <w:szCs w:val="24"/>
              </w:rPr>
              <w:t>的指导意见</w:t>
            </w:r>
            <w:r>
              <w:rPr>
                <w:rFonts w:ascii="Times New Roman" w:hAnsi="Times New Roman" w:eastAsia="宋体" w:cs="Times New Roman"/>
                <w:kern w:val="0"/>
                <w:sz w:val="24"/>
                <w:szCs w:val="24"/>
              </w:rPr>
              <w:t>》的符合性分析详见表1.7-1。</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表1.7-1  </w:t>
            </w:r>
            <w:r>
              <w:rPr>
                <w:rFonts w:hint="eastAsia" w:ascii="Times New Roman" w:hAnsi="Times New Roman" w:eastAsia="宋体" w:cs="Times New Roman"/>
                <w:b/>
                <w:bCs/>
                <w:kern w:val="0"/>
                <w:sz w:val="24"/>
                <w:szCs w:val="24"/>
              </w:rPr>
              <w:t>关于推动铸造和锻压行业高质量发展的指导意见</w:t>
            </w:r>
          </w:p>
          <w:tbl>
            <w:tblPr>
              <w:tblStyle w:val="19"/>
              <w:tblW w:w="7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53"/>
              <w:gridCol w:w="1846"/>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8" w:type="dxa"/>
                  <w:gridSpan w:val="2"/>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指导意见</w:t>
                  </w:r>
                </w:p>
              </w:tc>
              <w:tc>
                <w:tcPr>
                  <w:tcW w:w="1846" w:type="dxa"/>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项目情况</w:t>
                  </w:r>
                </w:p>
              </w:tc>
              <w:tc>
                <w:tcPr>
                  <w:tcW w:w="878" w:type="dxa"/>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提高行业创新能力</w:t>
                  </w:r>
                </w:p>
              </w:tc>
              <w:tc>
                <w:tcPr>
                  <w:tcW w:w="4253" w:type="dxa"/>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发展先进铸造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w:t>
                  </w:r>
                </w:p>
              </w:tc>
              <w:tc>
                <w:tcPr>
                  <w:tcW w:w="1846"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本项目生产采用合金压力铸造工艺。</w:t>
                  </w:r>
                </w:p>
              </w:tc>
              <w:tc>
                <w:tcPr>
                  <w:tcW w:w="87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推进行业规范发展</w:t>
                  </w:r>
                </w:p>
              </w:tc>
              <w:tc>
                <w:tcPr>
                  <w:tcW w:w="4253" w:type="dxa"/>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推进产业结构优化。严格执行节能、环保、质量、安全技术等相关法律法规标准和《产业结构调整指导目录》等政策依法依规淘汰工艺装备落后、污染物排放不达标、生产安全无保障的落后产能。鼓励大气污染防治重点区域加大淘汰落后力度。铸造企业不得采用无芯工频感应电炉、无磁辄 (&gt;0.25 吨) 铝壳中频感应电炉、水玻璃熔模精密铸造氯化按硬化模壳、铝合金六氯乙烷精炼等淘汰类工艺和装备。</w:t>
                  </w:r>
                </w:p>
              </w:tc>
              <w:tc>
                <w:tcPr>
                  <w:tcW w:w="1846" w:type="dxa"/>
                  <w:vAlign w:val="center"/>
                </w:tcPr>
                <w:p>
                  <w:pPr>
                    <w:autoSpaceDE w:val="0"/>
                    <w:autoSpaceDN w:val="0"/>
                    <w:adjustRightInd w:val="0"/>
                    <w:rPr>
                      <w:rFonts w:ascii="Times New Roman" w:hAnsi="Times New Roman" w:eastAsia="宋体" w:cs="Times New Roman"/>
                      <w:kern w:val="0"/>
                      <w:szCs w:val="21"/>
                    </w:rPr>
                  </w:pPr>
                  <w:r>
                    <w:rPr>
                      <w:rFonts w:hint="eastAsia" w:ascii="Times New Roman" w:hAnsi="Times New Roman" w:eastAsia="宋体" w:cs="Times New Roman"/>
                      <w:kern w:val="0"/>
                      <w:szCs w:val="21"/>
                    </w:rPr>
                    <w:t>本项目不使用淘汰落后生产工艺及装备，污染物达标均达标排放；不采用</w:t>
                  </w:r>
                  <w:r>
                    <w:rPr>
                      <w:rFonts w:ascii="Times New Roman" w:hAnsi="Times New Roman" w:eastAsia="宋体" w:cs="Times New Roman"/>
                      <w:kern w:val="0"/>
                      <w:szCs w:val="21"/>
                    </w:rPr>
                    <w:t>无芯工频感应电炉、铝合金六氯乙烷精炼等淘汰类工艺和装备。</w:t>
                  </w:r>
                </w:p>
              </w:tc>
              <w:tc>
                <w:tcPr>
                  <w:tcW w:w="87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bl>
          <w:p>
            <w:pPr>
              <w:autoSpaceDE w:val="0"/>
              <w:autoSpaceDN w:val="0"/>
              <w:adjustRightInd w:val="0"/>
              <w:snapToGrid w:val="0"/>
              <w:spacing w:line="360" w:lineRule="auto"/>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1.8与《</w:t>
            </w:r>
            <w:r>
              <w:rPr>
                <w:rFonts w:hint="eastAsia" w:ascii="Times New Roman" w:hAnsi="Times New Roman" w:eastAsia="宋体" w:cs="Times New Roman"/>
                <w:b/>
                <w:bCs/>
                <w:sz w:val="24"/>
                <w:szCs w:val="24"/>
              </w:rPr>
              <w:t>铸造工业大气污染防治可行技术指南</w:t>
            </w:r>
            <w:r>
              <w:rPr>
                <w:rFonts w:ascii="Times New Roman" w:hAnsi="Times New Roman" w:eastAsia="宋体" w:cs="Times New Roman"/>
                <w:b/>
                <w:bCs/>
                <w:sz w:val="24"/>
                <w:szCs w:val="24"/>
              </w:rPr>
              <w:t>》（HJ 1292—2023）符合性分析</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拟建项目与《</w:t>
            </w:r>
            <w:r>
              <w:rPr>
                <w:rFonts w:hint="eastAsia" w:ascii="Times New Roman" w:hAnsi="Times New Roman" w:eastAsia="宋体" w:cs="Times New Roman"/>
                <w:kern w:val="0"/>
                <w:sz w:val="24"/>
                <w:szCs w:val="24"/>
              </w:rPr>
              <w:t>铸造工业大气污染防治可行技术指南</w:t>
            </w:r>
            <w:r>
              <w:rPr>
                <w:rFonts w:ascii="Times New Roman" w:hAnsi="Times New Roman" w:eastAsia="宋体" w:cs="Times New Roman"/>
                <w:kern w:val="0"/>
                <w:sz w:val="24"/>
                <w:szCs w:val="24"/>
              </w:rPr>
              <w:t>》的符合性分析详见表1.8-1。</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表1.8-1  </w:t>
            </w:r>
            <w:r>
              <w:rPr>
                <w:rFonts w:hint="eastAsia" w:ascii="Times New Roman" w:hAnsi="Times New Roman" w:eastAsia="宋体" w:cs="Times New Roman"/>
                <w:b/>
                <w:bCs/>
                <w:kern w:val="0"/>
                <w:sz w:val="24"/>
                <w:szCs w:val="24"/>
              </w:rPr>
              <w:t>铸造工业大气污染防治可行技术指南</w:t>
            </w:r>
          </w:p>
          <w:tbl>
            <w:tblPr>
              <w:tblStyle w:val="19"/>
              <w:tblW w:w="7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830"/>
              <w:gridCol w:w="212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技术指南</w:t>
                  </w:r>
                </w:p>
              </w:tc>
              <w:tc>
                <w:tcPr>
                  <w:tcW w:w="2124" w:type="dxa"/>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项目情况</w:t>
                  </w:r>
                </w:p>
              </w:tc>
              <w:tc>
                <w:tcPr>
                  <w:tcW w:w="882" w:type="dxa"/>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物料储存过程控制措施</w:t>
                  </w:r>
                </w:p>
              </w:tc>
              <w:tc>
                <w:tcPr>
                  <w:tcW w:w="383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铁、废钢、铝合金锭、镁合金锭、铜合金锭、焦炭和铁合金等粒状、块状散装物料应储存于封闭储库、料仓中，或储存于半封闭料场（堆棚）中，或四周设置防风抑尘网、挡风墙，或采取覆盖措施。半封闭料场（堆棚）应至少两面有围墙（围挡）及屋顶；防风抑尘网、挡风墙高度应不低于堆存物料高度的</w:t>
                  </w:r>
                  <w:r>
                    <w:rPr>
                      <w:rFonts w:ascii="Times New Roman" w:hAnsi="Times New Roman" w:eastAsia="宋体" w:cs="Times New Roman"/>
                      <w:szCs w:val="21"/>
                    </w:rPr>
                    <w:t>1.1倍。</w:t>
                  </w:r>
                </w:p>
              </w:tc>
              <w:tc>
                <w:tcPr>
                  <w:tcW w:w="2124"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项目散装物料储存于生产车间内的储库中。</w:t>
                  </w:r>
                </w:p>
              </w:tc>
              <w:tc>
                <w:tcPr>
                  <w:tcW w:w="88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工艺生产过程控制措施</w:t>
                  </w:r>
                </w:p>
              </w:tc>
              <w:tc>
                <w:tcPr>
                  <w:tcW w:w="383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金属液倒包、分包等操作宜设置固定工位，安装集气罩，并配备除尘设施。</w:t>
                  </w:r>
                </w:p>
              </w:tc>
              <w:tc>
                <w:tcPr>
                  <w:tcW w:w="2124"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项目金属液倒包、分包等操作设置了固定工位，安装集气罩并配备除尘设施。</w:t>
                  </w:r>
                </w:p>
              </w:tc>
              <w:tc>
                <w:tcPr>
                  <w:tcW w:w="88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废气收集系统控制要求</w:t>
                  </w:r>
                </w:p>
              </w:tc>
              <w:tc>
                <w:tcPr>
                  <w:tcW w:w="383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应尽可能利用主体生产装置（如中频感应炉、抛丸机等）自身的集气系统进行收集。排风罩的配置应与所采用的生产工艺协调一致，不影响工艺操作。在保证收集能力的前提下，应结构简单，便于安装和维护管理。</w:t>
                  </w:r>
                </w:p>
              </w:tc>
              <w:tc>
                <w:tcPr>
                  <w:tcW w:w="2124" w:type="dxa"/>
                  <w:vAlign w:val="center"/>
                </w:tcPr>
                <w:p>
                  <w:pPr>
                    <w:autoSpaceDE w:val="0"/>
                    <w:autoSpaceDN w:val="0"/>
                    <w:adjustRightIn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项目抛丸废气利用自身的集气系统进行收集；其他生产工序的集气罩与生产工艺协调一致。</w:t>
                  </w:r>
                </w:p>
              </w:tc>
              <w:tc>
                <w:tcPr>
                  <w:tcW w:w="88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bl>
          <w:p>
            <w:pPr>
              <w:autoSpaceDE w:val="0"/>
              <w:autoSpaceDN w:val="0"/>
              <w:adjustRightInd w:val="0"/>
              <w:snapToGrid w:val="0"/>
              <w:spacing w:line="360" w:lineRule="auto"/>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1.9与《重庆市人民政府关于印发重庆市生态环境保护“十四五”规划（2021—2025年）的通知》（渝府发〔2022〕11号）符合性分析</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根据重庆市人民政府2022年1月27日发布的《重庆市人民政府关于印发重庆市生态环境保护“十四五”规划（2021—2025年）的通知》（渝府发〔2022〕11号）中明确提出以下要求：“第四节、强化有毒有害化学物质环境风险防控：禁止在长江干支流岸线1公里范围内新建、扩建化工园区和化工项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本项目位于重庆市铜梁区虎峰镇石岭村5社12号，</w:t>
            </w:r>
            <w:r>
              <w:rPr>
                <w:rFonts w:hint="eastAsia" w:ascii="Times New Roman" w:hAnsi="Times New Roman" w:eastAsia="宋体" w:cs="Times New Roman"/>
                <w:bCs/>
                <w:sz w:val="24"/>
                <w:szCs w:val="24"/>
              </w:rPr>
              <w:t>主要工艺为有色金属铸造，属于汽车零部件制造和通用零部件制造项目</w:t>
            </w:r>
            <w:r>
              <w:rPr>
                <w:rFonts w:ascii="Times New Roman" w:hAnsi="Times New Roman" w:eastAsia="宋体" w:cs="Times New Roman"/>
                <w:bCs/>
                <w:sz w:val="24"/>
                <w:szCs w:val="24"/>
              </w:rPr>
              <w:t>，不属于禁止建设项目，满足《重庆市人民政府关于印发重庆市生态环境保护“十四五”规划（2021—2025年）的通知》（渝府发〔2022〕11号）的要求。</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1.10 项目选址合理性分析</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（1）项目所在地环境质量现状</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环境空气：拟建项目所在区域非甲烷总烃满足河北省地方标准《环境空气质量 非甲烷总烃限值》（DB13/1577-2012）；铜梁区区域内SO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、CO、O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10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2.5</w:t>
            </w:r>
            <w:r>
              <w:rPr>
                <w:rFonts w:ascii="Times New Roman" w:hAnsi="Times New Roman" w:eastAsia="宋体" w:cs="Times New Roman"/>
                <w:kern w:val="0"/>
                <w:sz w:val="24"/>
                <w:szCs w:val="24"/>
              </w:rPr>
              <w:t>均能够满足《环境空气质量标准》（GB3095-2012）中二级标准，区域为达标区。</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地表水：根据重庆市铜梁区人民政府网上公示的“重庆市铜梁区</w:t>
            </w:r>
            <w:r>
              <w:rPr>
                <w:rFonts w:hint="eastAsia" w:ascii="Times New Roman" w:hAnsi="Times New Roman" w:eastAsia="宋体" w:cs="Times New Roman"/>
                <w:kern w:val="0"/>
                <w:sz w:val="24"/>
                <w:szCs w:val="24"/>
              </w:rPr>
              <w:t>水环境质量</w:t>
            </w:r>
            <w:r>
              <w:rPr>
                <w:rFonts w:ascii="Times New Roman" w:hAnsi="Times New Roman" w:eastAsia="宋体" w:cs="Times New Roman"/>
                <w:kern w:val="0"/>
                <w:sz w:val="24"/>
                <w:szCs w:val="24"/>
              </w:rPr>
              <w:t>状况（2023年9月）”可知，小安溪双河口监测断面满足《地表水环境质量标准》(GB 3838-2002)Ⅲ类水域标准要求，表明地表水环境质量现状良好，有一定的环境容量。</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噪声：拟建项目所在区域噪声满足《声环境质量标准》（GB 3096-2008）2类标准要求。</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工程所在区域目前环境质量状况总体良好，区域环境容量对工程建设的制约作用较小。</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（2）环境影响</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本项目产生的废气、废水、噪声、固体废物经本环评提出的污染防治措施处理后能实现达标排放，对周边环境影响较小。</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评价认为拟建项目严格按照报告提出的措施，保证废气及废水的达标排放，项目产生的环境影响很小，环境可以接受。</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（3）环境相容性</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本项目地块为工业用地，属于虎峰镇点状发展区域，</w:t>
            </w:r>
            <w:r>
              <w:rPr>
                <w:rFonts w:hint="eastAsia" w:ascii="Times New Roman" w:hAnsi="Times New Roman" w:eastAsia="宋体" w:cs="Times New Roman"/>
                <w:kern w:val="0"/>
                <w:sz w:val="24"/>
                <w:szCs w:val="24"/>
              </w:rPr>
              <w:t>周边仅有少量散居农户，企业生产时严格落实环评提出的各项污染物管控要求后，对周边影响小，</w:t>
            </w:r>
            <w:r>
              <w:rPr>
                <w:rFonts w:ascii="Times New Roman" w:hAnsi="Times New Roman" w:eastAsia="宋体" w:cs="Times New Roman"/>
                <w:kern w:val="0"/>
                <w:sz w:val="24"/>
                <w:szCs w:val="24"/>
              </w:rPr>
              <w:t>满足《重庆市铜梁区镇域工业集聚区发展规划（2021-2025）》要求。</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综上所述，本项目选址合理，建设是可行的。</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p>
          <w:p>
            <w:pPr>
              <w:autoSpaceDE w:val="0"/>
              <w:autoSpaceDN w:val="0"/>
              <w:adjustRightInd w:val="0"/>
              <w:snapToGrid w:val="0"/>
              <w:spacing w:line="360" w:lineRule="auto"/>
              <w:rPr>
                <w:rFonts w:ascii="Times New Roman" w:hAnsi="Times New Roman" w:eastAsia="宋体" w:cs="Times New Roman"/>
                <w:kern w:val="0"/>
                <w:sz w:val="24"/>
                <w:szCs w:val="24"/>
              </w:rPr>
            </w:pPr>
          </w:p>
        </w:tc>
      </w:tr>
    </w:tbl>
    <w:p>
      <w:pPr>
        <w:rPr>
          <w:rFonts w:ascii="Times New Roman" w:hAnsi="Times New Roman" w:cs="Times New Roman"/>
        </w:rPr>
        <w:sectPr>
          <w:footerReference r:id="rId4" w:type="default"/>
          <w:pgSz w:w="11906" w:h="16838"/>
          <w:pgMar w:top="1440" w:right="1800" w:bottom="1440" w:left="1800" w:header="851" w:footer="992" w:gutter="0"/>
          <w:pgNumType w:fmt="numberInDash" w:start="1"/>
          <w:cols w:space="425" w:num="1"/>
          <w:docGrid w:type="lines" w:linePitch="312" w:charSpace="0"/>
        </w:sectPr>
      </w:pPr>
    </w:p>
    <w:p>
      <w:pPr>
        <w:widowControl/>
        <w:jc w:val="left"/>
        <w:rPr>
          <w:rFonts w:ascii="Times New Roman" w:hAnsi="Times New Roman" w:eastAsia="黑体" w:cs="Times New Roman"/>
          <w:sz w:val="30"/>
          <w:szCs w:val="30"/>
        </w:rPr>
      </w:pPr>
      <w:r>
        <w:rPr>
          <w:rFonts w:ascii="Times New Roman" w:hAnsi="Times New Roman" w:eastAsia="黑体" w:cs="Times New Roman"/>
          <w:sz w:val="30"/>
          <w:szCs w:val="30"/>
        </w:rPr>
        <w:t>二、建设项目工程分析</w:t>
      </w:r>
    </w:p>
    <w:tbl>
      <w:tblPr>
        <w:tblStyle w:val="18"/>
        <w:tblW w:w="9062" w:type="dxa"/>
        <w:jc w:val="center"/>
        <w:tblInd w:w="0" w:type="dxa"/>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 w:val="22"/>
              </w:rPr>
              <w:t>建设内容</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2.1 项目由来</w:t>
            </w:r>
          </w:p>
          <w:p>
            <w:pPr>
              <w:autoSpaceDE w:val="0"/>
              <w:autoSpaceDN w:val="0"/>
              <w:adjustRightInd w:val="0"/>
              <w:snapToGrid w:val="0"/>
              <w:spacing w:line="36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kern w:val="0"/>
                <w:sz w:val="24"/>
                <w:szCs w:val="24"/>
              </w:rPr>
              <w:t>重庆鑫淳科技有限公司</w:t>
            </w:r>
            <w:r>
              <w:rPr>
                <w:rFonts w:ascii="Times New Roman" w:hAnsi="Times New Roman" w:eastAsia="宋体" w:cs="Times New Roman"/>
                <w:bCs/>
                <w:kern w:val="0"/>
                <w:sz w:val="24"/>
                <w:szCs w:val="24"/>
              </w:rPr>
              <w:t>是一家</w:t>
            </w:r>
            <w:r>
              <w:rPr>
                <w:rFonts w:ascii="Times New Roman" w:hAnsi="Times New Roman" w:eastAsia="宋体" w:cs="Times New Roman"/>
                <w:kern w:val="0"/>
                <w:sz w:val="24"/>
                <w:szCs w:val="24"/>
              </w:rPr>
              <w:t>专注于生产、加工、销售机械零部件及汽车配件的企业</w:t>
            </w:r>
            <w:r>
              <w:rPr>
                <w:rFonts w:ascii="Times New Roman" w:hAnsi="Times New Roman" w:eastAsia="宋体" w:cs="Times New Roman"/>
                <w:bCs/>
                <w:kern w:val="0"/>
                <w:sz w:val="24"/>
                <w:szCs w:val="24"/>
              </w:rPr>
              <w:t>。项目租赁位于重庆市铜梁区虎峰镇石岭村5社12号的重庆市铜梁区钢隆纸业有限公司闲置</w:t>
            </w:r>
            <w:r>
              <w:rPr>
                <w:rFonts w:hint="eastAsia" w:ascii="Times New Roman" w:hAnsi="Times New Roman" w:eastAsia="宋体" w:cs="Times New Roman"/>
                <w:bCs/>
                <w:kern w:val="0"/>
                <w:sz w:val="24"/>
                <w:szCs w:val="24"/>
              </w:rPr>
              <w:t>厂房</w:t>
            </w:r>
            <w:r>
              <w:rPr>
                <w:rFonts w:ascii="Times New Roman" w:hAnsi="Times New Roman" w:eastAsia="宋体" w:cs="Times New Roman"/>
                <w:bCs/>
                <w:kern w:val="0"/>
                <w:sz w:val="24"/>
                <w:szCs w:val="24"/>
              </w:rPr>
              <w:t>开展生产活动。</w:t>
            </w:r>
            <w:r>
              <w:rPr>
                <w:rFonts w:ascii="Times New Roman" w:hAnsi="Times New Roman" w:eastAsia="宋体" w:cs="Times New Roman"/>
                <w:kern w:val="0"/>
                <w:sz w:val="24"/>
                <w:szCs w:val="24"/>
              </w:rPr>
              <w:t>根据《中华人民共和国环境保护法》、《中华人民共和国环境影响评价法》和《建设项目环境保护管理条例》（国务院第682号令）的有关要求，汽车零部件属于《建设项目环境影响评价分类管理名录》（2021年版）中的“三十三、汽车制造业36”中的“71汽车零部件及配件制造367-其他（年用非溶剂型低VOCs含量涂料10吨以下的除外）”，应编制环境影响报告表；通用机械零部件属于《建设项目环境影响评价分类管理名录》（2021年版）中的“三十一、通用设备制造业，69、通用零部件制造348，其他（仅分割、焊接、组装的除外；年用非溶剂型低VOCs含量涂料10吨以下的除外）”，该产品涉及工艺除切割、组装外，还有压铸、抛丸工序，应编制环境影响报告表；铸造工艺属于《建设项目环境影响评价分类管理名录》（2021年版）中的“三十、金属制品业，69、铸造及其他金属制品制造339，其他（仅分割、焊接、组装的除外）”，该产品涉及抛丸等工序，应编制环境影响报告表。综上所述，本项目应当编制环境影响报告表。受重庆鑫淳科技有限公司委托，本公司承担该项目的环境影响评价工作，在接受委托之后，我公司组织专业技术人员经过现场勘查并收集相关资料，编制了本项目的环境影响报告表。</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2.2 项目概况</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2.2.1 项目基本情况</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bookmarkStart w:id="5" w:name="_Hlk74647076"/>
            <w:r>
              <w:rPr>
                <w:rFonts w:ascii="Times New Roman" w:hAnsi="Times New Roman" w:eastAsia="宋体" w:cs="Times New Roman"/>
                <w:kern w:val="0"/>
                <w:sz w:val="24"/>
                <w:szCs w:val="24"/>
              </w:rPr>
              <w:t>（1）项目名称：年生产500万件汽摩配件及通用零部件建设项目</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（2）建设单位：重庆鑫淳科技有限公司，地理位置图详见</w:t>
            </w:r>
            <w:r>
              <w:rPr>
                <w:rFonts w:ascii="Times New Roman" w:hAnsi="Times New Roman" w:eastAsia="宋体" w:cs="Times New Roman"/>
                <w:b/>
                <w:bCs/>
                <w:kern w:val="0"/>
                <w:sz w:val="24"/>
                <w:szCs w:val="24"/>
                <w:u w:val="single"/>
              </w:rPr>
              <w:t>附图1</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（3）建设地点：重庆市铜梁区虎峰镇石岭村5社12号</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（4）建设性质：新建</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（5）工程投资：4600万元</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（6）建筑面积：3000m</w:t>
            </w:r>
            <w:r>
              <w:rPr>
                <w:rFonts w:ascii="Times New Roman" w:hAnsi="Times New Roman" w:eastAsia="宋体" w:cs="Times New Roman"/>
                <w:kern w:val="0"/>
                <w:sz w:val="24"/>
                <w:szCs w:val="24"/>
                <w:vertAlign w:val="superscript"/>
              </w:rPr>
              <w:t>2</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（7）建设内容：项目主体工程包括生产车间建设、办公区建设以及各种设备安装等，主体工程包括铸造车间和机加车间，建成后形成年产500万件汽车零部件及通用机械零部件</w:t>
            </w:r>
            <w:r>
              <w:rPr>
                <w:rFonts w:ascii="Times New Roman" w:hAnsi="Times New Roman" w:eastAsia="宋体" w:cs="Times New Roman"/>
                <w:bCs/>
                <w:kern w:val="0"/>
                <w:sz w:val="24"/>
                <w:szCs w:val="24"/>
              </w:rPr>
              <w:t>的生产规模。</w:t>
            </w:r>
            <w:bookmarkEnd w:id="5"/>
            <w:bookmarkStart w:id="6" w:name="_Hlk74647122"/>
            <w:r>
              <w:rPr>
                <w:rFonts w:ascii="Times New Roman" w:hAnsi="Times New Roman" w:eastAsia="宋体" w:cs="Times New Roman"/>
                <w:kern w:val="0"/>
                <w:sz w:val="24"/>
                <w:szCs w:val="24"/>
              </w:rPr>
              <w:t>项目组成及主要工程内容见下表所示。</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2.1-1  项目组成及主要工程内容一览表</w:t>
            </w:r>
          </w:p>
          <w:bookmarkEnd w:id="6"/>
          <w:tbl>
            <w:tblPr>
              <w:tblStyle w:val="18"/>
              <w:tblW w:w="8119"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48"/>
              <w:gridCol w:w="400"/>
              <w:gridCol w:w="1391"/>
              <w:gridCol w:w="5150"/>
              <w:gridCol w:w="7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31" w:hRule="atLeast"/>
                <w:jc w:val="center"/>
              </w:trPr>
              <w:tc>
                <w:tcPr>
                  <w:tcW w:w="2239" w:type="dxa"/>
                  <w:gridSpan w:val="3"/>
                  <w:vAlign w:val="center"/>
                </w:tcPr>
                <w:p>
                  <w:pPr>
                    <w:spacing w:line="240" w:lineRule="exact"/>
                    <w:jc w:val="center"/>
                    <w:outlineLvl w:val="1"/>
                    <w:rPr>
                      <w:rFonts w:ascii="Times New Roman" w:hAnsi="Times New Roman" w:eastAsia="宋体" w:cs="Times New Roman"/>
                      <w:bCs/>
                      <w:szCs w:val="21"/>
                    </w:rPr>
                  </w:pPr>
                  <w:bookmarkStart w:id="7" w:name="_Hlk74647173"/>
                  <w:r>
                    <w:rPr>
                      <w:rFonts w:ascii="Times New Roman" w:hAnsi="Times New Roman" w:eastAsia="宋体" w:cs="Times New Roman"/>
                      <w:bCs/>
                      <w:szCs w:val="21"/>
                    </w:rPr>
                    <w:t>项目</w:t>
                  </w:r>
                </w:p>
              </w:tc>
              <w:tc>
                <w:tcPr>
                  <w:tcW w:w="515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建设内容</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9" w:hRule="atLeast"/>
                <w:jc w:val="center"/>
              </w:trPr>
              <w:tc>
                <w:tcPr>
                  <w:tcW w:w="448"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主体工程</w:t>
                  </w:r>
                </w:p>
              </w:tc>
              <w:tc>
                <w:tcPr>
                  <w:tcW w:w="1791" w:type="dxa"/>
                  <w:gridSpan w:val="2"/>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压铸区</w:t>
                  </w:r>
                </w:p>
              </w:tc>
              <w:tc>
                <w:tcPr>
                  <w:tcW w:w="5150" w:type="dxa"/>
                  <w:vAlign w:val="center"/>
                </w:tcPr>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位于</w:t>
                  </w:r>
                  <w:r>
                    <w:rPr>
                      <w:rFonts w:hint="eastAsia" w:ascii="Times New Roman" w:hAnsi="Times New Roman" w:eastAsia="宋体" w:cs="Times New Roman"/>
                      <w:bCs/>
                      <w:szCs w:val="21"/>
                    </w:rPr>
                    <w:t>生产</w:t>
                  </w:r>
                  <w:r>
                    <w:rPr>
                      <w:rFonts w:ascii="Times New Roman" w:hAnsi="Times New Roman" w:eastAsia="宋体" w:cs="Times New Roman"/>
                      <w:bCs/>
                      <w:szCs w:val="21"/>
                    </w:rPr>
                    <w:t>厂房南侧，建筑面积750m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，内设有熔炼炉、压铸机等生产设备，该区域主要承担压铸生产任务。</w:t>
                  </w:r>
                </w:p>
              </w:tc>
              <w:tc>
                <w:tcPr>
                  <w:tcW w:w="730"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租赁厂房，新建生产设施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31"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1791" w:type="dxa"/>
                  <w:gridSpan w:val="2"/>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机加区</w:t>
                  </w:r>
                </w:p>
              </w:tc>
              <w:tc>
                <w:tcPr>
                  <w:tcW w:w="5150" w:type="dxa"/>
                  <w:vAlign w:val="center"/>
                </w:tcPr>
                <w:p>
                  <w:pPr>
                    <w:spacing w:line="240" w:lineRule="exact"/>
                    <w:jc w:val="left"/>
                    <w:outlineLvl w:val="1"/>
                    <w:rPr>
                      <w:rFonts w:ascii="Times New Roman" w:hAnsi="Times New Roman" w:eastAsia="宋体" w:cs="Times New Roman"/>
                      <w:bCs/>
                      <w:szCs w:val="21"/>
                    </w:rPr>
                  </w:pPr>
                  <w:r>
                    <w:rPr>
                      <w:rFonts w:ascii="Times New Roman" w:hAnsi="Times New Roman" w:eastAsia="宋体" w:cs="Times New Roman"/>
                      <w:bCs/>
                      <w:szCs w:val="21"/>
                    </w:rPr>
                    <w:t>位于</w:t>
                  </w:r>
                  <w:r>
                    <w:rPr>
                      <w:rFonts w:hint="eastAsia" w:ascii="Times New Roman" w:hAnsi="Times New Roman" w:eastAsia="宋体" w:cs="Times New Roman"/>
                      <w:bCs/>
                      <w:szCs w:val="21"/>
                    </w:rPr>
                    <w:t>钢隆纸业邻近办公大楼的厂房东侧，</w:t>
                  </w:r>
                  <w:r>
                    <w:rPr>
                      <w:rFonts w:ascii="Times New Roman" w:hAnsi="Times New Roman" w:eastAsia="宋体" w:cs="Times New Roman"/>
                      <w:bCs/>
                      <w:szCs w:val="21"/>
                    </w:rPr>
                    <w:t>建筑面积300m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，内设加工中心</w:t>
                  </w:r>
                  <w:r>
                    <w:rPr>
                      <w:rFonts w:hint="eastAsia" w:ascii="Times New Roman" w:hAnsi="Times New Roman" w:eastAsia="宋体" w:cs="Times New Roman"/>
                      <w:bCs/>
                      <w:szCs w:val="21"/>
                    </w:rPr>
                    <w:t>、电烘箱等机加工设备</w:t>
                  </w:r>
                  <w:r>
                    <w:rPr>
                      <w:rFonts w:ascii="Times New Roman" w:hAnsi="Times New Roman" w:eastAsia="宋体" w:cs="Times New Roman"/>
                      <w:bCs/>
                      <w:szCs w:val="21"/>
                    </w:rPr>
                    <w:t>，该车间主要承担汽车零部件及通用机械零部件的精加工任务。</w:t>
                  </w:r>
                </w:p>
              </w:tc>
              <w:tc>
                <w:tcPr>
                  <w:tcW w:w="730" w:type="dxa"/>
                  <w:vMerge w:val="continue"/>
                  <w:vAlign w:val="center"/>
                </w:tcPr>
                <w:p>
                  <w:pPr>
                    <w:spacing w:line="240" w:lineRule="exact"/>
                    <w:jc w:val="center"/>
                    <w:outlineLvl w:val="1"/>
                    <w:rPr>
                      <w:rFonts w:ascii="Times New Roman" w:hAnsi="Times New Roman" w:eastAsia="宋体"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5"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1791" w:type="dxa"/>
                  <w:gridSpan w:val="2"/>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打磨区</w:t>
                  </w:r>
                </w:p>
              </w:tc>
              <w:tc>
                <w:tcPr>
                  <w:tcW w:w="5150" w:type="dxa"/>
                  <w:vAlign w:val="center"/>
                </w:tcPr>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位于</w:t>
                  </w:r>
                  <w:r>
                    <w:rPr>
                      <w:rFonts w:hint="eastAsia" w:ascii="Times New Roman" w:hAnsi="Times New Roman" w:eastAsia="宋体" w:cs="Times New Roman"/>
                      <w:bCs/>
                      <w:szCs w:val="21"/>
                    </w:rPr>
                    <w:t>生产</w:t>
                  </w:r>
                  <w:r>
                    <w:rPr>
                      <w:rFonts w:ascii="Times New Roman" w:hAnsi="Times New Roman" w:eastAsia="宋体" w:cs="Times New Roman"/>
                      <w:bCs/>
                      <w:szCs w:val="21"/>
                    </w:rPr>
                    <w:t>厂房北侧，建筑面积100m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，设有打磨机</w:t>
                  </w:r>
                  <w:r>
                    <w:rPr>
                      <w:rFonts w:hint="eastAsia" w:ascii="Times New Roman" w:hAnsi="Times New Roman" w:eastAsia="宋体" w:cs="Times New Roman"/>
                      <w:bCs/>
                      <w:szCs w:val="21"/>
                    </w:rPr>
                    <w:t>、沙带机等</w:t>
                  </w:r>
                  <w:r>
                    <w:rPr>
                      <w:rFonts w:ascii="Times New Roman" w:hAnsi="Times New Roman" w:eastAsia="宋体" w:cs="Times New Roman"/>
                      <w:bCs/>
                      <w:szCs w:val="21"/>
                    </w:rPr>
                    <w:t>，主要用于工件打磨。</w:t>
                  </w:r>
                </w:p>
              </w:tc>
              <w:tc>
                <w:tcPr>
                  <w:tcW w:w="730" w:type="dxa"/>
                  <w:vMerge w:val="continue"/>
                  <w:vAlign w:val="center"/>
                </w:tcPr>
                <w:p>
                  <w:pPr>
                    <w:spacing w:line="240" w:lineRule="exact"/>
                    <w:jc w:val="center"/>
                    <w:outlineLvl w:val="1"/>
                    <w:rPr>
                      <w:rFonts w:ascii="Times New Roman" w:hAnsi="Times New Roman" w:eastAsia="宋体"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11" w:hRule="atLeast"/>
                <w:jc w:val="center"/>
              </w:trPr>
              <w:tc>
                <w:tcPr>
                  <w:tcW w:w="448"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辅助工程</w:t>
                  </w:r>
                </w:p>
              </w:tc>
              <w:tc>
                <w:tcPr>
                  <w:tcW w:w="1791" w:type="dxa"/>
                  <w:gridSpan w:val="2"/>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办公区</w:t>
                  </w:r>
                </w:p>
              </w:tc>
              <w:tc>
                <w:tcPr>
                  <w:tcW w:w="5150" w:type="dxa"/>
                  <w:vAlign w:val="center"/>
                </w:tcPr>
                <w:p>
                  <w:pPr>
                    <w:spacing w:line="240" w:lineRule="exact"/>
                    <w:outlineLvl w:val="1"/>
                    <w:rPr>
                      <w:rFonts w:ascii="Times New Roman" w:hAnsi="Times New Roman" w:eastAsia="宋体" w:cs="Times New Roman"/>
                      <w:bCs/>
                      <w:szCs w:val="21"/>
                    </w:rPr>
                  </w:pPr>
                  <w:r>
                    <w:rPr>
                      <w:rFonts w:ascii="Times New Roman" w:hAnsi="Times New Roman" w:eastAsia="宋体" w:cs="Times New Roman"/>
                      <w:bCs/>
                      <w:szCs w:val="21"/>
                    </w:rPr>
                    <w:t>位于厂房东侧，布置有车间办公室和车间主任办公室。</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72" w:hRule="atLeast"/>
                <w:jc w:val="center"/>
              </w:trPr>
              <w:tc>
                <w:tcPr>
                  <w:tcW w:w="448"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公用工程</w:t>
                  </w:r>
                </w:p>
              </w:tc>
              <w:tc>
                <w:tcPr>
                  <w:tcW w:w="1791" w:type="dxa"/>
                  <w:gridSpan w:val="2"/>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给水</w:t>
                  </w:r>
                </w:p>
              </w:tc>
              <w:tc>
                <w:tcPr>
                  <w:tcW w:w="5150" w:type="dxa"/>
                  <w:vAlign w:val="center"/>
                </w:tcPr>
                <w:p>
                  <w:pPr>
                    <w:spacing w:line="240" w:lineRule="exact"/>
                    <w:outlineLvl w:val="1"/>
                    <w:rPr>
                      <w:rFonts w:ascii="Times New Roman" w:hAnsi="Times New Roman" w:eastAsia="宋体" w:cs="Times New Roman"/>
                      <w:bCs/>
                      <w:szCs w:val="21"/>
                    </w:rPr>
                  </w:pPr>
                  <w:r>
                    <w:rPr>
                      <w:rFonts w:ascii="Times New Roman" w:hAnsi="Times New Roman" w:eastAsia="宋体" w:cs="Times New Roman"/>
                      <w:bCs/>
                      <w:szCs w:val="21"/>
                    </w:rPr>
                    <w:t>依托现有给水管网。</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84"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1791" w:type="dxa"/>
                  <w:gridSpan w:val="2"/>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排水</w:t>
                  </w:r>
                </w:p>
              </w:tc>
              <w:tc>
                <w:tcPr>
                  <w:tcW w:w="5150" w:type="dxa"/>
                  <w:vAlign w:val="center"/>
                </w:tcPr>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排水采用雨污分流制，</w:t>
                  </w:r>
                  <w:r>
                    <w:rPr>
                      <w:rFonts w:hint="eastAsia" w:ascii="Times New Roman" w:hAnsi="Times New Roman" w:eastAsia="宋体" w:cs="Times New Roman"/>
                      <w:bCs/>
                      <w:szCs w:val="21"/>
                    </w:rPr>
                    <w:t>依托钢隆纸业现有管网</w:t>
                  </w:r>
                  <w:r>
                    <w:rPr>
                      <w:rFonts w:ascii="Times New Roman" w:hAnsi="Times New Roman" w:eastAsia="宋体" w:cs="Times New Roman"/>
                      <w:bCs/>
                      <w:szCs w:val="21"/>
                    </w:rPr>
                    <w:t>。</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94"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1791" w:type="dxa"/>
                  <w:gridSpan w:val="2"/>
                  <w:vMerge w:val="continue"/>
                  <w:vAlign w:val="center"/>
                </w:tcPr>
                <w:p>
                  <w:pPr>
                    <w:spacing w:line="240" w:lineRule="exact"/>
                    <w:jc w:val="center"/>
                    <w:outlineLvl w:val="1"/>
                    <w:rPr>
                      <w:rFonts w:ascii="Times New Roman" w:hAnsi="Times New Roman" w:eastAsia="宋体" w:cs="Times New Roman"/>
                      <w:bCs/>
                      <w:szCs w:val="21"/>
                    </w:rPr>
                  </w:pPr>
                </w:p>
              </w:tc>
              <w:tc>
                <w:tcPr>
                  <w:tcW w:w="5150" w:type="dxa"/>
                  <w:vAlign w:val="center"/>
                </w:tcPr>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办公生活污水进入生化池处理后作为农肥使用，不外排。</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17"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1791" w:type="dxa"/>
                  <w:gridSpan w:val="2"/>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供电</w:t>
                  </w:r>
                </w:p>
              </w:tc>
              <w:tc>
                <w:tcPr>
                  <w:tcW w:w="5150" w:type="dxa"/>
                  <w:vAlign w:val="center"/>
                </w:tcPr>
                <w:p>
                  <w:pPr>
                    <w:spacing w:line="240" w:lineRule="exact"/>
                    <w:jc w:val="left"/>
                    <w:outlineLvl w:val="1"/>
                    <w:rPr>
                      <w:rFonts w:ascii="Times New Roman" w:hAnsi="Times New Roman" w:eastAsia="宋体" w:cs="Times New Roman"/>
                      <w:bCs/>
                      <w:szCs w:val="21"/>
                    </w:rPr>
                  </w:pPr>
                  <w:r>
                    <w:rPr>
                      <w:rFonts w:ascii="Times New Roman" w:hAnsi="Times New Roman" w:eastAsia="宋体" w:cs="Times New Roman"/>
                      <w:bCs/>
                      <w:szCs w:val="21"/>
                    </w:rPr>
                    <w:t>依托当地供电系统提供。</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07" w:hRule="atLeast"/>
                <w:jc w:val="center"/>
              </w:trPr>
              <w:tc>
                <w:tcPr>
                  <w:tcW w:w="448"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储运工程</w:t>
                  </w:r>
                </w:p>
              </w:tc>
              <w:tc>
                <w:tcPr>
                  <w:tcW w:w="400"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储存</w:t>
                  </w: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原材料堆放区</w:t>
                  </w:r>
                </w:p>
              </w:tc>
              <w:tc>
                <w:tcPr>
                  <w:tcW w:w="5150" w:type="dxa"/>
                  <w:vAlign w:val="center"/>
                </w:tcPr>
                <w:p>
                  <w:pPr>
                    <w:spacing w:line="240" w:lineRule="exact"/>
                    <w:jc w:val="left"/>
                    <w:outlineLvl w:val="1"/>
                    <w:rPr>
                      <w:rFonts w:ascii="Times New Roman" w:hAnsi="Times New Roman" w:eastAsia="宋体" w:cs="Times New Roman"/>
                      <w:bCs/>
                      <w:szCs w:val="21"/>
                    </w:rPr>
                  </w:pPr>
                  <w:r>
                    <w:rPr>
                      <w:rFonts w:ascii="Times New Roman" w:hAnsi="Times New Roman" w:eastAsia="宋体" w:cs="Times New Roman"/>
                      <w:bCs/>
                      <w:szCs w:val="21"/>
                    </w:rPr>
                    <w:t>位于厂房中部，建筑面积80m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，临近压铸区，主要存放铝锭</w:t>
                  </w:r>
                  <w:r>
                    <w:rPr>
                      <w:rFonts w:hint="eastAsia" w:ascii="Times New Roman" w:hAnsi="Times New Roman" w:eastAsia="宋体" w:cs="Times New Roman"/>
                      <w:bCs/>
                      <w:szCs w:val="21"/>
                    </w:rPr>
                    <w:t>等原材料</w:t>
                  </w:r>
                  <w:r>
                    <w:rPr>
                      <w:rFonts w:ascii="Times New Roman" w:hAnsi="Times New Roman" w:eastAsia="宋体" w:cs="Times New Roman"/>
                      <w:bCs/>
                      <w:szCs w:val="21"/>
                    </w:rPr>
                    <w:t>。</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01"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成品堆放区</w:t>
                  </w:r>
                </w:p>
              </w:tc>
              <w:tc>
                <w:tcPr>
                  <w:tcW w:w="5150" w:type="dxa"/>
                  <w:vAlign w:val="center"/>
                </w:tcPr>
                <w:p>
                  <w:pPr>
                    <w:spacing w:line="240" w:lineRule="exact"/>
                    <w:jc w:val="left"/>
                    <w:outlineLvl w:val="1"/>
                    <w:rPr>
                      <w:rFonts w:ascii="Times New Roman" w:hAnsi="Times New Roman" w:eastAsia="宋体" w:cs="Times New Roman"/>
                      <w:bCs/>
                      <w:szCs w:val="21"/>
                    </w:rPr>
                  </w:pPr>
                  <w:r>
                    <w:rPr>
                      <w:rFonts w:ascii="Times New Roman" w:hAnsi="Times New Roman" w:eastAsia="宋体" w:cs="Times New Roman"/>
                      <w:bCs/>
                      <w:szCs w:val="21"/>
                    </w:rPr>
                    <w:t>位于厂房中部，建筑面积80m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，临近机加区，用于存放机加工之后的成品。</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95"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原料库房</w:t>
                  </w:r>
                </w:p>
              </w:tc>
              <w:tc>
                <w:tcPr>
                  <w:tcW w:w="5150" w:type="dxa"/>
                  <w:vAlign w:val="center"/>
                </w:tcPr>
                <w:p>
                  <w:pPr>
                    <w:spacing w:line="240" w:lineRule="exact"/>
                    <w:jc w:val="left"/>
                    <w:outlineLvl w:val="1"/>
                    <w:rPr>
                      <w:rFonts w:ascii="Times New Roman" w:hAnsi="Times New Roman" w:eastAsia="宋体" w:cs="Times New Roman"/>
                      <w:bCs/>
                      <w:szCs w:val="21"/>
                    </w:rPr>
                  </w:pPr>
                  <w:r>
                    <w:rPr>
                      <w:rFonts w:ascii="Times New Roman" w:hAnsi="Times New Roman" w:eastAsia="宋体" w:cs="Times New Roman"/>
                      <w:bCs/>
                      <w:szCs w:val="21"/>
                    </w:rPr>
                    <w:t>位于原材料堆放区内，主要存放切削液、机油、液压油和脱模剂等液体原料。</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64"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运输</w:t>
                  </w: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厂内运输</w:t>
                  </w:r>
                </w:p>
              </w:tc>
              <w:tc>
                <w:tcPr>
                  <w:tcW w:w="5150" w:type="dxa"/>
                  <w:vAlign w:val="center"/>
                </w:tcPr>
                <w:p>
                  <w:pPr>
                    <w:spacing w:line="240" w:lineRule="exact"/>
                    <w:jc w:val="left"/>
                    <w:outlineLvl w:val="1"/>
                    <w:rPr>
                      <w:rFonts w:ascii="Times New Roman" w:hAnsi="Times New Roman" w:eastAsia="宋体" w:cs="Times New Roman"/>
                      <w:bCs/>
                      <w:szCs w:val="21"/>
                    </w:rPr>
                  </w:pPr>
                  <w:r>
                    <w:rPr>
                      <w:rFonts w:ascii="Times New Roman" w:hAnsi="Times New Roman" w:eastAsia="宋体" w:cs="Times New Roman"/>
                      <w:bCs/>
                      <w:szCs w:val="21"/>
                    </w:rPr>
                    <w:t>行车、人工手推车等运输。</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64"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厂外运输</w:t>
                  </w:r>
                </w:p>
              </w:tc>
              <w:tc>
                <w:tcPr>
                  <w:tcW w:w="5150" w:type="dxa"/>
                  <w:vAlign w:val="center"/>
                </w:tcPr>
                <w:p>
                  <w:pPr>
                    <w:spacing w:line="240" w:lineRule="exact"/>
                    <w:jc w:val="left"/>
                    <w:outlineLvl w:val="1"/>
                    <w:rPr>
                      <w:rFonts w:ascii="Times New Roman" w:hAnsi="Times New Roman" w:eastAsia="宋体" w:cs="Times New Roman"/>
                      <w:bCs/>
                      <w:szCs w:val="21"/>
                    </w:rPr>
                  </w:pPr>
                  <w:r>
                    <w:rPr>
                      <w:rFonts w:ascii="Times New Roman" w:hAnsi="Times New Roman" w:eastAsia="宋体" w:cs="Times New Roman"/>
                      <w:bCs/>
                      <w:szCs w:val="21"/>
                    </w:rPr>
                    <w:t>依托物流公司。</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38" w:hRule="atLeast"/>
                <w:jc w:val="center"/>
              </w:trPr>
              <w:tc>
                <w:tcPr>
                  <w:tcW w:w="448"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环保工程</w:t>
                  </w:r>
                </w:p>
              </w:tc>
              <w:tc>
                <w:tcPr>
                  <w:tcW w:w="40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废水</w:t>
                  </w: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生活污水</w:t>
                  </w:r>
                </w:p>
              </w:tc>
              <w:tc>
                <w:tcPr>
                  <w:tcW w:w="5150" w:type="dxa"/>
                  <w:vAlign w:val="center"/>
                </w:tcPr>
                <w:p>
                  <w:pPr>
                    <w:spacing w:line="240" w:lineRule="exact"/>
                    <w:outlineLvl w:val="1"/>
                    <w:rPr>
                      <w:rFonts w:ascii="Times New Roman" w:hAnsi="Times New Roman" w:eastAsia="宋体" w:cs="Times New Roman"/>
                      <w:bCs/>
                      <w:szCs w:val="21"/>
                    </w:rPr>
                  </w:pPr>
                  <w:r>
                    <w:rPr>
                      <w:rFonts w:ascii="Times New Roman" w:hAnsi="Times New Roman" w:eastAsia="宋体" w:cs="Times New Roman"/>
                      <w:bCs/>
                      <w:szCs w:val="21"/>
                    </w:rPr>
                    <w:t>经生化池处理后作为农肥使用，不外排。</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5"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废气</w:t>
                  </w:r>
                </w:p>
              </w:tc>
              <w:tc>
                <w:tcPr>
                  <w:tcW w:w="1391" w:type="dxa"/>
                  <w:vAlign w:val="center"/>
                </w:tcPr>
                <w:p>
                  <w:pPr>
                    <w:spacing w:line="240" w:lineRule="exact"/>
                    <w:jc w:val="center"/>
                    <w:rPr>
                      <w:rFonts w:ascii="Times New Roman" w:hAnsi="Times New Roman" w:eastAsia="宋体" w:cs="Times New Roman"/>
                      <w:bCs/>
                      <w:szCs w:val="21"/>
                    </w:rPr>
                  </w:pPr>
                  <w:r>
                    <w:rPr>
                      <w:rFonts w:ascii="Times New Roman" w:hAnsi="Times New Roman" w:eastAsia="宋体" w:cs="Times New Roman"/>
                      <w:bCs/>
                      <w:szCs w:val="21"/>
                    </w:rPr>
                    <w:t>熔炼废气</w:t>
                  </w:r>
                </w:p>
              </w:tc>
              <w:tc>
                <w:tcPr>
                  <w:tcW w:w="5150" w:type="dxa"/>
                  <w:vAlign w:val="center"/>
                </w:tcPr>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经集气罩收集后，通过一套耐热布袋除尘器处理后通过15m高1#排气筒排放。</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5"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rPr>
                      <w:rFonts w:ascii="Times New Roman" w:hAnsi="Times New Roman" w:eastAsia="宋体" w:cs="Times New Roman"/>
                      <w:bCs/>
                      <w:szCs w:val="21"/>
                    </w:rPr>
                  </w:pPr>
                  <w:r>
                    <w:rPr>
                      <w:rFonts w:hint="eastAsia" w:ascii="Times New Roman" w:hAnsi="Times New Roman" w:eastAsia="宋体" w:cs="Times New Roman"/>
                      <w:bCs/>
                      <w:szCs w:val="21"/>
                    </w:rPr>
                    <w:t>压铸废气</w:t>
                  </w:r>
                </w:p>
              </w:tc>
              <w:tc>
                <w:tcPr>
                  <w:tcW w:w="5150" w:type="dxa"/>
                  <w:vAlign w:val="center"/>
                </w:tcPr>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经集气罩收集后，通过一套</w:t>
                  </w:r>
                  <w:r>
                    <w:rPr>
                      <w:rFonts w:hint="eastAsia" w:ascii="Times New Roman" w:hAnsi="Times New Roman" w:eastAsia="宋体" w:cs="Times New Roman"/>
                      <w:bCs/>
                      <w:szCs w:val="21"/>
                    </w:rPr>
                    <w:t>静电净化设备</w:t>
                  </w:r>
                  <w:r>
                    <w:rPr>
                      <w:rFonts w:ascii="Times New Roman" w:hAnsi="Times New Roman" w:eastAsia="宋体" w:cs="Times New Roman"/>
                      <w:bCs/>
                      <w:szCs w:val="21"/>
                    </w:rPr>
                    <w:t>处理后通过15m高2#排气筒排放。</w:t>
                  </w:r>
                </w:p>
              </w:tc>
              <w:tc>
                <w:tcPr>
                  <w:tcW w:w="730" w:type="dxa"/>
                  <w:vAlign w:val="center"/>
                </w:tcPr>
                <w:p>
                  <w:pPr>
                    <w:spacing w:line="240" w:lineRule="exact"/>
                    <w:jc w:val="center"/>
                    <w:outlineLvl w:val="1"/>
                    <w:rPr>
                      <w:rFonts w:ascii="Times New Roman" w:hAnsi="Times New Roman" w:eastAsia="宋体" w:cs="Times New Roman"/>
                      <w:bCs/>
                      <w:szCs w:val="21"/>
                    </w:rPr>
                  </w:pPr>
                  <w:r>
                    <w:rPr>
                      <w:rFonts w:hint="eastAsia" w:ascii="Times New Roman" w:hAnsi="Times New Roman" w:eastAsia="宋体" w:cs="Times New Roman"/>
                      <w:bCs/>
                      <w:szCs w:val="21"/>
                    </w:rPr>
                    <w:t>新建</w:t>
                  </w:r>
                </w:p>
              </w:tc>
            </w:tr>
            <w:tr>
              <w:tblPrEx>
                <w:tblLayout w:type="fixed"/>
                <w:tblCellMar>
                  <w:top w:w="0" w:type="dxa"/>
                  <w:left w:w="108" w:type="dxa"/>
                  <w:bottom w:w="0" w:type="dxa"/>
                  <w:right w:w="108" w:type="dxa"/>
                </w:tblCellMar>
              </w:tblPrEx>
              <w:trPr>
                <w:trHeight w:val="597"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rPr>
                      <w:rFonts w:ascii="Times New Roman" w:hAnsi="Times New Roman" w:eastAsia="宋体" w:cs="Times New Roman"/>
                      <w:bCs/>
                      <w:szCs w:val="21"/>
                    </w:rPr>
                  </w:pPr>
                  <w:r>
                    <w:rPr>
                      <w:rFonts w:ascii="Times New Roman" w:hAnsi="Times New Roman" w:eastAsia="宋体" w:cs="Times New Roman"/>
                      <w:bCs/>
                      <w:szCs w:val="21"/>
                    </w:rPr>
                    <w:t>抛丸废气</w:t>
                  </w:r>
                </w:p>
              </w:tc>
              <w:tc>
                <w:tcPr>
                  <w:tcW w:w="5150" w:type="dxa"/>
                  <w:vAlign w:val="center"/>
                </w:tcPr>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抛丸废气经抛丸机自带的布袋除尘处理达标后，通过一根15m高3#排气筒排放。</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97"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rPr>
                      <w:rFonts w:ascii="Times New Roman" w:hAnsi="Times New Roman" w:eastAsia="宋体" w:cs="Times New Roman"/>
                      <w:bCs/>
                      <w:szCs w:val="21"/>
                    </w:rPr>
                  </w:pPr>
                  <w:r>
                    <w:rPr>
                      <w:rFonts w:hint="eastAsia" w:ascii="Times New Roman" w:hAnsi="Times New Roman" w:eastAsia="宋体" w:cs="Times New Roman"/>
                      <w:bCs/>
                      <w:szCs w:val="21"/>
                    </w:rPr>
                    <w:t>打磨废气</w:t>
                  </w:r>
                </w:p>
              </w:tc>
              <w:tc>
                <w:tcPr>
                  <w:tcW w:w="5150" w:type="dxa"/>
                  <w:vAlign w:val="center"/>
                </w:tcPr>
                <w:p>
                  <w:pPr>
                    <w:spacing w:line="240" w:lineRule="exact"/>
                    <w:rPr>
                      <w:rFonts w:ascii="Times New Roman" w:hAnsi="Times New Roman" w:eastAsia="宋体" w:cs="Times New Roman"/>
                      <w:bCs/>
                      <w:szCs w:val="21"/>
                    </w:rPr>
                  </w:pPr>
                  <w:r>
                    <w:rPr>
                      <w:rFonts w:hint="eastAsia" w:ascii="Times New Roman" w:hAnsi="Times New Roman" w:eastAsia="宋体" w:cs="Times New Roman"/>
                      <w:bCs/>
                      <w:szCs w:val="21"/>
                    </w:rPr>
                    <w:t>打磨废气经打磨工位配套的袋式除尘器处理达标后，</w:t>
                  </w:r>
                  <w:r>
                    <w:rPr>
                      <w:rFonts w:ascii="Times New Roman" w:hAnsi="Times New Roman" w:eastAsia="宋体" w:cs="Times New Roman"/>
                      <w:bCs/>
                      <w:szCs w:val="21"/>
                    </w:rPr>
                    <w:t>通过一根15m高4#排气筒排放。</w:t>
                  </w:r>
                </w:p>
              </w:tc>
              <w:tc>
                <w:tcPr>
                  <w:tcW w:w="730" w:type="dxa"/>
                  <w:vAlign w:val="center"/>
                </w:tcPr>
                <w:p>
                  <w:pPr>
                    <w:spacing w:line="240" w:lineRule="exact"/>
                    <w:jc w:val="center"/>
                    <w:outlineLvl w:val="1"/>
                    <w:rPr>
                      <w:rFonts w:ascii="Times New Roman" w:hAnsi="Times New Roman" w:eastAsia="宋体" w:cs="Times New Roman"/>
                      <w:bCs/>
                      <w:szCs w:val="21"/>
                    </w:rPr>
                  </w:pPr>
                  <w:r>
                    <w:rPr>
                      <w:rFonts w:hint="eastAsia"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5"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restart"/>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固废</w:t>
                  </w: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危险废物暂存点</w:t>
                  </w:r>
                </w:p>
              </w:tc>
              <w:tc>
                <w:tcPr>
                  <w:tcW w:w="5150" w:type="dxa"/>
                  <w:vAlign w:val="center"/>
                </w:tcPr>
                <w:p>
                  <w:pPr>
                    <w:spacing w:line="240" w:lineRule="exact"/>
                    <w:outlineLvl w:val="1"/>
                    <w:rPr>
                      <w:rFonts w:ascii="Times New Roman" w:hAnsi="Times New Roman" w:eastAsia="宋体" w:cs="Times New Roman"/>
                      <w:bCs/>
                      <w:szCs w:val="21"/>
                    </w:rPr>
                  </w:pPr>
                  <w:r>
                    <w:rPr>
                      <w:rFonts w:ascii="Times New Roman" w:hAnsi="Times New Roman" w:eastAsia="宋体" w:cs="Times New Roman"/>
                      <w:bCs/>
                      <w:szCs w:val="21"/>
                    </w:rPr>
                    <w:t>设置1个危险废物暂存间，位于厂房东侧，面积约8m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，主要用于暂存铝渣/铝灰、废液压油、含油废铝屑、废切削液、废机油、废包装桶、废含油棉纱手套、浮油/渣、含油污泥等危险废物；采取</w:t>
                  </w:r>
                  <w:r>
                    <w:rPr>
                      <w:rFonts w:hint="eastAsia" w:ascii="Times New Roman" w:hAnsi="Times New Roman" w:eastAsia="宋体" w:cs="Times New Roman"/>
                      <w:bCs/>
                      <w:szCs w:val="21"/>
                    </w:rPr>
                    <w:t>防腐防渗等</w:t>
                  </w:r>
                  <w:r>
                    <w:rPr>
                      <w:rFonts w:ascii="Times New Roman" w:hAnsi="Times New Roman" w:eastAsia="宋体" w:cs="Times New Roman"/>
                      <w:bCs/>
                      <w:szCs w:val="21"/>
                    </w:rPr>
                    <w:t>措施，危废经收集后定期交由危废资质单位处理。</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38"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一般固废暂存点</w:t>
                  </w:r>
                </w:p>
              </w:tc>
              <w:tc>
                <w:tcPr>
                  <w:tcW w:w="5150" w:type="dxa"/>
                  <w:vAlign w:val="center"/>
                </w:tcPr>
                <w:p>
                  <w:pPr>
                    <w:spacing w:line="240" w:lineRule="exact"/>
                    <w:outlineLvl w:val="1"/>
                    <w:rPr>
                      <w:rFonts w:ascii="Times New Roman" w:hAnsi="Times New Roman" w:eastAsia="宋体" w:cs="Times New Roman"/>
                      <w:bCs/>
                      <w:szCs w:val="21"/>
                    </w:rPr>
                  </w:pPr>
                  <w:r>
                    <w:rPr>
                      <w:rFonts w:ascii="Times New Roman" w:hAnsi="Times New Roman" w:eastAsia="宋体" w:cs="Times New Roman"/>
                      <w:bCs/>
                      <w:szCs w:val="21"/>
                    </w:rPr>
                    <w:t>设置1个一般固废暂存点，位于厂房东侧，面积约8m</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 xml:space="preserve">，主要用于暂存废边角料、不合格产品和废包装材料等。 </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5"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400" w:type="dxa"/>
                  <w:vMerge w:val="continue"/>
                  <w:vAlign w:val="center"/>
                </w:tcPr>
                <w:p>
                  <w:pPr>
                    <w:spacing w:line="240" w:lineRule="exact"/>
                    <w:jc w:val="center"/>
                    <w:outlineLvl w:val="1"/>
                    <w:rPr>
                      <w:rFonts w:ascii="Times New Roman" w:hAnsi="Times New Roman" w:eastAsia="宋体" w:cs="Times New Roman"/>
                      <w:bCs/>
                      <w:szCs w:val="21"/>
                    </w:rPr>
                  </w:pPr>
                </w:p>
              </w:tc>
              <w:tc>
                <w:tcPr>
                  <w:tcW w:w="1391"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生活垃圾</w:t>
                  </w:r>
                </w:p>
              </w:tc>
              <w:tc>
                <w:tcPr>
                  <w:tcW w:w="5150" w:type="dxa"/>
                  <w:vAlign w:val="center"/>
                </w:tcPr>
                <w:p>
                  <w:pPr>
                    <w:spacing w:line="240" w:lineRule="exact"/>
                    <w:outlineLvl w:val="1"/>
                    <w:rPr>
                      <w:rFonts w:ascii="Times New Roman" w:hAnsi="Times New Roman" w:eastAsia="宋体" w:cs="Times New Roman"/>
                      <w:bCs/>
                      <w:szCs w:val="21"/>
                    </w:rPr>
                  </w:pPr>
                  <w:r>
                    <w:rPr>
                      <w:rFonts w:ascii="Times New Roman" w:hAnsi="Times New Roman" w:eastAsia="宋体" w:cs="Times New Roman"/>
                      <w:bCs/>
                      <w:szCs w:val="21"/>
                    </w:rPr>
                    <w:t>设置垃圾桶收集后，交由环卫部门统一处置。</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5" w:hRule="atLeast"/>
                <w:jc w:val="center"/>
              </w:trPr>
              <w:tc>
                <w:tcPr>
                  <w:tcW w:w="448" w:type="dxa"/>
                  <w:vMerge w:val="continue"/>
                  <w:vAlign w:val="center"/>
                </w:tcPr>
                <w:p>
                  <w:pPr>
                    <w:spacing w:line="240" w:lineRule="exact"/>
                    <w:jc w:val="center"/>
                    <w:outlineLvl w:val="1"/>
                    <w:rPr>
                      <w:rFonts w:ascii="Times New Roman" w:hAnsi="Times New Roman" w:eastAsia="宋体" w:cs="Times New Roman"/>
                      <w:bCs/>
                      <w:szCs w:val="21"/>
                    </w:rPr>
                  </w:pPr>
                </w:p>
              </w:tc>
              <w:tc>
                <w:tcPr>
                  <w:tcW w:w="1791" w:type="dxa"/>
                  <w:gridSpan w:val="2"/>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噪声</w:t>
                  </w:r>
                </w:p>
              </w:tc>
              <w:tc>
                <w:tcPr>
                  <w:tcW w:w="5150" w:type="dxa"/>
                  <w:vAlign w:val="center"/>
                </w:tcPr>
                <w:p>
                  <w:pPr>
                    <w:spacing w:line="240" w:lineRule="exact"/>
                    <w:outlineLvl w:val="1"/>
                    <w:rPr>
                      <w:rFonts w:ascii="Times New Roman" w:hAnsi="Times New Roman" w:eastAsia="宋体" w:cs="Times New Roman"/>
                      <w:bCs/>
                      <w:szCs w:val="21"/>
                    </w:rPr>
                  </w:pPr>
                  <w:r>
                    <w:rPr>
                      <w:rFonts w:ascii="Times New Roman" w:hAnsi="Times New Roman" w:eastAsia="宋体" w:cs="Times New Roman"/>
                      <w:bCs/>
                      <w:szCs w:val="21"/>
                    </w:rPr>
                    <w:t>采取厂房隔声、</w:t>
                  </w:r>
                  <w:r>
                    <w:rPr>
                      <w:rFonts w:hint="eastAsia" w:ascii="Times New Roman" w:hAnsi="Times New Roman" w:eastAsia="宋体" w:cs="Times New Roman"/>
                      <w:bCs/>
                      <w:szCs w:val="21"/>
                    </w:rPr>
                    <w:t>基础</w:t>
                  </w:r>
                  <w:r>
                    <w:rPr>
                      <w:rFonts w:ascii="Times New Roman" w:hAnsi="Times New Roman" w:eastAsia="宋体" w:cs="Times New Roman"/>
                      <w:bCs/>
                      <w:szCs w:val="21"/>
                    </w:rPr>
                    <w:t>减振等措施。</w:t>
                  </w:r>
                </w:p>
              </w:tc>
              <w:tc>
                <w:tcPr>
                  <w:tcW w:w="730" w:type="dxa"/>
                  <w:vAlign w:val="center"/>
                </w:tcPr>
                <w:p>
                  <w:pPr>
                    <w:spacing w:line="240" w:lineRule="exact"/>
                    <w:jc w:val="center"/>
                    <w:outlineLvl w:val="1"/>
                    <w:rPr>
                      <w:rFonts w:ascii="Times New Roman" w:hAnsi="Times New Roman" w:eastAsia="宋体" w:cs="Times New Roman"/>
                      <w:bCs/>
                      <w:szCs w:val="21"/>
                    </w:rPr>
                  </w:pPr>
                  <w:r>
                    <w:rPr>
                      <w:rFonts w:ascii="Times New Roman" w:hAnsi="Times New Roman" w:eastAsia="宋体" w:cs="Times New Roman"/>
                      <w:bCs/>
                      <w:szCs w:val="21"/>
                    </w:rPr>
                    <w:t>新建</w:t>
                  </w:r>
                </w:p>
              </w:tc>
            </w:tr>
          </w:tbl>
          <w:p>
            <w:pPr>
              <w:spacing w:line="460" w:lineRule="exact"/>
              <w:outlineLvl w:val="1"/>
              <w:rPr>
                <w:rFonts w:ascii="Times New Roman" w:hAnsi="Times New Roman" w:eastAsia="宋体" w:cs="Times New Roman"/>
                <w:b/>
                <w:sz w:val="24"/>
                <w:szCs w:val="24"/>
              </w:rPr>
            </w:pPr>
            <w:r>
              <w:rPr>
                <w:rFonts w:ascii="Times New Roman" w:hAnsi="Times New Roman" w:eastAsia="宋体" w:cs="Times New Roman"/>
                <w:b/>
                <w:sz w:val="24"/>
                <w:szCs w:val="24"/>
              </w:rPr>
              <w:t>2.2.2 产品方案</w:t>
            </w:r>
          </w:p>
          <w:p>
            <w:pPr>
              <w:adjustRightInd w:val="0"/>
              <w:snapToGrid w:val="0"/>
              <w:spacing w:line="460" w:lineRule="exact"/>
              <w:ind w:firstLine="480" w:firstLineChars="200"/>
              <w:outlineLvl w:val="1"/>
              <w:rPr>
                <w:rFonts w:ascii="Times New Roman" w:hAnsi="Times New Roman" w:eastAsia="宋体" w:cs="Times New Roman"/>
                <w:sz w:val="24"/>
                <w:szCs w:val="24"/>
              </w:rPr>
            </w:pPr>
            <w:r>
              <w:rPr>
                <w:rFonts w:ascii="Times New Roman" w:hAnsi="Times New Roman" w:eastAsia="宋体" w:cs="Times New Roman"/>
                <w:bCs/>
                <w:sz w:val="24"/>
                <w:szCs w:val="24"/>
              </w:rPr>
              <w:t>本项目年产500万件汽车零部件及通用机械零部件，其中汽车零部件180万件，通用机械零部件320万件，具体产品方案如下表所示。</w:t>
            </w:r>
          </w:p>
          <w:p>
            <w:pPr>
              <w:spacing w:line="460" w:lineRule="exact"/>
              <w:jc w:val="center"/>
              <w:rPr>
                <w:rFonts w:ascii="Times New Roman" w:hAnsi="Times New Roman" w:eastAsia="宋体" w:cs="Times New Roman"/>
                <w:b/>
                <w:sz w:val="24"/>
                <w:szCs w:val="24"/>
              </w:rPr>
            </w:pPr>
            <w:r>
              <w:rPr>
                <w:rFonts w:ascii="Times New Roman" w:hAnsi="Times New Roman" w:eastAsia="宋体" w:cs="Times New Roman"/>
                <w:b/>
                <w:sz w:val="24"/>
                <w:szCs w:val="24"/>
              </w:rPr>
              <w:t>2.1-2  项目主要产品及产能信息表</w:t>
            </w:r>
            <w:bookmarkStart w:id="8" w:name="BIAO2"/>
          </w:p>
          <w:tbl>
            <w:tblPr>
              <w:tblStyle w:val="19"/>
              <w:tblW w:w="8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51"/>
              <w:gridCol w:w="1984"/>
              <w:gridCol w:w="1412"/>
              <w:gridCol w:w="1281"/>
              <w:gridCol w:w="1055"/>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453"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2835" w:type="dxa"/>
                  <w:gridSpan w:val="2"/>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产品名称</w:t>
                  </w:r>
                </w:p>
              </w:tc>
              <w:tc>
                <w:tcPr>
                  <w:tcW w:w="1412" w:type="dxa"/>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产品规格</w:t>
                  </w:r>
                </w:p>
              </w:tc>
              <w:tc>
                <w:tcPr>
                  <w:tcW w:w="1281"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设计能力</w:t>
                  </w:r>
                </w:p>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（万件/a）</w:t>
                  </w:r>
                </w:p>
              </w:tc>
              <w:tc>
                <w:tcPr>
                  <w:tcW w:w="1055" w:type="dxa"/>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重量（t/a）</w:t>
                  </w:r>
                </w:p>
              </w:tc>
              <w:tc>
                <w:tcPr>
                  <w:tcW w:w="1128"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453" w:type="dxa"/>
                  <w:vMerge w:val="restart"/>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851" w:type="dxa"/>
                  <w:vMerge w:val="restart"/>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汽车零部件</w:t>
                  </w:r>
                </w:p>
              </w:tc>
              <w:tc>
                <w:tcPr>
                  <w:tcW w:w="1984"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发动机缸盖</w:t>
                  </w:r>
                  <w:r>
                    <w:rPr>
                      <w:rFonts w:hint="eastAsia" w:ascii="Times New Roman" w:hAnsi="Times New Roman" w:eastAsia="宋体" w:cs="Times New Roman"/>
                      <w:szCs w:val="21"/>
                    </w:rPr>
                    <w:t>零部件</w:t>
                  </w:r>
                </w:p>
              </w:tc>
              <w:tc>
                <w:tcPr>
                  <w:tcW w:w="1412" w:type="dxa"/>
                  <w:vMerge w:val="restart"/>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50</w:t>
                  </w:r>
                  <w:r>
                    <w:rPr>
                      <w:rFonts w:hint="eastAsia" w:ascii="Times New Roman" w:hAnsi="Times New Roman" w:eastAsia="宋体" w:cs="Times New Roman"/>
                      <w:szCs w:val="21"/>
                    </w:rPr>
                    <w:t>~</w:t>
                  </w:r>
                  <w:r>
                    <w:rPr>
                      <w:rFonts w:ascii="Times New Roman" w:hAnsi="Times New Roman" w:eastAsia="宋体" w:cs="Times New Roman"/>
                      <w:szCs w:val="21"/>
                    </w:rPr>
                    <w:t>600</w:t>
                  </w:r>
                  <w:r>
                    <w:rPr>
                      <w:rFonts w:hint="eastAsia" w:ascii="Times New Roman" w:hAnsi="Times New Roman" w:eastAsia="宋体" w:cs="Times New Roman"/>
                      <w:szCs w:val="21"/>
                    </w:rPr>
                    <w:t>g/件</w:t>
                  </w:r>
                </w:p>
              </w:tc>
              <w:tc>
                <w:tcPr>
                  <w:tcW w:w="1281"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20</w:t>
                  </w:r>
                </w:p>
              </w:tc>
              <w:tc>
                <w:tcPr>
                  <w:tcW w:w="1055" w:type="dxa"/>
                  <w:vMerge w:val="restart"/>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00</w:t>
                  </w:r>
                </w:p>
              </w:tc>
              <w:tc>
                <w:tcPr>
                  <w:tcW w:w="1128" w:type="dxa"/>
                  <w:vMerge w:val="restart"/>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项目产品为非标件，根据订单需求调整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trPr>
              <w:tc>
                <w:tcPr>
                  <w:tcW w:w="453" w:type="dxa"/>
                  <w:vMerge w:val="continue"/>
                  <w:vAlign w:val="center"/>
                </w:tcPr>
                <w:p>
                  <w:pPr>
                    <w:autoSpaceDE w:val="0"/>
                    <w:autoSpaceDN w:val="0"/>
                    <w:jc w:val="center"/>
                    <w:rPr>
                      <w:rFonts w:ascii="Times New Roman" w:hAnsi="Times New Roman" w:eastAsia="宋体" w:cs="Times New Roman"/>
                      <w:szCs w:val="21"/>
                    </w:rPr>
                  </w:pPr>
                </w:p>
              </w:tc>
              <w:tc>
                <w:tcPr>
                  <w:tcW w:w="851" w:type="dxa"/>
                  <w:vMerge w:val="continue"/>
                  <w:vAlign w:val="center"/>
                </w:tcPr>
                <w:p>
                  <w:pPr>
                    <w:autoSpaceDE w:val="0"/>
                    <w:autoSpaceDN w:val="0"/>
                    <w:jc w:val="center"/>
                    <w:rPr>
                      <w:rFonts w:ascii="Times New Roman" w:hAnsi="Times New Roman" w:eastAsia="宋体" w:cs="Times New Roman"/>
                      <w:szCs w:val="21"/>
                    </w:rPr>
                  </w:pPr>
                </w:p>
              </w:tc>
              <w:tc>
                <w:tcPr>
                  <w:tcW w:w="1984"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新能源电池零部件</w:t>
                  </w:r>
                </w:p>
              </w:tc>
              <w:tc>
                <w:tcPr>
                  <w:tcW w:w="1412" w:type="dxa"/>
                  <w:vMerge w:val="continue"/>
                  <w:vAlign w:val="center"/>
                </w:tcPr>
                <w:p>
                  <w:pPr>
                    <w:autoSpaceDE w:val="0"/>
                    <w:autoSpaceDN w:val="0"/>
                    <w:jc w:val="center"/>
                    <w:rPr>
                      <w:rFonts w:ascii="Times New Roman" w:hAnsi="Times New Roman" w:eastAsia="宋体" w:cs="Times New Roman"/>
                      <w:szCs w:val="21"/>
                    </w:rPr>
                  </w:pPr>
                </w:p>
              </w:tc>
              <w:tc>
                <w:tcPr>
                  <w:tcW w:w="1281" w:type="dxa"/>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1055" w:type="dxa"/>
                  <w:vMerge w:val="continue"/>
                  <w:vAlign w:val="center"/>
                </w:tcPr>
                <w:p>
                  <w:pPr>
                    <w:autoSpaceDE w:val="0"/>
                    <w:autoSpaceDN w:val="0"/>
                    <w:jc w:val="center"/>
                    <w:rPr>
                      <w:rFonts w:ascii="Times New Roman" w:hAnsi="Times New Roman" w:eastAsia="宋体" w:cs="Times New Roman"/>
                      <w:szCs w:val="21"/>
                    </w:rPr>
                  </w:pPr>
                </w:p>
              </w:tc>
              <w:tc>
                <w:tcPr>
                  <w:tcW w:w="1128" w:type="dxa"/>
                  <w:vMerge w:val="continue"/>
                  <w:vAlign w:val="center"/>
                </w:tcPr>
                <w:p>
                  <w:pPr>
                    <w:autoSpaceDE w:val="0"/>
                    <w:autoSpaceDN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453" w:type="dxa"/>
                  <w:vMerge w:val="continue"/>
                  <w:vAlign w:val="center"/>
                </w:tcPr>
                <w:p>
                  <w:pPr>
                    <w:autoSpaceDE w:val="0"/>
                    <w:autoSpaceDN w:val="0"/>
                    <w:jc w:val="center"/>
                    <w:rPr>
                      <w:rFonts w:ascii="Times New Roman" w:hAnsi="Times New Roman" w:eastAsia="宋体" w:cs="Times New Roman"/>
                      <w:szCs w:val="21"/>
                    </w:rPr>
                  </w:pPr>
                </w:p>
              </w:tc>
              <w:tc>
                <w:tcPr>
                  <w:tcW w:w="851" w:type="dxa"/>
                  <w:vMerge w:val="continue"/>
                  <w:vAlign w:val="center"/>
                </w:tcPr>
                <w:p>
                  <w:pPr>
                    <w:autoSpaceDE w:val="0"/>
                    <w:autoSpaceDN w:val="0"/>
                    <w:jc w:val="center"/>
                    <w:rPr>
                      <w:rFonts w:ascii="Times New Roman" w:hAnsi="Times New Roman" w:eastAsia="宋体" w:cs="Times New Roman"/>
                      <w:szCs w:val="21"/>
                    </w:rPr>
                  </w:pPr>
                </w:p>
              </w:tc>
              <w:tc>
                <w:tcPr>
                  <w:tcW w:w="1984"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其他</w:t>
                  </w:r>
                  <w:r>
                    <w:rPr>
                      <w:rFonts w:hint="eastAsia" w:ascii="Times New Roman" w:hAnsi="Times New Roman" w:eastAsia="宋体" w:cs="Times New Roman"/>
                      <w:szCs w:val="21"/>
                    </w:rPr>
                    <w:t>汽车零部件</w:t>
                  </w:r>
                </w:p>
              </w:tc>
              <w:tc>
                <w:tcPr>
                  <w:tcW w:w="1412" w:type="dxa"/>
                  <w:vMerge w:val="continue"/>
                  <w:vAlign w:val="center"/>
                </w:tcPr>
                <w:p>
                  <w:pPr>
                    <w:autoSpaceDE w:val="0"/>
                    <w:autoSpaceDN w:val="0"/>
                    <w:jc w:val="center"/>
                    <w:rPr>
                      <w:rFonts w:ascii="Times New Roman" w:hAnsi="Times New Roman" w:eastAsia="宋体" w:cs="Times New Roman"/>
                      <w:szCs w:val="21"/>
                    </w:rPr>
                  </w:pPr>
                </w:p>
              </w:tc>
              <w:tc>
                <w:tcPr>
                  <w:tcW w:w="1281"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60</w:t>
                  </w:r>
                </w:p>
              </w:tc>
              <w:tc>
                <w:tcPr>
                  <w:tcW w:w="1055" w:type="dxa"/>
                  <w:vMerge w:val="continue"/>
                  <w:vAlign w:val="center"/>
                </w:tcPr>
                <w:p>
                  <w:pPr>
                    <w:autoSpaceDE w:val="0"/>
                    <w:autoSpaceDN w:val="0"/>
                    <w:jc w:val="center"/>
                    <w:rPr>
                      <w:rFonts w:ascii="Times New Roman" w:hAnsi="Times New Roman" w:eastAsia="宋体" w:cs="Times New Roman"/>
                      <w:szCs w:val="21"/>
                    </w:rPr>
                  </w:pPr>
                </w:p>
              </w:tc>
              <w:tc>
                <w:tcPr>
                  <w:tcW w:w="1128" w:type="dxa"/>
                  <w:vMerge w:val="continue"/>
                  <w:vAlign w:val="center"/>
                </w:tcPr>
                <w:p>
                  <w:pPr>
                    <w:autoSpaceDE w:val="0"/>
                    <w:autoSpaceDN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453"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2835" w:type="dxa"/>
                  <w:gridSpan w:val="2"/>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通用机械零部件</w:t>
                  </w:r>
                </w:p>
              </w:tc>
              <w:tc>
                <w:tcPr>
                  <w:tcW w:w="1412" w:type="dxa"/>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0-100</w:t>
                  </w:r>
                  <w:r>
                    <w:rPr>
                      <w:rFonts w:hint="eastAsia" w:ascii="Times New Roman" w:hAnsi="Times New Roman" w:eastAsia="宋体" w:cs="Times New Roman"/>
                      <w:szCs w:val="21"/>
                    </w:rPr>
                    <w:t>g</w:t>
                  </w:r>
                  <w:r>
                    <w:rPr>
                      <w:rFonts w:ascii="Times New Roman" w:hAnsi="Times New Roman" w:eastAsia="宋体" w:cs="Times New Roman"/>
                      <w:szCs w:val="21"/>
                    </w:rPr>
                    <w:t>/</w:t>
                  </w:r>
                  <w:r>
                    <w:rPr>
                      <w:rFonts w:hint="eastAsia" w:ascii="Times New Roman" w:hAnsi="Times New Roman" w:eastAsia="宋体" w:cs="Times New Roman"/>
                      <w:szCs w:val="21"/>
                    </w:rPr>
                    <w:t>件</w:t>
                  </w:r>
                </w:p>
              </w:tc>
              <w:tc>
                <w:tcPr>
                  <w:tcW w:w="1281"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320</w:t>
                  </w:r>
                </w:p>
              </w:tc>
              <w:tc>
                <w:tcPr>
                  <w:tcW w:w="1055" w:type="dxa"/>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00</w:t>
                  </w:r>
                </w:p>
              </w:tc>
              <w:tc>
                <w:tcPr>
                  <w:tcW w:w="1128" w:type="dxa"/>
                  <w:vMerge w:val="continue"/>
                  <w:vAlign w:val="center"/>
                </w:tcPr>
                <w:p>
                  <w:pPr>
                    <w:autoSpaceDE w:val="0"/>
                    <w:autoSpaceDN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3288" w:type="dxa"/>
                  <w:gridSpan w:val="3"/>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1412" w:type="dxa"/>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81" w:type="dxa"/>
                  <w:vAlign w:val="center"/>
                </w:tcPr>
                <w:p>
                  <w:pPr>
                    <w:autoSpaceDE w:val="0"/>
                    <w:autoSpaceDN w:val="0"/>
                    <w:jc w:val="center"/>
                    <w:rPr>
                      <w:rFonts w:ascii="Times New Roman" w:hAnsi="Times New Roman" w:eastAsia="宋体" w:cs="Times New Roman"/>
                      <w:szCs w:val="21"/>
                    </w:rPr>
                  </w:pPr>
                  <w:r>
                    <w:rPr>
                      <w:rFonts w:ascii="Times New Roman" w:hAnsi="Times New Roman" w:eastAsia="宋体" w:cs="Times New Roman"/>
                      <w:szCs w:val="21"/>
                    </w:rPr>
                    <w:t>500</w:t>
                  </w:r>
                </w:p>
              </w:tc>
              <w:tc>
                <w:tcPr>
                  <w:tcW w:w="1055" w:type="dxa"/>
                  <w:vAlign w:val="center"/>
                </w:tcPr>
                <w:p>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200</w:t>
                  </w:r>
                </w:p>
              </w:tc>
              <w:tc>
                <w:tcPr>
                  <w:tcW w:w="1128" w:type="dxa"/>
                  <w:vMerge w:val="continue"/>
                  <w:vAlign w:val="center"/>
                </w:tcPr>
                <w:p>
                  <w:pPr>
                    <w:autoSpaceDE w:val="0"/>
                    <w:autoSpaceDN w:val="0"/>
                    <w:jc w:val="center"/>
                    <w:rPr>
                      <w:rFonts w:ascii="Times New Roman" w:hAnsi="Times New Roman" w:eastAsia="宋体" w:cs="Times New Roman"/>
                      <w:szCs w:val="21"/>
                    </w:rPr>
                  </w:pPr>
                </w:p>
              </w:tc>
            </w:tr>
            <w:bookmarkEnd w:id="8"/>
          </w:tbl>
          <w:p>
            <w:pPr>
              <w:spacing w:line="460" w:lineRule="exact"/>
              <w:outlineLvl w:val="1"/>
              <w:rPr>
                <w:rFonts w:ascii="Times New Roman" w:hAnsi="Times New Roman" w:eastAsia="宋体" w:cs="Times New Roman"/>
                <w:bCs/>
                <w:sz w:val="24"/>
                <w:szCs w:val="24"/>
              </w:rPr>
            </w:pPr>
            <w:r>
              <w:rPr>
                <w:rFonts w:ascii="Times New Roman" w:hAnsi="Times New Roman" w:eastAsia="宋体" w:cs="Times New Roman"/>
                <w:b/>
                <w:sz w:val="24"/>
                <w:szCs w:val="24"/>
              </w:rPr>
              <w:t>2.2.3 主要生产设备</w:t>
            </w:r>
          </w:p>
          <w:p>
            <w:pPr>
              <w:spacing w:line="460" w:lineRule="exact"/>
              <w:ind w:firstLine="470" w:firstLineChars="196"/>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本项目主要生产设备见下表所示。</w:t>
            </w:r>
          </w:p>
          <w:p>
            <w:pPr>
              <w:spacing w:line="460" w:lineRule="exact"/>
              <w:jc w:val="center"/>
              <w:outlineLvl w:val="1"/>
              <w:rPr>
                <w:rFonts w:ascii="Times New Roman" w:hAnsi="Times New Roman" w:eastAsia="宋体" w:cs="Times New Roman"/>
                <w:b/>
                <w:sz w:val="24"/>
                <w:szCs w:val="24"/>
              </w:rPr>
            </w:pPr>
            <w:r>
              <w:rPr>
                <w:rFonts w:ascii="Times New Roman" w:hAnsi="Times New Roman" w:eastAsia="宋体" w:cs="Times New Roman"/>
                <w:b/>
                <w:sz w:val="24"/>
                <w:szCs w:val="24"/>
              </w:rPr>
              <w:t>表2.2-3  项目主要生产单元、主要工艺、生产设施及设施参数一览表</w:t>
            </w:r>
          </w:p>
          <w:tbl>
            <w:tblPr>
              <w:tblStyle w:val="18"/>
              <w:tblpPr w:leftFromText="180" w:rightFromText="180" w:vertAnchor="text" w:tblpXSpec="center" w:tblpY="1"/>
              <w:tblOverlap w:val="never"/>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276"/>
              <w:gridCol w:w="1924"/>
              <w:gridCol w:w="2187"/>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主要生产单元</w:t>
                  </w:r>
                </w:p>
              </w:tc>
              <w:tc>
                <w:tcPr>
                  <w:tcW w:w="127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主要工艺</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生产设施</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设施参数</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数量</w:t>
                  </w:r>
                  <w:r>
                    <w:rPr>
                      <w:rFonts w:hint="eastAsia" w:ascii="Times New Roman" w:hAnsi="Times New Roman" w:eastAsia="宋体" w:cs="Times New Roman"/>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69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金属熔炼（化）</w:t>
                  </w:r>
                </w:p>
              </w:tc>
              <w:tc>
                <w:tcPr>
                  <w:tcW w:w="127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熔炼</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熔炼炉</w:t>
                  </w:r>
                </w:p>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（机边炉）</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容积0</w:t>
                  </w:r>
                  <w:r>
                    <w:rPr>
                      <w:rFonts w:ascii="Times New Roman" w:hAnsi="Times New Roman" w:eastAsia="宋体" w:cs="Times New Roman"/>
                      <w:szCs w:val="21"/>
                    </w:rPr>
                    <w:t>.4</w:t>
                  </w:r>
                  <w:r>
                    <w:rPr>
                      <w:rFonts w:hint="eastAsia" w:ascii="Times New Roman" w:hAnsi="Times New Roman" w:eastAsia="宋体" w:cs="Times New Roman"/>
                      <w:szCs w:val="21"/>
                    </w:rPr>
                    <w:t>t</w:t>
                  </w:r>
                </w:p>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熔化</w:t>
                  </w:r>
                  <w:r>
                    <w:rPr>
                      <w:rFonts w:hint="eastAsia" w:ascii="Times New Roman" w:hAnsi="Times New Roman" w:eastAsia="宋体" w:cs="Times New Roman"/>
                      <w:szCs w:val="21"/>
                    </w:rPr>
                    <w:t>能力</w:t>
                  </w:r>
                  <w:r>
                    <w:rPr>
                      <w:rFonts w:ascii="Times New Roman" w:hAnsi="Times New Roman" w:eastAsia="宋体" w:cs="Times New Roman"/>
                      <w:szCs w:val="21"/>
                    </w:rPr>
                    <w:t>0.08t/h</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造型</w:t>
                  </w:r>
                </w:p>
              </w:tc>
              <w:tc>
                <w:tcPr>
                  <w:tcW w:w="127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压铸</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压铸机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220T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压铸机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280T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压铸机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300T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压铸机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400T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立式（液）压铸机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630T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清理、机加工</w:t>
                  </w:r>
                </w:p>
              </w:tc>
              <w:tc>
                <w:tcPr>
                  <w:tcW w:w="127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打磨</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打磨机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沙带机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清理</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抛丸机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Q376</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加热</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电烘箱</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机加工</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加工中心</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850/1130</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检验</w:t>
                  </w:r>
                </w:p>
              </w:tc>
              <w:tc>
                <w:tcPr>
                  <w:tcW w:w="127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检验</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光谱仪</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3D扫描仪</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三坐标CMM</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模具</w:t>
                  </w:r>
                  <w:r>
                    <w:rPr>
                      <w:rFonts w:hint="eastAsia" w:ascii="Times New Roman" w:hAnsi="Times New Roman" w:eastAsia="宋体" w:cs="Times New Roman"/>
                      <w:szCs w:val="21"/>
                    </w:rPr>
                    <w:t>检修</w:t>
                  </w:r>
                </w:p>
              </w:tc>
              <w:tc>
                <w:tcPr>
                  <w:tcW w:w="1276"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模具</w:t>
                  </w:r>
                  <w:r>
                    <w:rPr>
                      <w:rFonts w:hint="eastAsia" w:ascii="Times New Roman" w:hAnsi="Times New Roman" w:eastAsia="宋体" w:cs="Times New Roman"/>
                      <w:szCs w:val="21"/>
                    </w:rPr>
                    <w:t>检修</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电</w:t>
                  </w:r>
                  <w:r>
                    <w:rPr>
                      <w:rFonts w:hint="eastAsia" w:ascii="Times New Roman" w:hAnsi="Times New Roman" w:eastAsia="宋体" w:cs="Times New Roman"/>
                      <w:szCs w:val="21"/>
                    </w:rPr>
                    <w:t>动工具</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公用单元</w:t>
                  </w:r>
                </w:p>
              </w:tc>
              <w:tc>
                <w:tcPr>
                  <w:tcW w:w="1276" w:type="dxa"/>
                  <w:vMerge w:val="restart"/>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公用单元</w:t>
                  </w: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行车</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2.5t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叉车</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空压机</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螺杆式</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69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276" w:type="dxa"/>
                  <w:vMerge w:val="continue"/>
                  <w:shd w:val="clear" w:color="auto" w:fill="auto"/>
                  <w:vAlign w:val="center"/>
                </w:tcPr>
                <w:p>
                  <w:pPr>
                    <w:adjustRightInd w:val="0"/>
                    <w:snapToGrid w:val="0"/>
                    <w:spacing w:line="240" w:lineRule="exact"/>
                    <w:jc w:val="center"/>
                    <w:rPr>
                      <w:rFonts w:ascii="Times New Roman" w:hAnsi="Times New Roman" w:eastAsia="宋体" w:cs="Times New Roman"/>
                      <w:szCs w:val="21"/>
                    </w:rPr>
                  </w:pPr>
                </w:p>
              </w:tc>
              <w:tc>
                <w:tcPr>
                  <w:tcW w:w="1924"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循环水池</w:t>
                  </w:r>
                </w:p>
              </w:tc>
              <w:tc>
                <w:tcPr>
                  <w:tcW w:w="218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30m</w:t>
                  </w:r>
                  <w:r>
                    <w:rPr>
                      <w:rFonts w:ascii="Times New Roman" w:hAnsi="Times New Roman" w:eastAsia="宋体" w:cs="Times New Roman"/>
                      <w:szCs w:val="21"/>
                      <w:vertAlign w:val="superscript"/>
                    </w:rPr>
                    <w:t>3</w:t>
                  </w:r>
                </w:p>
              </w:tc>
              <w:tc>
                <w:tcPr>
                  <w:tcW w:w="1192" w:type="dxa"/>
                  <w:shd w:val="clear" w:color="auto" w:fill="auto"/>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bl>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采用的工艺设备不属于《产业结构调整指导目录（2024年本）》、《部分工业行业淘汰落后生产工艺装备和产品指导目录（2010年本）》以及《高耗能落后机电设备（产品）淘汰目录（第一、二、三、四批）》淘汰目录范畴。</w:t>
            </w:r>
          </w:p>
          <w:p>
            <w:pPr>
              <w:autoSpaceDE w:val="0"/>
              <w:autoSpaceDN w:val="0"/>
              <w:spacing w:line="36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表2.2-4  熔化炉设备与生产规模的匹配性分析表</w:t>
            </w:r>
          </w:p>
          <w:tbl>
            <w:tblPr>
              <w:tblStyle w:val="19"/>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303"/>
              <w:gridCol w:w="1116"/>
              <w:gridCol w:w="1053"/>
              <w:gridCol w:w="1157"/>
              <w:gridCol w:w="135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15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设备名称</w:t>
                  </w:r>
                </w:p>
              </w:tc>
              <w:tc>
                <w:tcPr>
                  <w:tcW w:w="1303"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设备数量</w:t>
                  </w:r>
                  <w:r>
                    <w:rPr>
                      <w:rFonts w:hint="eastAsia" w:ascii="Times New Roman" w:hAnsi="Times New Roman" w:eastAsia="宋体" w:cs="Times New Roman"/>
                      <w:szCs w:val="21"/>
                    </w:rPr>
                    <w:t>及产能</w:t>
                  </w:r>
                </w:p>
              </w:tc>
              <w:tc>
                <w:tcPr>
                  <w:tcW w:w="1116"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生产班次</w:t>
                  </w:r>
                </w:p>
              </w:tc>
              <w:tc>
                <w:tcPr>
                  <w:tcW w:w="1053"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熔炼时间h/d</w:t>
                  </w:r>
                </w:p>
              </w:tc>
              <w:tc>
                <w:tcPr>
                  <w:tcW w:w="115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年工作时间</w:t>
                  </w:r>
                </w:p>
              </w:tc>
              <w:tc>
                <w:tcPr>
                  <w:tcW w:w="1352"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每次时间</w:t>
                  </w:r>
                </w:p>
              </w:tc>
              <w:tc>
                <w:tcPr>
                  <w:tcW w:w="992"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产能</w:t>
                  </w:r>
                  <w:r>
                    <w:rPr>
                      <w:rFonts w:hint="eastAsia" w:ascii="Times New Roman" w:hAnsi="Times New Roman" w:eastAsia="宋体"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15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熔炼炉</w:t>
                  </w:r>
                </w:p>
              </w:tc>
              <w:tc>
                <w:tcPr>
                  <w:tcW w:w="1303"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7台 0.08t/h</w:t>
                  </w:r>
                </w:p>
              </w:tc>
              <w:tc>
                <w:tcPr>
                  <w:tcW w:w="1116"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1班/天</w:t>
                  </w:r>
                </w:p>
              </w:tc>
              <w:tc>
                <w:tcPr>
                  <w:tcW w:w="1053"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8</w:t>
                  </w:r>
                </w:p>
              </w:tc>
              <w:tc>
                <w:tcPr>
                  <w:tcW w:w="1157"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300天</w:t>
                  </w:r>
                </w:p>
              </w:tc>
              <w:tc>
                <w:tcPr>
                  <w:tcW w:w="1352" w:type="dxa"/>
                  <w:vAlign w:val="center"/>
                </w:tcPr>
                <w:p>
                  <w:pPr>
                    <w:adjustRightInd w:val="0"/>
                    <w:snapToGrid w:val="0"/>
                    <w:spacing w:line="240" w:lineRule="exact"/>
                    <w:jc w:val="center"/>
                    <w:rPr>
                      <w:rFonts w:ascii="Times New Roman" w:hAnsi="Times New Roman" w:eastAsia="宋体" w:cs="Times New Roman"/>
                      <w:szCs w:val="21"/>
                    </w:rPr>
                  </w:pPr>
                  <w:r>
                    <w:rPr>
                      <w:rFonts w:ascii="Times New Roman" w:hAnsi="Times New Roman" w:eastAsia="宋体" w:cs="Times New Roman"/>
                      <w:szCs w:val="21"/>
                    </w:rPr>
                    <w:t>1h，8次/d</w:t>
                  </w:r>
                </w:p>
              </w:tc>
              <w:tc>
                <w:tcPr>
                  <w:tcW w:w="992" w:type="dxa"/>
                  <w:vAlign w:val="center"/>
                </w:tcPr>
                <w:p>
                  <w:pPr>
                    <w:adjustRightInd w:val="0"/>
                    <w:snapToGrid w:val="0"/>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344</w:t>
                  </w:r>
                </w:p>
              </w:tc>
            </w:tr>
          </w:tbl>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经上表分析可知，拟建项目</w:t>
            </w:r>
            <w:r>
              <w:rPr>
                <w:rFonts w:hint="eastAsia" w:ascii="Times New Roman" w:hAnsi="Times New Roman" w:eastAsia="宋体" w:cs="Times New Roman"/>
                <w:kern w:val="0"/>
                <w:sz w:val="24"/>
                <w:szCs w:val="24"/>
              </w:rPr>
              <w:t>熔化炉设备产能为1</w:t>
            </w:r>
            <w:r>
              <w:rPr>
                <w:rFonts w:ascii="Times New Roman" w:hAnsi="Times New Roman" w:eastAsia="宋体" w:cs="Times New Roman"/>
                <w:kern w:val="0"/>
                <w:sz w:val="24"/>
                <w:szCs w:val="24"/>
              </w:rPr>
              <w:t>344</w:t>
            </w:r>
            <w:r>
              <w:rPr>
                <w:rFonts w:hint="eastAsia" w:ascii="Times New Roman" w:hAnsi="Times New Roman" w:eastAsia="宋体" w:cs="Times New Roman"/>
                <w:kern w:val="0"/>
                <w:sz w:val="24"/>
                <w:szCs w:val="24"/>
              </w:rPr>
              <w:t>t/a</w:t>
            </w:r>
            <w:r>
              <w:rPr>
                <w:rFonts w:ascii="Times New Roman" w:hAnsi="Times New Roman" w:eastAsia="宋体" w:cs="Times New Roman"/>
                <w:kern w:val="0"/>
                <w:sz w:val="24"/>
                <w:szCs w:val="24"/>
              </w:rPr>
              <w:t>，项目</w:t>
            </w:r>
            <w:r>
              <w:rPr>
                <w:rFonts w:hint="eastAsia" w:ascii="Times New Roman" w:hAnsi="Times New Roman" w:eastAsia="宋体" w:cs="Times New Roman"/>
                <w:kern w:val="0"/>
                <w:sz w:val="24"/>
                <w:szCs w:val="24"/>
              </w:rPr>
              <w:t>产品量约为</w:t>
            </w:r>
            <w:r>
              <w:rPr>
                <w:rFonts w:ascii="Times New Roman" w:hAnsi="Times New Roman" w:eastAsia="宋体" w:cs="Times New Roman"/>
                <w:kern w:val="0"/>
                <w:sz w:val="24"/>
                <w:szCs w:val="24"/>
              </w:rPr>
              <w:t>1200</w:t>
            </w:r>
            <w:r>
              <w:rPr>
                <w:rFonts w:hint="eastAsia" w:ascii="Times New Roman" w:hAnsi="Times New Roman" w:eastAsia="宋体" w:cs="Times New Roman"/>
                <w:kern w:val="0"/>
                <w:sz w:val="24"/>
                <w:szCs w:val="24"/>
              </w:rPr>
              <w:t>t/a</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可</w:t>
            </w:r>
            <w:r>
              <w:rPr>
                <w:rFonts w:ascii="Times New Roman" w:hAnsi="Times New Roman" w:eastAsia="宋体" w:cs="Times New Roman"/>
                <w:kern w:val="0"/>
                <w:sz w:val="24"/>
                <w:szCs w:val="24"/>
              </w:rPr>
              <w:t>满足生产</w:t>
            </w:r>
            <w:r>
              <w:rPr>
                <w:rFonts w:hint="eastAsia" w:ascii="Times New Roman" w:hAnsi="Times New Roman" w:eastAsia="宋体" w:cs="Times New Roman"/>
                <w:kern w:val="0"/>
                <w:sz w:val="24"/>
                <w:szCs w:val="24"/>
              </w:rPr>
              <w:t>需求</w:t>
            </w:r>
            <w:r>
              <w:rPr>
                <w:rFonts w:ascii="Times New Roman" w:hAnsi="Times New Roman" w:eastAsia="宋体" w:cs="Times New Roman"/>
                <w:kern w:val="0"/>
                <w:sz w:val="24"/>
                <w:szCs w:val="24"/>
              </w:rPr>
              <w:t>。</w:t>
            </w:r>
          </w:p>
          <w:p>
            <w:pPr>
              <w:spacing w:line="360" w:lineRule="auto"/>
              <w:outlineLvl w:val="1"/>
              <w:rPr>
                <w:rFonts w:ascii="Times New Roman" w:hAnsi="Times New Roman" w:eastAsia="宋体" w:cs="Times New Roman"/>
                <w:b/>
                <w:sz w:val="24"/>
                <w:szCs w:val="24"/>
              </w:rPr>
            </w:pPr>
            <w:r>
              <w:rPr>
                <w:rFonts w:ascii="Times New Roman" w:hAnsi="Times New Roman" w:eastAsia="宋体" w:cs="Times New Roman"/>
                <w:b/>
                <w:sz w:val="24"/>
                <w:szCs w:val="24"/>
              </w:rPr>
              <w:t>2.2.4 产品的主要原辅材料及年消耗量</w:t>
            </w:r>
          </w:p>
          <w:p>
            <w:pPr>
              <w:spacing w:line="360" w:lineRule="auto"/>
              <w:ind w:firstLine="482" w:firstLineChars="200"/>
              <w:outlineLvl w:val="1"/>
              <w:rPr>
                <w:rFonts w:ascii="Times New Roman" w:hAnsi="Times New Roman" w:eastAsia="宋体" w:cs="Times New Roman"/>
                <w:b/>
                <w:bCs/>
                <w:sz w:val="24"/>
                <w:szCs w:val="24"/>
              </w:rPr>
            </w:pPr>
            <w:r>
              <w:rPr>
                <w:rFonts w:ascii="Times New Roman" w:hAnsi="Times New Roman" w:eastAsia="宋体" w:cs="Times New Roman"/>
                <w:b/>
                <w:bCs/>
                <w:sz w:val="24"/>
                <w:szCs w:val="24"/>
              </w:rPr>
              <w:t>（1）主要原辅材料及消耗量</w:t>
            </w:r>
          </w:p>
          <w:p>
            <w:pPr>
              <w:spacing w:line="360" w:lineRule="auto"/>
              <w:ind w:firstLine="480" w:firstLineChars="200"/>
              <w:outlineLvl w:val="1"/>
              <w:rPr>
                <w:rFonts w:ascii="Times New Roman" w:hAnsi="Times New Roman" w:eastAsia="宋体" w:cs="Times New Roman"/>
                <w:sz w:val="24"/>
                <w:szCs w:val="24"/>
              </w:rPr>
            </w:pPr>
            <w:r>
              <w:rPr>
                <w:rFonts w:ascii="Times New Roman" w:hAnsi="Times New Roman" w:eastAsia="宋体" w:cs="Times New Roman"/>
                <w:sz w:val="24"/>
                <w:szCs w:val="24"/>
              </w:rPr>
              <w:t>本项目主要原辅材料消耗量以及主要能源消耗一览表见表2.2-5。</w:t>
            </w:r>
          </w:p>
          <w:p>
            <w:pPr>
              <w:spacing w:line="360" w:lineRule="auto"/>
              <w:jc w:val="center"/>
              <w:outlineLvl w:val="1"/>
              <w:rPr>
                <w:rFonts w:ascii="Times New Roman" w:hAnsi="Times New Roman" w:eastAsia="宋体" w:cs="Times New Roman"/>
                <w:b/>
                <w:bCs/>
                <w:sz w:val="24"/>
                <w:szCs w:val="24"/>
              </w:rPr>
            </w:pPr>
            <w:r>
              <w:rPr>
                <w:rFonts w:ascii="Times New Roman" w:hAnsi="Times New Roman" w:eastAsia="宋体" w:cs="Times New Roman"/>
                <w:b/>
                <w:bCs/>
                <w:sz w:val="24"/>
                <w:szCs w:val="24"/>
              </w:rPr>
              <w:t>表2.2-5  主要原辅材料消耗量一览表</w:t>
            </w:r>
          </w:p>
          <w:tbl>
            <w:tblPr>
              <w:tblStyle w:val="18"/>
              <w:tblW w:w="8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891"/>
              <w:gridCol w:w="1411"/>
              <w:gridCol w:w="993"/>
              <w:gridCol w:w="1982"/>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序号</w:t>
                  </w:r>
                </w:p>
              </w:tc>
              <w:tc>
                <w:tcPr>
                  <w:tcW w:w="709"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种类</w:t>
                  </w: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名称</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年使用量t/a</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最大储存量t/a</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主要成分</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1</w:t>
                  </w:r>
                </w:p>
              </w:tc>
              <w:tc>
                <w:tcPr>
                  <w:tcW w:w="709"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原料</w:t>
                  </w: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铝锭</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1344</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150</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Al、Fe、Si等</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外购成品铝锭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3</w:t>
                  </w:r>
                </w:p>
              </w:tc>
              <w:tc>
                <w:tcPr>
                  <w:tcW w:w="709" w:type="dxa"/>
                  <w:vMerge w:val="restart"/>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辅料</w:t>
                  </w: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脱模剂</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3.8</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0.2</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改良性硅油、矿物油、水等</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外购</w:t>
                  </w:r>
                  <w:r>
                    <w:rPr>
                      <w:rFonts w:hint="eastAsia" w:ascii="Times New Roman" w:hAnsi="Times New Roman" w:eastAsia="宋体" w:cs="Times New Roman"/>
                      <w:szCs w:val="21"/>
                    </w:rPr>
                    <w:t>，桶装，2</w:t>
                  </w:r>
                  <w:r>
                    <w:rPr>
                      <w:rFonts w:ascii="Times New Roman" w:hAnsi="Times New Roman" w:eastAsia="宋体" w:cs="Times New Roman"/>
                      <w:szCs w:val="21"/>
                    </w:rPr>
                    <w:t>5</w:t>
                  </w:r>
                  <w:r>
                    <w:rPr>
                      <w:rFonts w:hint="eastAsia" w:ascii="Times New Roman" w:hAnsi="Times New Roman" w:eastAsia="宋体" w:cs="Times New Roman"/>
                      <w:szCs w:val="21"/>
                    </w:rPr>
                    <w:t>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4</w:t>
                  </w:r>
                </w:p>
              </w:tc>
              <w:tc>
                <w:tcPr>
                  <w:tcW w:w="709" w:type="dxa"/>
                  <w:vMerge w:val="continue"/>
                  <w:shd w:val="clear" w:color="auto" w:fill="auto"/>
                  <w:vAlign w:val="center"/>
                </w:tcPr>
                <w:p>
                  <w:pPr>
                    <w:spacing w:line="240" w:lineRule="exact"/>
                    <w:jc w:val="center"/>
                    <w:outlineLvl w:val="1"/>
                    <w:rPr>
                      <w:rFonts w:ascii="Times New Roman" w:hAnsi="Times New Roman" w:eastAsia="宋体" w:cs="Times New Roman"/>
                      <w:szCs w:val="21"/>
                    </w:rPr>
                  </w:pP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切削液</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0.3</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0.05</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主要成分为矿物油、脂肪酸、乳化剂等</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外购</w:t>
                  </w:r>
                  <w:r>
                    <w:rPr>
                      <w:rFonts w:hint="eastAsia" w:ascii="Times New Roman" w:hAnsi="Times New Roman" w:eastAsia="宋体" w:cs="Times New Roman"/>
                      <w:szCs w:val="21"/>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5</w:t>
                  </w:r>
                </w:p>
              </w:tc>
              <w:tc>
                <w:tcPr>
                  <w:tcW w:w="709" w:type="dxa"/>
                  <w:vMerge w:val="continue"/>
                  <w:shd w:val="clear" w:color="auto" w:fill="auto"/>
                  <w:vAlign w:val="center"/>
                </w:tcPr>
                <w:p>
                  <w:pPr>
                    <w:spacing w:line="240" w:lineRule="exact"/>
                    <w:jc w:val="center"/>
                    <w:outlineLvl w:val="1"/>
                    <w:rPr>
                      <w:rFonts w:ascii="Times New Roman" w:hAnsi="Times New Roman" w:eastAsia="宋体" w:cs="Times New Roman"/>
                      <w:szCs w:val="21"/>
                    </w:rPr>
                  </w:pP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机油</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0.2</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0.05</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矿物油</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外购</w:t>
                  </w:r>
                  <w:r>
                    <w:rPr>
                      <w:rFonts w:hint="eastAsia" w:ascii="Times New Roman" w:hAnsi="Times New Roman" w:eastAsia="宋体" w:cs="Times New Roman"/>
                      <w:szCs w:val="21"/>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6</w:t>
                  </w:r>
                </w:p>
              </w:tc>
              <w:tc>
                <w:tcPr>
                  <w:tcW w:w="709" w:type="dxa"/>
                  <w:vMerge w:val="continue"/>
                  <w:shd w:val="clear" w:color="auto" w:fill="auto"/>
                  <w:vAlign w:val="center"/>
                </w:tcPr>
                <w:p>
                  <w:pPr>
                    <w:spacing w:line="240" w:lineRule="exact"/>
                    <w:jc w:val="center"/>
                    <w:outlineLvl w:val="1"/>
                    <w:rPr>
                      <w:rFonts w:ascii="Times New Roman" w:hAnsi="Times New Roman" w:eastAsia="宋体" w:cs="Times New Roman"/>
                      <w:szCs w:val="21"/>
                    </w:rPr>
                  </w:pP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液压油</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2</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0.1</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矿物油</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外购</w:t>
                  </w:r>
                  <w:r>
                    <w:rPr>
                      <w:rFonts w:hint="eastAsia" w:ascii="Times New Roman" w:hAnsi="Times New Roman" w:eastAsia="宋体" w:cs="Times New Roman"/>
                      <w:szCs w:val="21"/>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7</w:t>
                  </w:r>
                </w:p>
              </w:tc>
              <w:tc>
                <w:tcPr>
                  <w:tcW w:w="709" w:type="dxa"/>
                  <w:vMerge w:val="restart"/>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能源</w:t>
                  </w: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天然气</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87360Nm</w:t>
                  </w:r>
                  <w:r>
                    <w:rPr>
                      <w:rFonts w:ascii="Times New Roman" w:hAnsi="Times New Roman" w:eastAsia="宋体" w:cs="Times New Roman"/>
                      <w:szCs w:val="21"/>
                      <w:vertAlign w:val="superscript"/>
                    </w:rPr>
                    <w:t>3</w:t>
                  </w:r>
                  <w:r>
                    <w:rPr>
                      <w:rFonts w:ascii="Times New Roman" w:hAnsi="Times New Roman" w:eastAsia="宋体" w:cs="Times New Roman"/>
                      <w:szCs w:val="21"/>
                    </w:rPr>
                    <w:t>/a</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当地供气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8</w:t>
                  </w:r>
                </w:p>
              </w:tc>
              <w:tc>
                <w:tcPr>
                  <w:tcW w:w="709" w:type="dxa"/>
                  <w:vMerge w:val="continue"/>
                  <w:shd w:val="clear" w:color="auto" w:fill="auto"/>
                  <w:vAlign w:val="center"/>
                </w:tcPr>
                <w:p>
                  <w:pPr>
                    <w:spacing w:line="240" w:lineRule="exact"/>
                    <w:jc w:val="center"/>
                    <w:outlineLvl w:val="1"/>
                    <w:rPr>
                      <w:rFonts w:ascii="Times New Roman" w:hAnsi="Times New Roman" w:eastAsia="宋体" w:cs="Times New Roman"/>
                      <w:szCs w:val="21"/>
                    </w:rPr>
                  </w:pP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水</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312</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由当地自来水管网供给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704"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9</w:t>
                  </w:r>
                </w:p>
              </w:tc>
              <w:tc>
                <w:tcPr>
                  <w:tcW w:w="709" w:type="dxa"/>
                  <w:vMerge w:val="continue"/>
                  <w:shd w:val="clear" w:color="auto" w:fill="auto"/>
                  <w:vAlign w:val="center"/>
                </w:tcPr>
                <w:p>
                  <w:pPr>
                    <w:spacing w:line="240" w:lineRule="exact"/>
                    <w:jc w:val="center"/>
                    <w:outlineLvl w:val="1"/>
                    <w:rPr>
                      <w:rFonts w:ascii="Times New Roman" w:hAnsi="Times New Roman" w:eastAsia="宋体" w:cs="Times New Roman"/>
                      <w:szCs w:val="21"/>
                    </w:rPr>
                  </w:pPr>
                </w:p>
              </w:tc>
              <w:tc>
                <w:tcPr>
                  <w:tcW w:w="89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电</w:t>
                  </w:r>
                </w:p>
              </w:tc>
              <w:tc>
                <w:tcPr>
                  <w:tcW w:w="1411"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50万度</w:t>
                  </w:r>
                </w:p>
              </w:tc>
              <w:tc>
                <w:tcPr>
                  <w:tcW w:w="993"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w:t>
                  </w:r>
                </w:p>
              </w:tc>
              <w:tc>
                <w:tcPr>
                  <w:tcW w:w="1982"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w:t>
                  </w:r>
                </w:p>
              </w:tc>
              <w:tc>
                <w:tcPr>
                  <w:tcW w:w="1420" w:type="dxa"/>
                  <w:shd w:val="clear" w:color="auto" w:fill="auto"/>
                  <w:vAlign w:val="center"/>
                </w:tcPr>
                <w:p>
                  <w:pPr>
                    <w:spacing w:line="240" w:lineRule="exact"/>
                    <w:jc w:val="center"/>
                    <w:outlineLvl w:val="1"/>
                    <w:rPr>
                      <w:rFonts w:ascii="Times New Roman" w:hAnsi="Times New Roman" w:eastAsia="宋体" w:cs="Times New Roman"/>
                      <w:szCs w:val="21"/>
                    </w:rPr>
                  </w:pPr>
                  <w:r>
                    <w:rPr>
                      <w:rFonts w:ascii="Times New Roman" w:hAnsi="Times New Roman" w:eastAsia="宋体" w:cs="Times New Roman"/>
                      <w:szCs w:val="21"/>
                    </w:rPr>
                    <w:t>由当地电网供给</w:t>
                  </w:r>
                </w:p>
              </w:tc>
            </w:tr>
            <w:bookmarkEnd w:id="7"/>
          </w:tbl>
          <w:p>
            <w:pPr>
              <w:spacing w:line="360" w:lineRule="auto"/>
              <w:ind w:firstLine="482" w:firstLineChars="200"/>
              <w:outlineLvl w:val="1"/>
              <w:rPr>
                <w:rFonts w:ascii="Times New Roman" w:hAnsi="Times New Roman" w:eastAsia="宋体" w:cs="Times New Roman"/>
                <w:b/>
                <w:bCs/>
                <w:sz w:val="24"/>
                <w:szCs w:val="24"/>
              </w:rPr>
            </w:pPr>
            <w:r>
              <w:rPr>
                <w:rFonts w:ascii="Times New Roman" w:hAnsi="Times New Roman" w:eastAsia="宋体" w:cs="Times New Roman"/>
                <w:b/>
                <w:bCs/>
                <w:sz w:val="24"/>
                <w:szCs w:val="24"/>
              </w:rPr>
              <w:t>（2）主要原辅材料理化性质</w:t>
            </w:r>
          </w:p>
          <w:p>
            <w:pPr>
              <w:spacing w:line="360" w:lineRule="auto"/>
              <w:ind w:firstLine="480" w:firstLineChars="200"/>
              <w:outlineLvl w:val="1"/>
              <w:rPr>
                <w:rFonts w:ascii="Times New Roman" w:hAnsi="Times New Roman" w:eastAsia="宋体" w:cs="Times New Roman"/>
                <w:sz w:val="24"/>
                <w:szCs w:val="24"/>
              </w:rPr>
            </w:pPr>
            <w:r>
              <w:rPr>
                <w:rFonts w:ascii="Times New Roman" w:hAnsi="Times New Roman" w:eastAsia="宋体" w:cs="Times New Roman"/>
                <w:sz w:val="24"/>
                <w:szCs w:val="24"/>
              </w:rPr>
              <w:t>1）切削液：是一种用在金属切削、磨加工过程中，用来冷却和润滑刀具和加工件的工业用液体，切削液由多种超强功能助剂经科学复合配合而成，同时具备良好的冷却性能、润滑性能、防锈性能、除油清洗功能、防腐功能、易稀释特点。本项目使用的切削液按照切削液：水=1:10进行兑制，根据实际使用情况进行添加即可。</w:t>
            </w:r>
          </w:p>
          <w:p>
            <w:pPr>
              <w:spacing w:line="360" w:lineRule="auto"/>
              <w:ind w:firstLine="480" w:firstLineChars="200"/>
              <w:outlineLvl w:val="1"/>
              <w:rPr>
                <w:rFonts w:ascii="Times New Roman" w:hAnsi="Times New Roman" w:eastAsia="宋体" w:cs="Times New Roman"/>
                <w:sz w:val="24"/>
                <w:szCs w:val="24"/>
              </w:rPr>
            </w:pPr>
            <w:r>
              <w:rPr>
                <w:rFonts w:ascii="Times New Roman" w:hAnsi="Times New Roman" w:eastAsia="宋体" w:cs="Times New Roman"/>
                <w:sz w:val="24"/>
                <w:szCs w:val="24"/>
              </w:rPr>
              <w:t>2）脱模剂：乳白色液体，</w:t>
            </w:r>
            <w:r>
              <w:rPr>
                <w:rFonts w:hint="eastAsia" w:ascii="Times New Roman" w:hAnsi="Times New Roman" w:eastAsia="宋体" w:cs="Times New Roman"/>
                <w:sz w:val="24"/>
                <w:szCs w:val="24"/>
              </w:rPr>
              <w:t>微弱石油</w:t>
            </w:r>
            <w:r>
              <w:rPr>
                <w:rFonts w:ascii="Times New Roman" w:hAnsi="Times New Roman" w:eastAsia="宋体" w:cs="Times New Roman"/>
                <w:sz w:val="24"/>
                <w:szCs w:val="24"/>
              </w:rPr>
              <w:t>气味</w:t>
            </w:r>
            <w:r>
              <w:rPr>
                <w:rFonts w:hint="eastAsia" w:ascii="Times New Roman" w:hAnsi="Times New Roman" w:eastAsia="宋体" w:cs="Times New Roman"/>
                <w:sz w:val="24"/>
                <w:szCs w:val="24"/>
              </w:rPr>
              <w:t>，沸点约1</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℃，可分散于水中，常温下不具有挥发性</w:t>
            </w:r>
            <w:r>
              <w:rPr>
                <w:rFonts w:ascii="Times New Roman" w:hAnsi="Times New Roman" w:eastAsia="宋体" w:cs="Times New Roman"/>
                <w:sz w:val="24"/>
                <w:szCs w:val="24"/>
              </w:rPr>
              <w:t>。脱模剂主要成份为</w:t>
            </w:r>
            <w:r>
              <w:rPr>
                <w:rFonts w:hint="eastAsia" w:ascii="Times New Roman" w:hAnsi="Times New Roman" w:eastAsia="宋体" w:cs="Times New Roman"/>
                <w:sz w:val="24"/>
                <w:szCs w:val="24"/>
              </w:rPr>
              <w:t>合成硅油1</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%、乳化剂1</w:t>
            </w:r>
            <w:r>
              <w:rPr>
                <w:rFonts w:ascii="Times New Roman" w:hAnsi="Times New Roman" w:eastAsia="宋体" w:cs="Times New Roman"/>
                <w:sz w:val="24"/>
                <w:szCs w:val="24"/>
              </w:rPr>
              <w:t>-5</w:t>
            </w:r>
            <w:r>
              <w:rPr>
                <w:rFonts w:hint="eastAsia" w:ascii="Times New Roman" w:hAnsi="Times New Roman" w:eastAsia="宋体" w:cs="Times New Roman"/>
                <w:sz w:val="24"/>
                <w:szCs w:val="24"/>
              </w:rPr>
              <w:t>%、添加剂1</w:t>
            </w:r>
            <w:r>
              <w:rPr>
                <w:rFonts w:ascii="Times New Roman" w:hAnsi="Times New Roman" w:eastAsia="宋体" w:cs="Times New Roman"/>
                <w:sz w:val="24"/>
                <w:szCs w:val="24"/>
              </w:rPr>
              <w:t>-5</w:t>
            </w:r>
            <w:r>
              <w:rPr>
                <w:rFonts w:hint="eastAsia" w:ascii="Times New Roman" w:hAnsi="Times New Roman" w:eastAsia="宋体" w:cs="Times New Roman"/>
                <w:sz w:val="24"/>
                <w:szCs w:val="24"/>
              </w:rPr>
              <w:t>%、水8</w:t>
            </w:r>
            <w:r>
              <w:rPr>
                <w:rFonts w:ascii="Times New Roman" w:hAnsi="Times New Roman" w:eastAsia="宋体" w:cs="Times New Roman"/>
                <w:sz w:val="24"/>
                <w:szCs w:val="24"/>
              </w:rPr>
              <w:t>0-90</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。它的主要作用是帮助金属压铸产品能够从模具中取出，并且使产品保持完整性和后加工性。</w:t>
            </w:r>
          </w:p>
          <w:p>
            <w:pPr>
              <w:spacing w:line="360" w:lineRule="auto"/>
              <w:ind w:firstLine="480" w:firstLineChars="200"/>
              <w:outlineLvl w:val="1"/>
              <w:rPr>
                <w:rFonts w:ascii="Times New Roman" w:hAnsi="Times New Roman" w:eastAsia="宋体" w:cs="Times New Roman"/>
                <w:sz w:val="24"/>
                <w:szCs w:val="24"/>
              </w:rPr>
            </w:pPr>
            <w:r>
              <w:rPr>
                <w:rFonts w:ascii="Times New Roman" w:hAnsi="Times New Roman" w:eastAsia="宋体" w:cs="Times New Roman"/>
                <w:sz w:val="24"/>
                <w:szCs w:val="24"/>
              </w:rPr>
              <w:t>3）液压油：液压油是利用液体压力能的液压系统使用的液压介质，在液压系统中起着能量传递、抗磨、系统润滑、防腐、防锈、冷却等作用。</w:t>
            </w:r>
          </w:p>
          <w:p>
            <w:pPr>
              <w:spacing w:line="360" w:lineRule="auto"/>
              <w:ind w:firstLine="480" w:firstLineChars="200"/>
              <w:outlineLvl w:val="1"/>
              <w:rPr>
                <w:rFonts w:ascii="Times New Roman" w:hAnsi="Times New Roman" w:eastAsia="宋体" w:cs="Times New Roman"/>
                <w:sz w:val="24"/>
                <w:szCs w:val="24"/>
              </w:rPr>
            </w:pPr>
            <w:r>
              <w:rPr>
                <w:rFonts w:ascii="Times New Roman" w:hAnsi="Times New Roman" w:eastAsia="宋体" w:cs="Times New Roman"/>
                <w:sz w:val="24"/>
                <w:szCs w:val="24"/>
              </w:rPr>
              <w:t>4）机油：淡黄色至褐色、无气味或略带异味的油状液体，不溶于水，主要成分为脂环烃、烷烃等，密度0.85~0.92g/cm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，闪点76℃，引燃温度248℃。危险特性：遇明火、高热可燃。本项目机油用于机械设备上减少摩擦，主要起润滑、冷却、防锈、密封等作用。</w:t>
            </w:r>
          </w:p>
          <w:p>
            <w:pPr>
              <w:spacing w:line="360" w:lineRule="auto"/>
              <w:outlineLvl w:val="1"/>
              <w:rPr>
                <w:rFonts w:ascii="Times New Roman" w:hAnsi="Times New Roman" w:eastAsia="宋体" w:cs="Times New Roman"/>
                <w:b/>
                <w:sz w:val="24"/>
                <w:szCs w:val="24"/>
              </w:rPr>
            </w:pPr>
            <w:bookmarkStart w:id="9" w:name="_Hlk74647671"/>
            <w:r>
              <w:rPr>
                <w:rFonts w:ascii="Times New Roman" w:hAnsi="Times New Roman" w:eastAsia="宋体" w:cs="Times New Roman"/>
                <w:b/>
                <w:sz w:val="24"/>
                <w:szCs w:val="24"/>
              </w:rPr>
              <w:t>2.2.5 劳动定员及工作制度</w:t>
            </w:r>
          </w:p>
          <w:p>
            <w:pPr>
              <w:spacing w:line="360" w:lineRule="auto"/>
              <w:ind w:firstLine="470" w:firstLineChars="196"/>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劳动定员：本项目劳动定员15人，其中生产人员10人，管理人员5人，均不在厂内食宿。</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工作制度：项目年工作天数为300天，实行一班制，每班工作时间8小时，夜间不生产。 </w:t>
            </w:r>
          </w:p>
          <w:p>
            <w:pPr>
              <w:spacing w:line="360" w:lineRule="auto"/>
              <w:outlineLvl w:val="1"/>
              <w:rPr>
                <w:rFonts w:ascii="Times New Roman" w:hAnsi="Times New Roman" w:eastAsia="宋体" w:cs="Times New Roman"/>
                <w:b/>
                <w:sz w:val="24"/>
                <w:szCs w:val="24"/>
              </w:rPr>
            </w:pPr>
            <w:r>
              <w:rPr>
                <w:rFonts w:ascii="Times New Roman" w:hAnsi="Times New Roman" w:eastAsia="宋体" w:cs="Times New Roman"/>
                <w:b/>
                <w:sz w:val="24"/>
                <w:szCs w:val="24"/>
              </w:rPr>
              <w:t>2.2.6 水平衡</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本项目厂区地面采用清扫方式，用水主要包括切削液调配用水和职工办公生活用水。</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（1）项目用水情况</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1）生活用水：本项目劳动定员15人，人均综合用水量按50L/人•d计，则生活用水量为0.75m</w:t>
            </w:r>
            <w:r>
              <w:rPr>
                <w:rFonts w:ascii="Times New Roman" w:hAnsi="Times New Roman" w:eastAsia="宋体" w:cs="Times New Roman"/>
                <w:bCs/>
                <w:sz w:val="24"/>
                <w:szCs w:val="24"/>
                <w:vertAlign w:val="superscript"/>
              </w:rPr>
              <w:t>3</w:t>
            </w:r>
            <w:r>
              <w:rPr>
                <w:rFonts w:ascii="Times New Roman" w:hAnsi="Times New Roman" w:eastAsia="宋体" w:cs="Times New Roman"/>
                <w:bCs/>
                <w:sz w:val="24"/>
                <w:szCs w:val="24"/>
              </w:rPr>
              <w:t>/d，排水按90%计算。</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2）切削液调配用水：根据建设单位提供资料，本项目切削液与水的配比为1:10，切削液用量为</w:t>
            </w:r>
            <w:r>
              <w:rPr>
                <w:rFonts w:hint="eastAsia" w:ascii="Times New Roman" w:hAnsi="Times New Roman" w:eastAsia="宋体" w:cs="Times New Roman"/>
                <w:bCs/>
                <w:sz w:val="24"/>
                <w:szCs w:val="24"/>
              </w:rPr>
              <w:t>0</w:t>
            </w:r>
            <w:r>
              <w:rPr>
                <w:rFonts w:ascii="Times New Roman" w:hAnsi="Times New Roman" w:eastAsia="宋体" w:cs="Times New Roman"/>
                <w:bCs/>
                <w:sz w:val="24"/>
                <w:szCs w:val="24"/>
              </w:rPr>
              <w:t>.3t/a，则切削液调配用水为3m</w:t>
            </w:r>
            <w:r>
              <w:rPr>
                <w:rFonts w:ascii="Times New Roman" w:hAnsi="Times New Roman" w:eastAsia="宋体" w:cs="Times New Roman"/>
                <w:bCs/>
                <w:sz w:val="24"/>
                <w:szCs w:val="24"/>
                <w:vertAlign w:val="superscript"/>
              </w:rPr>
              <w:t>3</w:t>
            </w:r>
            <w:r>
              <w:rPr>
                <w:rFonts w:ascii="Times New Roman" w:hAnsi="Times New Roman" w:eastAsia="宋体" w:cs="Times New Roman"/>
                <w:bCs/>
                <w:sz w:val="24"/>
                <w:szCs w:val="24"/>
              </w:rPr>
              <w:t>/a（</w:t>
            </w:r>
            <w:r>
              <w:rPr>
                <w:rFonts w:hint="eastAsia" w:ascii="Times New Roman" w:hAnsi="Times New Roman" w:eastAsia="宋体" w:cs="Times New Roman"/>
                <w:bCs/>
                <w:sz w:val="24"/>
                <w:szCs w:val="24"/>
              </w:rPr>
              <w:t>0</w:t>
            </w:r>
            <w:r>
              <w:rPr>
                <w:rFonts w:ascii="Times New Roman" w:hAnsi="Times New Roman" w:eastAsia="宋体" w:cs="Times New Roman"/>
                <w:bCs/>
                <w:sz w:val="24"/>
                <w:szCs w:val="24"/>
              </w:rPr>
              <w:t>.01m</w:t>
            </w:r>
            <w:r>
              <w:rPr>
                <w:rFonts w:ascii="Times New Roman" w:hAnsi="Times New Roman" w:eastAsia="宋体" w:cs="Times New Roman"/>
                <w:bCs/>
                <w:sz w:val="24"/>
                <w:szCs w:val="24"/>
                <w:vertAlign w:val="superscript"/>
              </w:rPr>
              <w:t>3</w:t>
            </w:r>
            <w:r>
              <w:rPr>
                <w:rFonts w:ascii="Times New Roman" w:hAnsi="Times New Roman" w:eastAsia="宋体" w:cs="Times New Roman"/>
                <w:bCs/>
                <w:sz w:val="24"/>
                <w:szCs w:val="24"/>
              </w:rPr>
              <w:t>/d）。</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3）脱模剂配比用水：工件在压铸过程中，需喷涂配成一定比例的脱模液，脱模剂和水按照1:180的比例进行调配，根据建设单位提供的资料，脱模剂使用量约为3.8t/a，脱模剂配比用水量为684t/a，配比后为687.8t/a。</w:t>
            </w:r>
            <w:r>
              <w:rPr>
                <w:rFonts w:ascii="Times New Roman" w:hAnsi="Times New Roman" w:eastAsia="宋体" w:cs="Times New Roman"/>
                <w:sz w:val="24"/>
                <w:szCs w:val="24"/>
              </w:rPr>
              <w:t>脱模液使用压铸机自带的喷涂设施喷涂到模具上，约30%未喷至模具上的脱模液，经设备下方管沟收集后，进入</w:t>
            </w:r>
            <w:r>
              <w:rPr>
                <w:rFonts w:hint="eastAsia" w:ascii="Times New Roman" w:hAnsi="Times New Roman" w:eastAsia="宋体" w:cs="Times New Roman"/>
                <w:sz w:val="24"/>
                <w:szCs w:val="24"/>
              </w:rPr>
              <w:t>脱模液收集池</w:t>
            </w:r>
            <w:r>
              <w:rPr>
                <w:rFonts w:ascii="Times New Roman" w:hAnsi="Times New Roman" w:eastAsia="宋体" w:cs="Times New Roman"/>
                <w:sz w:val="24"/>
                <w:szCs w:val="24"/>
              </w:rPr>
              <w:t>进行</w:t>
            </w:r>
            <w:r>
              <w:rPr>
                <w:rFonts w:hint="eastAsia" w:ascii="Times New Roman" w:hAnsi="Times New Roman" w:eastAsia="宋体" w:cs="Times New Roman"/>
                <w:sz w:val="24"/>
                <w:szCs w:val="24"/>
              </w:rPr>
              <w:t>油水分离、除渣</w:t>
            </w:r>
            <w:r>
              <w:rPr>
                <w:rFonts w:ascii="Times New Roman" w:hAnsi="Times New Roman" w:eastAsia="宋体" w:cs="Times New Roman"/>
                <w:sz w:val="24"/>
                <w:szCs w:val="24"/>
              </w:rPr>
              <w:t>处理</w:t>
            </w:r>
            <w:r>
              <w:rPr>
                <w:rFonts w:hint="eastAsia" w:ascii="Times New Roman" w:hAnsi="Times New Roman" w:eastAsia="宋体" w:cs="Times New Roman"/>
                <w:sz w:val="24"/>
                <w:szCs w:val="24"/>
              </w:rPr>
              <w:t>等</w:t>
            </w:r>
            <w:r>
              <w:rPr>
                <w:rFonts w:ascii="Times New Roman" w:hAnsi="Times New Roman" w:eastAsia="宋体" w:cs="Times New Roman"/>
                <w:bCs/>
                <w:sz w:val="24"/>
                <w:szCs w:val="24"/>
              </w:rPr>
              <w:t>，处理量为206.34t/a（0.69t/d），浮油</w:t>
            </w:r>
            <w:r>
              <w:rPr>
                <w:rFonts w:hint="eastAsia" w:ascii="Times New Roman" w:hAnsi="Times New Roman" w:eastAsia="宋体" w:cs="Times New Roman"/>
                <w:bCs/>
                <w:sz w:val="24"/>
                <w:szCs w:val="24"/>
              </w:rPr>
              <w:t>渣</w:t>
            </w:r>
            <w:r>
              <w:rPr>
                <w:rFonts w:ascii="Times New Roman" w:hAnsi="Times New Roman" w:eastAsia="宋体" w:cs="Times New Roman"/>
                <w:bCs/>
                <w:sz w:val="24"/>
                <w:szCs w:val="24"/>
              </w:rPr>
              <w:t>作为危废处置，处理后的</w:t>
            </w:r>
            <w:r>
              <w:rPr>
                <w:rFonts w:hint="eastAsia" w:ascii="Times New Roman" w:hAnsi="Times New Roman" w:eastAsia="宋体" w:cs="Times New Roman"/>
                <w:bCs/>
                <w:sz w:val="24"/>
                <w:szCs w:val="24"/>
              </w:rPr>
              <w:t>脱膜液</w:t>
            </w:r>
            <w:r>
              <w:rPr>
                <w:rFonts w:ascii="Times New Roman" w:hAnsi="Times New Roman" w:eastAsia="宋体" w:cs="Times New Roman"/>
                <w:bCs/>
                <w:sz w:val="24"/>
                <w:szCs w:val="24"/>
              </w:rPr>
              <w:t>回用于脱模剂调配，</w:t>
            </w:r>
            <w:r>
              <w:rPr>
                <w:rFonts w:hint="eastAsia" w:ascii="Times New Roman" w:hAnsi="Times New Roman" w:eastAsia="宋体" w:cs="Times New Roman"/>
                <w:bCs/>
                <w:sz w:val="24"/>
                <w:szCs w:val="24"/>
              </w:rPr>
              <w:t>无外排废水，浮油渣</w:t>
            </w:r>
            <w:r>
              <w:rPr>
                <w:rFonts w:ascii="Times New Roman" w:hAnsi="Times New Roman" w:eastAsia="宋体" w:cs="Times New Roman"/>
                <w:bCs/>
                <w:sz w:val="24"/>
                <w:szCs w:val="24"/>
              </w:rPr>
              <w:t>产生量为1.5t/a。</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4）冷却循环用水：拟建项目压铸过程使用冷却水进行冷却，为间接冷却，冷却水循环使用。项目冷却</w:t>
            </w:r>
            <w:r>
              <w:rPr>
                <w:rFonts w:hint="eastAsia" w:ascii="Times New Roman" w:hAnsi="Times New Roman" w:eastAsia="宋体" w:cs="Times New Roman"/>
                <w:bCs/>
                <w:sz w:val="24"/>
                <w:szCs w:val="24"/>
              </w:rPr>
              <w:t>循环</w:t>
            </w:r>
            <w:r>
              <w:rPr>
                <w:rFonts w:ascii="Times New Roman" w:hAnsi="Times New Roman" w:eastAsia="宋体" w:cs="Times New Roman"/>
                <w:bCs/>
                <w:sz w:val="24"/>
                <w:szCs w:val="24"/>
              </w:rPr>
              <w:t>水量为100m</w:t>
            </w:r>
            <w:r>
              <w:rPr>
                <w:rFonts w:ascii="Times New Roman" w:hAnsi="Times New Roman" w:eastAsia="宋体" w:cs="Times New Roman"/>
                <w:bCs/>
                <w:sz w:val="24"/>
                <w:szCs w:val="24"/>
                <w:vertAlign w:val="superscript"/>
              </w:rPr>
              <w:t>3</w:t>
            </w:r>
            <w:r>
              <w:rPr>
                <w:rFonts w:ascii="Times New Roman" w:hAnsi="Times New Roman" w:eastAsia="宋体" w:cs="Times New Roman"/>
                <w:bCs/>
                <w:sz w:val="24"/>
                <w:szCs w:val="24"/>
              </w:rPr>
              <w:t>/h，损耗量按照1%计，则每天补水量为8m</w:t>
            </w:r>
            <w:r>
              <w:rPr>
                <w:rFonts w:ascii="Times New Roman" w:hAnsi="Times New Roman" w:eastAsia="宋体" w:cs="Times New Roman"/>
                <w:bCs/>
                <w:sz w:val="24"/>
                <w:szCs w:val="24"/>
                <w:vertAlign w:val="superscript"/>
              </w:rPr>
              <w:t>3</w:t>
            </w:r>
            <w:r>
              <w:rPr>
                <w:rFonts w:ascii="Times New Roman" w:hAnsi="Times New Roman" w:eastAsia="宋体" w:cs="Times New Roman"/>
                <w:bCs/>
                <w:sz w:val="24"/>
                <w:szCs w:val="24"/>
              </w:rPr>
              <w:t>/d（2400m</w:t>
            </w:r>
            <w:r>
              <w:rPr>
                <w:rFonts w:ascii="Times New Roman" w:hAnsi="Times New Roman" w:eastAsia="宋体" w:cs="Times New Roman"/>
                <w:bCs/>
                <w:sz w:val="24"/>
                <w:szCs w:val="24"/>
                <w:vertAlign w:val="superscript"/>
              </w:rPr>
              <w:t>3</w:t>
            </w:r>
            <w:r>
              <w:rPr>
                <w:rFonts w:ascii="Times New Roman" w:hAnsi="Times New Roman" w:eastAsia="宋体" w:cs="Times New Roman"/>
                <w:bCs/>
                <w:sz w:val="24"/>
                <w:szCs w:val="24"/>
              </w:rPr>
              <w:t>/a）。</w:t>
            </w:r>
          </w:p>
          <w:p>
            <w:pPr>
              <w:spacing w:line="360" w:lineRule="auto"/>
              <w:ind w:firstLine="470" w:firstLineChars="196"/>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项目生产生活污水产生和排放量如下表所示。</w:t>
            </w:r>
          </w:p>
          <w:p>
            <w:pPr>
              <w:spacing w:line="360" w:lineRule="auto"/>
              <w:ind w:firstLine="482" w:firstLineChars="200"/>
              <w:jc w:val="center"/>
              <w:rPr>
                <w:rFonts w:ascii="Times New Roman" w:hAnsi="Times New Roman" w:eastAsia="宋体" w:cs="Times New Roman"/>
                <w:b/>
                <w:sz w:val="24"/>
                <w:szCs w:val="24"/>
              </w:rPr>
            </w:pPr>
            <w:r>
              <w:rPr>
                <w:rFonts w:ascii="Times New Roman" w:hAnsi="Times New Roman" w:eastAsia="宋体" w:cs="Times New Roman"/>
                <w:b/>
                <w:sz w:val="24"/>
                <w:szCs w:val="24"/>
              </w:rPr>
              <w:t>表2.2-6  本项目营运期用、排水量核算一览表</w:t>
            </w:r>
          </w:p>
          <w:tbl>
            <w:tblPr>
              <w:tblStyle w:val="18"/>
              <w:tblpPr w:leftFromText="180" w:rightFromText="180" w:vertAnchor="text" w:tblpXSpec="center" w:tblpY="1"/>
              <w:tblOverlap w:val="never"/>
              <w:tblW w:w="8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04"/>
              <w:gridCol w:w="72"/>
              <w:gridCol w:w="1133"/>
              <w:gridCol w:w="1133"/>
              <w:gridCol w:w="1133"/>
              <w:gridCol w:w="1138"/>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1129"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用水类别</w:t>
                  </w:r>
                </w:p>
              </w:tc>
              <w:tc>
                <w:tcPr>
                  <w:tcW w:w="1276" w:type="dxa"/>
                  <w:gridSpan w:val="2"/>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用水量标准</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用水规模</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日用水量（m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/d）</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年用水量（m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/a）</w:t>
                  </w:r>
                </w:p>
              </w:tc>
              <w:tc>
                <w:tcPr>
                  <w:tcW w:w="1138"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日排水量（m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/d）</w:t>
                  </w:r>
                </w:p>
              </w:tc>
              <w:tc>
                <w:tcPr>
                  <w:tcW w:w="1061"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年排水量（m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trPr>
              <w:tc>
                <w:tcPr>
                  <w:tcW w:w="1129"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办公生活用水</w:t>
                  </w:r>
                </w:p>
              </w:tc>
              <w:tc>
                <w:tcPr>
                  <w:tcW w:w="1276" w:type="dxa"/>
                  <w:gridSpan w:val="2"/>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50L/人•d</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15人</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0.75</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225</w:t>
                  </w:r>
                </w:p>
              </w:tc>
              <w:tc>
                <w:tcPr>
                  <w:tcW w:w="1138"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c>
                <w:tcPr>
                  <w:tcW w:w="1061"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1129"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切削液调配用水</w:t>
                  </w:r>
                </w:p>
              </w:tc>
              <w:tc>
                <w:tcPr>
                  <w:tcW w:w="2409" w:type="dxa"/>
                  <w:gridSpan w:val="3"/>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切削液：水=1:10</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0.01</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3</w:t>
                  </w:r>
                </w:p>
              </w:tc>
              <w:tc>
                <w:tcPr>
                  <w:tcW w:w="1138"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c>
                <w:tcPr>
                  <w:tcW w:w="1061"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129"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脱模剂配比用水</w:t>
                  </w:r>
                </w:p>
              </w:tc>
              <w:tc>
                <w:tcPr>
                  <w:tcW w:w="2409" w:type="dxa"/>
                  <w:gridSpan w:val="3"/>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脱模剂：水=1:180</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.28</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hint="eastAsia" w:ascii="Times New Roman" w:hAnsi="Times New Roman" w:eastAsia="宋体" w:cs="Times New Roman"/>
                      <w:bCs/>
                      <w:szCs w:val="21"/>
                    </w:rPr>
                    <w:t>6</w:t>
                  </w:r>
                  <w:r>
                    <w:rPr>
                      <w:rFonts w:ascii="Times New Roman" w:hAnsi="Times New Roman" w:eastAsia="宋体" w:cs="Times New Roman"/>
                      <w:bCs/>
                      <w:szCs w:val="21"/>
                    </w:rPr>
                    <w:t>84</w:t>
                  </w:r>
                </w:p>
              </w:tc>
              <w:tc>
                <w:tcPr>
                  <w:tcW w:w="1138"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c>
                <w:tcPr>
                  <w:tcW w:w="1061"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129"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循环冷却用水</w:t>
                  </w:r>
                </w:p>
              </w:tc>
              <w:tc>
                <w:tcPr>
                  <w:tcW w:w="1204"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1%损耗，8h</w:t>
                  </w:r>
                </w:p>
              </w:tc>
              <w:tc>
                <w:tcPr>
                  <w:tcW w:w="1205" w:type="dxa"/>
                  <w:gridSpan w:val="2"/>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100m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/h</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8</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2400</w:t>
                  </w:r>
                </w:p>
              </w:tc>
              <w:tc>
                <w:tcPr>
                  <w:tcW w:w="1138"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c>
                <w:tcPr>
                  <w:tcW w:w="1061"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trPr>
              <w:tc>
                <w:tcPr>
                  <w:tcW w:w="3538" w:type="dxa"/>
                  <w:gridSpan w:val="4"/>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合计</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11.04</w:t>
                  </w:r>
                </w:p>
              </w:tc>
              <w:tc>
                <w:tcPr>
                  <w:tcW w:w="1133"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3312</w:t>
                  </w:r>
                </w:p>
              </w:tc>
              <w:tc>
                <w:tcPr>
                  <w:tcW w:w="1138"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c>
                <w:tcPr>
                  <w:tcW w:w="1061" w:type="dxa"/>
                  <w:vAlign w:val="center"/>
                </w:tcPr>
                <w:p>
                  <w:pPr>
                    <w:pStyle w:val="7"/>
                    <w:spacing w:line="240" w:lineRule="atLeast"/>
                    <w:jc w:val="center"/>
                    <w:outlineLvl w:val="1"/>
                    <w:rPr>
                      <w:rFonts w:ascii="Times New Roman" w:hAnsi="Times New Roman" w:eastAsia="宋体" w:cs="Times New Roman"/>
                      <w:bCs/>
                      <w:szCs w:val="21"/>
                    </w:rPr>
                  </w:pPr>
                  <w:r>
                    <w:rPr>
                      <w:rFonts w:ascii="Times New Roman" w:hAnsi="Times New Roman" w:eastAsia="宋体" w:cs="Times New Roman"/>
                      <w:bCs/>
                      <w:szCs w:val="21"/>
                    </w:rPr>
                    <w:t>/</w:t>
                  </w:r>
                </w:p>
              </w:tc>
            </w:tr>
          </w:tbl>
          <w:p>
            <w:pPr>
              <w:spacing w:line="360" w:lineRule="auto"/>
              <w:ind w:firstLine="470" w:firstLineChars="196"/>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项目水平衡图见图2.2-1。</w:t>
            </w:r>
          </w:p>
          <w:p>
            <w:pPr>
              <w:autoSpaceDE w:val="0"/>
              <w:autoSpaceDN w:val="0"/>
              <w:adjustRightInd w:val="0"/>
              <w:snapToGrid w:val="0"/>
              <w:spacing w:line="360" w:lineRule="auto"/>
              <w:jc w:val="center"/>
              <w:rPr>
                <w:rFonts w:ascii="Times New Roman" w:hAnsi="Times New Roman" w:eastAsia="宋体" w:cs="Times New Roman"/>
                <w:kern w:val="0"/>
                <w:sz w:val="24"/>
                <w:szCs w:val="24"/>
              </w:rPr>
            </w:pPr>
            <w:r>
              <w:object>
                <v:shape id="_x0000_i1025" o:spt="75" type="#_x0000_t75" style="height:275.25pt;width:407.2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pPr>
              <w:autoSpaceDE w:val="0"/>
              <w:autoSpaceDN w:val="0"/>
              <w:adjustRightInd w:val="0"/>
              <w:snapToGrid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图2.2-1  项目水平衡图  m</w:t>
            </w:r>
            <w:r>
              <w:rPr>
                <w:rFonts w:ascii="Times New Roman" w:hAnsi="Times New Roman" w:eastAsia="宋体" w:cs="Times New Roman"/>
                <w:b/>
                <w:bCs/>
                <w:kern w:val="0"/>
                <w:sz w:val="24"/>
                <w:szCs w:val="24"/>
                <w:vertAlign w:val="superscript"/>
              </w:rPr>
              <w:t>3</w:t>
            </w:r>
            <w:r>
              <w:rPr>
                <w:rFonts w:ascii="Times New Roman" w:hAnsi="Times New Roman" w:eastAsia="宋体" w:cs="Times New Roman"/>
                <w:b/>
                <w:bCs/>
                <w:kern w:val="0"/>
                <w:sz w:val="24"/>
                <w:szCs w:val="24"/>
              </w:rPr>
              <w:t>/d</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bCs/>
                <w:sz w:val="24"/>
                <w:szCs w:val="24"/>
              </w:rPr>
              <w:t>（2）排水</w:t>
            </w:r>
          </w:p>
          <w:p>
            <w:pPr>
              <w:spacing w:line="360" w:lineRule="auto"/>
              <w:ind w:firstLine="480" w:firstLineChars="200"/>
              <w:outlineLvl w:val="1"/>
              <w:rPr>
                <w:rFonts w:ascii="Times New Roman" w:hAnsi="Times New Roman" w:eastAsia="宋体" w:cs="Times New Roman"/>
                <w:sz w:val="24"/>
                <w:szCs w:val="24"/>
              </w:rPr>
            </w:pPr>
            <w:r>
              <w:rPr>
                <w:rFonts w:ascii="Times New Roman" w:hAnsi="Times New Roman" w:eastAsia="宋体" w:cs="Times New Roman"/>
                <w:sz w:val="24"/>
                <w:szCs w:val="24"/>
              </w:rPr>
              <w:t>本项目排水采用“雨污分流制”，雨水经厂区内雨水管网收集后，排入厂区雨水管网。</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sz w:val="24"/>
                <w:szCs w:val="24"/>
              </w:rPr>
              <w:t>生活污水：项目周围均为农用地，故生活污水</w:t>
            </w:r>
            <w:r>
              <w:rPr>
                <w:rFonts w:ascii="Times New Roman" w:hAnsi="Times New Roman" w:eastAsia="宋体" w:cs="Times New Roman"/>
                <w:bCs/>
                <w:sz w:val="24"/>
                <w:szCs w:val="24"/>
              </w:rPr>
              <w:t>经生化池处理后作为农肥使用，不外排</w:t>
            </w:r>
            <w:r>
              <w:rPr>
                <w:rFonts w:hint="eastAsia" w:ascii="Times New Roman" w:hAnsi="Times New Roman" w:eastAsia="宋体" w:cs="Times New Roman"/>
                <w:bCs/>
                <w:sz w:val="24"/>
                <w:szCs w:val="24"/>
              </w:rPr>
              <w:t>。</w:t>
            </w:r>
          </w:p>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2.2.7 项目总平面布置</w:t>
            </w:r>
          </w:p>
          <w:p>
            <w:pPr>
              <w:autoSpaceDE w:val="0"/>
              <w:autoSpaceDN w:val="0"/>
              <w:adjustRightInd w:val="0"/>
              <w:snapToGrid w:val="0"/>
              <w:spacing w:line="36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kern w:val="0"/>
                <w:sz w:val="24"/>
                <w:szCs w:val="24"/>
              </w:rPr>
              <w:t>本项目租赁重庆市铜梁区虎峰镇石岭村5社12号标准厂房进行生产，按自然条件、生产功能及交通运输来确定总平面布置，使之既能达到生产流程顺畅，物料运输线路短捷、方便，又能避免货流的交叉，为生产创造良好的工作条件。</w:t>
            </w:r>
            <w:r>
              <w:rPr>
                <w:rFonts w:ascii="Times New Roman" w:hAnsi="Times New Roman" w:eastAsia="宋体" w:cs="Times New Roman"/>
                <w:bCs/>
                <w:kern w:val="0"/>
                <w:sz w:val="24"/>
                <w:szCs w:val="24"/>
              </w:rPr>
              <w:t>车间整体呈长方形，厂区南侧为压铸区，压铸区往北为原材料堆放区和成品堆放区，北侧为打磨区</w:t>
            </w:r>
            <w:r>
              <w:rPr>
                <w:rFonts w:hint="eastAsia" w:ascii="Times New Roman" w:hAnsi="Times New Roman" w:eastAsia="宋体" w:cs="Times New Roman"/>
                <w:bCs/>
                <w:kern w:val="0"/>
                <w:sz w:val="24"/>
                <w:szCs w:val="24"/>
              </w:rPr>
              <w:t>，</w:t>
            </w:r>
            <w:r>
              <w:rPr>
                <w:rFonts w:ascii="Times New Roman" w:hAnsi="Times New Roman" w:eastAsia="宋体" w:cs="Times New Roman"/>
                <w:bCs/>
                <w:kern w:val="0"/>
                <w:sz w:val="24"/>
                <w:szCs w:val="24"/>
              </w:rPr>
              <w:t>机加区</w:t>
            </w:r>
            <w:r>
              <w:rPr>
                <w:rFonts w:hint="eastAsia" w:ascii="Times New Roman" w:hAnsi="Times New Roman" w:eastAsia="宋体" w:cs="Times New Roman"/>
                <w:bCs/>
                <w:kern w:val="0"/>
                <w:sz w:val="24"/>
                <w:szCs w:val="24"/>
              </w:rPr>
              <w:t>单独设置，位于钢隆纸业邻近办公大楼的厂房东侧</w:t>
            </w:r>
            <w:r>
              <w:rPr>
                <w:rFonts w:ascii="Times New Roman" w:hAnsi="Times New Roman" w:eastAsia="宋体" w:cs="Times New Roman"/>
                <w:bCs/>
                <w:kern w:val="0"/>
                <w:sz w:val="24"/>
                <w:szCs w:val="24"/>
              </w:rPr>
              <w:t>。车间办公场所位于厂区东侧，远离生产车间。</w:t>
            </w:r>
          </w:p>
          <w:p>
            <w:pPr>
              <w:autoSpaceDE w:val="0"/>
              <w:autoSpaceDN w:val="0"/>
              <w:adjustRightInd w:val="0"/>
              <w:snapToGrid w:val="0"/>
              <w:spacing w:line="36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本项目总体布局功能分区明，相互协调，总平面布置方案能够满足于生产的需要，达到了便于组织生产，方便生活的目的。</w:t>
            </w:r>
          </w:p>
          <w:p>
            <w:pPr>
              <w:autoSpaceDE w:val="0"/>
              <w:autoSpaceDN w:val="0"/>
              <w:adjustRightInd w:val="0"/>
              <w:snapToGrid w:val="0"/>
              <w:spacing w:line="36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拟建项目厂房总平面布置图见</w:t>
            </w:r>
            <w:r>
              <w:rPr>
                <w:rFonts w:ascii="Times New Roman" w:hAnsi="Times New Roman" w:eastAsia="宋体" w:cs="Times New Roman"/>
                <w:b/>
                <w:kern w:val="0"/>
                <w:sz w:val="24"/>
                <w:szCs w:val="24"/>
                <w:u w:val="single"/>
              </w:rPr>
              <w:t>附图2</w:t>
            </w:r>
            <w:r>
              <w:rPr>
                <w:rFonts w:ascii="Times New Roman" w:hAnsi="Times New Roman" w:eastAsia="宋体" w:cs="Times New Roman"/>
                <w:bCs/>
                <w:kern w:val="0"/>
                <w:sz w:val="24"/>
                <w:szCs w:val="24"/>
              </w:rPr>
              <w:t>。</w:t>
            </w:r>
            <w:bookmarkEnd w:id="9"/>
          </w:p>
          <w:p>
            <w:pPr>
              <w:autoSpaceDE w:val="0"/>
              <w:autoSpaceDN w:val="0"/>
              <w:adjustRightInd w:val="0"/>
              <w:snapToGrid w:val="0"/>
              <w:spacing w:line="360" w:lineRule="auto"/>
              <w:ind w:firstLine="480" w:firstLineChars="200"/>
              <w:rPr>
                <w:rFonts w:ascii="Times New Roman" w:hAnsi="Times New Roman" w:eastAsia="宋体" w:cs="Times New Roman"/>
                <w:bCs/>
                <w:kern w:val="0"/>
                <w:sz w:val="24"/>
                <w:szCs w:val="24"/>
              </w:rPr>
            </w:pP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工艺流程和产排污环节</w:t>
            </w:r>
          </w:p>
        </w:tc>
        <w:tc>
          <w:tcPr>
            <w:tcW w:w="8363" w:type="dxa"/>
            <w:vAlign w:val="center"/>
          </w:tcPr>
          <w:p>
            <w:pPr>
              <w:autoSpaceDE w:val="0"/>
              <w:autoSpaceDN w:val="0"/>
              <w:spacing w:line="360" w:lineRule="auto"/>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2.3 施工期产排污分析</w:t>
            </w:r>
          </w:p>
          <w:p>
            <w:pPr>
              <w:spacing w:line="360" w:lineRule="auto"/>
              <w:ind w:firstLine="480" w:firstLineChars="200"/>
              <w:outlineLvl w:val="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租赁生产厂房进行建设，施工期仅需进行室内装修、设备安装及调试。施工人员不在场地内食宿，产生少量生活垃圾和生活污水，施工期环境影响主要是设备安装过程中产生的噪声和废弃的设备包装材料等。项目施工期对环境的影响小而且是短期的，随着工程竣工环境影响也随之消除，因此，本次评价只作简要分析。</w:t>
            </w:r>
          </w:p>
          <w:p>
            <w:pPr>
              <w:autoSpaceDE w:val="0"/>
              <w:autoSpaceDN w:val="0"/>
              <w:spacing w:line="360" w:lineRule="auto"/>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2.4 运营期生产工艺流程及产污环节</w:t>
            </w: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2.4.1 生产工艺流程</w:t>
            </w:r>
          </w:p>
          <w:p>
            <w:pPr>
              <w:spacing w:line="360" w:lineRule="auto"/>
              <w:rPr>
                <w:rFonts w:ascii="Times New Roman" w:hAnsi="Times New Roman" w:eastAsia="宋体" w:cs="Times New Roman"/>
                <w:sz w:val="24"/>
                <w:szCs w:val="24"/>
              </w:rPr>
            </w:pPr>
            <w:r>
              <w:rPr>
                <w:rFonts w:ascii="Times New Roman" w:hAnsi="Times New Roman" w:cs="Times New Roman"/>
              </w:rPr>
              <w:object>
                <v:shape id="_x0000_i1026" o:spt="75" type="#_x0000_t75" style="height:219pt;width:375.75pt;" o:ole="t" filled="f" o:preferrelative="t" stroked="f" coordsize="21600,21600">
                  <v:path/>
                  <v:fill on="f" focussize="0,0"/>
                  <v:stroke on="f" joinstyle="miter"/>
                  <v:imagedata r:id="rId15" o:title=""/>
                  <o:lock v:ext="edit" aspectratio="t"/>
                  <w10:wrap type="none"/>
                  <w10:anchorlock/>
                </v:shape>
                <o:OLEObject Type="Embed" ProgID="Visio.Drawing.15" ShapeID="_x0000_i1026" DrawAspect="Content" ObjectID="_1468075726" r:id="rId14">
                  <o:LockedField>false</o:LockedField>
                </o:OLEObject>
              </w:object>
            </w:r>
          </w:p>
          <w:p>
            <w:pPr>
              <w:tabs>
                <w:tab w:val="left" w:pos="1970"/>
              </w:tabs>
              <w:spacing w:line="46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图2.4-1  本项目生产工艺及产污环节</w:t>
            </w:r>
          </w:p>
          <w:p>
            <w:pPr>
              <w:tabs>
                <w:tab w:val="left" w:pos="1970"/>
              </w:tabs>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工艺流程说明：</w:t>
            </w:r>
          </w:p>
          <w:p>
            <w:pPr>
              <w:tabs>
                <w:tab w:val="left" w:pos="197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熔化：项目外购成品铝锭由行车或叉车投入到压铸机配套的熔炼炉内，熔炼炉采用天然气为燃料，直接加热，炉膛温度约700-800℃。铝锭熔化后采用工具压到液池底部并缓慢搅拌，主要清除铝液中少量的氢及合金液中的氧化夹杂。液池上的氧化渣则定期人工刮除，不使用任何除渣剂、精炼剂等。该工序产生熔炼废气G1、机械噪声N和废铝渣/铝灰S1。</w:t>
            </w:r>
          </w:p>
          <w:p>
            <w:pPr>
              <w:tabs>
                <w:tab w:val="left" w:pos="197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压铸：压铸是使液体金属在压力作用下充填型腔，以形成铸件的一种方法。机械</w:t>
            </w:r>
            <w:r>
              <w:rPr>
                <w:rFonts w:hint="eastAsia" w:ascii="Times New Roman" w:hAnsi="Times New Roman" w:eastAsia="宋体" w:cs="Times New Roman"/>
                <w:sz w:val="24"/>
                <w:szCs w:val="24"/>
              </w:rPr>
              <w:t>手臂</w:t>
            </w:r>
            <w:r>
              <w:rPr>
                <w:rFonts w:ascii="Times New Roman" w:hAnsi="Times New Roman" w:eastAsia="宋体" w:cs="Times New Roman"/>
                <w:sz w:val="24"/>
                <w:szCs w:val="24"/>
              </w:rPr>
              <w:t>从熔炼炉出铝口熔池内定量舀取铝液，并将铝液注入模具</w:t>
            </w:r>
            <w:r>
              <w:rPr>
                <w:rFonts w:hint="eastAsia" w:ascii="Times New Roman" w:hAnsi="Times New Roman" w:eastAsia="宋体" w:cs="Times New Roman"/>
                <w:sz w:val="24"/>
                <w:szCs w:val="24"/>
              </w:rPr>
              <w:t>（模具均为外购，仅在厂区内进行简单检修）</w:t>
            </w:r>
            <w:r>
              <w:rPr>
                <w:rFonts w:ascii="Times New Roman" w:hAnsi="Times New Roman" w:eastAsia="宋体" w:cs="Times New Roman"/>
                <w:sz w:val="24"/>
                <w:szCs w:val="24"/>
              </w:rPr>
              <w:t>型腔内，再由压铸机压铸成型。</w:t>
            </w:r>
            <w:r>
              <w:rPr>
                <w:rFonts w:hint="eastAsia" w:ascii="Times New Roman" w:hAnsi="Times New Roman" w:eastAsia="宋体" w:cs="Times New Roman"/>
                <w:sz w:val="24"/>
                <w:szCs w:val="24"/>
              </w:rPr>
              <w:t>压铸机液压油在压铸过程温度会升高，需采用水进行间接冷却，该冷却水在液压油箱外部间接冷却，经冷却后循环利用，不外排。</w:t>
            </w:r>
            <w:r>
              <w:rPr>
                <w:rFonts w:ascii="Times New Roman" w:hAnsi="Times New Roman" w:eastAsia="宋体" w:cs="Times New Roman"/>
                <w:sz w:val="24"/>
                <w:szCs w:val="24"/>
              </w:rPr>
              <w:t>在压铸前需要在模具内</w:t>
            </w:r>
            <w:r>
              <w:rPr>
                <w:rFonts w:hint="eastAsia" w:ascii="Times New Roman" w:hAnsi="Times New Roman" w:eastAsia="宋体" w:cs="Times New Roman"/>
                <w:sz w:val="24"/>
                <w:szCs w:val="24"/>
              </w:rPr>
              <w:t>喷涂一定</w:t>
            </w:r>
            <w:r>
              <w:rPr>
                <w:rFonts w:ascii="Times New Roman" w:hAnsi="Times New Roman" w:eastAsia="宋体" w:cs="Times New Roman"/>
                <w:sz w:val="24"/>
                <w:szCs w:val="24"/>
              </w:rPr>
              <w:t>量的脱模剂，项目采用脱模剂自动喷涂系统，过喷的脱模剂收集后进行处理</w:t>
            </w:r>
            <w:r>
              <w:rPr>
                <w:rFonts w:hint="eastAsia" w:ascii="Times New Roman" w:hAnsi="Times New Roman" w:eastAsia="宋体" w:cs="Times New Roman"/>
                <w:sz w:val="24"/>
                <w:szCs w:val="24"/>
              </w:rPr>
              <w:t>再回用</w:t>
            </w:r>
            <w:r>
              <w:rPr>
                <w:rFonts w:ascii="Times New Roman" w:hAnsi="Times New Roman" w:eastAsia="宋体" w:cs="Times New Roman"/>
                <w:sz w:val="24"/>
                <w:szCs w:val="24"/>
              </w:rPr>
              <w:t>；压铸过程中，铝液与脱模剂接触后，脱模剂水分会迅速蒸发，达到降温效果，并在模具与压铸件之间形成一层薄膜，阻止铝液或铸件与模具粘联。该工序产生脱模废气G2、脱模</w:t>
            </w:r>
            <w:r>
              <w:rPr>
                <w:rFonts w:hint="eastAsia" w:ascii="Times New Roman" w:hAnsi="Times New Roman" w:eastAsia="宋体" w:cs="Times New Roman"/>
                <w:sz w:val="24"/>
                <w:szCs w:val="24"/>
              </w:rPr>
              <w:t>液</w:t>
            </w:r>
            <w:r>
              <w:rPr>
                <w:rFonts w:ascii="Times New Roman" w:hAnsi="Times New Roman" w:eastAsia="宋体" w:cs="Times New Roman"/>
                <w:sz w:val="24"/>
                <w:szCs w:val="24"/>
              </w:rPr>
              <w:t>W1、废铝渣S1、浮油/渣S2及机械设备噪声N。其中</w:t>
            </w:r>
            <w:r>
              <w:rPr>
                <w:rFonts w:hint="eastAsia" w:ascii="Times New Roman" w:hAnsi="Times New Roman" w:eastAsia="宋体" w:cs="Times New Roman"/>
                <w:sz w:val="24"/>
                <w:szCs w:val="24"/>
              </w:rPr>
              <w:t>过量的脱模剂采取</w:t>
            </w:r>
            <w:r>
              <w:rPr>
                <w:rFonts w:ascii="Times New Roman" w:hAnsi="Times New Roman" w:eastAsia="宋体" w:cs="Times New Roman"/>
                <w:sz w:val="24"/>
                <w:szCs w:val="24"/>
              </w:rPr>
              <w:t>“过滤+气浮+隔油”处理后，清</w:t>
            </w:r>
            <w:r>
              <w:rPr>
                <w:rFonts w:hint="eastAsia" w:ascii="Times New Roman" w:hAnsi="Times New Roman" w:eastAsia="宋体" w:cs="Times New Roman"/>
                <w:sz w:val="24"/>
                <w:szCs w:val="24"/>
              </w:rPr>
              <w:t>液回</w:t>
            </w:r>
            <w:r>
              <w:rPr>
                <w:rFonts w:ascii="Times New Roman" w:hAnsi="Times New Roman" w:eastAsia="宋体" w:cs="Times New Roman"/>
                <w:sz w:val="24"/>
                <w:szCs w:val="24"/>
              </w:rPr>
              <w:t>用于脱模剂调配，浮油渣S2作为危废处置。</w:t>
            </w:r>
          </w:p>
          <w:p>
            <w:pPr>
              <w:tabs>
                <w:tab w:val="left" w:pos="1970"/>
              </w:tabs>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加热处理：根据部分订单要求，部分工件为改善铸件表面应力，提升延展性，需要对铸件进行加热处理，将铸件放入烘箱中进行加热，温度约为1</w:t>
            </w:r>
            <w:r>
              <w:rPr>
                <w:rFonts w:ascii="Times New Roman" w:hAnsi="Times New Roman" w:eastAsia="宋体" w:cs="Times New Roman"/>
                <w:sz w:val="24"/>
                <w:szCs w:val="24"/>
              </w:rPr>
              <w:t>60-</w:t>
            </w:r>
            <w:r>
              <w:rPr>
                <w:rFonts w:hint="eastAsia" w:ascii="Times New Roman" w:hAnsi="Times New Roman" w:eastAsia="宋体" w:cs="Times New Roman"/>
                <w:sz w:val="24"/>
                <w:szCs w:val="24"/>
              </w:rPr>
              <w:t>1</w:t>
            </w:r>
            <w:r>
              <w:rPr>
                <w:rFonts w:ascii="Times New Roman" w:hAnsi="Times New Roman" w:eastAsia="宋体" w:cs="Times New Roman"/>
                <w:sz w:val="24"/>
                <w:szCs w:val="24"/>
              </w:rPr>
              <w:t>80</w:t>
            </w:r>
            <w:r>
              <w:rPr>
                <w:rFonts w:hint="eastAsia" w:ascii="Times New Roman" w:hAnsi="Times New Roman" w:eastAsia="宋体" w:cs="Times New Roman"/>
                <w:sz w:val="24"/>
                <w:szCs w:val="24"/>
              </w:rPr>
              <w:t>℃，烘箱采用电加热，加热时间约3</w:t>
            </w:r>
            <w:r>
              <w:rPr>
                <w:rFonts w:ascii="Times New Roman" w:hAnsi="Times New Roman" w:eastAsia="宋体" w:cs="Times New Roman"/>
                <w:sz w:val="24"/>
                <w:szCs w:val="24"/>
              </w:rPr>
              <w:t>-4</w:t>
            </w:r>
            <w:r>
              <w:rPr>
                <w:rFonts w:hint="eastAsia" w:ascii="Times New Roman" w:hAnsi="Times New Roman" w:eastAsia="宋体" w:cs="Times New Roman"/>
                <w:sz w:val="24"/>
                <w:szCs w:val="24"/>
              </w:rPr>
              <w:t>h。取出自然冷却后再进行下一步加工。</w:t>
            </w:r>
          </w:p>
          <w:p>
            <w:pPr>
              <w:tabs>
                <w:tab w:val="left" w:pos="197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打磨：压铸完成铝制件，部分会存在毛边，需要用打磨机进行简单处理，此工序产生打磨粉尘G3、废边角料S3以及机械噪声N。</w:t>
            </w:r>
          </w:p>
          <w:p>
            <w:pPr>
              <w:tabs>
                <w:tab w:val="left" w:pos="197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抛丸：采用抛丸机对部分工件表面进行整光处理，使工件表面光滑。工件送入抛丸机，经多个位置及角度不同的高效抛丸器抛出的高速弹丸击打至工件表面，使表面获得一定粗糙度的光亮表面，同时工件由于受到密集强力冲击，消除工件应力，避免工件变形。该工序将产生抛丸粉尘G4</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机械噪声N。</w:t>
            </w:r>
          </w:p>
          <w:p>
            <w:pPr>
              <w:tabs>
                <w:tab w:val="left" w:pos="197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精加工：使用加工中心对压铸完成的部分铝制件进行精加工，机加过程需加入切削液对工件和刀头进行降温和润滑。项目机加工采用水基切削液，切削液循环</w:t>
            </w:r>
            <w:r>
              <w:rPr>
                <w:rFonts w:hint="eastAsia" w:ascii="Times New Roman" w:hAnsi="Times New Roman" w:eastAsia="宋体" w:cs="Times New Roman"/>
                <w:sz w:val="24"/>
                <w:szCs w:val="24"/>
              </w:rPr>
              <w:t>使用、定期</w:t>
            </w:r>
            <w:r>
              <w:rPr>
                <w:rFonts w:ascii="Times New Roman" w:hAnsi="Times New Roman" w:eastAsia="宋体" w:cs="Times New Roman"/>
                <w:sz w:val="24"/>
                <w:szCs w:val="24"/>
              </w:rPr>
              <w:t>补充。此工序产生废铝屑S4、废切削液S5以及机械噪声N。</w:t>
            </w:r>
          </w:p>
          <w:p>
            <w:pPr>
              <w:tabs>
                <w:tab w:val="left" w:pos="197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检验：抛丸或精加工完成的产品将进行人工检验，检验合格即为成品，包装入库，等待外售，检验不合格，即为不合格产品S6。</w:t>
            </w:r>
          </w:p>
          <w:p>
            <w:pPr>
              <w:tabs>
                <w:tab w:val="left" w:pos="197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包装入库：检验合格产品将进行包装入库，等待外售，此过程将会产生废包装材料S7。</w:t>
            </w:r>
          </w:p>
          <w:p>
            <w:pPr>
              <w:autoSpaceDE w:val="0"/>
              <w:autoSpaceDN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2.4.2 本项目产污环节分析</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（1）废气</w:t>
            </w:r>
          </w:p>
          <w:p>
            <w:pPr>
              <w:adjustRightInd w:val="0"/>
              <w:snapToGrid w:val="0"/>
              <w:spacing w:before="156" w:beforeLines="50"/>
              <w:ind w:firstLine="422"/>
              <w:jc w:val="center"/>
              <w:rPr>
                <w:rFonts w:ascii="Times New Roman" w:hAnsi="Times New Roman" w:eastAsia="宋体" w:cs="Times New Roman"/>
                <w:b/>
                <w:sz w:val="24"/>
                <w:szCs w:val="24"/>
              </w:rPr>
            </w:pPr>
            <w:r>
              <w:rPr>
                <w:rFonts w:ascii="Times New Roman" w:hAnsi="Times New Roman" w:eastAsia="宋体" w:cs="Times New Roman"/>
                <w:b/>
                <w:sz w:val="24"/>
                <w:szCs w:val="24"/>
              </w:rPr>
              <w:t>表2.4-1 废气产排污环节、污染物种类、排放形式及污染治理设施一览表</w:t>
            </w:r>
            <w:bookmarkStart w:id="10" w:name="BIAO4"/>
          </w:p>
          <w:bookmarkEnd w:id="10"/>
          <w:tbl>
            <w:tblPr>
              <w:tblStyle w:val="19"/>
              <w:tblW w:w="82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
              <w:gridCol w:w="571"/>
              <w:gridCol w:w="571"/>
              <w:gridCol w:w="572"/>
              <w:gridCol w:w="573"/>
              <w:gridCol w:w="574"/>
              <w:gridCol w:w="622"/>
              <w:gridCol w:w="567"/>
              <w:gridCol w:w="567"/>
              <w:gridCol w:w="567"/>
              <w:gridCol w:w="567"/>
              <w:gridCol w:w="709"/>
              <w:gridCol w:w="709"/>
              <w:gridCol w:w="471"/>
              <w:gridCol w:w="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 w:hRule="atLeast"/>
                <w:jc w:val="center"/>
              </w:trPr>
              <w:tc>
                <w:tcPr>
                  <w:tcW w:w="296"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571"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主要生产单元名称</w:t>
                  </w:r>
                </w:p>
              </w:tc>
              <w:tc>
                <w:tcPr>
                  <w:tcW w:w="571"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产污设施名称</w:t>
                  </w:r>
                </w:p>
              </w:tc>
              <w:tc>
                <w:tcPr>
                  <w:tcW w:w="572"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对应产污环节名称</w:t>
                  </w:r>
                </w:p>
              </w:tc>
              <w:tc>
                <w:tcPr>
                  <w:tcW w:w="573"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污染物种类</w:t>
                  </w:r>
                </w:p>
              </w:tc>
              <w:tc>
                <w:tcPr>
                  <w:tcW w:w="574"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排放形式</w:t>
                  </w:r>
                </w:p>
              </w:tc>
              <w:tc>
                <w:tcPr>
                  <w:tcW w:w="2890" w:type="dxa"/>
                  <w:gridSpan w:val="5"/>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污染治理设施</w:t>
                  </w:r>
                </w:p>
              </w:tc>
              <w:tc>
                <w:tcPr>
                  <w:tcW w:w="709"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有组织排放口编号</w:t>
                  </w:r>
                </w:p>
              </w:tc>
              <w:tc>
                <w:tcPr>
                  <w:tcW w:w="709"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有组织排放口名称</w:t>
                  </w:r>
                </w:p>
              </w:tc>
              <w:tc>
                <w:tcPr>
                  <w:tcW w:w="471"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排放口类型</w:t>
                  </w:r>
                </w:p>
              </w:tc>
              <w:tc>
                <w:tcPr>
                  <w:tcW w:w="336"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296" w:type="dxa"/>
                  <w:vMerge w:val="continue"/>
                  <w:vAlign w:val="center"/>
                </w:tcPr>
                <w:p>
                  <w:pPr>
                    <w:ind w:left="-105" w:leftChars="-50" w:right="-105" w:rightChars="-50"/>
                    <w:jc w:val="center"/>
                    <w:rPr>
                      <w:rFonts w:ascii="Times New Roman" w:hAnsi="Times New Roman" w:eastAsia="宋体" w:cs="Times New Roman"/>
                      <w:szCs w:val="21"/>
                    </w:rPr>
                  </w:pPr>
                </w:p>
              </w:tc>
              <w:tc>
                <w:tcPr>
                  <w:tcW w:w="571" w:type="dxa"/>
                  <w:vMerge w:val="continue"/>
                  <w:vAlign w:val="center"/>
                </w:tcPr>
                <w:p>
                  <w:pPr>
                    <w:ind w:left="-105" w:leftChars="-50" w:right="-105" w:rightChars="-50"/>
                    <w:jc w:val="center"/>
                    <w:rPr>
                      <w:rFonts w:ascii="Times New Roman" w:hAnsi="Times New Roman" w:eastAsia="宋体" w:cs="Times New Roman"/>
                      <w:szCs w:val="21"/>
                    </w:rPr>
                  </w:pPr>
                </w:p>
              </w:tc>
              <w:tc>
                <w:tcPr>
                  <w:tcW w:w="571" w:type="dxa"/>
                  <w:vMerge w:val="continue"/>
                  <w:vAlign w:val="center"/>
                </w:tcPr>
                <w:p>
                  <w:pPr>
                    <w:ind w:left="-105" w:leftChars="-50" w:right="-105" w:rightChars="-50"/>
                    <w:jc w:val="center"/>
                    <w:rPr>
                      <w:rFonts w:ascii="Times New Roman" w:hAnsi="Times New Roman" w:eastAsia="宋体" w:cs="Times New Roman"/>
                      <w:szCs w:val="21"/>
                    </w:rPr>
                  </w:pPr>
                </w:p>
              </w:tc>
              <w:tc>
                <w:tcPr>
                  <w:tcW w:w="572" w:type="dxa"/>
                  <w:vMerge w:val="continue"/>
                  <w:vAlign w:val="center"/>
                </w:tcPr>
                <w:p>
                  <w:pPr>
                    <w:ind w:left="-105" w:leftChars="-50" w:right="-105" w:rightChars="-50"/>
                    <w:jc w:val="center"/>
                    <w:rPr>
                      <w:rFonts w:ascii="Times New Roman" w:hAnsi="Times New Roman" w:eastAsia="宋体" w:cs="Times New Roman"/>
                      <w:szCs w:val="21"/>
                    </w:rPr>
                  </w:pPr>
                </w:p>
              </w:tc>
              <w:tc>
                <w:tcPr>
                  <w:tcW w:w="573" w:type="dxa"/>
                  <w:vMerge w:val="continue"/>
                  <w:vAlign w:val="center"/>
                </w:tcPr>
                <w:p>
                  <w:pPr>
                    <w:ind w:left="-105" w:leftChars="-50" w:right="-105" w:rightChars="-50"/>
                    <w:jc w:val="center"/>
                    <w:rPr>
                      <w:rFonts w:ascii="Times New Roman" w:hAnsi="Times New Roman" w:eastAsia="宋体" w:cs="Times New Roman"/>
                      <w:szCs w:val="21"/>
                    </w:rPr>
                  </w:pPr>
                </w:p>
              </w:tc>
              <w:tc>
                <w:tcPr>
                  <w:tcW w:w="574" w:type="dxa"/>
                  <w:vMerge w:val="continue"/>
                  <w:vAlign w:val="center"/>
                </w:tcPr>
                <w:p>
                  <w:pPr>
                    <w:ind w:left="-105" w:leftChars="-50" w:right="-105" w:rightChars="-50"/>
                    <w:jc w:val="center"/>
                    <w:rPr>
                      <w:rFonts w:ascii="Times New Roman" w:hAnsi="Times New Roman" w:eastAsia="宋体" w:cs="Times New Roman"/>
                      <w:szCs w:val="21"/>
                    </w:rPr>
                  </w:pPr>
                </w:p>
              </w:tc>
              <w:tc>
                <w:tcPr>
                  <w:tcW w:w="622"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污染治理设施编号</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污染治理设施名称</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污染治理设施工艺</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风量</w:t>
                  </w:r>
                </w:p>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是否为可行技术</w:t>
                  </w:r>
                </w:p>
              </w:tc>
              <w:tc>
                <w:tcPr>
                  <w:tcW w:w="709" w:type="dxa"/>
                  <w:vMerge w:val="continue"/>
                  <w:vAlign w:val="center"/>
                </w:tcPr>
                <w:p>
                  <w:pPr>
                    <w:ind w:left="-105" w:leftChars="-50" w:right="-105" w:rightChars="-50"/>
                    <w:jc w:val="center"/>
                    <w:rPr>
                      <w:rFonts w:ascii="Times New Roman" w:hAnsi="Times New Roman" w:eastAsia="宋体" w:cs="Times New Roman"/>
                      <w:szCs w:val="21"/>
                    </w:rPr>
                  </w:pPr>
                </w:p>
              </w:tc>
              <w:tc>
                <w:tcPr>
                  <w:tcW w:w="709" w:type="dxa"/>
                  <w:vMerge w:val="continue"/>
                  <w:vAlign w:val="center"/>
                </w:tcPr>
                <w:p>
                  <w:pPr>
                    <w:ind w:left="-105" w:leftChars="-50" w:right="-105" w:rightChars="-50"/>
                    <w:jc w:val="center"/>
                    <w:rPr>
                      <w:rFonts w:ascii="Times New Roman" w:hAnsi="Times New Roman" w:eastAsia="宋体" w:cs="Times New Roman"/>
                      <w:szCs w:val="21"/>
                    </w:rPr>
                  </w:pPr>
                </w:p>
              </w:tc>
              <w:tc>
                <w:tcPr>
                  <w:tcW w:w="471" w:type="dxa"/>
                  <w:vMerge w:val="continue"/>
                  <w:vAlign w:val="center"/>
                </w:tcPr>
                <w:p>
                  <w:pPr>
                    <w:ind w:left="-105" w:leftChars="-50" w:right="-105" w:rightChars="-50"/>
                    <w:jc w:val="center"/>
                    <w:rPr>
                      <w:rFonts w:ascii="Times New Roman" w:hAnsi="Times New Roman" w:eastAsia="宋体" w:cs="Times New Roman"/>
                      <w:szCs w:val="21"/>
                    </w:rPr>
                  </w:pPr>
                </w:p>
              </w:tc>
              <w:tc>
                <w:tcPr>
                  <w:tcW w:w="336" w:type="dxa"/>
                  <w:vMerge w:val="continue"/>
                  <w:vAlign w:val="center"/>
                </w:tcPr>
                <w:p>
                  <w:pPr>
                    <w:ind w:left="-105" w:leftChars="-50" w:right="-105" w:rightChars="-5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296"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1</w:t>
                  </w:r>
                </w:p>
              </w:tc>
              <w:tc>
                <w:tcPr>
                  <w:tcW w:w="571" w:type="dxa"/>
                  <w:vAlign w:val="center"/>
                </w:tcPr>
                <w:p>
                  <w:pPr>
                    <w:ind w:left="-210" w:leftChars="-100" w:right="-210" w:rightChars="-100"/>
                    <w:jc w:val="center"/>
                    <w:rPr>
                      <w:rFonts w:ascii="Times New Roman" w:hAnsi="Times New Roman" w:eastAsia="宋体" w:cs="Times New Roman"/>
                      <w:szCs w:val="21"/>
                    </w:rPr>
                  </w:pPr>
                  <w:r>
                    <w:rPr>
                      <w:rFonts w:ascii="Times New Roman" w:hAnsi="Times New Roman" w:eastAsia="宋体" w:cs="Times New Roman"/>
                      <w:szCs w:val="21"/>
                    </w:rPr>
                    <w:t>熔炼</w:t>
                  </w:r>
                </w:p>
              </w:tc>
              <w:tc>
                <w:tcPr>
                  <w:tcW w:w="571"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熔炼炉</w:t>
                  </w:r>
                </w:p>
              </w:tc>
              <w:tc>
                <w:tcPr>
                  <w:tcW w:w="572"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熔炼废气</w:t>
                  </w:r>
                </w:p>
              </w:tc>
              <w:tc>
                <w:tcPr>
                  <w:tcW w:w="573"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颗粒物、SO</w:t>
                  </w:r>
                  <w:r>
                    <w:rPr>
                      <w:rFonts w:ascii="Times New Roman" w:hAnsi="Times New Roman" w:eastAsia="宋体" w:cs="Times New Roman"/>
                      <w:szCs w:val="21"/>
                      <w:vertAlign w:val="subscript"/>
                    </w:rPr>
                    <w:t>2</w:t>
                  </w: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574"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有组织</w:t>
                  </w:r>
                </w:p>
              </w:tc>
              <w:tc>
                <w:tcPr>
                  <w:tcW w:w="622"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TA001</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高温布袋除尘器</w:t>
                  </w: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过滤</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6000</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是</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DA001</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1#废气排放口</w:t>
                  </w:r>
                </w:p>
              </w:tc>
              <w:tc>
                <w:tcPr>
                  <w:tcW w:w="471"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一般排放口</w:t>
                  </w:r>
                </w:p>
              </w:tc>
              <w:tc>
                <w:tcPr>
                  <w:tcW w:w="336"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296"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571"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压铸</w:t>
                  </w:r>
                </w:p>
              </w:tc>
              <w:tc>
                <w:tcPr>
                  <w:tcW w:w="571"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压铸机</w:t>
                  </w:r>
                </w:p>
              </w:tc>
              <w:tc>
                <w:tcPr>
                  <w:tcW w:w="572"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压铸废气</w:t>
                  </w:r>
                </w:p>
              </w:tc>
              <w:tc>
                <w:tcPr>
                  <w:tcW w:w="573"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非甲烷总烃、油雾</w:t>
                  </w:r>
                </w:p>
              </w:tc>
              <w:tc>
                <w:tcPr>
                  <w:tcW w:w="574"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有组织</w:t>
                  </w:r>
                </w:p>
              </w:tc>
              <w:tc>
                <w:tcPr>
                  <w:tcW w:w="622"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TA002</w:t>
                  </w: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静电净化设备</w:t>
                  </w: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过滤</w:t>
                  </w: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000</w:t>
                  </w: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是</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DA002</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2#废气排放口</w:t>
                  </w:r>
                </w:p>
              </w:tc>
              <w:tc>
                <w:tcPr>
                  <w:tcW w:w="471"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一般排放口</w:t>
                  </w:r>
                </w:p>
              </w:tc>
              <w:tc>
                <w:tcPr>
                  <w:tcW w:w="336"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296"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3</w:t>
                  </w:r>
                </w:p>
              </w:tc>
              <w:tc>
                <w:tcPr>
                  <w:tcW w:w="571"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抛丸</w:t>
                  </w:r>
                </w:p>
              </w:tc>
              <w:tc>
                <w:tcPr>
                  <w:tcW w:w="571"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抛丸机</w:t>
                  </w:r>
                </w:p>
              </w:tc>
              <w:tc>
                <w:tcPr>
                  <w:tcW w:w="572"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抛丸粉尘</w:t>
                  </w:r>
                </w:p>
              </w:tc>
              <w:tc>
                <w:tcPr>
                  <w:tcW w:w="573"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574"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有组织</w:t>
                  </w:r>
                </w:p>
              </w:tc>
              <w:tc>
                <w:tcPr>
                  <w:tcW w:w="622"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TA003</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布袋除尘器</w:t>
                  </w: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过滤</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12000</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是</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DA003</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3#废气排放口</w:t>
                  </w:r>
                </w:p>
              </w:tc>
              <w:tc>
                <w:tcPr>
                  <w:tcW w:w="471"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一般排放口</w:t>
                  </w:r>
                </w:p>
              </w:tc>
              <w:tc>
                <w:tcPr>
                  <w:tcW w:w="336"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296"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571"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打磨</w:t>
                  </w:r>
                </w:p>
              </w:tc>
              <w:tc>
                <w:tcPr>
                  <w:tcW w:w="571"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打磨机</w:t>
                  </w:r>
                </w:p>
              </w:tc>
              <w:tc>
                <w:tcPr>
                  <w:tcW w:w="572"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打磨粉尘</w:t>
                  </w:r>
                </w:p>
              </w:tc>
              <w:tc>
                <w:tcPr>
                  <w:tcW w:w="573"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574"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有组织</w:t>
                  </w:r>
                </w:p>
              </w:tc>
              <w:tc>
                <w:tcPr>
                  <w:tcW w:w="622"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TA004</w:t>
                  </w:r>
                </w:p>
              </w:tc>
              <w:tc>
                <w:tcPr>
                  <w:tcW w:w="567"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布袋除尘器</w:t>
                  </w: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过滤</w:t>
                  </w:r>
                </w:p>
              </w:tc>
              <w:tc>
                <w:tcPr>
                  <w:tcW w:w="567" w:type="dxa"/>
                  <w:vAlign w:val="center"/>
                </w:tcPr>
                <w:p>
                  <w:pPr>
                    <w:ind w:left="-105" w:leftChars="-50" w:right="-105" w:rightChars="-50"/>
                    <w:jc w:val="center"/>
                    <w:rPr>
                      <w:rFonts w:ascii="Times New Roman" w:hAnsi="Times New Roman" w:eastAsia="宋体" w:cs="Times New Roman"/>
                      <w:szCs w:val="21"/>
                    </w:rPr>
                  </w:pPr>
                </w:p>
              </w:tc>
              <w:tc>
                <w:tcPr>
                  <w:tcW w:w="567"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是</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DA004</w:t>
                  </w:r>
                </w:p>
              </w:tc>
              <w:tc>
                <w:tcPr>
                  <w:tcW w:w="70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4#废气排放口</w:t>
                  </w:r>
                </w:p>
              </w:tc>
              <w:tc>
                <w:tcPr>
                  <w:tcW w:w="471"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一般排放口</w:t>
                  </w:r>
                </w:p>
              </w:tc>
              <w:tc>
                <w:tcPr>
                  <w:tcW w:w="336" w:type="dxa"/>
                  <w:vAlign w:val="center"/>
                </w:tcPr>
                <w:p>
                  <w:pPr>
                    <w:ind w:left="-105" w:leftChars="-50" w:right="-105" w:rightChars="-5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（2）废水</w:t>
            </w:r>
          </w:p>
          <w:p>
            <w:pPr>
              <w:spacing w:line="360" w:lineRule="auto"/>
              <w:ind w:firstLine="480" w:firstLineChars="200"/>
              <w:outlineLvl w:val="1"/>
              <w:rPr>
                <w:rFonts w:ascii="Times New Roman" w:hAnsi="Times New Roman" w:eastAsia="宋体" w:cs="Times New Roman"/>
                <w:bCs/>
                <w:sz w:val="24"/>
                <w:szCs w:val="24"/>
              </w:rPr>
            </w:pPr>
            <w:r>
              <w:rPr>
                <w:rFonts w:ascii="Times New Roman" w:hAnsi="Times New Roman" w:eastAsia="宋体" w:cs="Times New Roman"/>
                <w:kern w:val="0"/>
                <w:sz w:val="24"/>
                <w:szCs w:val="24"/>
              </w:rPr>
              <w:t>本项目</w:t>
            </w:r>
            <w:r>
              <w:rPr>
                <w:rFonts w:ascii="Times New Roman" w:hAnsi="Times New Roman" w:eastAsia="宋体" w:cs="Times New Roman"/>
                <w:bCs/>
                <w:sz w:val="24"/>
                <w:szCs w:val="24"/>
              </w:rPr>
              <w:t>办公生活污水进入</w:t>
            </w:r>
            <w:r>
              <w:rPr>
                <w:rFonts w:hint="eastAsia" w:ascii="Times New Roman" w:hAnsi="Times New Roman" w:eastAsia="宋体" w:cs="Times New Roman"/>
                <w:bCs/>
                <w:sz w:val="24"/>
                <w:szCs w:val="24"/>
              </w:rPr>
              <w:t>现有</w:t>
            </w:r>
            <w:r>
              <w:rPr>
                <w:rFonts w:ascii="Times New Roman" w:hAnsi="Times New Roman" w:eastAsia="宋体" w:cs="Times New Roman"/>
                <w:bCs/>
                <w:sz w:val="24"/>
                <w:szCs w:val="24"/>
              </w:rPr>
              <w:t>生化池处理后作为农肥使用，不外排。</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（3）噪声</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本项目营运期噪声以生产设备为主，主要包括压铸机、抛丸机、空压机、加工中心等，噪声值在75~90dB（A）之间，主要噪声源强情况见下表。</w:t>
            </w:r>
          </w:p>
          <w:p>
            <w:pPr>
              <w:autoSpaceDE w:val="0"/>
              <w:autoSpaceDN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表2.4-2  主要设备噪声源强一览表  单位：dB（A）</w:t>
            </w:r>
          </w:p>
          <w:tbl>
            <w:tblPr>
              <w:tblStyle w:val="18"/>
              <w:tblW w:w="80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404"/>
              <w:gridCol w:w="841"/>
              <w:gridCol w:w="841"/>
              <w:gridCol w:w="841"/>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412"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噪声源</w:t>
                  </w:r>
                </w:p>
              </w:tc>
              <w:tc>
                <w:tcPr>
                  <w:tcW w:w="1404"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距声源1m噪声级</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设备数量</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设备布置</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运行情况</w:t>
                  </w:r>
                </w:p>
              </w:tc>
              <w:tc>
                <w:tcPr>
                  <w:tcW w:w="273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1412"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空压机</w:t>
                  </w:r>
                </w:p>
              </w:tc>
              <w:tc>
                <w:tcPr>
                  <w:tcW w:w="1404" w:type="dxa"/>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90</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w:t>
                  </w:r>
                </w:p>
              </w:tc>
              <w:tc>
                <w:tcPr>
                  <w:tcW w:w="841" w:type="dxa"/>
                  <w:vMerge w:val="restart"/>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生产厂房内</w:t>
                  </w:r>
                </w:p>
              </w:tc>
              <w:tc>
                <w:tcPr>
                  <w:tcW w:w="841" w:type="dxa"/>
                  <w:vMerge w:val="restart"/>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间歇</w:t>
                  </w:r>
                </w:p>
              </w:tc>
              <w:tc>
                <w:tcPr>
                  <w:tcW w:w="2731" w:type="dxa"/>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bCs/>
                      <w:kern w:val="0"/>
                      <w:szCs w:val="21"/>
                      <w:lang w:bidi="ar"/>
                    </w:rPr>
                    <w:t>基础减震、建筑隔声、设置独立房间隔声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412"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压铸机</w:t>
                  </w:r>
                </w:p>
              </w:tc>
              <w:tc>
                <w:tcPr>
                  <w:tcW w:w="1404" w:type="dxa"/>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80</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w:t>
                  </w: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2731" w:type="dxa"/>
                  <w:vAlign w:val="center"/>
                </w:tcPr>
                <w:p>
                  <w:pPr>
                    <w:spacing w:line="240" w:lineRule="atLeast"/>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基础减震、建筑隔声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412"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抛丸机</w:t>
                  </w:r>
                </w:p>
              </w:tc>
              <w:tc>
                <w:tcPr>
                  <w:tcW w:w="1404" w:type="dxa"/>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85</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w:t>
                  </w: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2731" w:type="dxa"/>
                  <w:vAlign w:val="center"/>
                </w:tcPr>
                <w:p>
                  <w:pPr>
                    <w:spacing w:line="240" w:lineRule="atLeast"/>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基础减震、建筑隔声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412"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加工中心</w:t>
                  </w:r>
                </w:p>
              </w:tc>
              <w:tc>
                <w:tcPr>
                  <w:tcW w:w="1404" w:type="dxa"/>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80</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4</w:t>
                  </w: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2731" w:type="dxa"/>
                  <w:vAlign w:val="center"/>
                </w:tcPr>
                <w:p>
                  <w:pPr>
                    <w:spacing w:line="240" w:lineRule="atLeast"/>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基础减震、建筑隔声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412"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风机</w:t>
                  </w:r>
                </w:p>
              </w:tc>
              <w:tc>
                <w:tcPr>
                  <w:tcW w:w="1404" w:type="dxa"/>
                  <w:vAlign w:val="center"/>
                </w:tcPr>
                <w:p>
                  <w:pPr>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75</w:t>
                  </w:r>
                </w:p>
              </w:tc>
              <w:tc>
                <w:tcPr>
                  <w:tcW w:w="841" w:type="dxa"/>
                  <w:vAlign w:val="center"/>
                </w:tcPr>
                <w:p>
                  <w:pPr>
                    <w:widowControl/>
                    <w:spacing w:line="240" w:lineRule="atLeast"/>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3</w:t>
                  </w: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841" w:type="dxa"/>
                  <w:vMerge w:val="continue"/>
                  <w:vAlign w:val="center"/>
                </w:tcPr>
                <w:p>
                  <w:pPr>
                    <w:spacing w:line="240" w:lineRule="atLeast"/>
                    <w:jc w:val="center"/>
                    <w:textAlignment w:val="center"/>
                    <w:rPr>
                      <w:rFonts w:ascii="Times New Roman" w:hAnsi="Times New Roman" w:eastAsia="宋体" w:cs="Times New Roman"/>
                      <w:kern w:val="0"/>
                      <w:szCs w:val="21"/>
                      <w:lang w:bidi="ar"/>
                    </w:rPr>
                  </w:pPr>
                </w:p>
              </w:tc>
              <w:tc>
                <w:tcPr>
                  <w:tcW w:w="2731" w:type="dxa"/>
                  <w:vAlign w:val="center"/>
                </w:tcPr>
                <w:p>
                  <w:pPr>
                    <w:spacing w:line="240" w:lineRule="atLeast"/>
                    <w:jc w:val="center"/>
                    <w:textAlignment w:val="center"/>
                    <w:rPr>
                      <w:rFonts w:ascii="Times New Roman" w:hAnsi="Times New Roman" w:eastAsia="宋体" w:cs="Times New Roman"/>
                      <w:bCs/>
                      <w:kern w:val="0"/>
                      <w:szCs w:val="21"/>
                      <w:lang w:bidi="ar"/>
                    </w:rPr>
                  </w:pPr>
                  <w:r>
                    <w:rPr>
                      <w:rFonts w:ascii="Times New Roman" w:hAnsi="Times New Roman" w:eastAsia="宋体" w:cs="Times New Roman"/>
                      <w:bCs/>
                      <w:kern w:val="0"/>
                      <w:szCs w:val="21"/>
                      <w:lang w:bidi="ar"/>
                    </w:rPr>
                    <w:t>基础减震、建筑隔声</w:t>
                  </w:r>
                </w:p>
              </w:tc>
            </w:tr>
          </w:tbl>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（4）固体废物</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1）一般工业固废：废边角料、不合格产品、废包装材料、废钢丸等。</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2）危险废物：废铝渣/铝灰、废切削液、废机油、浮油/渣等。</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3）生活垃圾。</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03"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与项目有关的原有环境污染问题</w:t>
            </w:r>
          </w:p>
        </w:tc>
        <w:tc>
          <w:tcPr>
            <w:tcW w:w="8363" w:type="dxa"/>
          </w:tcPr>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2.5与本项目有关的原有污染情况及主要环境问题</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位于重庆市铜梁区虎峰镇石岭村5社12号，根据现场调查，场区环境较简单。项目租赁重庆市铜梁区钢隆纸业有限公司闲置纸品库房，地块为工业用地，东侧为小安溪河。重庆市铜梁区钢隆纸业有限公司（前身为铜梁县建峰造纸厂，已取得环评验收批复，最终更名为重庆市铜梁区钢隆纸业有限公司）环保手续齐全，2002年6月2日取得重庆市建设项目环境保护批准书，2007年10月24日取得重庆市建设项目竣工环境保护验收意见，2020年6月5日取得排污许可证（证书编号为915002246990886257001P）。目前，重庆市铜梁区钢隆纸业有限公司处于全面停产状态，本项目租用其中</w:t>
            </w:r>
            <w:r>
              <w:rPr>
                <w:rFonts w:hint="eastAsia" w:ascii="Times New Roman" w:hAnsi="Times New Roman" w:eastAsia="宋体" w:cs="Times New Roman"/>
                <w:kern w:val="0"/>
                <w:sz w:val="24"/>
                <w:szCs w:val="24"/>
              </w:rPr>
              <w:t>部分</w:t>
            </w:r>
            <w:r>
              <w:rPr>
                <w:rFonts w:ascii="Times New Roman" w:hAnsi="Times New Roman" w:eastAsia="宋体" w:cs="Times New Roman"/>
                <w:kern w:val="0"/>
                <w:sz w:val="24"/>
                <w:szCs w:val="24"/>
              </w:rPr>
              <w:t>空置厂房进行生产</w:t>
            </w:r>
            <w:r>
              <w:rPr>
                <w:rFonts w:hint="eastAsia" w:ascii="Times New Roman" w:hAnsi="Times New Roman" w:eastAsia="宋体" w:cs="Times New Roman"/>
                <w:kern w:val="0"/>
                <w:sz w:val="24"/>
                <w:szCs w:val="24"/>
              </w:rPr>
              <w:t>，周边邻近有</w:t>
            </w:r>
            <w:r>
              <w:rPr>
                <w:rFonts w:ascii="Times New Roman" w:hAnsi="Times New Roman" w:eastAsia="宋体" w:cs="Times New Roman"/>
                <w:kern w:val="0"/>
                <w:sz w:val="24"/>
                <w:szCs w:val="24"/>
              </w:rPr>
              <w:t>重庆圣航机械有限公司</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重庆赛达机械有限公司</w:t>
            </w:r>
            <w:r>
              <w:rPr>
                <w:rFonts w:hint="eastAsia" w:ascii="Times New Roman" w:hAnsi="Times New Roman" w:eastAsia="宋体" w:cs="Times New Roman"/>
                <w:kern w:val="0"/>
                <w:sz w:val="24"/>
                <w:szCs w:val="24"/>
              </w:rPr>
              <w:t>等企业租赁了钢隆纸业公司其他部分厂房，均属于工业企业。</w:t>
            </w:r>
          </w:p>
        </w:tc>
      </w:tr>
    </w:tbl>
    <w:p>
      <w:pPr>
        <w:widowControl/>
        <w:jc w:val="left"/>
        <w:rPr>
          <w:rFonts w:ascii="Times New Roman" w:hAnsi="Times New Roman" w:cs="Times New Roman"/>
        </w:rPr>
      </w:pPr>
      <w:r>
        <w:rPr>
          <w:rFonts w:ascii="Times New Roman" w:hAnsi="Times New Roman" w:cs="Times New Roman"/>
        </w:rPr>
        <w:br w:type="page"/>
      </w:r>
    </w:p>
    <w:p>
      <w:pPr>
        <w:jc w:val="center"/>
        <w:rPr>
          <w:rFonts w:ascii="Times New Roman" w:hAnsi="Times New Roman" w:eastAsia="黑体" w:cs="Times New Roman"/>
          <w:sz w:val="30"/>
          <w:szCs w:val="30"/>
        </w:rPr>
      </w:pPr>
      <w:r>
        <w:rPr>
          <w:rFonts w:ascii="Times New Roman" w:hAnsi="Times New Roman" w:eastAsia="黑体" w:cs="Times New Roman"/>
          <w:sz w:val="30"/>
          <w:szCs w:val="30"/>
        </w:rPr>
        <w:t>三、区域环境质量现状、环境保护目标及评价标准</w:t>
      </w:r>
    </w:p>
    <w:tbl>
      <w:tblPr>
        <w:tblStyle w:val="18"/>
        <w:tblW w:w="9062" w:type="dxa"/>
        <w:jc w:val="center"/>
        <w:tblInd w:w="0" w:type="dxa"/>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区域环境质量现状</w:t>
            </w:r>
          </w:p>
        </w:tc>
        <w:tc>
          <w:tcPr>
            <w:tcW w:w="8363" w:type="dxa"/>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3.1 环境质量标准</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（1）环境空气</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根据《重庆市人民政府关于印发重庆市环境空气质量功能区划分规定的通知》（渝府发[2016]19号），本项目所在区域属环境空气质量二类区，SO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10</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2.5</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、CO执行《环境空气质量标准》（GB3095-2012），非甲烷总烃执行河北省地标《环境空气质量 非甲烷总烃限值》（DB13/1577-2012）二级标准，标准值见表3.1-1。</w:t>
            </w:r>
          </w:p>
          <w:p>
            <w:pPr>
              <w:autoSpaceDE w:val="0"/>
              <w:autoSpaceDN w:val="0"/>
              <w:adjustRightInd w:val="0"/>
              <w:snapToGrid w:val="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表3.1-1  环境空气质量标准</w:t>
            </w:r>
          </w:p>
          <w:tbl>
            <w:tblPr>
              <w:tblStyle w:val="18"/>
              <w:tblpPr w:leftFromText="180" w:rightFromText="180" w:vertAnchor="text" w:tblpXSpec="center" w:tblpY="1"/>
              <w:tblOverlap w:val="never"/>
              <w:tblW w:w="7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984"/>
              <w:gridCol w:w="212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级（类）别</w:t>
                  </w: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取值时间</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Merge w:val="restart"/>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《环境空气质量标准》(GB3095-2012)二级标准</w:t>
                  </w: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年均值</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0.06mg/m</w:t>
                  </w:r>
                  <w:r>
                    <w:rPr>
                      <w:rFonts w:ascii="Times New Roman" w:hAnsi="Times New Roman" w:eastAsia="宋体"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Merge w:val="continue"/>
                  <w:vAlign w:val="center"/>
                </w:tcPr>
                <w:p>
                  <w:pPr>
                    <w:widowControl/>
                    <w:adjustRightInd w:val="0"/>
                    <w:snapToGrid w:val="0"/>
                    <w:jc w:val="center"/>
                    <w:rPr>
                      <w:rFonts w:ascii="Times New Roman" w:hAnsi="Times New Roman" w:eastAsia="宋体" w:cs="Times New Roman"/>
                      <w:szCs w:val="21"/>
                    </w:rPr>
                  </w:pP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2</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年均值</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0.04mg/m</w:t>
                  </w:r>
                  <w:r>
                    <w:rPr>
                      <w:rFonts w:ascii="Times New Roman" w:hAnsi="Times New Roman" w:eastAsia="宋体"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Merge w:val="continue"/>
                  <w:vAlign w:val="center"/>
                </w:tcPr>
                <w:p>
                  <w:pPr>
                    <w:widowControl/>
                    <w:adjustRightInd w:val="0"/>
                    <w:snapToGrid w:val="0"/>
                    <w:jc w:val="center"/>
                    <w:rPr>
                      <w:rFonts w:ascii="Times New Roman" w:hAnsi="Times New Roman" w:eastAsia="宋体" w:cs="Times New Roman"/>
                      <w:szCs w:val="21"/>
                    </w:rPr>
                  </w:pP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年均值</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Merge w:val="continue"/>
                  <w:vAlign w:val="center"/>
                </w:tcPr>
                <w:p>
                  <w:pPr>
                    <w:widowControl/>
                    <w:adjustRightInd w:val="0"/>
                    <w:snapToGrid w:val="0"/>
                    <w:jc w:val="center"/>
                    <w:rPr>
                      <w:rFonts w:ascii="Times New Roman" w:hAnsi="Times New Roman" w:eastAsia="宋体" w:cs="Times New Roman"/>
                      <w:szCs w:val="21"/>
                    </w:rPr>
                  </w:pP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2.5</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年均值</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0.035mg/m</w:t>
                  </w:r>
                  <w:r>
                    <w:rPr>
                      <w:rFonts w:ascii="Times New Roman" w:hAnsi="Times New Roman" w:eastAsia="宋体"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Merge w:val="continue"/>
                  <w:vAlign w:val="center"/>
                </w:tcPr>
                <w:p>
                  <w:pPr>
                    <w:widowControl/>
                    <w:adjustRightInd w:val="0"/>
                    <w:snapToGrid w:val="0"/>
                    <w:jc w:val="center"/>
                    <w:rPr>
                      <w:rFonts w:ascii="Times New Roman" w:hAnsi="Times New Roman" w:eastAsia="宋体" w:cs="Times New Roman"/>
                      <w:szCs w:val="21"/>
                    </w:rPr>
                  </w:pP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3</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日最大8小时平均</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0.16mg/m</w:t>
                  </w:r>
                  <w:r>
                    <w:rPr>
                      <w:rFonts w:ascii="Times New Roman" w:hAnsi="Times New Roman" w:eastAsia="宋体"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Merge w:val="continue"/>
                  <w:vAlign w:val="center"/>
                </w:tcPr>
                <w:p>
                  <w:pPr>
                    <w:widowControl/>
                    <w:adjustRightInd w:val="0"/>
                    <w:snapToGrid w:val="0"/>
                    <w:jc w:val="center"/>
                    <w:rPr>
                      <w:rFonts w:ascii="Times New Roman" w:hAnsi="Times New Roman" w:eastAsia="宋体" w:cs="Times New Roman"/>
                      <w:szCs w:val="21"/>
                    </w:rPr>
                  </w:pP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日均值</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4.0mg/m</w:t>
                  </w:r>
                  <w:r>
                    <w:rPr>
                      <w:rFonts w:ascii="Times New Roman" w:hAnsi="Times New Roman" w:eastAsia="宋体"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trPr>
              <w:tc>
                <w:tcPr>
                  <w:tcW w:w="2122"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《环境空气质量 非甲烷总烃限值》（DB13/1577-2012）</w:t>
                  </w:r>
                </w:p>
              </w:tc>
              <w:tc>
                <w:tcPr>
                  <w:tcW w:w="1984"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2126"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1小时平均</w:t>
                  </w:r>
                </w:p>
              </w:tc>
              <w:tc>
                <w:tcPr>
                  <w:tcW w:w="1649"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2.0mg/m</w:t>
                  </w:r>
                  <w:r>
                    <w:rPr>
                      <w:rFonts w:ascii="Times New Roman" w:hAnsi="Times New Roman" w:eastAsia="宋体" w:cs="Times New Roman"/>
                      <w:szCs w:val="21"/>
                      <w:vertAlign w:val="superscript"/>
                    </w:rPr>
                    <w:t>3</w:t>
                  </w:r>
                </w:p>
              </w:tc>
            </w:tr>
          </w:tbl>
          <w:p>
            <w:pPr>
              <w:autoSpaceDE w:val="0"/>
              <w:autoSpaceDN w:val="0"/>
              <w:adjustRightInd w:val="0"/>
              <w:snapToGrid w:val="0"/>
              <w:spacing w:before="156" w:beforeLines="50"/>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（2）地表水环境</w:t>
            </w:r>
          </w:p>
          <w:p>
            <w:pPr>
              <w:autoSpaceDE w:val="0"/>
              <w:autoSpaceDN w:val="0"/>
              <w:adjustRightInd w:val="0"/>
              <w:snapToGrid w:val="0"/>
              <w:spacing w:before="156" w:beforeLines="50"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拟建项目废水的最终受纳水体为小安溪河，根据《重庆市人民政府批转重庆市地表水环境功能类别调整方案的通知》（渝环发[2012]4号），小安溪河铜梁河段执行Ⅲ类水域标准，标准值详见表3.1-2。</w:t>
            </w:r>
          </w:p>
          <w:p>
            <w:pPr>
              <w:autoSpaceDE w:val="0"/>
              <w:autoSpaceDN w:val="0"/>
              <w:adjustRightInd w:val="0"/>
              <w:snapToGrid w:val="0"/>
              <w:spacing w:before="156" w:beforeLines="5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表3.1-2  地表水环境质量标准  单位：mg/L</w:t>
            </w:r>
          </w:p>
          <w:tbl>
            <w:tblPr>
              <w:tblStyle w:val="18"/>
              <w:tblW w:w="77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988"/>
              <w:gridCol w:w="4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970" w:type="dxa"/>
                  <w:vMerge w:val="restart"/>
                  <w:shd w:val="clear" w:color="auto" w:fill="auto"/>
                  <w:vAlign w:val="center"/>
                </w:tcPr>
                <w:p>
                  <w:pPr>
                    <w:pStyle w:val="26"/>
                    <w:spacing w:line="240" w:lineRule="auto"/>
                    <w:rPr>
                      <w:kern w:val="2"/>
                      <w:sz w:val="21"/>
                    </w:rPr>
                  </w:pPr>
                  <w:r>
                    <w:rPr>
                      <w:kern w:val="2"/>
                      <w:sz w:val="21"/>
                    </w:rPr>
                    <w:t>序号</w:t>
                  </w:r>
                </w:p>
              </w:tc>
              <w:tc>
                <w:tcPr>
                  <w:tcW w:w="1988" w:type="dxa"/>
                  <w:vMerge w:val="restart"/>
                  <w:shd w:val="clear" w:color="auto" w:fill="auto"/>
                  <w:vAlign w:val="center"/>
                </w:tcPr>
                <w:p>
                  <w:pPr>
                    <w:pStyle w:val="26"/>
                    <w:spacing w:line="240" w:lineRule="auto"/>
                    <w:rPr>
                      <w:kern w:val="2"/>
                      <w:sz w:val="21"/>
                    </w:rPr>
                  </w:pPr>
                  <w:r>
                    <w:rPr>
                      <w:kern w:val="2"/>
                      <w:sz w:val="21"/>
                    </w:rPr>
                    <w:t>项目</w:t>
                  </w:r>
                </w:p>
              </w:tc>
              <w:tc>
                <w:tcPr>
                  <w:tcW w:w="4748" w:type="dxa"/>
                  <w:shd w:val="clear" w:color="auto" w:fill="auto"/>
                  <w:vAlign w:val="center"/>
                </w:tcPr>
                <w:p>
                  <w:pPr>
                    <w:pStyle w:val="26"/>
                    <w:spacing w:line="240" w:lineRule="auto"/>
                    <w:rPr>
                      <w:kern w:val="2"/>
                      <w:sz w:val="21"/>
                    </w:rPr>
                  </w:pPr>
                  <w:r>
                    <w:rPr>
                      <w:kern w:val="2"/>
                      <w:sz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970" w:type="dxa"/>
                  <w:vMerge w:val="continue"/>
                  <w:shd w:val="clear" w:color="auto" w:fill="auto"/>
                  <w:vAlign w:val="center"/>
                </w:tcPr>
                <w:p>
                  <w:pPr>
                    <w:widowControl/>
                    <w:jc w:val="center"/>
                    <w:rPr>
                      <w:rFonts w:ascii="Times New Roman" w:hAnsi="Times New Roman" w:eastAsia="宋体" w:cs="Times New Roman"/>
                      <w:szCs w:val="21"/>
                    </w:rPr>
                  </w:pPr>
                </w:p>
              </w:tc>
              <w:tc>
                <w:tcPr>
                  <w:tcW w:w="1988" w:type="dxa"/>
                  <w:vMerge w:val="continue"/>
                  <w:shd w:val="clear" w:color="auto" w:fill="auto"/>
                  <w:vAlign w:val="center"/>
                </w:tcPr>
                <w:p>
                  <w:pPr>
                    <w:widowControl/>
                    <w:jc w:val="center"/>
                    <w:rPr>
                      <w:rFonts w:ascii="Times New Roman" w:hAnsi="Times New Roman" w:eastAsia="宋体" w:cs="Times New Roman"/>
                      <w:szCs w:val="21"/>
                    </w:rPr>
                  </w:pPr>
                </w:p>
              </w:tc>
              <w:tc>
                <w:tcPr>
                  <w:tcW w:w="4748" w:type="dxa"/>
                  <w:shd w:val="clear" w:color="auto" w:fill="auto"/>
                  <w:vAlign w:val="center"/>
                </w:tcPr>
                <w:p>
                  <w:pPr>
                    <w:pStyle w:val="26"/>
                    <w:spacing w:line="240" w:lineRule="auto"/>
                    <w:rPr>
                      <w:kern w:val="2"/>
                      <w:sz w:val="21"/>
                    </w:rPr>
                  </w:pPr>
                  <w:r>
                    <w:rPr>
                      <w:kern w:val="2"/>
                      <w:sz w:val="21"/>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970" w:type="dxa"/>
                  <w:shd w:val="clear" w:color="auto" w:fill="auto"/>
                  <w:vAlign w:val="center"/>
                </w:tcPr>
                <w:p>
                  <w:pPr>
                    <w:pStyle w:val="26"/>
                    <w:spacing w:line="240" w:lineRule="auto"/>
                    <w:rPr>
                      <w:kern w:val="2"/>
                      <w:sz w:val="21"/>
                    </w:rPr>
                  </w:pPr>
                  <w:r>
                    <w:rPr>
                      <w:kern w:val="2"/>
                      <w:sz w:val="21"/>
                    </w:rPr>
                    <w:t>1</w:t>
                  </w:r>
                </w:p>
              </w:tc>
              <w:tc>
                <w:tcPr>
                  <w:tcW w:w="1988" w:type="dxa"/>
                  <w:shd w:val="clear" w:color="auto" w:fill="auto"/>
                  <w:vAlign w:val="center"/>
                </w:tcPr>
                <w:p>
                  <w:pPr>
                    <w:pStyle w:val="26"/>
                    <w:spacing w:line="240" w:lineRule="auto"/>
                    <w:rPr>
                      <w:kern w:val="2"/>
                      <w:sz w:val="21"/>
                    </w:rPr>
                  </w:pPr>
                  <w:r>
                    <w:rPr>
                      <w:kern w:val="2"/>
                      <w:sz w:val="21"/>
                    </w:rPr>
                    <w:t>pH</w:t>
                  </w:r>
                </w:p>
              </w:tc>
              <w:tc>
                <w:tcPr>
                  <w:tcW w:w="4748" w:type="dxa"/>
                  <w:shd w:val="clear" w:color="auto" w:fill="auto"/>
                  <w:vAlign w:val="center"/>
                </w:tcPr>
                <w:p>
                  <w:pPr>
                    <w:pStyle w:val="26"/>
                    <w:spacing w:line="240" w:lineRule="auto"/>
                    <w:rPr>
                      <w:kern w:val="2"/>
                      <w:sz w:val="21"/>
                    </w:rPr>
                  </w:pPr>
                  <w:r>
                    <w:rPr>
                      <w:kern w:val="2"/>
                      <w:sz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970" w:type="dxa"/>
                  <w:shd w:val="clear" w:color="auto" w:fill="auto"/>
                  <w:vAlign w:val="center"/>
                </w:tcPr>
                <w:p>
                  <w:pPr>
                    <w:pStyle w:val="26"/>
                    <w:spacing w:line="240" w:lineRule="auto"/>
                    <w:rPr>
                      <w:kern w:val="2"/>
                      <w:sz w:val="21"/>
                    </w:rPr>
                  </w:pPr>
                  <w:r>
                    <w:rPr>
                      <w:kern w:val="2"/>
                      <w:sz w:val="21"/>
                    </w:rPr>
                    <w:t>2</w:t>
                  </w:r>
                </w:p>
              </w:tc>
              <w:tc>
                <w:tcPr>
                  <w:tcW w:w="1988" w:type="dxa"/>
                  <w:shd w:val="clear" w:color="auto" w:fill="auto"/>
                  <w:vAlign w:val="center"/>
                </w:tcPr>
                <w:p>
                  <w:pPr>
                    <w:pStyle w:val="26"/>
                    <w:spacing w:line="240" w:lineRule="auto"/>
                    <w:rPr>
                      <w:kern w:val="2"/>
                      <w:sz w:val="21"/>
                    </w:rPr>
                  </w:pPr>
                  <w:r>
                    <w:rPr>
                      <w:kern w:val="2"/>
                      <w:sz w:val="21"/>
                    </w:rPr>
                    <w:t>COD</w:t>
                  </w:r>
                </w:p>
              </w:tc>
              <w:tc>
                <w:tcPr>
                  <w:tcW w:w="4748" w:type="dxa"/>
                  <w:shd w:val="clear" w:color="auto" w:fill="auto"/>
                  <w:vAlign w:val="center"/>
                </w:tcPr>
                <w:p>
                  <w:pPr>
                    <w:pStyle w:val="26"/>
                    <w:spacing w:line="240" w:lineRule="auto"/>
                    <w:rPr>
                      <w:kern w:val="2"/>
                      <w:sz w:val="21"/>
                    </w:rPr>
                  </w:pPr>
                  <w:r>
                    <w:rPr>
                      <w:kern w:val="2"/>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970" w:type="dxa"/>
                  <w:shd w:val="clear" w:color="auto" w:fill="auto"/>
                  <w:vAlign w:val="center"/>
                </w:tcPr>
                <w:p>
                  <w:pPr>
                    <w:pStyle w:val="26"/>
                    <w:spacing w:line="240" w:lineRule="auto"/>
                    <w:rPr>
                      <w:kern w:val="2"/>
                      <w:sz w:val="21"/>
                    </w:rPr>
                  </w:pPr>
                  <w:r>
                    <w:rPr>
                      <w:kern w:val="2"/>
                      <w:sz w:val="21"/>
                    </w:rPr>
                    <w:t>3</w:t>
                  </w:r>
                </w:p>
              </w:tc>
              <w:tc>
                <w:tcPr>
                  <w:tcW w:w="1988" w:type="dxa"/>
                  <w:shd w:val="clear" w:color="auto" w:fill="auto"/>
                  <w:vAlign w:val="center"/>
                </w:tcPr>
                <w:p>
                  <w:pPr>
                    <w:pStyle w:val="26"/>
                    <w:spacing w:line="240" w:lineRule="auto"/>
                    <w:rPr>
                      <w:kern w:val="2"/>
                      <w:sz w:val="21"/>
                      <w:vertAlign w:val="subscript"/>
                    </w:rPr>
                  </w:pPr>
                  <w:r>
                    <w:rPr>
                      <w:kern w:val="2"/>
                      <w:sz w:val="21"/>
                    </w:rPr>
                    <w:t>BOD</w:t>
                  </w:r>
                  <w:r>
                    <w:rPr>
                      <w:kern w:val="2"/>
                      <w:sz w:val="21"/>
                      <w:vertAlign w:val="subscript"/>
                    </w:rPr>
                    <w:t>5</w:t>
                  </w:r>
                </w:p>
              </w:tc>
              <w:tc>
                <w:tcPr>
                  <w:tcW w:w="4748" w:type="dxa"/>
                  <w:shd w:val="clear" w:color="auto" w:fill="auto"/>
                  <w:vAlign w:val="center"/>
                </w:tcPr>
                <w:p>
                  <w:pPr>
                    <w:pStyle w:val="26"/>
                    <w:spacing w:line="240" w:lineRule="auto"/>
                    <w:rPr>
                      <w:kern w:val="2"/>
                      <w:sz w:val="21"/>
                    </w:rPr>
                  </w:pPr>
                  <w:r>
                    <w:rPr>
                      <w:kern w:val="2"/>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970" w:type="dxa"/>
                  <w:shd w:val="clear" w:color="auto" w:fill="auto"/>
                  <w:vAlign w:val="center"/>
                </w:tcPr>
                <w:p>
                  <w:pPr>
                    <w:pStyle w:val="26"/>
                    <w:spacing w:line="240" w:lineRule="auto"/>
                    <w:rPr>
                      <w:kern w:val="2"/>
                      <w:sz w:val="21"/>
                    </w:rPr>
                  </w:pPr>
                  <w:r>
                    <w:rPr>
                      <w:kern w:val="2"/>
                      <w:sz w:val="21"/>
                    </w:rPr>
                    <w:t>4</w:t>
                  </w:r>
                </w:p>
              </w:tc>
              <w:tc>
                <w:tcPr>
                  <w:tcW w:w="1988" w:type="dxa"/>
                  <w:shd w:val="clear" w:color="auto" w:fill="auto"/>
                  <w:vAlign w:val="center"/>
                </w:tcPr>
                <w:p>
                  <w:pPr>
                    <w:pStyle w:val="26"/>
                    <w:spacing w:line="240" w:lineRule="auto"/>
                    <w:rPr>
                      <w:kern w:val="2"/>
                      <w:sz w:val="21"/>
                    </w:rPr>
                  </w:pPr>
                  <w:r>
                    <w:rPr>
                      <w:kern w:val="2"/>
                      <w:sz w:val="21"/>
                    </w:rPr>
                    <w:t>石油类</w:t>
                  </w:r>
                </w:p>
              </w:tc>
              <w:tc>
                <w:tcPr>
                  <w:tcW w:w="4748" w:type="dxa"/>
                  <w:shd w:val="clear" w:color="auto" w:fill="auto"/>
                  <w:vAlign w:val="center"/>
                </w:tcPr>
                <w:p>
                  <w:pPr>
                    <w:pStyle w:val="26"/>
                    <w:spacing w:line="240" w:lineRule="auto"/>
                    <w:rPr>
                      <w:kern w:val="2"/>
                      <w:sz w:val="21"/>
                    </w:rPr>
                  </w:pPr>
                  <w:r>
                    <w:rPr>
                      <w:kern w:val="2"/>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970" w:type="dxa"/>
                  <w:shd w:val="clear" w:color="auto" w:fill="auto"/>
                  <w:vAlign w:val="center"/>
                </w:tcPr>
                <w:p>
                  <w:pPr>
                    <w:pStyle w:val="26"/>
                    <w:spacing w:line="240" w:lineRule="auto"/>
                    <w:rPr>
                      <w:kern w:val="2"/>
                      <w:sz w:val="21"/>
                    </w:rPr>
                  </w:pPr>
                  <w:r>
                    <w:rPr>
                      <w:kern w:val="2"/>
                      <w:sz w:val="21"/>
                    </w:rPr>
                    <w:t>5</w:t>
                  </w:r>
                </w:p>
              </w:tc>
              <w:tc>
                <w:tcPr>
                  <w:tcW w:w="1988" w:type="dxa"/>
                  <w:shd w:val="clear" w:color="auto" w:fill="auto"/>
                  <w:vAlign w:val="center"/>
                </w:tcPr>
                <w:p>
                  <w:pPr>
                    <w:pStyle w:val="26"/>
                    <w:spacing w:line="240" w:lineRule="auto"/>
                    <w:rPr>
                      <w:kern w:val="2"/>
                      <w:sz w:val="21"/>
                    </w:rPr>
                  </w:pPr>
                  <w:r>
                    <w:rPr>
                      <w:kern w:val="2"/>
                      <w:sz w:val="21"/>
                    </w:rPr>
                    <w:t>氨氮</w:t>
                  </w:r>
                </w:p>
              </w:tc>
              <w:tc>
                <w:tcPr>
                  <w:tcW w:w="4748" w:type="dxa"/>
                  <w:shd w:val="clear" w:color="auto" w:fill="auto"/>
                  <w:vAlign w:val="center"/>
                </w:tcPr>
                <w:p>
                  <w:pPr>
                    <w:pStyle w:val="26"/>
                    <w:spacing w:line="240" w:lineRule="auto"/>
                    <w:rPr>
                      <w:kern w:val="2"/>
                      <w:sz w:val="21"/>
                    </w:rPr>
                  </w:pPr>
                  <w:r>
                    <w:rPr>
                      <w:kern w:val="2"/>
                      <w:sz w:val="21"/>
                    </w:rPr>
                    <w:t>≤1.0</w:t>
                  </w:r>
                </w:p>
              </w:tc>
            </w:tr>
          </w:tbl>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（3）声环境</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根据《关于印发重庆市铜梁区声环境功能区划</w:t>
            </w:r>
            <w:r>
              <w:rPr>
                <w:rFonts w:hint="eastAsia" w:ascii="Times New Roman" w:hAnsi="Times New Roman" w:eastAsia="宋体" w:cs="Times New Roman"/>
                <w:kern w:val="0"/>
                <w:sz w:val="24"/>
                <w:szCs w:val="24"/>
              </w:rPr>
              <w:t>分调整</w:t>
            </w:r>
            <w:r>
              <w:rPr>
                <w:rFonts w:ascii="Times New Roman" w:hAnsi="Times New Roman" w:eastAsia="宋体" w:cs="Times New Roman"/>
                <w:kern w:val="0"/>
                <w:sz w:val="24"/>
                <w:szCs w:val="24"/>
              </w:rPr>
              <w:t>方案的通知》（铜府办[2023]17号），项目位于重庆市铜梁区虎峰镇石岭村5社12号，执行《声环境质量标准》（GB3096-2008）中2类标准，标准值见表3.1-3。</w:t>
            </w:r>
          </w:p>
          <w:p>
            <w:pPr>
              <w:autoSpaceDE w:val="0"/>
              <w:autoSpaceDN w:val="0"/>
              <w:spacing w:line="360" w:lineRule="auto"/>
              <w:jc w:val="center"/>
              <w:rPr>
                <w:rFonts w:ascii="Times New Roman" w:hAnsi="Times New Roman" w:eastAsia="宋体" w:cs="Times New Roman"/>
                <w:b/>
                <w:bCs/>
                <w:kern w:val="0"/>
                <w:sz w:val="24"/>
                <w:szCs w:val="24"/>
              </w:rPr>
            </w:pPr>
          </w:p>
          <w:p>
            <w:pPr>
              <w:autoSpaceDE w:val="0"/>
              <w:autoSpaceDN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表3.1-3  声环境质量标准</w:t>
            </w:r>
          </w:p>
          <w:tbl>
            <w:tblPr>
              <w:tblStyle w:val="18"/>
              <w:tblW w:w="7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3065"/>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204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5759"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标准值/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jc w:val="center"/>
              </w:trPr>
              <w:tc>
                <w:tcPr>
                  <w:tcW w:w="2044" w:type="dxa"/>
                  <w:vMerge w:val="continue"/>
                  <w:vAlign w:val="center"/>
                </w:tcPr>
                <w:p>
                  <w:pPr>
                    <w:jc w:val="center"/>
                    <w:rPr>
                      <w:rFonts w:ascii="Times New Roman" w:hAnsi="Times New Roman" w:eastAsia="宋体" w:cs="Times New Roman"/>
                      <w:szCs w:val="21"/>
                    </w:rPr>
                  </w:pPr>
                </w:p>
              </w:tc>
              <w:tc>
                <w:tcPr>
                  <w:tcW w:w="30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2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 w:hRule="atLeast"/>
                <w:jc w:val="center"/>
              </w:trPr>
              <w:tc>
                <w:tcPr>
                  <w:tcW w:w="204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2类</w:t>
                  </w:r>
                </w:p>
              </w:tc>
              <w:tc>
                <w:tcPr>
                  <w:tcW w:w="30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2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r>
          </w:tbl>
          <w:p>
            <w:pPr>
              <w:autoSpaceDE w:val="0"/>
              <w:autoSpaceDN w:val="0"/>
              <w:spacing w:before="156" w:beforeLines="50"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3.2 环境质量现状</w:t>
            </w:r>
          </w:p>
          <w:p>
            <w:pPr>
              <w:autoSpaceDE w:val="0"/>
              <w:autoSpaceDN w:val="0"/>
              <w:spacing w:line="360" w:lineRule="auto"/>
              <w:rPr>
                <w:rFonts w:ascii="Times New Roman" w:hAnsi="Times New Roman" w:eastAsia="宋体" w:cs="Times New Roman"/>
                <w:b/>
                <w:bCs/>
                <w:kern w:val="0"/>
                <w:sz w:val="24"/>
                <w:szCs w:val="24"/>
              </w:rPr>
            </w:pPr>
            <w:bookmarkStart w:id="11" w:name="_Hlk74758479"/>
            <w:r>
              <w:rPr>
                <w:rFonts w:ascii="Times New Roman" w:hAnsi="Times New Roman" w:eastAsia="宋体" w:cs="Times New Roman"/>
                <w:b/>
                <w:bCs/>
                <w:kern w:val="0"/>
                <w:sz w:val="24"/>
                <w:szCs w:val="24"/>
              </w:rPr>
              <w:t>3.2.1 大气环境质量现状</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根据《重庆市环境空气质量功能区划分规定的通知》（渝府发[2016]19号），本项目所在地环境空气功能区划为二类区，环境空气质量执行《环境空气质量标准》（GB3095－2012）中二级标准。</w:t>
            </w:r>
          </w:p>
          <w:p>
            <w:pPr>
              <w:autoSpaceDE w:val="0"/>
              <w:autoSpaceDN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1、基本污染物环境质量现状</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根据《环境影响评价技术导则-大气环境》（HJ2.2-2018）相关要求，本次评价因子SO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10</w:t>
            </w:r>
            <w:r>
              <w:rPr>
                <w:rFonts w:ascii="Times New Roman" w:hAnsi="Times New Roman" w:eastAsia="宋体" w:cs="Times New Roman"/>
                <w:kern w:val="0"/>
                <w:sz w:val="24"/>
                <w:szCs w:val="24"/>
              </w:rPr>
              <w:t>、PM</w:t>
            </w:r>
            <w:r>
              <w:rPr>
                <w:rFonts w:ascii="Times New Roman" w:hAnsi="Times New Roman" w:eastAsia="宋体" w:cs="Times New Roman"/>
                <w:kern w:val="0"/>
                <w:sz w:val="24"/>
                <w:szCs w:val="24"/>
                <w:vertAlign w:val="subscript"/>
              </w:rPr>
              <w:t>2.5</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、CO监测数据引用重庆市生态环境局《2022年重庆市生态环境状况公报》，监测结果详见表3.2-1。</w:t>
            </w:r>
          </w:p>
          <w:p>
            <w:pPr>
              <w:autoSpaceDE w:val="0"/>
              <w:autoSpaceDN w:val="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表3.2-1  基本污染物长期监测数据现状评价结果一览表  ug/m</w:t>
            </w:r>
            <w:r>
              <w:rPr>
                <w:rFonts w:ascii="Times New Roman" w:hAnsi="Times New Roman" w:eastAsia="宋体" w:cs="Times New Roman"/>
                <w:b/>
                <w:bCs/>
                <w:kern w:val="0"/>
                <w:sz w:val="24"/>
                <w:szCs w:val="24"/>
                <w:vertAlign w:val="superscript"/>
              </w:rPr>
              <w:t>3</w:t>
            </w:r>
          </w:p>
          <w:tbl>
            <w:tblPr>
              <w:tblStyle w:val="18"/>
              <w:tblW w:w="79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693"/>
              <w:gridCol w:w="1134"/>
              <w:gridCol w:w="917"/>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90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269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年评价指标</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现状浓度</w:t>
                  </w:r>
                </w:p>
              </w:tc>
              <w:tc>
                <w:tcPr>
                  <w:tcW w:w="91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标准值</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占标率%</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90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269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年日均值</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11</w:t>
                  </w:r>
                </w:p>
              </w:tc>
              <w:tc>
                <w:tcPr>
                  <w:tcW w:w="91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60</w:t>
                  </w:r>
                </w:p>
              </w:tc>
              <w:tc>
                <w:tcPr>
                  <w:tcW w:w="1134" w:type="dxa"/>
                  <w:vAlign w:val="bottom"/>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8.3</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90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2</w:t>
                  </w:r>
                </w:p>
              </w:tc>
              <w:tc>
                <w:tcPr>
                  <w:tcW w:w="269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年日均值</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27</w:t>
                  </w:r>
                </w:p>
              </w:tc>
              <w:tc>
                <w:tcPr>
                  <w:tcW w:w="91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40</w:t>
                  </w:r>
                </w:p>
              </w:tc>
              <w:tc>
                <w:tcPr>
                  <w:tcW w:w="1134" w:type="dxa"/>
                  <w:vAlign w:val="bottom"/>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7.5</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90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269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年日均值</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53</w:t>
                  </w:r>
                </w:p>
              </w:tc>
              <w:tc>
                <w:tcPr>
                  <w:tcW w:w="91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70</w:t>
                  </w:r>
                </w:p>
              </w:tc>
              <w:tc>
                <w:tcPr>
                  <w:tcW w:w="1134" w:type="dxa"/>
                  <w:vAlign w:val="bottom"/>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5.7</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90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2.5</w:t>
                  </w:r>
                </w:p>
              </w:tc>
              <w:tc>
                <w:tcPr>
                  <w:tcW w:w="269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年日均值</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34</w:t>
                  </w:r>
                </w:p>
              </w:tc>
              <w:tc>
                <w:tcPr>
                  <w:tcW w:w="91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35</w:t>
                  </w:r>
                </w:p>
              </w:tc>
              <w:tc>
                <w:tcPr>
                  <w:tcW w:w="1134" w:type="dxa"/>
                  <w:vAlign w:val="bottom"/>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7.1</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90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3</w:t>
                  </w:r>
                </w:p>
              </w:tc>
              <w:tc>
                <w:tcPr>
                  <w:tcW w:w="269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日最大8小时平均浓度的第90百分位数</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149</w:t>
                  </w:r>
                </w:p>
              </w:tc>
              <w:tc>
                <w:tcPr>
                  <w:tcW w:w="91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160</w:t>
                  </w:r>
                </w:p>
              </w:tc>
              <w:tc>
                <w:tcPr>
                  <w:tcW w:w="1134"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3.1</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90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CO</w:t>
                  </w:r>
                </w:p>
              </w:tc>
              <w:tc>
                <w:tcPr>
                  <w:tcW w:w="269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日均浓度的第95百分位数</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1.0mg/m</w:t>
                  </w:r>
                  <w:r>
                    <w:rPr>
                      <w:rFonts w:ascii="Times New Roman" w:hAnsi="Times New Roman" w:eastAsia="宋体" w:cs="Times New Roman"/>
                      <w:szCs w:val="21"/>
                      <w:vertAlign w:val="superscript"/>
                    </w:rPr>
                    <w:t>3</w:t>
                  </w:r>
                </w:p>
              </w:tc>
              <w:tc>
                <w:tcPr>
                  <w:tcW w:w="917"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4mg/m</w:t>
                  </w:r>
                  <w:r>
                    <w:rPr>
                      <w:rFonts w:ascii="Times New Roman" w:hAnsi="Times New Roman" w:eastAsia="宋体" w:cs="Times New Roman"/>
                      <w:szCs w:val="21"/>
                      <w:vertAlign w:val="superscript"/>
                    </w:rPr>
                    <w:t>3</w:t>
                  </w:r>
                </w:p>
              </w:tc>
              <w:tc>
                <w:tcPr>
                  <w:tcW w:w="1134" w:type="dxa"/>
                  <w:vAlign w:val="bottom"/>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25.0</w:t>
                  </w:r>
                </w:p>
              </w:tc>
              <w:tc>
                <w:tcPr>
                  <w:tcW w:w="1134"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bl>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由表3.2-1可知，项目所在地区SO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10</w:t>
            </w:r>
            <w:r>
              <w:rPr>
                <w:rFonts w:ascii="Times New Roman" w:hAnsi="Times New Roman" w:eastAsia="宋体" w:cs="Times New Roman"/>
                <w:sz w:val="24"/>
                <w:szCs w:val="24"/>
              </w:rPr>
              <w:t>、PM</w:t>
            </w:r>
            <w:r>
              <w:rPr>
                <w:rFonts w:ascii="Times New Roman" w:hAnsi="Times New Roman" w:eastAsia="宋体" w:cs="Times New Roman"/>
                <w:sz w:val="24"/>
                <w:szCs w:val="24"/>
                <w:vertAlign w:val="subscript"/>
              </w:rPr>
              <w:t>2.5</w:t>
            </w:r>
            <w:r>
              <w:rPr>
                <w:rFonts w:hint="eastAsia" w:ascii="Times New Roman" w:hAnsi="Times New Roman" w:eastAsia="宋体" w:cs="Times New Roman"/>
                <w:sz w:val="24"/>
                <w:szCs w:val="24"/>
              </w:rPr>
              <w:t>、</w:t>
            </w:r>
            <w:r>
              <w:rPr>
                <w:rFonts w:ascii="Times New Roman" w:hAnsi="Times New Roman" w:eastAsia="宋体" w:cs="Times New Roman"/>
                <w:sz w:val="24"/>
                <w:szCs w:val="24"/>
              </w:rPr>
              <w:t>CO、NO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、O</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浓度均达到国家环境空气质量二级标准，项目所在评价区域为达标区。</w:t>
            </w:r>
          </w:p>
          <w:p>
            <w:pPr>
              <w:autoSpaceDE w:val="0"/>
              <w:autoSpaceDN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2、项目特征污染物（非甲烷总烃）</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（1）数据来源</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委托重庆市九龙坡区生态环境监测站于2023年2月17日至2月19日对项目所在地的环境质量现状进行实测。</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（2）监测点位、频率：</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监测布点：项目西侧居民点，监测布点见</w:t>
            </w:r>
            <w:r>
              <w:rPr>
                <w:rFonts w:ascii="Times New Roman" w:hAnsi="Times New Roman" w:eastAsia="宋体" w:cs="Times New Roman"/>
                <w:b/>
                <w:sz w:val="24"/>
                <w:szCs w:val="24"/>
                <w:u w:val="single"/>
              </w:rPr>
              <w:t>附图3</w:t>
            </w:r>
            <w:r>
              <w:rPr>
                <w:rFonts w:ascii="Times New Roman" w:hAnsi="Times New Roman" w:eastAsia="宋体" w:cs="Times New Roman"/>
                <w:sz w:val="24"/>
                <w:szCs w:val="24"/>
              </w:rPr>
              <w:t>；</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监测因子：非甲烷总烃；</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监测频率：连续监测3天，每天4次；</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监测单位：重庆市九龙坡区生态环境监测站。</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（3）评价标准</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执行标准：非甲烷总烃执行《河北环境空气质量 非甲烷总烃限值》二级标准2.0mg/m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（4）评价方法：</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采用占标率法对空气环境质量特征污染因子现状进行评价。</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占标率模式公式如下：</w:t>
            </w:r>
          </w:p>
          <w:p>
            <w:pPr>
              <w:adjustRightInd w:val="0"/>
              <w:snapToGrid w:val="0"/>
              <w:spacing w:line="360" w:lineRule="auto"/>
              <w:ind w:firstLine="960" w:firstLineChars="400"/>
              <w:jc w:val="center"/>
              <w:rPr>
                <w:rFonts w:ascii="Times New Roman" w:hAnsi="Times New Roman" w:eastAsia="宋体" w:cs="Times New Roman"/>
                <w:sz w:val="24"/>
                <w:szCs w:val="24"/>
              </w:rPr>
            </w:pPr>
            <w:r>
              <w:rPr>
                <w:rFonts w:ascii="Times New Roman" w:hAnsi="Times New Roman" w:eastAsia="宋体" w:cs="Times New Roman"/>
                <w:sz w:val="24"/>
                <w:szCs w:val="24"/>
              </w:rPr>
              <w:t>P</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=C</w:t>
            </w:r>
            <w:r>
              <w:rPr>
                <w:rFonts w:ascii="Times New Roman" w:hAnsi="Times New Roman" w:eastAsia="宋体" w:cs="Times New Roman"/>
                <w:sz w:val="24"/>
                <w:szCs w:val="24"/>
                <w:vertAlign w:val="subscript"/>
              </w:rPr>
              <w:t>ij</w:t>
            </w:r>
            <w:r>
              <w:rPr>
                <w:rFonts w:ascii="Times New Roman" w:hAnsi="Times New Roman" w:eastAsia="宋体" w:cs="Times New Roman"/>
                <w:sz w:val="24"/>
                <w:szCs w:val="24"/>
              </w:rPr>
              <w:t>/C</w:t>
            </w:r>
            <w:r>
              <w:rPr>
                <w:rFonts w:ascii="Times New Roman" w:hAnsi="Times New Roman" w:eastAsia="宋体" w:cs="Times New Roman"/>
                <w:sz w:val="24"/>
                <w:szCs w:val="24"/>
                <w:vertAlign w:val="subscript"/>
              </w:rPr>
              <w:t>si</w:t>
            </w:r>
            <w:r>
              <w:rPr>
                <w:rFonts w:ascii="Times New Roman" w:hAnsi="Times New Roman" w:eastAsia="宋体" w:cs="Times New Roman"/>
                <w:sz w:val="24"/>
                <w:szCs w:val="24"/>
              </w:rPr>
              <w:t>×100%</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式中：P</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——第i现状监测点污染因子j的占标率，其值在0~100%之间为满足标准，大于100%则为超标。</w:t>
            </w:r>
          </w:p>
          <w:p>
            <w:pPr>
              <w:adjustRightInd w:val="0"/>
              <w:snapToGrid w:val="0"/>
              <w:spacing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C</w:t>
            </w:r>
            <w:r>
              <w:rPr>
                <w:rFonts w:ascii="Times New Roman" w:hAnsi="Times New Roman" w:eastAsia="宋体" w:cs="Times New Roman"/>
                <w:sz w:val="24"/>
                <w:szCs w:val="24"/>
                <w:vertAlign w:val="subscript"/>
              </w:rPr>
              <w:t>ij</w:t>
            </w:r>
            <w:r>
              <w:rPr>
                <w:rFonts w:ascii="Times New Roman" w:hAnsi="Times New Roman" w:eastAsia="宋体" w:cs="Times New Roman"/>
                <w:sz w:val="24"/>
                <w:szCs w:val="24"/>
              </w:rPr>
              <w:t>——第i现状监测点污染因子j的实测浓度（mg/m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adjustRightInd w:val="0"/>
              <w:snapToGrid w:val="0"/>
              <w:spacing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C</w:t>
            </w:r>
            <w:r>
              <w:rPr>
                <w:rFonts w:ascii="Times New Roman" w:hAnsi="Times New Roman" w:eastAsia="宋体" w:cs="Times New Roman"/>
                <w:sz w:val="24"/>
                <w:szCs w:val="24"/>
                <w:vertAlign w:val="subscript"/>
              </w:rPr>
              <w:t>si</w:t>
            </w:r>
            <w:r>
              <w:rPr>
                <w:rFonts w:ascii="Times New Roman" w:hAnsi="Times New Roman" w:eastAsia="宋体" w:cs="Times New Roman"/>
                <w:sz w:val="24"/>
                <w:szCs w:val="24"/>
              </w:rPr>
              <w:t>——污染因子j的环境质量标准（mg/m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（5）监测结果统计</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项目特征污染物环境空气现状监测结果统计及评价详见表3.2-2。</w:t>
            </w:r>
          </w:p>
          <w:p>
            <w:pPr>
              <w:spacing w:line="360" w:lineRule="auto"/>
              <w:jc w:val="center"/>
              <w:textAlignment w:val="baseline"/>
              <w:rPr>
                <w:rFonts w:ascii="Times New Roman" w:hAnsi="Times New Roman" w:eastAsia="宋体" w:cs="Times New Roman"/>
                <w:b/>
                <w:bCs/>
                <w:sz w:val="24"/>
                <w:szCs w:val="24"/>
                <w:vertAlign w:val="superscript"/>
              </w:rPr>
            </w:pPr>
            <w:r>
              <w:rPr>
                <w:rFonts w:ascii="Times New Roman" w:hAnsi="Times New Roman" w:eastAsia="宋体" w:cs="Times New Roman"/>
                <w:b/>
                <w:bCs/>
                <w:sz w:val="24"/>
                <w:szCs w:val="24"/>
              </w:rPr>
              <w:t>表3.2-2  环境空气现状监测及评价结果统计表  mg/m</w:t>
            </w:r>
            <w:r>
              <w:rPr>
                <w:rFonts w:ascii="Times New Roman" w:hAnsi="Times New Roman" w:eastAsia="宋体" w:cs="Times New Roman"/>
                <w:b/>
                <w:bCs/>
                <w:sz w:val="24"/>
                <w:szCs w:val="24"/>
                <w:vertAlign w:val="superscript"/>
              </w:rPr>
              <w:t>3</w:t>
            </w:r>
          </w:p>
          <w:tbl>
            <w:tblPr>
              <w:tblStyle w:val="18"/>
              <w:tblW w:w="805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1304"/>
              <w:gridCol w:w="992"/>
              <w:gridCol w:w="690"/>
              <w:gridCol w:w="1134"/>
              <w:gridCol w:w="1134"/>
              <w:gridCol w:w="722"/>
              <w:gridCol w:w="6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0" w:hRule="atLeast"/>
                <w:jc w:val="center"/>
              </w:trPr>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监测点位</w:t>
                  </w:r>
                </w:p>
              </w:tc>
              <w:tc>
                <w:tcPr>
                  <w:tcW w:w="13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9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平均</w:t>
                  </w:r>
                </w:p>
                <w:p>
                  <w:pPr>
                    <w:jc w:val="center"/>
                    <w:rPr>
                      <w:rFonts w:ascii="Times New Roman" w:hAnsi="Times New Roman" w:eastAsia="宋体" w:cs="Times New Roman"/>
                      <w:szCs w:val="21"/>
                    </w:rPr>
                  </w:pPr>
                  <w:r>
                    <w:rPr>
                      <w:rFonts w:ascii="Times New Roman" w:hAnsi="Times New Roman" w:eastAsia="宋体" w:cs="Times New Roman"/>
                      <w:szCs w:val="21"/>
                    </w:rPr>
                    <w:t>时间</w:t>
                  </w:r>
                </w:p>
              </w:tc>
              <w:tc>
                <w:tcPr>
                  <w:tcW w:w="69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评价</w:t>
                  </w:r>
                </w:p>
                <w:p>
                  <w:pPr>
                    <w:jc w:val="center"/>
                    <w:rPr>
                      <w:rFonts w:ascii="Times New Roman" w:hAnsi="Times New Roman" w:eastAsia="宋体" w:cs="Times New Roman"/>
                      <w:szCs w:val="21"/>
                    </w:rPr>
                  </w:pPr>
                  <w:r>
                    <w:rPr>
                      <w:rFonts w:ascii="Times New Roman" w:hAnsi="Times New Roman" w:eastAsia="宋体" w:cs="Times New Roman"/>
                      <w:szCs w:val="21"/>
                    </w:rPr>
                    <w:t>标准</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监测浓度范围</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最大浓度占标率</w:t>
                  </w:r>
                </w:p>
              </w:tc>
              <w:tc>
                <w:tcPr>
                  <w:tcW w:w="72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超标率</w:t>
                  </w:r>
                </w:p>
              </w:tc>
              <w:tc>
                <w:tcPr>
                  <w:tcW w:w="6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3" w:hRule="atLeast"/>
                <w:jc w:val="center"/>
              </w:trPr>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Q1 西侧</w:t>
                  </w:r>
                </w:p>
              </w:tc>
              <w:tc>
                <w:tcPr>
                  <w:tcW w:w="13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9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小时值</w:t>
                  </w:r>
                </w:p>
              </w:tc>
              <w:tc>
                <w:tcPr>
                  <w:tcW w:w="69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0.76~1.04</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52.0</w:t>
                  </w:r>
                </w:p>
              </w:tc>
              <w:tc>
                <w:tcPr>
                  <w:tcW w:w="72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6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bl>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由表3.2-2可知，项目所在区域环境空气中非甲烷总烃最大浓度值占相应标准浓度限值的百分比小于100%，项目所在区域非甲烷总烃小时浓度值满足河北省地方标准《环境空气质量 非甲烷总烃限值》(DB13/1577-2012)中二级标准的要求。</w:t>
            </w:r>
          </w:p>
          <w:bookmarkEnd w:id="11"/>
          <w:p>
            <w:pPr>
              <w:autoSpaceDE w:val="0"/>
              <w:autoSpaceDN w:val="0"/>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3.2.2 地表水环境质量现状</w:t>
            </w:r>
          </w:p>
          <w:p>
            <w:pPr>
              <w:adjustRightInd w:val="0"/>
              <w:snapToGrid w:val="0"/>
              <w:spacing w:line="360" w:lineRule="auto"/>
              <w:ind w:firstLine="522"/>
              <w:rPr>
                <w:rFonts w:ascii="Times New Roman" w:hAnsi="Times New Roman" w:eastAsia="宋体" w:cs="Times New Roman"/>
                <w:sz w:val="24"/>
                <w:szCs w:val="24"/>
              </w:rPr>
            </w:pPr>
            <w:r>
              <w:rPr>
                <w:rFonts w:ascii="Times New Roman" w:hAnsi="Times New Roman" w:eastAsia="宋体" w:cs="Times New Roman"/>
                <w:sz w:val="24"/>
                <w:szCs w:val="24"/>
              </w:rPr>
              <w:t>本项目所在流域为小安溪河，根据《重庆市人民政府批转重庆市地表水环境功能类别调整方案的通知》（渝府发[2012]4号），小安溪河铜梁河段为渔业用水，执行Ⅲ类水域标准。</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项目所在区域地表水体达标情况判定，优先采用国务院生态环境保护主管部门统一发布的水环境状况信息。根据重庆市铜梁区人民政府网上公示的“重庆市铜梁区</w:t>
            </w:r>
            <w:r>
              <w:rPr>
                <w:rFonts w:hint="eastAsia" w:ascii="Times New Roman" w:hAnsi="Times New Roman" w:eastAsia="宋体" w:cs="Times New Roman"/>
                <w:sz w:val="24"/>
                <w:szCs w:val="24"/>
              </w:rPr>
              <w:t>水环境质量</w:t>
            </w:r>
            <w:r>
              <w:rPr>
                <w:rFonts w:ascii="Times New Roman" w:hAnsi="Times New Roman" w:eastAsia="宋体" w:cs="Times New Roman"/>
                <w:sz w:val="24"/>
                <w:szCs w:val="24"/>
              </w:rPr>
              <w:t>状况（2023年9月）”，小安溪双河口监测断面满足《地表水环境质量标准》(GB 3838-2002) Ⅲ类水域标准要求，为水环境功能达标区。</w:t>
            </w:r>
          </w:p>
          <w:p>
            <w:pPr>
              <w:autoSpaceDE w:val="0"/>
              <w:autoSpaceDN w:val="0"/>
              <w:spacing w:before="156" w:beforeLines="50"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3.2.3 声环境质量现状</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位于重庆市铜梁区虎峰镇石岭村5社12号，项目周边50m范围内存在声环境保护目标，根据《建设项目环境影响报告表编制技术指南（污染影响类）》，本次设置了2个噪声监测点。本项目声环境影响现状监测数据委托重庆市九龙坡区生态环境监测站进行了现场监测并出具了监测报告。</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①</w:t>
            </w:r>
            <w:r>
              <w:rPr>
                <w:rFonts w:ascii="Times New Roman" w:hAnsi="Times New Roman" w:eastAsia="宋体" w:cs="Times New Roman"/>
                <w:kern w:val="0"/>
                <w:sz w:val="24"/>
                <w:szCs w:val="24"/>
              </w:rPr>
              <w:t>监测布点：设置了2个监测点，分别位于本项目的南方向的1#散户居民和西方向的3#散户居民；</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监测因子：等效连续A声级值；</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监测时间及频率：2023年2月17日~2月18日，监测2天，昼夜各一次；</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④</w:t>
            </w:r>
            <w:r>
              <w:rPr>
                <w:rFonts w:ascii="Times New Roman" w:hAnsi="Times New Roman" w:eastAsia="宋体" w:cs="Times New Roman"/>
                <w:kern w:val="0"/>
                <w:sz w:val="24"/>
                <w:szCs w:val="24"/>
              </w:rPr>
              <w:t>监测结果：环境噪声监测结果见表3.2-3。</w:t>
            </w:r>
          </w:p>
          <w:p>
            <w:pPr>
              <w:autoSpaceDE w:val="0"/>
              <w:autoSpaceDN w:val="0"/>
              <w:spacing w:line="36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表3.2-3  噪声监测结果统计表  单位：dB（A）</w:t>
            </w:r>
          </w:p>
          <w:tbl>
            <w:tblPr>
              <w:tblStyle w:val="19"/>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421"/>
              <w:gridCol w:w="1280"/>
              <w:gridCol w:w="1134"/>
              <w:gridCol w:w="709"/>
              <w:gridCol w:w="709"/>
              <w:gridCol w:w="850"/>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监测点位</w:t>
                  </w:r>
                </w:p>
              </w:tc>
              <w:tc>
                <w:tcPr>
                  <w:tcW w:w="142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监测时间</w:t>
                  </w:r>
                </w:p>
              </w:tc>
              <w:tc>
                <w:tcPr>
                  <w:tcW w:w="128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13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418"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标准</w:t>
                  </w:r>
                </w:p>
              </w:tc>
              <w:tc>
                <w:tcPr>
                  <w:tcW w:w="1722"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 w:type="dxa"/>
                  <w:vMerge w:val="continue"/>
                  <w:vAlign w:val="center"/>
                </w:tcPr>
                <w:p>
                  <w:pPr>
                    <w:jc w:val="center"/>
                    <w:rPr>
                      <w:rFonts w:ascii="Times New Roman" w:hAnsi="Times New Roman" w:eastAsia="宋体" w:cs="Times New Roman"/>
                      <w:szCs w:val="21"/>
                    </w:rPr>
                  </w:pPr>
                </w:p>
              </w:tc>
              <w:tc>
                <w:tcPr>
                  <w:tcW w:w="1421" w:type="dxa"/>
                  <w:vMerge w:val="continue"/>
                  <w:vAlign w:val="center"/>
                </w:tcPr>
                <w:p>
                  <w:pPr>
                    <w:jc w:val="center"/>
                    <w:rPr>
                      <w:rFonts w:ascii="Times New Roman" w:hAnsi="Times New Roman" w:eastAsia="宋体" w:cs="Times New Roman"/>
                      <w:szCs w:val="21"/>
                    </w:rPr>
                  </w:pPr>
                </w:p>
              </w:tc>
              <w:tc>
                <w:tcPr>
                  <w:tcW w:w="1280" w:type="dxa"/>
                  <w:vMerge w:val="continue"/>
                  <w:vAlign w:val="center"/>
                </w:tcPr>
                <w:p>
                  <w:pPr>
                    <w:jc w:val="center"/>
                    <w:rPr>
                      <w:rFonts w:ascii="Times New Roman" w:hAnsi="Times New Roman" w:eastAsia="宋体" w:cs="Times New Roman"/>
                      <w:szCs w:val="21"/>
                    </w:rPr>
                  </w:pPr>
                </w:p>
              </w:tc>
              <w:tc>
                <w:tcPr>
                  <w:tcW w:w="1134" w:type="dxa"/>
                  <w:vMerge w:val="continue"/>
                  <w:vAlign w:val="center"/>
                </w:tcPr>
                <w:p>
                  <w:pPr>
                    <w:jc w:val="center"/>
                    <w:rPr>
                      <w:rFonts w:ascii="Times New Roman" w:hAnsi="Times New Roman" w:eastAsia="宋体" w:cs="Times New Roman"/>
                      <w:szCs w:val="21"/>
                    </w:rPr>
                  </w:pPr>
                </w:p>
              </w:tc>
              <w:tc>
                <w:tcPr>
                  <w:tcW w:w="7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7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8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C1</w:t>
                  </w:r>
                  <w:r>
                    <w:rPr>
                      <w:rFonts w:hint="eastAsia" w:ascii="Times New Roman" w:hAnsi="Times New Roman" w:eastAsia="宋体" w:cs="Times New Roman"/>
                      <w:szCs w:val="21"/>
                    </w:rPr>
                    <w:t>西侧散户居民</w:t>
                  </w:r>
                </w:p>
              </w:tc>
              <w:tc>
                <w:tcPr>
                  <w:tcW w:w="14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2023.2.17</w:t>
                  </w:r>
                </w:p>
              </w:tc>
              <w:tc>
                <w:tcPr>
                  <w:tcW w:w="128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54</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w:t>
                  </w:r>
                </w:p>
              </w:tc>
              <w:tc>
                <w:tcPr>
                  <w:tcW w:w="7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7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8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 w:type="dxa"/>
                  <w:vMerge w:val="continue"/>
                  <w:vAlign w:val="center"/>
                </w:tcPr>
                <w:p>
                  <w:pPr>
                    <w:jc w:val="center"/>
                    <w:rPr>
                      <w:rFonts w:ascii="Times New Roman" w:hAnsi="Times New Roman" w:eastAsia="宋体" w:cs="Times New Roman"/>
                      <w:szCs w:val="21"/>
                    </w:rPr>
                  </w:pPr>
                </w:p>
              </w:tc>
              <w:tc>
                <w:tcPr>
                  <w:tcW w:w="14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2023.2.18</w:t>
                  </w:r>
                </w:p>
              </w:tc>
              <w:tc>
                <w:tcPr>
                  <w:tcW w:w="128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w:t>
                  </w:r>
                </w:p>
              </w:tc>
              <w:tc>
                <w:tcPr>
                  <w:tcW w:w="709" w:type="dxa"/>
                  <w:vMerge w:val="continue"/>
                  <w:vAlign w:val="center"/>
                </w:tcPr>
                <w:p>
                  <w:pPr>
                    <w:jc w:val="center"/>
                    <w:rPr>
                      <w:rFonts w:ascii="Times New Roman" w:hAnsi="Times New Roman" w:eastAsia="宋体" w:cs="Times New Roman"/>
                      <w:szCs w:val="21"/>
                    </w:rPr>
                  </w:pPr>
                </w:p>
              </w:tc>
              <w:tc>
                <w:tcPr>
                  <w:tcW w:w="709" w:type="dxa"/>
                  <w:vMerge w:val="continue"/>
                  <w:vAlign w:val="center"/>
                </w:tcPr>
                <w:p>
                  <w:pPr>
                    <w:jc w:val="center"/>
                    <w:rPr>
                      <w:rFonts w:ascii="Times New Roman" w:hAnsi="Times New Roman" w:eastAsia="宋体" w:cs="Times New Roman"/>
                      <w:szCs w:val="21"/>
                    </w:rPr>
                  </w:pP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8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C2</w:t>
                  </w:r>
                  <w:r>
                    <w:rPr>
                      <w:rFonts w:hint="eastAsia" w:ascii="Times New Roman" w:hAnsi="Times New Roman" w:eastAsia="宋体" w:cs="Times New Roman"/>
                      <w:szCs w:val="21"/>
                    </w:rPr>
                    <w:t>南侧散户居民</w:t>
                  </w:r>
                </w:p>
              </w:tc>
              <w:tc>
                <w:tcPr>
                  <w:tcW w:w="14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2023.2.17</w:t>
                  </w:r>
                </w:p>
              </w:tc>
              <w:tc>
                <w:tcPr>
                  <w:tcW w:w="128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53</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w:t>
                  </w:r>
                </w:p>
              </w:tc>
              <w:tc>
                <w:tcPr>
                  <w:tcW w:w="709" w:type="dxa"/>
                  <w:vMerge w:val="continue"/>
                  <w:vAlign w:val="center"/>
                </w:tcPr>
                <w:p>
                  <w:pPr>
                    <w:jc w:val="center"/>
                    <w:rPr>
                      <w:rFonts w:ascii="Times New Roman" w:hAnsi="Times New Roman" w:eastAsia="宋体" w:cs="Times New Roman"/>
                      <w:szCs w:val="21"/>
                    </w:rPr>
                  </w:pPr>
                </w:p>
              </w:tc>
              <w:tc>
                <w:tcPr>
                  <w:tcW w:w="709" w:type="dxa"/>
                  <w:vMerge w:val="continue"/>
                  <w:vAlign w:val="center"/>
                </w:tcPr>
                <w:p>
                  <w:pPr>
                    <w:jc w:val="center"/>
                    <w:rPr>
                      <w:rFonts w:ascii="Times New Roman" w:hAnsi="Times New Roman" w:eastAsia="宋体" w:cs="Times New Roman"/>
                      <w:szCs w:val="21"/>
                    </w:rPr>
                  </w:pP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8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2" w:type="dxa"/>
                  <w:vMerge w:val="continue"/>
                  <w:vAlign w:val="center"/>
                </w:tcPr>
                <w:p>
                  <w:pPr>
                    <w:jc w:val="center"/>
                    <w:rPr>
                      <w:rFonts w:ascii="Times New Roman" w:hAnsi="Times New Roman" w:eastAsia="宋体" w:cs="Times New Roman"/>
                      <w:szCs w:val="21"/>
                    </w:rPr>
                  </w:pPr>
                </w:p>
              </w:tc>
              <w:tc>
                <w:tcPr>
                  <w:tcW w:w="14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2023.2.18</w:t>
                  </w:r>
                </w:p>
              </w:tc>
              <w:tc>
                <w:tcPr>
                  <w:tcW w:w="128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w:t>
                  </w:r>
                </w:p>
              </w:tc>
              <w:tc>
                <w:tcPr>
                  <w:tcW w:w="709" w:type="dxa"/>
                  <w:vMerge w:val="continue"/>
                  <w:vAlign w:val="center"/>
                </w:tcPr>
                <w:p>
                  <w:pPr>
                    <w:jc w:val="center"/>
                    <w:rPr>
                      <w:rFonts w:ascii="Times New Roman" w:hAnsi="Times New Roman" w:eastAsia="宋体" w:cs="Times New Roman"/>
                      <w:szCs w:val="21"/>
                    </w:rPr>
                  </w:pPr>
                </w:p>
              </w:tc>
              <w:tc>
                <w:tcPr>
                  <w:tcW w:w="709" w:type="dxa"/>
                  <w:vMerge w:val="continue"/>
                  <w:vAlign w:val="center"/>
                </w:tcPr>
                <w:p>
                  <w:pPr>
                    <w:jc w:val="center"/>
                    <w:rPr>
                      <w:rFonts w:ascii="Times New Roman" w:hAnsi="Times New Roman" w:eastAsia="宋体" w:cs="Times New Roman"/>
                      <w:szCs w:val="21"/>
                    </w:rPr>
                  </w:pPr>
                </w:p>
              </w:tc>
              <w:tc>
                <w:tcPr>
                  <w:tcW w:w="85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c>
                <w:tcPr>
                  <w:tcW w:w="87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bl>
          <w:p>
            <w:pPr>
              <w:autoSpaceDE w:val="0"/>
              <w:autoSpaceDN w:val="0"/>
              <w:spacing w:before="156" w:beforeLines="50"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3.2.4 生态环境</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本项目位于重庆市铜梁区虎峰镇石岭村5社12号，利用现有厂房生产，不新增占地，用地范围内无生态环境保护目标，无需进行生态现状调查。</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环境保护目标</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3.3 项目周边环境关系</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位于重庆市铜梁区虎峰镇石岭村5社12号，租赁重庆市铜梁区钢隆纸业有限公司现有厂房进行生产，钢隆纸业公司内共有4个厂房，拟建项目西侧紧邻重庆圣航机械有限公司，北侧紧邻重庆强荣模具有限公司，西北侧为重庆赛达机械有限公司</w:t>
            </w:r>
            <w:r>
              <w:rPr>
                <w:rFonts w:ascii="Times New Roman" w:hAnsi="Times New Roman" w:eastAsia="宋体" w:cs="Times New Roman"/>
                <w:bCs/>
                <w:kern w:val="0"/>
                <w:sz w:val="24"/>
                <w:szCs w:val="24"/>
              </w:rPr>
              <w:t>。</w:t>
            </w:r>
            <w:r>
              <w:rPr>
                <w:rFonts w:ascii="Times New Roman" w:hAnsi="Times New Roman" w:eastAsia="宋体" w:cs="Times New Roman"/>
                <w:kern w:val="0"/>
                <w:sz w:val="24"/>
                <w:szCs w:val="24"/>
              </w:rPr>
              <w:t>项目厂区周边环境关系详见表3.3-1。</w:t>
            </w:r>
          </w:p>
          <w:p>
            <w:pPr>
              <w:autoSpaceDE w:val="0"/>
              <w:autoSpaceDN w:val="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表3.3-1  项目周边环境关系一览表</w:t>
            </w:r>
          </w:p>
          <w:tbl>
            <w:tblPr>
              <w:tblStyle w:val="20"/>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3089"/>
              <w:gridCol w:w="2028"/>
              <w:gridCol w:w="1304"/>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460"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3089"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项目名称</w:t>
                  </w:r>
                </w:p>
              </w:tc>
              <w:tc>
                <w:tcPr>
                  <w:tcW w:w="3332" w:type="dxa"/>
                  <w:gridSpan w:val="2"/>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距离拟建项目厂界（建筑红线）</w:t>
                  </w:r>
                </w:p>
              </w:tc>
              <w:tc>
                <w:tcPr>
                  <w:tcW w:w="1256" w:type="dxa"/>
                  <w:vMerge w:val="restart"/>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 w:hRule="atLeast"/>
              </w:trPr>
              <w:tc>
                <w:tcPr>
                  <w:tcW w:w="460" w:type="dxa"/>
                  <w:vMerge w:val="continue"/>
                  <w:vAlign w:val="center"/>
                </w:tcPr>
                <w:p>
                  <w:pPr>
                    <w:ind w:left="-105" w:leftChars="-50" w:right="-105" w:rightChars="-50"/>
                    <w:jc w:val="center"/>
                    <w:rPr>
                      <w:rFonts w:ascii="Times New Roman" w:hAnsi="Times New Roman" w:eastAsia="宋体" w:cs="Times New Roman"/>
                      <w:szCs w:val="21"/>
                    </w:rPr>
                  </w:pPr>
                </w:p>
              </w:tc>
              <w:tc>
                <w:tcPr>
                  <w:tcW w:w="3089" w:type="dxa"/>
                  <w:vMerge w:val="continue"/>
                  <w:vAlign w:val="center"/>
                </w:tcPr>
                <w:p>
                  <w:pPr>
                    <w:ind w:left="-105" w:leftChars="-50" w:right="-105" w:rightChars="-50"/>
                    <w:jc w:val="center"/>
                    <w:rPr>
                      <w:rFonts w:ascii="Times New Roman" w:hAnsi="Times New Roman" w:eastAsia="宋体" w:cs="Times New Roman"/>
                      <w:szCs w:val="21"/>
                    </w:rPr>
                  </w:pPr>
                </w:p>
              </w:tc>
              <w:tc>
                <w:tcPr>
                  <w:tcW w:w="2028"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厂界最近距离（m）</w:t>
                  </w:r>
                </w:p>
              </w:tc>
              <w:tc>
                <w:tcPr>
                  <w:tcW w:w="1304"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相对方位</w:t>
                  </w:r>
                </w:p>
              </w:tc>
              <w:tc>
                <w:tcPr>
                  <w:tcW w:w="1256" w:type="dxa"/>
                  <w:vMerge w:val="continue"/>
                  <w:vAlign w:val="center"/>
                </w:tcPr>
                <w:p>
                  <w:pPr>
                    <w:ind w:left="-105" w:leftChars="-50" w:right="-105" w:rightChars="-5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 w:hRule="atLeast"/>
              </w:trPr>
              <w:tc>
                <w:tcPr>
                  <w:tcW w:w="460"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1</w:t>
                  </w:r>
                </w:p>
              </w:tc>
              <w:tc>
                <w:tcPr>
                  <w:tcW w:w="308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重庆</w:t>
                  </w:r>
                  <w:bookmarkStart w:id="12" w:name="_Hlk130809686"/>
                  <w:r>
                    <w:rPr>
                      <w:rFonts w:ascii="Times New Roman" w:hAnsi="Times New Roman" w:eastAsia="宋体" w:cs="Times New Roman"/>
                      <w:szCs w:val="21"/>
                    </w:rPr>
                    <w:t>强荣模具</w:t>
                  </w:r>
                  <w:bookmarkEnd w:id="12"/>
                  <w:r>
                    <w:rPr>
                      <w:rFonts w:ascii="Times New Roman" w:hAnsi="Times New Roman" w:eastAsia="宋体" w:cs="Times New Roman"/>
                      <w:szCs w:val="21"/>
                    </w:rPr>
                    <w:t>有限公司</w:t>
                  </w:r>
                </w:p>
              </w:tc>
              <w:tc>
                <w:tcPr>
                  <w:tcW w:w="2028"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10</w:t>
                  </w:r>
                </w:p>
              </w:tc>
              <w:tc>
                <w:tcPr>
                  <w:tcW w:w="1304"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北</w:t>
                  </w:r>
                </w:p>
              </w:tc>
              <w:tc>
                <w:tcPr>
                  <w:tcW w:w="1256"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 w:hRule="atLeast"/>
              </w:trPr>
              <w:tc>
                <w:tcPr>
                  <w:tcW w:w="460"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2</w:t>
                  </w:r>
                </w:p>
              </w:tc>
              <w:tc>
                <w:tcPr>
                  <w:tcW w:w="308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重庆圣航机械有限公司</w:t>
                  </w:r>
                </w:p>
              </w:tc>
              <w:tc>
                <w:tcPr>
                  <w:tcW w:w="2028"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10</w:t>
                  </w:r>
                </w:p>
              </w:tc>
              <w:tc>
                <w:tcPr>
                  <w:tcW w:w="1304"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西</w:t>
                  </w:r>
                </w:p>
              </w:tc>
              <w:tc>
                <w:tcPr>
                  <w:tcW w:w="1256"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60"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3</w:t>
                  </w:r>
                </w:p>
              </w:tc>
              <w:tc>
                <w:tcPr>
                  <w:tcW w:w="3089"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重庆</w:t>
                  </w:r>
                  <w:bookmarkStart w:id="13" w:name="_Hlk130809743"/>
                  <w:r>
                    <w:rPr>
                      <w:rFonts w:ascii="Times New Roman" w:hAnsi="Times New Roman" w:eastAsia="宋体" w:cs="Times New Roman"/>
                      <w:szCs w:val="21"/>
                    </w:rPr>
                    <w:t>赛达机械</w:t>
                  </w:r>
                  <w:bookmarkEnd w:id="13"/>
                  <w:r>
                    <w:rPr>
                      <w:rFonts w:ascii="Times New Roman" w:hAnsi="Times New Roman" w:eastAsia="宋体" w:cs="Times New Roman"/>
                      <w:szCs w:val="21"/>
                    </w:rPr>
                    <w:t>有限公司</w:t>
                  </w:r>
                </w:p>
              </w:tc>
              <w:tc>
                <w:tcPr>
                  <w:tcW w:w="2028"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25</w:t>
                  </w:r>
                </w:p>
              </w:tc>
              <w:tc>
                <w:tcPr>
                  <w:tcW w:w="1304"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西北</w:t>
                  </w:r>
                </w:p>
              </w:tc>
              <w:tc>
                <w:tcPr>
                  <w:tcW w:w="1256" w:type="dxa"/>
                  <w:vAlign w:val="center"/>
                </w:tcPr>
                <w:p>
                  <w:pPr>
                    <w:ind w:left="-105" w:leftChars="-50" w:right="-105" w:rightChars="-50"/>
                    <w:jc w:val="center"/>
                    <w:rPr>
                      <w:rFonts w:ascii="Times New Roman" w:hAnsi="Times New Roman" w:eastAsia="宋体" w:cs="Times New Roman"/>
                      <w:szCs w:val="21"/>
                    </w:rPr>
                  </w:pPr>
                  <w:r>
                    <w:rPr>
                      <w:rFonts w:ascii="Times New Roman" w:hAnsi="Times New Roman" w:eastAsia="宋体" w:cs="Times New Roman"/>
                      <w:szCs w:val="21"/>
                    </w:rPr>
                    <w:t>工业企业</w:t>
                  </w:r>
                </w:p>
              </w:tc>
            </w:tr>
          </w:tbl>
          <w:p>
            <w:pPr>
              <w:autoSpaceDE w:val="0"/>
              <w:autoSpaceDN w:val="0"/>
              <w:spacing w:before="156" w:beforeLines="50"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3.4 环境保护目标分布情况</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位于重庆市铜梁区虎峰镇石岭村5社12号，根据片区跟踪评价现状调查，规划区评价范围内市政供水管网100%全覆盖，现状无集中式饮用水源和分散式饮用水源，也无饮用水源保护区分布，不属于特殊地下水资源保护区及分布区。规划区评价范围内也不涉及自然保护区、世界文化和自然遗产地、风景名胜区、森林公园、重要湿地等敏感区域，不属于特殊生态敏感区和重要生态敏感区。</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根据现场踏勘，项目厂区北侧与西侧为工业企业，南侧为居民点，东侧为小安溪。</w:t>
            </w:r>
          </w:p>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1.大气环境</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项目厂界外500米范围内大气环境保护目标名称及相对位置关系见表3.4-1。</w:t>
            </w:r>
          </w:p>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2.声环境</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项目厂界外50米范围内有3处声环境保护目标</w:t>
            </w:r>
            <w:r>
              <w:rPr>
                <w:rFonts w:hint="eastAsia" w:ascii="Times New Roman" w:hAnsi="Times New Roman" w:eastAsia="宋体" w:cs="Times New Roman"/>
                <w:kern w:val="0"/>
                <w:sz w:val="24"/>
                <w:szCs w:val="24"/>
              </w:rPr>
              <w:t>，详见表3</w:t>
            </w:r>
            <w:r>
              <w:rPr>
                <w:rFonts w:ascii="Times New Roman" w:hAnsi="Times New Roman" w:eastAsia="宋体" w:cs="Times New Roman"/>
                <w:kern w:val="0"/>
                <w:sz w:val="24"/>
                <w:szCs w:val="24"/>
              </w:rPr>
              <w:t>.4-1。</w:t>
            </w:r>
          </w:p>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3.地下水环境</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经调查，项目厂界外500米范围内不涉及地下水集中式饮用水水源和热水、矿泉水、温泉等特殊地下水资源。</w:t>
            </w:r>
          </w:p>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4.生态环境</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项目所在地为城市生态系统，周边植被单一，生态结构较简单、植被稀疏、多为人工植被，周边500m范围内无珍稀野生动植物分布，无自然保护区、风景名胜区分布。</w:t>
            </w:r>
          </w:p>
          <w:p>
            <w:pPr>
              <w:adjustRightInd w:val="0"/>
              <w:snapToGrid w:val="0"/>
              <w:spacing w:line="46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表3.4-1  项目主要环境保护目标</w:t>
            </w:r>
          </w:p>
          <w:tbl>
            <w:tblPr>
              <w:tblStyle w:val="18"/>
              <w:tblpPr w:leftFromText="180" w:rightFromText="180" w:vertAnchor="text" w:horzAnchor="page" w:tblpXSpec="center" w:tblpY="77"/>
              <w:tblOverlap w:val="never"/>
              <w:tblW w:w="8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9"/>
              <w:gridCol w:w="1118"/>
              <w:gridCol w:w="738"/>
              <w:gridCol w:w="1686"/>
              <w:gridCol w:w="986"/>
              <w:gridCol w:w="76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562" w:type="dxa"/>
                  <w:vMerge w:val="restart"/>
                  <w:vAlign w:val="center"/>
                </w:tcPr>
                <w:p>
                  <w:pPr>
                    <w:adjustRightInd w:val="0"/>
                    <w:jc w:val="center"/>
                    <w:textAlignment w:val="baseline"/>
                    <w:rPr>
                      <w:rFonts w:ascii="Times New Roman" w:hAnsi="Times New Roman" w:eastAsia="宋体" w:cs="Times New Roman"/>
                      <w:szCs w:val="18"/>
                    </w:rPr>
                  </w:pPr>
                  <w:bookmarkStart w:id="14" w:name="_Hlk130805932"/>
                  <w:r>
                    <w:rPr>
                      <w:rFonts w:ascii="Times New Roman" w:hAnsi="Times New Roman" w:eastAsia="宋体" w:cs="Times New Roman"/>
                      <w:szCs w:val="18"/>
                    </w:rPr>
                    <w:t>序号</w:t>
                  </w:r>
                </w:p>
              </w:tc>
              <w:tc>
                <w:tcPr>
                  <w:tcW w:w="1419" w:type="dxa"/>
                  <w:vMerge w:val="restart"/>
                  <w:vAlign w:val="center"/>
                </w:tcPr>
                <w:p>
                  <w:pPr>
                    <w:pStyle w:val="26"/>
                    <w:snapToGrid/>
                    <w:spacing w:line="240" w:lineRule="auto"/>
                    <w:textAlignment w:val="baseline"/>
                    <w:rPr>
                      <w:kern w:val="2"/>
                      <w:sz w:val="21"/>
                      <w:szCs w:val="18"/>
                    </w:rPr>
                  </w:pPr>
                  <w:r>
                    <w:rPr>
                      <w:kern w:val="2"/>
                      <w:sz w:val="21"/>
                      <w:szCs w:val="18"/>
                    </w:rPr>
                    <w:t>敏感点名称</w:t>
                  </w:r>
                </w:p>
              </w:tc>
              <w:tc>
                <w:tcPr>
                  <w:tcW w:w="1856" w:type="dxa"/>
                  <w:gridSpan w:val="2"/>
                  <w:vAlign w:val="center"/>
                </w:tcPr>
                <w:p>
                  <w:pPr>
                    <w:pStyle w:val="26"/>
                    <w:snapToGrid/>
                    <w:spacing w:line="240" w:lineRule="auto"/>
                    <w:textAlignment w:val="baseline"/>
                    <w:rPr>
                      <w:kern w:val="2"/>
                      <w:sz w:val="21"/>
                      <w:szCs w:val="18"/>
                    </w:rPr>
                  </w:pPr>
                  <w:r>
                    <w:rPr>
                      <w:kern w:val="2"/>
                      <w:sz w:val="21"/>
                      <w:szCs w:val="18"/>
                    </w:rPr>
                    <w:t>坐标（以厂区中心为原点）</w:t>
                  </w:r>
                </w:p>
              </w:tc>
              <w:tc>
                <w:tcPr>
                  <w:tcW w:w="1686" w:type="dxa"/>
                  <w:vMerge w:val="restart"/>
                  <w:vAlign w:val="center"/>
                </w:tcPr>
                <w:p>
                  <w:pPr>
                    <w:pStyle w:val="26"/>
                    <w:snapToGrid/>
                    <w:spacing w:line="240" w:lineRule="auto"/>
                    <w:textAlignment w:val="baseline"/>
                    <w:rPr>
                      <w:kern w:val="2"/>
                      <w:sz w:val="21"/>
                      <w:szCs w:val="18"/>
                    </w:rPr>
                  </w:pPr>
                  <w:r>
                    <w:rPr>
                      <w:kern w:val="2"/>
                      <w:sz w:val="21"/>
                      <w:szCs w:val="18"/>
                    </w:rPr>
                    <w:t>保护对象与内容</w:t>
                  </w:r>
                </w:p>
              </w:tc>
              <w:tc>
                <w:tcPr>
                  <w:tcW w:w="986"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环境功能区</w:t>
                  </w:r>
                </w:p>
              </w:tc>
              <w:tc>
                <w:tcPr>
                  <w:tcW w:w="765" w:type="dxa"/>
                  <w:vMerge w:val="restart"/>
                  <w:vAlign w:val="center"/>
                </w:tcPr>
                <w:p>
                  <w:pPr>
                    <w:pStyle w:val="26"/>
                    <w:snapToGrid/>
                    <w:spacing w:line="240" w:lineRule="auto"/>
                    <w:textAlignment w:val="baseline"/>
                    <w:rPr>
                      <w:kern w:val="2"/>
                      <w:sz w:val="21"/>
                      <w:szCs w:val="18"/>
                    </w:rPr>
                  </w:pPr>
                  <w:r>
                    <w:rPr>
                      <w:kern w:val="2"/>
                      <w:sz w:val="21"/>
                      <w:szCs w:val="18"/>
                    </w:rPr>
                    <w:t>相对方位</w:t>
                  </w:r>
                </w:p>
              </w:tc>
              <w:tc>
                <w:tcPr>
                  <w:tcW w:w="912"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562" w:type="dxa"/>
                  <w:vMerge w:val="continue"/>
                  <w:vAlign w:val="center"/>
                </w:tcPr>
                <w:p>
                  <w:pPr>
                    <w:adjustRightInd w:val="0"/>
                    <w:jc w:val="center"/>
                    <w:textAlignment w:val="baseline"/>
                    <w:rPr>
                      <w:rFonts w:ascii="Times New Roman" w:hAnsi="Times New Roman" w:eastAsia="宋体" w:cs="Times New Roman"/>
                      <w:szCs w:val="18"/>
                    </w:rPr>
                  </w:pPr>
                </w:p>
              </w:tc>
              <w:tc>
                <w:tcPr>
                  <w:tcW w:w="1419" w:type="dxa"/>
                  <w:vMerge w:val="continue"/>
                  <w:vAlign w:val="center"/>
                </w:tcPr>
                <w:p>
                  <w:pPr>
                    <w:adjustRightInd w:val="0"/>
                    <w:jc w:val="center"/>
                    <w:textAlignment w:val="baseline"/>
                    <w:rPr>
                      <w:rFonts w:ascii="Times New Roman" w:hAnsi="Times New Roman" w:eastAsia="宋体" w:cs="Times New Roman"/>
                      <w:szCs w:val="18"/>
                    </w:rPr>
                  </w:pP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X</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Y</w:t>
                  </w:r>
                </w:p>
              </w:tc>
              <w:tc>
                <w:tcPr>
                  <w:tcW w:w="1686" w:type="dxa"/>
                  <w:vMerge w:val="continue"/>
                  <w:vAlign w:val="center"/>
                </w:tcPr>
                <w:p>
                  <w:pPr>
                    <w:adjustRightInd w:val="0"/>
                    <w:jc w:val="center"/>
                    <w:textAlignment w:val="baseline"/>
                    <w:rPr>
                      <w:rFonts w:ascii="Times New Roman" w:hAnsi="Times New Roman" w:eastAsia="宋体" w:cs="Times New Roman"/>
                      <w:szCs w:val="18"/>
                    </w:rPr>
                  </w:pP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Merge w:val="continue"/>
                  <w:vAlign w:val="center"/>
                </w:tcPr>
                <w:p>
                  <w:pPr>
                    <w:adjustRightInd w:val="0"/>
                    <w:jc w:val="center"/>
                    <w:textAlignment w:val="baseline"/>
                    <w:rPr>
                      <w:rFonts w:ascii="Times New Roman" w:hAnsi="Times New Roman" w:eastAsia="宋体" w:cs="Times New Roman"/>
                      <w:szCs w:val="18"/>
                    </w:rPr>
                  </w:pPr>
                </w:p>
              </w:tc>
              <w:tc>
                <w:tcPr>
                  <w:tcW w:w="912" w:type="dxa"/>
                  <w:vMerge w:val="continue"/>
                  <w:vAlign w:val="center"/>
                </w:tcPr>
                <w:p>
                  <w:pPr>
                    <w:adjustRightInd w:val="0"/>
                    <w:jc w:val="center"/>
                    <w:textAlignment w:val="baseline"/>
                    <w:rPr>
                      <w:rFonts w:ascii="Times New Roman" w:hAnsi="Times New Roman" w:eastAsia="宋体"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0</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-35</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散户居民1户，共3人</w:t>
                  </w:r>
                </w:p>
              </w:tc>
              <w:tc>
                <w:tcPr>
                  <w:tcW w:w="986"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环境空气、声环境</w:t>
                  </w: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南</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r>
                    <w:rPr>
                      <w:rFonts w:hint="eastAsia" w:ascii="Times New Roman" w:hAnsi="Times New Roman" w:eastAsia="宋体" w:cs="Times New Roman"/>
                      <w:szCs w:val="18"/>
                    </w:rPr>
                    <w:t>2</w:t>
                  </w:r>
                  <w:r>
                    <w:rPr>
                      <w:rFonts w:ascii="Times New Roman" w:hAnsi="Times New Roman" w:eastAsia="宋体" w:cs="Times New Roman"/>
                      <w:szCs w:val="18"/>
                    </w:rPr>
                    <w:t>4</w:t>
                  </w:r>
                </w:p>
              </w:tc>
              <w:tc>
                <w:tcPr>
                  <w:tcW w:w="738" w:type="dxa"/>
                  <w:vAlign w:val="center"/>
                </w:tcPr>
                <w:p>
                  <w:pPr>
                    <w:adjustRightInd w:val="0"/>
                    <w:jc w:val="center"/>
                    <w:textAlignment w:val="baseline"/>
                    <w:rPr>
                      <w:rFonts w:ascii="Times New Roman" w:hAnsi="Times New Roman" w:eastAsia="宋体" w:cs="Times New Roman"/>
                      <w:szCs w:val="18"/>
                    </w:rPr>
                  </w:pPr>
                  <w:r>
                    <w:rPr>
                      <w:rFonts w:hint="eastAsia" w:ascii="Times New Roman" w:hAnsi="Times New Roman" w:eastAsia="宋体" w:cs="Times New Roman"/>
                      <w:szCs w:val="18"/>
                    </w:rPr>
                    <w:t>2</w:t>
                  </w:r>
                  <w:r>
                    <w:rPr>
                      <w:rFonts w:ascii="Times New Roman" w:hAnsi="Times New Roman" w:eastAsia="宋体" w:cs="Times New Roman"/>
                      <w:szCs w:val="18"/>
                    </w:rPr>
                    <w:t>4</w:t>
                  </w:r>
                </w:p>
              </w:tc>
              <w:tc>
                <w:tcPr>
                  <w:tcW w:w="1686" w:type="dxa"/>
                  <w:vAlign w:val="center"/>
                </w:tcPr>
                <w:p>
                  <w:pPr>
                    <w:adjustRightInd w:val="0"/>
                    <w:jc w:val="center"/>
                    <w:textAlignment w:val="baseline"/>
                    <w:rPr>
                      <w:rFonts w:ascii="Times New Roman" w:hAnsi="Times New Roman" w:eastAsia="宋体" w:cs="Times New Roman"/>
                      <w:szCs w:val="18"/>
                    </w:rPr>
                  </w:pPr>
                  <w:r>
                    <w:rPr>
                      <w:rFonts w:hint="eastAsia" w:ascii="Times New Roman" w:hAnsi="Times New Roman" w:eastAsia="宋体" w:cs="Times New Roman"/>
                      <w:szCs w:val="18"/>
                    </w:rPr>
                    <w:t>散户居民1户，共1人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hint="eastAsia" w:ascii="Times New Roman" w:hAnsi="Times New Roman" w:eastAsia="宋体" w:cs="Times New Roman"/>
                      <w:szCs w:val="18"/>
                    </w:rPr>
                    <w:t>西南</w:t>
                  </w:r>
                </w:p>
              </w:tc>
              <w:tc>
                <w:tcPr>
                  <w:tcW w:w="912" w:type="dxa"/>
                  <w:vAlign w:val="center"/>
                </w:tcPr>
                <w:p>
                  <w:pPr>
                    <w:adjustRightInd w:val="0"/>
                    <w:jc w:val="center"/>
                    <w:textAlignment w:val="baseline"/>
                    <w:rPr>
                      <w:rFonts w:ascii="Times New Roman" w:hAnsi="Times New Roman" w:eastAsia="宋体" w:cs="Times New Roman"/>
                      <w:szCs w:val="18"/>
                    </w:rPr>
                  </w:pPr>
                  <w:r>
                    <w:rPr>
                      <w:rFonts w:hint="eastAsia" w:ascii="Times New Roman" w:hAnsi="Times New Roman" w:eastAsia="宋体" w:cs="Times New Roman"/>
                      <w:szCs w:val="18"/>
                    </w:rPr>
                    <w:t>2</w:t>
                  </w:r>
                  <w:r>
                    <w:rPr>
                      <w:rFonts w:ascii="Times New Roman" w:hAnsi="Times New Roman" w:eastAsia="宋体" w:cs="Times New Roman"/>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-90</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0</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散户居民1户，共3人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西</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-200</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25</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散户居民约30户，共105人</w:t>
                  </w:r>
                </w:p>
              </w:tc>
              <w:tc>
                <w:tcPr>
                  <w:tcW w:w="986"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环境空气</w:t>
                  </w: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西</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5</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5#散户居民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145</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75</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散户居民约8户，共25人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东</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6</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6#散户居民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-370</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-300</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散户居民约41户，共140人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西南</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7</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7#散户居民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-197</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385</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散户居民约32户，共110人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西北</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8</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8#散户居民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390</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440</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散户居民约9户，共30人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东北</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9</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9#散户居民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150</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-290</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散户居民约15户，共45人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东南</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hint="eastAsia" w:ascii="Times New Roman" w:hAnsi="Times New Roman" w:eastAsia="宋体" w:cs="Times New Roman"/>
                      <w:szCs w:val="18"/>
                    </w:rPr>
                    <w:t>1</w:t>
                  </w:r>
                  <w:r>
                    <w:rPr>
                      <w:rFonts w:ascii="Times New Roman" w:hAnsi="Times New Roman" w:eastAsia="宋体" w:cs="Times New Roman"/>
                      <w:szCs w:val="18"/>
                    </w:rPr>
                    <w:t>0</w:t>
                  </w:r>
                </w:p>
              </w:tc>
              <w:tc>
                <w:tcPr>
                  <w:tcW w:w="1419" w:type="dxa"/>
                  <w:vAlign w:val="center"/>
                </w:tcPr>
                <w:p>
                  <w:pPr>
                    <w:adjustRightInd w:val="0"/>
                    <w:jc w:val="center"/>
                    <w:textAlignment w:val="baseline"/>
                    <w:rPr>
                      <w:rFonts w:ascii="Times New Roman" w:hAnsi="Times New Roman" w:eastAsia="宋体" w:cs="Times New Roman"/>
                      <w:szCs w:val="18"/>
                    </w:rPr>
                  </w:pPr>
                  <w:r>
                    <w:rPr>
                      <w:rFonts w:hint="eastAsia" w:ascii="Times New Roman" w:hAnsi="Times New Roman" w:eastAsia="宋体" w:cs="Times New Roman"/>
                      <w:szCs w:val="18"/>
                    </w:rPr>
                    <w:t>1</w:t>
                  </w:r>
                  <w:r>
                    <w:rPr>
                      <w:rFonts w:ascii="Times New Roman" w:hAnsi="Times New Roman" w:eastAsia="宋体" w:cs="Times New Roman"/>
                      <w:szCs w:val="18"/>
                    </w:rPr>
                    <w:t>0</w:t>
                  </w:r>
                  <w:r>
                    <w:rPr>
                      <w:rFonts w:hint="eastAsia" w:ascii="Times New Roman" w:hAnsi="Times New Roman" w:eastAsia="宋体" w:cs="Times New Roman"/>
                      <w:szCs w:val="18"/>
                    </w:rPr>
                    <w:t>#</w:t>
                  </w:r>
                  <w:r>
                    <w:rPr>
                      <w:rFonts w:ascii="Times New Roman" w:hAnsi="Times New Roman" w:eastAsia="宋体" w:cs="Times New Roman"/>
                      <w:szCs w:val="18"/>
                    </w:rPr>
                    <w:t>散户居民</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398</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-220</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散户居民约5户，共15人</w:t>
                  </w:r>
                </w:p>
              </w:tc>
              <w:tc>
                <w:tcPr>
                  <w:tcW w:w="986" w:type="dxa"/>
                  <w:vMerge w:val="continue"/>
                  <w:vAlign w:val="center"/>
                </w:tcPr>
                <w:p>
                  <w:pPr>
                    <w:adjustRightInd w:val="0"/>
                    <w:jc w:val="center"/>
                    <w:textAlignment w:val="baseline"/>
                    <w:rPr>
                      <w:rFonts w:ascii="Times New Roman" w:hAnsi="Times New Roman" w:eastAsia="宋体" w:cs="Times New Roman"/>
                      <w:szCs w:val="18"/>
                    </w:rPr>
                  </w:pP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东南</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56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11</w:t>
                  </w:r>
                </w:p>
              </w:tc>
              <w:tc>
                <w:tcPr>
                  <w:tcW w:w="14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小安溪</w:t>
                  </w:r>
                </w:p>
              </w:tc>
              <w:tc>
                <w:tcPr>
                  <w:tcW w:w="111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p>
              </w:tc>
              <w:tc>
                <w:tcPr>
                  <w:tcW w:w="73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p>
              </w:tc>
              <w:tc>
                <w:tcPr>
                  <w:tcW w:w="16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p>
              </w:tc>
              <w:tc>
                <w:tcPr>
                  <w:tcW w:w="98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地表水</w:t>
                  </w:r>
                </w:p>
              </w:tc>
              <w:tc>
                <w:tcPr>
                  <w:tcW w:w="76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东</w:t>
                  </w:r>
                </w:p>
              </w:tc>
              <w:tc>
                <w:tcPr>
                  <w:tcW w:w="912"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20</w:t>
                  </w:r>
                </w:p>
              </w:tc>
            </w:tr>
            <w:bookmarkEnd w:id="14"/>
          </w:tbl>
          <w:p>
            <w:pPr>
              <w:autoSpaceDE w:val="0"/>
              <w:autoSpaceDN w:val="0"/>
              <w:adjustRightInd w:val="0"/>
              <w:snapToGrid w:val="0"/>
              <w:spacing w:line="360" w:lineRule="auto"/>
              <w:rPr>
                <w:rFonts w:ascii="Times New Roman" w:hAnsi="Times New Roman" w:eastAsia="宋体" w:cs="Times New Roman"/>
                <w:kern w:val="0"/>
                <w:sz w:val="24"/>
                <w:szCs w:val="24"/>
              </w:rPr>
            </w:pP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67"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污染物排放控制标准</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kern w:val="0"/>
                <w:sz w:val="22"/>
              </w:rPr>
            </w:pPr>
            <w:r>
              <w:rPr>
                <w:rFonts w:ascii="Times New Roman" w:hAnsi="Times New Roman" w:eastAsia="宋体" w:cs="Times New Roman"/>
                <w:b/>
                <w:bCs/>
                <w:kern w:val="0"/>
                <w:sz w:val="24"/>
                <w:szCs w:val="24"/>
              </w:rPr>
              <w:t>3.5 污染物排放标准</w:t>
            </w:r>
          </w:p>
          <w:p>
            <w:pPr>
              <w:autoSpaceDE w:val="0"/>
              <w:autoSpaceDN w:val="0"/>
              <w:adjustRightInd w:val="0"/>
              <w:snapToGrid w:val="0"/>
              <w:spacing w:line="360" w:lineRule="auto"/>
              <w:ind w:firstLine="482" w:firstLineChars="200"/>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（1）废气</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本项目排放的大气污染物主要为熔炼过程产生的熔炼废气</w:t>
            </w:r>
            <w:r>
              <w:rPr>
                <w:rFonts w:hint="eastAsia" w:ascii="Times New Roman" w:hAnsi="Times New Roman" w:eastAsia="宋体" w:cs="Times New Roman"/>
                <w:kern w:val="0"/>
                <w:sz w:val="24"/>
                <w:szCs w:val="24"/>
              </w:rPr>
              <w:t>（含天然气燃烧废气）</w:t>
            </w:r>
            <w:r>
              <w:rPr>
                <w:rFonts w:ascii="Times New Roman" w:hAnsi="Times New Roman" w:eastAsia="宋体" w:cs="Times New Roman"/>
                <w:kern w:val="0"/>
                <w:sz w:val="24"/>
                <w:szCs w:val="24"/>
              </w:rPr>
              <w:t>、打磨过程产生的打磨粉尘、抛丸过程产生的抛丸粉尘，其中熔炼、打磨和抛丸过程产生的颗粒物，以及熔炼过程中燃烧天然气产生的二氧化硫、氮氧化物均执行《铸造工业大气污染物排放标准》（GB39726-2020）排放标准限值。</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由于《铸造工业大气污染物排放标准》(GB39726-2020)中非甲烷总烃限值仅适用于表面涂装，压铸</w:t>
            </w:r>
            <w:r>
              <w:rPr>
                <w:rFonts w:hint="eastAsia" w:ascii="Times New Roman" w:hAnsi="Times New Roman" w:eastAsia="宋体" w:cs="Times New Roman"/>
                <w:kern w:val="0"/>
                <w:sz w:val="24"/>
                <w:szCs w:val="24"/>
              </w:rPr>
              <w:t>工序的脱模</w:t>
            </w:r>
            <w:r>
              <w:rPr>
                <w:rFonts w:ascii="Times New Roman" w:hAnsi="Times New Roman" w:eastAsia="宋体" w:cs="Times New Roman"/>
                <w:kern w:val="0"/>
                <w:sz w:val="24"/>
                <w:szCs w:val="24"/>
              </w:rPr>
              <w:t>过程产生的非甲烷总烃不适用该标准；故压铸废气中的非甲烷总烃</w:t>
            </w:r>
            <w:r>
              <w:rPr>
                <w:rFonts w:hint="eastAsia" w:ascii="Times New Roman" w:hAnsi="Times New Roman" w:eastAsia="宋体" w:cs="Times New Roman"/>
                <w:kern w:val="0"/>
                <w:sz w:val="24"/>
                <w:szCs w:val="24"/>
              </w:rPr>
              <w:t>参照</w:t>
            </w:r>
            <w:r>
              <w:rPr>
                <w:rFonts w:ascii="Times New Roman" w:hAnsi="Times New Roman" w:eastAsia="宋体" w:cs="Times New Roman"/>
                <w:kern w:val="0"/>
                <w:sz w:val="24"/>
                <w:szCs w:val="24"/>
              </w:rPr>
              <w:t>执行重庆市地方标准《大气污染物综合排放标准》(DB50/418-2016)。</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污染物排放限值见表3.5-1~3.5-2。</w:t>
            </w:r>
          </w:p>
          <w:p>
            <w:pPr>
              <w:adjustRightInd w:val="0"/>
              <w:snapToGrid w:val="0"/>
              <w:spacing w:line="460" w:lineRule="exact"/>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表3.5-1  铸造工业大气污染物排放标准  （mg/m³）</w:t>
            </w:r>
          </w:p>
          <w:tbl>
            <w:tblPr>
              <w:tblStyle w:val="18"/>
              <w:tblW w:w="81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
              <w:gridCol w:w="1163"/>
              <w:gridCol w:w="1276"/>
              <w:gridCol w:w="709"/>
              <w:gridCol w:w="708"/>
              <w:gridCol w:w="709"/>
              <w:gridCol w:w="633"/>
              <w:gridCol w:w="935"/>
              <w:gridCol w:w="85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319"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序号</w:t>
                  </w:r>
                </w:p>
              </w:tc>
              <w:tc>
                <w:tcPr>
                  <w:tcW w:w="2439" w:type="dxa"/>
                  <w:gridSpan w:val="2"/>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生产过程</w:t>
                  </w:r>
                </w:p>
              </w:tc>
              <w:tc>
                <w:tcPr>
                  <w:tcW w:w="2759" w:type="dxa"/>
                  <w:gridSpan w:val="4"/>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有组织排放限值（mg/m</w:t>
                  </w:r>
                  <w:r>
                    <w:rPr>
                      <w:rFonts w:ascii="Times New Roman" w:hAnsi="Times New Roman" w:eastAsia="宋体" w:cs="Times New Roman"/>
                      <w:szCs w:val="18"/>
                      <w:vertAlign w:val="superscript"/>
                    </w:rPr>
                    <w:t>3</w:t>
                  </w:r>
                  <w:r>
                    <w:rPr>
                      <w:rFonts w:ascii="Times New Roman" w:hAnsi="Times New Roman" w:eastAsia="宋体" w:cs="Times New Roman"/>
                      <w:szCs w:val="18"/>
                    </w:rPr>
                    <w:t>）</w:t>
                  </w:r>
                </w:p>
              </w:tc>
              <w:tc>
                <w:tcPr>
                  <w:tcW w:w="2644" w:type="dxa"/>
                  <w:gridSpan w:val="3"/>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厂内无组织排放限值（mg/m</w:t>
                  </w:r>
                  <w:r>
                    <w:rPr>
                      <w:rFonts w:ascii="Times New Roman" w:hAnsi="Times New Roman" w:eastAsia="宋体" w:cs="Times New Roman"/>
                      <w:szCs w:val="18"/>
                      <w:vertAlign w:val="superscript"/>
                    </w:rPr>
                    <w:t>3</w:t>
                  </w:r>
                  <w:r>
                    <w:rPr>
                      <w:rFonts w:ascii="Times New Roman" w:hAnsi="Times New Roman" w:eastAsia="宋体" w:cs="Times New Roman"/>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19" w:type="dxa"/>
                  <w:vMerge w:val="continue"/>
                  <w:vAlign w:val="center"/>
                </w:tcPr>
                <w:p>
                  <w:pPr>
                    <w:adjustRightInd w:val="0"/>
                    <w:jc w:val="center"/>
                    <w:textAlignment w:val="baseline"/>
                    <w:rPr>
                      <w:rFonts w:ascii="Times New Roman" w:hAnsi="Times New Roman" w:eastAsia="宋体" w:cs="Times New Roman"/>
                      <w:szCs w:val="18"/>
                    </w:rPr>
                  </w:pPr>
                </w:p>
              </w:tc>
              <w:tc>
                <w:tcPr>
                  <w:tcW w:w="2439" w:type="dxa"/>
                  <w:gridSpan w:val="2"/>
                  <w:vMerge w:val="continue"/>
                  <w:vAlign w:val="center"/>
                </w:tcPr>
                <w:p>
                  <w:pPr>
                    <w:adjustRightInd w:val="0"/>
                    <w:jc w:val="center"/>
                    <w:textAlignment w:val="baseline"/>
                    <w:rPr>
                      <w:rFonts w:ascii="Times New Roman" w:hAnsi="Times New Roman" w:eastAsia="宋体" w:cs="Times New Roman"/>
                      <w:szCs w:val="18"/>
                    </w:rPr>
                  </w:pPr>
                </w:p>
              </w:tc>
              <w:tc>
                <w:tcPr>
                  <w:tcW w:w="709"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颗粒物</w:t>
                  </w:r>
                </w:p>
              </w:tc>
              <w:tc>
                <w:tcPr>
                  <w:tcW w:w="708"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二氧化硫</w:t>
                  </w:r>
                </w:p>
              </w:tc>
              <w:tc>
                <w:tcPr>
                  <w:tcW w:w="709"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氮氧化物</w:t>
                  </w:r>
                </w:p>
              </w:tc>
              <w:tc>
                <w:tcPr>
                  <w:tcW w:w="633"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NMHC</w:t>
                  </w:r>
                </w:p>
              </w:tc>
              <w:tc>
                <w:tcPr>
                  <w:tcW w:w="93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颗粒物</w:t>
                  </w:r>
                </w:p>
              </w:tc>
              <w:tc>
                <w:tcPr>
                  <w:tcW w:w="1709" w:type="dxa"/>
                  <w:gridSpan w:val="2"/>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3" w:hRule="atLeast"/>
                <w:jc w:val="center"/>
              </w:trPr>
              <w:tc>
                <w:tcPr>
                  <w:tcW w:w="319" w:type="dxa"/>
                  <w:vMerge w:val="continue"/>
                  <w:vAlign w:val="center"/>
                </w:tcPr>
                <w:p>
                  <w:pPr>
                    <w:adjustRightInd w:val="0"/>
                    <w:jc w:val="center"/>
                    <w:textAlignment w:val="baseline"/>
                    <w:rPr>
                      <w:rFonts w:ascii="Times New Roman" w:hAnsi="Times New Roman" w:eastAsia="宋体" w:cs="Times New Roman"/>
                      <w:szCs w:val="18"/>
                    </w:rPr>
                  </w:pPr>
                </w:p>
              </w:tc>
              <w:tc>
                <w:tcPr>
                  <w:tcW w:w="2439" w:type="dxa"/>
                  <w:gridSpan w:val="2"/>
                  <w:vMerge w:val="continue"/>
                  <w:vAlign w:val="center"/>
                </w:tcPr>
                <w:p>
                  <w:pPr>
                    <w:adjustRightInd w:val="0"/>
                    <w:jc w:val="center"/>
                    <w:textAlignment w:val="baseline"/>
                    <w:rPr>
                      <w:rFonts w:ascii="Times New Roman" w:hAnsi="Times New Roman" w:eastAsia="宋体" w:cs="Times New Roman"/>
                      <w:szCs w:val="18"/>
                    </w:rPr>
                  </w:pPr>
                </w:p>
              </w:tc>
              <w:tc>
                <w:tcPr>
                  <w:tcW w:w="709" w:type="dxa"/>
                  <w:vMerge w:val="continue"/>
                  <w:vAlign w:val="center"/>
                </w:tcPr>
                <w:p>
                  <w:pPr>
                    <w:adjustRightInd w:val="0"/>
                    <w:jc w:val="center"/>
                    <w:textAlignment w:val="baseline"/>
                    <w:rPr>
                      <w:rFonts w:ascii="Times New Roman" w:hAnsi="Times New Roman" w:eastAsia="宋体" w:cs="Times New Roman"/>
                      <w:szCs w:val="18"/>
                    </w:rPr>
                  </w:pPr>
                </w:p>
              </w:tc>
              <w:tc>
                <w:tcPr>
                  <w:tcW w:w="708" w:type="dxa"/>
                  <w:vMerge w:val="continue"/>
                  <w:vAlign w:val="center"/>
                </w:tcPr>
                <w:p>
                  <w:pPr>
                    <w:adjustRightInd w:val="0"/>
                    <w:jc w:val="center"/>
                    <w:textAlignment w:val="baseline"/>
                    <w:rPr>
                      <w:rFonts w:ascii="Times New Roman" w:hAnsi="Times New Roman" w:eastAsia="宋体" w:cs="Times New Roman"/>
                      <w:szCs w:val="18"/>
                    </w:rPr>
                  </w:pPr>
                </w:p>
              </w:tc>
              <w:tc>
                <w:tcPr>
                  <w:tcW w:w="709" w:type="dxa"/>
                  <w:vMerge w:val="continue"/>
                  <w:vAlign w:val="center"/>
                </w:tcPr>
                <w:p>
                  <w:pPr>
                    <w:adjustRightInd w:val="0"/>
                    <w:jc w:val="center"/>
                    <w:textAlignment w:val="baseline"/>
                    <w:rPr>
                      <w:rFonts w:ascii="Times New Roman" w:hAnsi="Times New Roman" w:eastAsia="宋体" w:cs="Times New Roman"/>
                      <w:szCs w:val="18"/>
                    </w:rPr>
                  </w:pPr>
                </w:p>
              </w:tc>
              <w:tc>
                <w:tcPr>
                  <w:tcW w:w="633" w:type="dxa"/>
                  <w:vMerge w:val="continue"/>
                  <w:vAlign w:val="center"/>
                </w:tcPr>
                <w:p>
                  <w:pPr>
                    <w:adjustRightInd w:val="0"/>
                    <w:jc w:val="center"/>
                    <w:textAlignment w:val="baseline"/>
                    <w:rPr>
                      <w:rFonts w:ascii="Times New Roman" w:hAnsi="Times New Roman" w:eastAsia="宋体" w:cs="Times New Roman"/>
                      <w:szCs w:val="18"/>
                    </w:rPr>
                  </w:pPr>
                </w:p>
              </w:tc>
              <w:tc>
                <w:tcPr>
                  <w:tcW w:w="93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监控点处1h平均浓度值</w:t>
                  </w:r>
                </w:p>
              </w:tc>
              <w:tc>
                <w:tcPr>
                  <w:tcW w:w="850"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监控点处1h平均浓度值</w:t>
                  </w:r>
                </w:p>
              </w:tc>
              <w:tc>
                <w:tcPr>
                  <w:tcW w:w="85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监控点处任意一次浓度值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w:t>
                  </w:r>
                </w:p>
              </w:tc>
              <w:tc>
                <w:tcPr>
                  <w:tcW w:w="1163"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金属熔炼</w:t>
                  </w:r>
                </w:p>
              </w:tc>
              <w:tc>
                <w:tcPr>
                  <w:tcW w:w="127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燃气炉</w:t>
                  </w:r>
                </w:p>
              </w:tc>
              <w:tc>
                <w:tcPr>
                  <w:tcW w:w="70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30</w:t>
                  </w:r>
                </w:p>
              </w:tc>
              <w:tc>
                <w:tcPr>
                  <w:tcW w:w="70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100</w:t>
                  </w:r>
                </w:p>
              </w:tc>
              <w:tc>
                <w:tcPr>
                  <w:tcW w:w="70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400</w:t>
                  </w:r>
                </w:p>
              </w:tc>
              <w:tc>
                <w:tcPr>
                  <w:tcW w:w="633"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p>
              </w:tc>
              <w:tc>
                <w:tcPr>
                  <w:tcW w:w="93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5</w:t>
                  </w:r>
                </w:p>
              </w:tc>
              <w:tc>
                <w:tcPr>
                  <w:tcW w:w="850"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10</w:t>
                  </w:r>
                </w:p>
              </w:tc>
              <w:tc>
                <w:tcPr>
                  <w:tcW w:w="85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31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2</w:t>
                  </w:r>
                </w:p>
              </w:tc>
              <w:tc>
                <w:tcPr>
                  <w:tcW w:w="1163"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落砂、清理</w:t>
                  </w:r>
                </w:p>
              </w:tc>
              <w:tc>
                <w:tcPr>
                  <w:tcW w:w="1276"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落砂机、抛（喷）丸机等清理设备</w:t>
                  </w:r>
                </w:p>
              </w:tc>
              <w:tc>
                <w:tcPr>
                  <w:tcW w:w="70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30</w:t>
                  </w:r>
                </w:p>
              </w:tc>
              <w:tc>
                <w:tcPr>
                  <w:tcW w:w="70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p>
              </w:tc>
              <w:tc>
                <w:tcPr>
                  <w:tcW w:w="70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p>
              </w:tc>
              <w:tc>
                <w:tcPr>
                  <w:tcW w:w="633"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w:t>
                  </w:r>
                </w:p>
              </w:tc>
              <w:tc>
                <w:tcPr>
                  <w:tcW w:w="935"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5</w:t>
                  </w:r>
                </w:p>
              </w:tc>
              <w:tc>
                <w:tcPr>
                  <w:tcW w:w="850"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10</w:t>
                  </w:r>
                </w:p>
              </w:tc>
              <w:tc>
                <w:tcPr>
                  <w:tcW w:w="859"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8161" w:type="dxa"/>
                  <w:gridSpan w:val="10"/>
                  <w:vAlign w:val="center"/>
                </w:tcPr>
                <w:p>
                  <w:pPr>
                    <w:adjustRightInd w:val="0"/>
                    <w:textAlignment w:val="baseline"/>
                    <w:rPr>
                      <w:rFonts w:ascii="Times New Roman" w:hAnsi="Times New Roman" w:eastAsia="宋体" w:cs="Times New Roman"/>
                      <w:szCs w:val="18"/>
                    </w:rPr>
                  </w:pPr>
                  <w:r>
                    <w:rPr>
                      <w:rFonts w:ascii="Times New Roman" w:hAnsi="Times New Roman" w:eastAsia="宋体" w:cs="Times New Roman"/>
                      <w:szCs w:val="18"/>
                    </w:rPr>
                    <w:t>注：无组织在厂房外设置监控点。因本项目厂房外即厂界，因此非甲烷总烃执行</w:t>
                  </w:r>
                  <w:r>
                    <w:rPr>
                      <w:rFonts w:hint="eastAsia" w:ascii="Times New Roman" w:hAnsi="Times New Roman" w:eastAsia="宋体" w:cs="Times New Roman"/>
                      <w:szCs w:val="18"/>
                    </w:rPr>
                    <w:t>大气污染物综合排放标准，更为严格。</w:t>
                  </w:r>
                </w:p>
              </w:tc>
            </w:tr>
          </w:tbl>
          <w:p>
            <w:pPr>
              <w:autoSpaceDE w:val="0"/>
              <w:autoSpaceDN w:val="0"/>
              <w:spacing w:before="156" w:beforeLines="50" w:line="360" w:lineRule="auto"/>
              <w:ind w:firstLine="482" w:firstLineChars="20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表3.5-2  大气污染物综合排放标准</w:t>
            </w:r>
          </w:p>
          <w:tbl>
            <w:tblPr>
              <w:tblStyle w:val="19"/>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627"/>
              <w:gridCol w:w="1627"/>
              <w:gridCol w:w="1628"/>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627"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污染物</w:t>
                  </w:r>
                </w:p>
              </w:tc>
              <w:tc>
                <w:tcPr>
                  <w:tcW w:w="1627"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最高允许浓度（mg/m</w:t>
                  </w:r>
                  <w:r>
                    <w:rPr>
                      <w:rFonts w:ascii="Times New Roman" w:hAnsi="Times New Roman" w:eastAsia="宋体" w:cs="Times New Roman"/>
                      <w:szCs w:val="18"/>
                      <w:vertAlign w:val="superscript"/>
                    </w:rPr>
                    <w:t>3</w:t>
                  </w:r>
                  <w:r>
                    <w:rPr>
                      <w:rFonts w:ascii="Times New Roman" w:hAnsi="Times New Roman" w:eastAsia="宋体" w:cs="Times New Roman"/>
                      <w:szCs w:val="18"/>
                    </w:rPr>
                    <w:t>）</w:t>
                  </w:r>
                </w:p>
              </w:tc>
              <w:tc>
                <w:tcPr>
                  <w:tcW w:w="3255" w:type="dxa"/>
                  <w:gridSpan w:val="2"/>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最高允许排放速率（kg/h）</w:t>
                  </w:r>
                </w:p>
              </w:tc>
              <w:tc>
                <w:tcPr>
                  <w:tcW w:w="1628" w:type="dxa"/>
                  <w:vMerge w:val="restart"/>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无组织排放监控浓度限值（mg/m</w:t>
                  </w:r>
                  <w:r>
                    <w:rPr>
                      <w:rFonts w:ascii="Times New Roman" w:hAnsi="Times New Roman" w:eastAsia="宋体" w:cs="Times New Roman"/>
                      <w:szCs w:val="18"/>
                      <w:vertAlign w:val="superscript"/>
                    </w:rPr>
                    <w:t>3</w:t>
                  </w:r>
                  <w:r>
                    <w:rPr>
                      <w:rFonts w:ascii="Times New Roman" w:hAnsi="Times New Roman" w:eastAsia="宋体" w:cs="Times New Roman"/>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1627" w:type="dxa"/>
                  <w:vMerge w:val="continue"/>
                  <w:vAlign w:val="center"/>
                </w:tcPr>
                <w:p>
                  <w:pPr>
                    <w:adjustRightInd w:val="0"/>
                    <w:jc w:val="center"/>
                    <w:textAlignment w:val="baseline"/>
                    <w:rPr>
                      <w:rFonts w:ascii="Times New Roman" w:hAnsi="Times New Roman" w:eastAsia="宋体" w:cs="Times New Roman"/>
                      <w:szCs w:val="18"/>
                    </w:rPr>
                  </w:pPr>
                </w:p>
              </w:tc>
              <w:tc>
                <w:tcPr>
                  <w:tcW w:w="1627" w:type="dxa"/>
                  <w:vMerge w:val="continue"/>
                  <w:vAlign w:val="center"/>
                </w:tcPr>
                <w:p>
                  <w:pPr>
                    <w:adjustRightInd w:val="0"/>
                    <w:jc w:val="center"/>
                    <w:textAlignment w:val="baseline"/>
                    <w:rPr>
                      <w:rFonts w:ascii="Times New Roman" w:hAnsi="Times New Roman" w:eastAsia="宋体" w:cs="Times New Roman"/>
                      <w:szCs w:val="18"/>
                    </w:rPr>
                  </w:pPr>
                </w:p>
              </w:tc>
              <w:tc>
                <w:tcPr>
                  <w:tcW w:w="1627"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排气筒（m）</w:t>
                  </w:r>
                </w:p>
              </w:tc>
              <w:tc>
                <w:tcPr>
                  <w:tcW w:w="162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速率（kg/h）</w:t>
                  </w:r>
                </w:p>
              </w:tc>
              <w:tc>
                <w:tcPr>
                  <w:tcW w:w="1628" w:type="dxa"/>
                  <w:vMerge w:val="continue"/>
                  <w:vAlign w:val="center"/>
                </w:tcPr>
                <w:p>
                  <w:pPr>
                    <w:adjustRightInd w:val="0"/>
                    <w:jc w:val="center"/>
                    <w:textAlignment w:val="baseline"/>
                    <w:rPr>
                      <w:rFonts w:ascii="Times New Roman" w:hAnsi="Times New Roman" w:eastAsia="宋体" w:cs="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非甲烷总烃</w:t>
                  </w:r>
                </w:p>
              </w:tc>
              <w:tc>
                <w:tcPr>
                  <w:tcW w:w="1627"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120</w:t>
                  </w:r>
                </w:p>
              </w:tc>
              <w:tc>
                <w:tcPr>
                  <w:tcW w:w="1627"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15</w:t>
                  </w:r>
                </w:p>
              </w:tc>
              <w:tc>
                <w:tcPr>
                  <w:tcW w:w="162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10</w:t>
                  </w:r>
                </w:p>
              </w:tc>
              <w:tc>
                <w:tcPr>
                  <w:tcW w:w="1628" w:type="dxa"/>
                  <w:vAlign w:val="center"/>
                </w:tcPr>
                <w:p>
                  <w:pPr>
                    <w:adjustRightInd w:val="0"/>
                    <w:jc w:val="center"/>
                    <w:textAlignment w:val="baseline"/>
                    <w:rPr>
                      <w:rFonts w:ascii="Times New Roman" w:hAnsi="Times New Roman" w:eastAsia="宋体" w:cs="Times New Roman"/>
                      <w:szCs w:val="18"/>
                    </w:rPr>
                  </w:pPr>
                  <w:r>
                    <w:rPr>
                      <w:rFonts w:ascii="Times New Roman" w:hAnsi="Times New Roman" w:eastAsia="宋体" w:cs="Times New Roman"/>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7" w:type="dxa"/>
                  <w:gridSpan w:val="5"/>
                  <w:vAlign w:val="center"/>
                </w:tcPr>
                <w:p>
                  <w:pPr>
                    <w:adjustRightInd w:val="0"/>
                    <w:textAlignment w:val="baseline"/>
                    <w:rPr>
                      <w:rFonts w:ascii="Times New Roman" w:hAnsi="Times New Roman" w:eastAsia="宋体" w:cs="Times New Roman"/>
                      <w:szCs w:val="18"/>
                    </w:rPr>
                  </w:pPr>
                  <w:r>
                    <w:rPr>
                      <w:rFonts w:hint="eastAsia" w:ascii="Times New Roman" w:hAnsi="Times New Roman" w:eastAsia="宋体" w:cs="Times New Roman"/>
                      <w:szCs w:val="18"/>
                    </w:rPr>
                    <w:t>注：因本项目厂房外即厂界，因此非甲烷总烃执行大气污染物综合排放标准。</w:t>
                  </w:r>
                </w:p>
              </w:tc>
            </w:tr>
          </w:tbl>
          <w:p>
            <w:pPr>
              <w:autoSpaceDE w:val="0"/>
              <w:autoSpaceDN w:val="0"/>
              <w:spacing w:before="156" w:beforeLines="50" w:line="360" w:lineRule="auto"/>
              <w:ind w:firstLine="480" w:firstLineChars="200"/>
              <w:rPr>
                <w:rFonts w:ascii="Times New Roman" w:hAnsi="Times New Roman" w:eastAsia="宋体" w:cs="Times New Roman"/>
                <w:b/>
                <w:bCs/>
                <w:kern w:val="0"/>
                <w:sz w:val="24"/>
                <w:szCs w:val="24"/>
              </w:rPr>
            </w:pPr>
            <w:r>
              <w:rPr>
                <w:rFonts w:ascii="Times New Roman" w:hAnsi="Times New Roman" w:eastAsia="宋体" w:cs="Times New Roman"/>
                <w:sz w:val="24"/>
                <w:szCs w:val="24"/>
              </w:rPr>
              <w:t>项目生产过程中应按照《挥发性有机物无组织排放控制标准》</w:t>
            </w:r>
            <w:r>
              <w:fldChar w:fldCharType="begin"/>
            </w:r>
            <w:r>
              <w:instrText xml:space="preserve"> HYPERLINK "http://www.mee.gov.cn/ywgz/fgbz/bz/bzwb/dqhjbh/dqgdwrywrwpfbz/201906/W020190606587693632696.pdf" </w:instrText>
            </w:r>
            <w:r>
              <w:fldChar w:fldCharType="separate"/>
            </w:r>
            <w:r>
              <w:rPr>
                <w:rFonts w:ascii="Times New Roman" w:hAnsi="Times New Roman" w:eastAsia="宋体" w:cs="Times New Roman"/>
                <w:sz w:val="24"/>
                <w:szCs w:val="24"/>
              </w:rPr>
              <w:t>（GB 37822—2019）</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要求采取相应的控制措施。</w:t>
            </w:r>
          </w:p>
          <w:p>
            <w:pPr>
              <w:autoSpaceDE w:val="0"/>
              <w:autoSpaceDN w:val="0"/>
              <w:spacing w:before="156" w:beforeLines="50"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（2）废水</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拟建项目营运期产生的废水为员工办公生活污水</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经生化池处理后作为农肥使用，不外排。</w:t>
            </w:r>
          </w:p>
          <w:p>
            <w:pPr>
              <w:autoSpaceDE w:val="0"/>
              <w:autoSpaceDN w:val="0"/>
              <w:spacing w:before="156" w:beforeLines="50"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（3）噪声</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项目营运期厂界噪声执行《工业企业厂界环境噪声排放标准》（GB12348-2008）中2类标准，即昼间≤60dB，夜间≤50dB。</w:t>
            </w:r>
          </w:p>
          <w:p>
            <w:pPr>
              <w:autoSpaceDE w:val="0"/>
              <w:autoSpaceDN w:val="0"/>
              <w:spacing w:before="156" w:beforeLines="50"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（4）固废</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一般工业固体废物贮存和填埋污染控制标准》（GB18599-2020）中要求，采用库房、包装工具（罐、桶、包装袋等）贮存一般工业固体废物过程的污染控制，不适用GB18599-2020，其贮存过程应满足相应防渗漏、防雨淋、防扬尘等环境保护要求。同时一般固体废物分类执行《一般固体废物分类与代码》（GB/T39198-2020）相关要求。危险废物执行《危险废物贮存污染控制标准》（GB18597-2023）。</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总量控制指标</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3.6 总量控制</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本项目控制指标如下所示。</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废气：</w:t>
            </w:r>
          </w:p>
          <w:p>
            <w:pPr>
              <w:autoSpaceDE w:val="0"/>
              <w:autoSpaceDN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颗粒物：0.218t/a；SO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：0.017t/a；NO</w:t>
            </w:r>
            <w:r>
              <w:rPr>
                <w:rFonts w:ascii="Times New Roman" w:hAnsi="Times New Roman" w:eastAsia="宋体" w:cs="Times New Roman"/>
                <w:kern w:val="0"/>
                <w:sz w:val="24"/>
                <w:szCs w:val="24"/>
                <w:vertAlign w:val="subscript"/>
              </w:rPr>
              <w:t>x</w:t>
            </w:r>
            <w:r>
              <w:rPr>
                <w:rFonts w:ascii="Times New Roman" w:hAnsi="Times New Roman" w:eastAsia="宋体" w:cs="Times New Roman"/>
                <w:kern w:val="0"/>
                <w:sz w:val="24"/>
                <w:szCs w:val="24"/>
              </w:rPr>
              <w:t>：0.163t/a</w:t>
            </w:r>
            <w:r>
              <w:rPr>
                <w:rFonts w:hint="eastAsia" w:ascii="Times New Roman" w:hAnsi="Times New Roman" w:eastAsia="宋体" w:cs="Times New Roman"/>
                <w:kern w:val="0"/>
                <w:sz w:val="24"/>
                <w:szCs w:val="24"/>
              </w:rPr>
              <w:t>；非甲烷总烃：0</w:t>
            </w:r>
            <w:r>
              <w:rPr>
                <w:rFonts w:ascii="Times New Roman" w:hAnsi="Times New Roman" w:eastAsia="宋体" w:cs="Times New Roman"/>
                <w:kern w:val="0"/>
                <w:sz w:val="24"/>
                <w:szCs w:val="24"/>
              </w:rPr>
              <w:t>.608</w:t>
            </w:r>
            <w:r>
              <w:rPr>
                <w:rFonts w:hint="eastAsia" w:ascii="Times New Roman" w:hAnsi="Times New Roman" w:eastAsia="宋体" w:cs="Times New Roman"/>
                <w:kern w:val="0"/>
                <w:sz w:val="24"/>
                <w:szCs w:val="24"/>
              </w:rPr>
              <w:t>t/a</w:t>
            </w:r>
            <w:r>
              <w:rPr>
                <w:rFonts w:ascii="Times New Roman" w:hAnsi="Times New Roman" w:eastAsia="宋体" w:cs="Times New Roman"/>
                <w:kern w:val="0"/>
                <w:sz w:val="24"/>
                <w:szCs w:val="24"/>
              </w:rPr>
              <w:t>。</w:t>
            </w:r>
          </w:p>
          <w:p>
            <w:pPr>
              <w:autoSpaceDE w:val="0"/>
              <w:autoSpaceDN w:val="0"/>
              <w:spacing w:line="360" w:lineRule="auto"/>
              <w:ind w:firstLine="480" w:firstLineChars="200"/>
              <w:rPr>
                <w:rFonts w:ascii="Times New Roman" w:hAnsi="Times New Roman" w:eastAsia="宋体" w:cs="Times New Roman"/>
                <w:kern w:val="0"/>
                <w:sz w:val="24"/>
                <w:szCs w:val="24"/>
              </w:rPr>
            </w:pPr>
          </w:p>
          <w:p>
            <w:pPr>
              <w:autoSpaceDE w:val="0"/>
              <w:autoSpaceDN w:val="0"/>
              <w:spacing w:line="360" w:lineRule="auto"/>
              <w:ind w:firstLine="480" w:firstLineChars="200"/>
              <w:rPr>
                <w:rFonts w:ascii="Times New Roman" w:hAnsi="Times New Roman" w:eastAsia="宋体" w:cs="Times New Roman"/>
                <w:kern w:val="0"/>
                <w:sz w:val="24"/>
                <w:szCs w:val="24"/>
              </w:rPr>
            </w:pPr>
          </w:p>
          <w:p>
            <w:pPr>
              <w:autoSpaceDE w:val="0"/>
              <w:autoSpaceDN w:val="0"/>
              <w:spacing w:line="360" w:lineRule="auto"/>
              <w:ind w:firstLine="480" w:firstLineChars="200"/>
              <w:rPr>
                <w:rFonts w:ascii="Times New Roman" w:hAnsi="Times New Roman" w:eastAsia="宋体" w:cs="Times New Roman"/>
                <w:kern w:val="0"/>
                <w:sz w:val="24"/>
                <w:szCs w:val="24"/>
              </w:rPr>
            </w:pPr>
          </w:p>
          <w:p>
            <w:pPr>
              <w:autoSpaceDE w:val="0"/>
              <w:autoSpaceDN w:val="0"/>
              <w:spacing w:line="360" w:lineRule="auto"/>
              <w:rPr>
                <w:rFonts w:ascii="Times New Roman" w:hAnsi="Times New Roman" w:eastAsia="宋体" w:cs="Times New Roman"/>
                <w:kern w:val="0"/>
                <w:sz w:val="24"/>
                <w:szCs w:val="24"/>
              </w:rPr>
            </w:pPr>
          </w:p>
          <w:p>
            <w:pPr>
              <w:autoSpaceDE w:val="0"/>
              <w:autoSpaceDN w:val="0"/>
              <w:spacing w:line="360" w:lineRule="auto"/>
              <w:rPr>
                <w:rFonts w:ascii="Times New Roman" w:hAnsi="Times New Roman" w:eastAsia="宋体" w:cs="Times New Roman"/>
                <w:kern w:val="0"/>
                <w:sz w:val="24"/>
                <w:szCs w:val="24"/>
              </w:rPr>
            </w:pPr>
          </w:p>
        </w:tc>
      </w:tr>
    </w:tbl>
    <w:p>
      <w:pPr>
        <w:jc w:val="center"/>
        <w:rPr>
          <w:rFonts w:ascii="Times New Roman" w:hAnsi="Times New Roman" w:eastAsia="黑体" w:cs="Times New Roman"/>
          <w:sz w:val="30"/>
          <w:szCs w:val="30"/>
        </w:rPr>
        <w:sectPr>
          <w:pgSz w:w="11906" w:h="16838"/>
          <w:pgMar w:top="1440" w:right="1800" w:bottom="1440" w:left="1800" w:header="851" w:footer="992" w:gutter="0"/>
          <w:pgNumType w:fmt="numberInDash"/>
          <w:cols w:space="425" w:num="1"/>
          <w:docGrid w:type="lines" w:linePitch="312" w:charSpace="0"/>
        </w:sectPr>
      </w:pPr>
    </w:p>
    <w:p>
      <w:pPr>
        <w:jc w:val="center"/>
        <w:rPr>
          <w:rFonts w:ascii="Times New Roman" w:hAnsi="Times New Roman" w:eastAsia="黑体" w:cs="Times New Roman"/>
          <w:sz w:val="30"/>
          <w:szCs w:val="30"/>
        </w:rPr>
      </w:pPr>
      <w:r>
        <w:rPr>
          <w:rFonts w:ascii="Times New Roman" w:hAnsi="Times New Roman" w:eastAsia="黑体" w:cs="Times New Roman"/>
          <w:sz w:val="30"/>
          <w:szCs w:val="30"/>
        </w:rPr>
        <w:t>四、主要环境影响和保护措施</w:t>
      </w:r>
    </w:p>
    <w:tbl>
      <w:tblPr>
        <w:tblStyle w:val="18"/>
        <w:tblW w:w="9062" w:type="dxa"/>
        <w:jc w:val="center"/>
        <w:tblInd w:w="0" w:type="dxa"/>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bookmarkStart w:id="15" w:name="_Hlk66309637"/>
            <w:r>
              <w:rPr>
                <w:rFonts w:ascii="Times New Roman" w:hAnsi="Times New Roman" w:eastAsia="宋体" w:cs="Times New Roman"/>
                <w:kern w:val="0"/>
                <w:sz w:val="22"/>
              </w:rPr>
              <w:t>施工期环境保护措施</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4.1 施工期环境保护措施</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本项目租赁标准厂房进行生产，仅需进行简单室内装修及设备安装，施工期影响为短暂影响</w:t>
            </w:r>
            <w:r>
              <w:rPr>
                <w:rFonts w:hint="eastAsia" w:ascii="Times New Roman" w:hAnsi="Times New Roman" w:eastAsia="宋体" w:cs="Times New Roman"/>
                <w:kern w:val="0"/>
                <w:sz w:val="24"/>
                <w:szCs w:val="24"/>
              </w:rPr>
              <w:t>，对周边环境影响小</w:t>
            </w:r>
            <w:r>
              <w:rPr>
                <w:rFonts w:ascii="Times New Roman" w:hAnsi="Times New Roman" w:eastAsia="宋体" w:cs="Times New Roman"/>
                <w:kern w:val="0"/>
                <w:sz w:val="24"/>
                <w:szCs w:val="24"/>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运营期环境影响和保护措施</w:t>
            </w:r>
          </w:p>
        </w:tc>
        <w:tc>
          <w:tcPr>
            <w:tcW w:w="8363" w:type="dxa"/>
            <w:vAlign w:val="center"/>
          </w:tcPr>
          <w:p>
            <w:pPr>
              <w:autoSpaceDE w:val="0"/>
              <w:autoSpaceDN w:val="0"/>
              <w:adjustRightInd w:val="0"/>
              <w:snapToGrid w:val="0"/>
              <w:spacing w:line="360" w:lineRule="auto"/>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4.2 废气</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4.2.1正常工况</w:t>
            </w:r>
          </w:p>
          <w:p>
            <w:pPr>
              <w:adjustRightInd w:val="0"/>
              <w:snapToGrid w:val="0"/>
              <w:spacing w:line="360" w:lineRule="auto"/>
              <w:ind w:firstLine="482" w:firstLineChars="200"/>
              <w:rPr>
                <w:rFonts w:ascii="Times New Roman" w:hAnsi="Times New Roman" w:eastAsia="宋体" w:cs="Times New Roman"/>
                <w:b/>
                <w:kern w:val="0"/>
                <w:sz w:val="24"/>
              </w:rPr>
            </w:pPr>
            <w:r>
              <w:rPr>
                <w:rFonts w:ascii="Times New Roman" w:hAnsi="Times New Roman" w:eastAsia="宋体" w:cs="Times New Roman"/>
                <w:b/>
                <w:bCs/>
                <w:kern w:val="0"/>
                <w:sz w:val="24"/>
                <w:szCs w:val="24"/>
              </w:rPr>
              <w:t>（1）</w:t>
            </w:r>
            <w:r>
              <w:rPr>
                <w:rFonts w:ascii="Times New Roman" w:hAnsi="Times New Roman" w:eastAsia="宋体" w:cs="Times New Roman"/>
                <w:b/>
                <w:kern w:val="0"/>
                <w:sz w:val="24"/>
              </w:rPr>
              <w:t>熔炼废气G1</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熔炼过程采用燃烧天然气进行直接加热，根据业主提供资料可知，本项目铝锭熔化过程中无需加入精炼剂、除渣除气剂等辅助试剂，采用搅拌等物理过程使其浮渣上浮，然后进行打捞分离，则熔炼过程产生的废气污染物为天然气燃烧产生的</w:t>
            </w:r>
            <w:r>
              <w:rPr>
                <w:rFonts w:hint="eastAsia" w:ascii="Times New Roman" w:hAnsi="Times New Roman" w:eastAsia="宋体" w:cs="Times New Roman"/>
                <w:kern w:val="0"/>
                <w:sz w:val="24"/>
                <w:szCs w:val="24"/>
              </w:rPr>
              <w:t>颗粒物、</w:t>
            </w:r>
            <w:r>
              <w:rPr>
                <w:rFonts w:ascii="Times New Roman" w:hAnsi="Times New Roman" w:eastAsia="宋体" w:cs="Times New Roman"/>
                <w:kern w:val="0"/>
                <w:sz w:val="24"/>
                <w:szCs w:val="24"/>
              </w:rPr>
              <w:t>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、NO</w:t>
            </w:r>
            <w:r>
              <w:rPr>
                <w:rFonts w:ascii="Times New Roman" w:hAnsi="Times New Roman" w:eastAsia="宋体" w:cs="Times New Roman"/>
                <w:kern w:val="0"/>
                <w:sz w:val="24"/>
                <w:szCs w:val="24"/>
                <w:vertAlign w:val="subscript"/>
              </w:rPr>
              <w:t>X</w:t>
            </w:r>
            <w:r>
              <w:rPr>
                <w:rFonts w:ascii="Times New Roman" w:hAnsi="Times New Roman" w:eastAsia="宋体" w:cs="Times New Roman"/>
                <w:kern w:val="0"/>
                <w:sz w:val="24"/>
                <w:szCs w:val="24"/>
              </w:rPr>
              <w:t>以及熔炼过程产生的</w:t>
            </w:r>
            <w:r>
              <w:rPr>
                <w:rFonts w:hint="eastAsia" w:ascii="Times New Roman" w:hAnsi="Times New Roman" w:eastAsia="宋体" w:cs="Times New Roman"/>
                <w:kern w:val="0"/>
                <w:sz w:val="24"/>
                <w:szCs w:val="24"/>
              </w:rPr>
              <w:t>烟尘</w:t>
            </w:r>
            <w:r>
              <w:rPr>
                <w:rFonts w:ascii="Times New Roman" w:hAnsi="Times New Roman" w:eastAsia="宋体" w:cs="Times New Roman"/>
                <w:kern w:val="0"/>
                <w:sz w:val="24"/>
                <w:szCs w:val="24"/>
              </w:rPr>
              <w:t>。铝锭熔炼完成后通过自动化机械臂舀至压铸机内进行压铸，拟建项目将在熔炼炉上方设置集气罩（收集效率为80%）对熔炼烟尘进行收集，该收集装置不会影响铝液转移，</w:t>
            </w:r>
            <w:r>
              <w:rPr>
                <w:rFonts w:hint="eastAsia" w:ascii="Times New Roman" w:hAnsi="Times New Roman" w:eastAsia="宋体" w:cs="Times New Roman"/>
                <w:kern w:val="0"/>
                <w:sz w:val="24"/>
                <w:szCs w:val="24"/>
              </w:rPr>
              <w:t>天然气燃烧废气经密闭空间收集后由管道直接连接至集气罩顶部管道，</w:t>
            </w:r>
            <w:r>
              <w:rPr>
                <w:rFonts w:ascii="Times New Roman" w:hAnsi="Times New Roman" w:eastAsia="宋体" w:cs="Times New Roman"/>
                <w:kern w:val="0"/>
                <w:sz w:val="24"/>
                <w:szCs w:val="24"/>
              </w:rPr>
              <w:t>收集后的废气经耐高温的布袋除尘器进行处理，根据《排放源统计调查产排污核算方法和系数手册》中“C33-37机械行业系数手册”可知，铸造核算环节中熔炼废气末端治理技术采用袋式除尘对颗粒物处理效率可达95%，对二氧化硫、氮氧化物无处理效果。</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Ⅰ、熔炼天然气燃烧废气</w:t>
            </w:r>
          </w:p>
          <w:p>
            <w:pPr>
              <w:autoSpaceDE w:val="0"/>
              <w:autoSpaceDN w:val="0"/>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kern w:val="0"/>
                <w:sz w:val="24"/>
                <w:szCs w:val="24"/>
              </w:rPr>
              <w:t>天然气燃烧产生的污染物主要为SO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、NO</w:t>
            </w:r>
            <w:r>
              <w:rPr>
                <w:rFonts w:ascii="Times New Roman" w:hAnsi="Times New Roman" w:eastAsia="宋体" w:cs="Times New Roman"/>
                <w:kern w:val="0"/>
                <w:sz w:val="24"/>
                <w:szCs w:val="24"/>
                <w:vertAlign w:val="subscript"/>
              </w:rPr>
              <w:t>X</w:t>
            </w:r>
            <w:r>
              <w:rPr>
                <w:rFonts w:ascii="Times New Roman" w:hAnsi="Times New Roman" w:eastAsia="宋体" w:cs="Times New Roman"/>
                <w:kern w:val="0"/>
                <w:sz w:val="24"/>
                <w:szCs w:val="24"/>
              </w:rPr>
              <w:t>、颗粒物，熔炼炉属于工业炉窑，污染物产生量参照《排放源统计调查产排污核算方法和系数手册》“C33-37机械行业系数手册”中天然气工业炉窑，产排污系数如下：</w:t>
            </w:r>
            <w:r>
              <w:rPr>
                <w:rFonts w:ascii="Times New Roman" w:hAnsi="Times New Roman" w:eastAsia="宋体" w:cs="Times New Roman"/>
                <w:bCs/>
                <w:sz w:val="24"/>
              </w:rPr>
              <w:t xml:space="preserve"> </w:t>
            </w:r>
          </w:p>
          <w:p>
            <w:pPr>
              <w:spacing w:line="460" w:lineRule="exact"/>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表4.2-1  天然气燃烧产排污系数</w:t>
            </w:r>
          </w:p>
          <w:tbl>
            <w:tblPr>
              <w:tblStyle w:val="18"/>
              <w:tblW w:w="78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105"/>
              <w:gridCol w:w="1163"/>
              <w:gridCol w:w="1389"/>
              <w:gridCol w:w="1591"/>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产品名称</w:t>
                  </w:r>
                </w:p>
              </w:tc>
              <w:tc>
                <w:tcPr>
                  <w:tcW w:w="1105"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原料名称</w:t>
                  </w:r>
                </w:p>
              </w:tc>
              <w:tc>
                <w:tcPr>
                  <w:tcW w:w="1163"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工艺名称</w:t>
                  </w:r>
                </w:p>
              </w:tc>
              <w:tc>
                <w:tcPr>
                  <w:tcW w:w="1389"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污染物指标</w:t>
                  </w:r>
                </w:p>
              </w:tc>
              <w:tc>
                <w:tcPr>
                  <w:tcW w:w="1591"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单位</w:t>
                  </w:r>
                </w:p>
              </w:tc>
              <w:tc>
                <w:tcPr>
                  <w:tcW w:w="1446"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restart"/>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蒸汽/热气/其他</w:t>
                  </w:r>
                </w:p>
              </w:tc>
              <w:tc>
                <w:tcPr>
                  <w:tcW w:w="1105" w:type="dxa"/>
                  <w:vMerge w:val="restart"/>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天然气</w:t>
                  </w:r>
                </w:p>
              </w:tc>
              <w:tc>
                <w:tcPr>
                  <w:tcW w:w="1163" w:type="dxa"/>
                  <w:vMerge w:val="restart"/>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天然气工业炉窑</w:t>
                  </w:r>
                </w:p>
              </w:tc>
              <w:tc>
                <w:tcPr>
                  <w:tcW w:w="1389"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二氧化硫</w:t>
                  </w:r>
                </w:p>
              </w:tc>
              <w:tc>
                <w:tcPr>
                  <w:tcW w:w="1591"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kg/m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-原料</w:t>
                  </w:r>
                </w:p>
              </w:tc>
              <w:tc>
                <w:tcPr>
                  <w:tcW w:w="1446"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szCs w:val="21"/>
                    </w:rPr>
                    <w:t xml:space="preserve">0.000002S </w:t>
                  </w:r>
                  <w:r>
                    <w:rPr>
                      <w:rFonts w:ascii="Times New Roman" w:hAnsi="Times New Roman" w:eastAsia="宋体" w:cs="Times New Roman"/>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105"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163"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389"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氮氧化物</w:t>
                  </w:r>
                </w:p>
              </w:tc>
              <w:tc>
                <w:tcPr>
                  <w:tcW w:w="1591" w:type="dxa"/>
                  <w:shd w:val="clear" w:color="auto" w:fill="auto"/>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kg/m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-原料</w:t>
                  </w:r>
                </w:p>
              </w:tc>
              <w:tc>
                <w:tcPr>
                  <w:tcW w:w="1446"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szCs w:val="21"/>
                    </w:rPr>
                    <w:t>0.00187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105"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163"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389"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颗粒物</w:t>
                  </w:r>
                </w:p>
              </w:tc>
              <w:tc>
                <w:tcPr>
                  <w:tcW w:w="1591" w:type="dxa"/>
                  <w:shd w:val="clear" w:color="auto" w:fill="auto"/>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kg/m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-原料</w:t>
                  </w:r>
                </w:p>
              </w:tc>
              <w:tc>
                <w:tcPr>
                  <w:tcW w:w="1446"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szCs w:val="21"/>
                    </w:rPr>
                    <w:t>0.000286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105"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163" w:type="dxa"/>
                  <w:vMerge w:val="continue"/>
                  <w:shd w:val="clear" w:color="auto" w:fill="auto"/>
                  <w:vAlign w:val="center"/>
                </w:tcPr>
                <w:p>
                  <w:pPr>
                    <w:spacing w:line="240" w:lineRule="atLeast"/>
                    <w:jc w:val="center"/>
                    <w:rPr>
                      <w:rFonts w:ascii="Times New Roman" w:hAnsi="Times New Roman" w:eastAsia="宋体" w:cs="Times New Roman"/>
                      <w:bCs/>
                      <w:szCs w:val="21"/>
                    </w:rPr>
                  </w:pPr>
                </w:p>
              </w:tc>
              <w:tc>
                <w:tcPr>
                  <w:tcW w:w="1389"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工业废气量</w:t>
                  </w:r>
                </w:p>
              </w:tc>
              <w:tc>
                <w:tcPr>
                  <w:tcW w:w="1591"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bCs/>
                      <w:szCs w:val="21"/>
                    </w:rPr>
                    <w:t>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-原料</w:t>
                  </w:r>
                </w:p>
              </w:tc>
              <w:tc>
                <w:tcPr>
                  <w:tcW w:w="1446" w:type="dxa"/>
                  <w:shd w:val="clear" w:color="auto" w:fill="auto"/>
                  <w:vAlign w:val="center"/>
                </w:tcPr>
                <w:p>
                  <w:pPr>
                    <w:spacing w:line="240" w:lineRule="atLeast"/>
                    <w:jc w:val="center"/>
                    <w:rPr>
                      <w:rFonts w:ascii="Times New Roman" w:hAnsi="Times New Roman" w:eastAsia="宋体" w:cs="Times New Roman"/>
                      <w:bCs/>
                      <w:szCs w:val="21"/>
                    </w:rPr>
                  </w:pPr>
                  <w:r>
                    <w:rPr>
                      <w:rFonts w:ascii="Times New Roman" w:hAnsi="Times New Roman" w:eastAsia="宋体" w:cs="Times New Roman"/>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52" w:type="dxa"/>
                  <w:gridSpan w:val="6"/>
                  <w:shd w:val="clear" w:color="auto" w:fill="auto"/>
                  <w:vAlign w:val="center"/>
                </w:tcPr>
                <w:p>
                  <w:pPr>
                    <w:spacing w:line="240" w:lineRule="atLeast"/>
                    <w:rPr>
                      <w:rFonts w:ascii="Times New Roman" w:hAnsi="Times New Roman" w:eastAsia="宋体" w:cs="Times New Roman"/>
                      <w:bCs/>
                      <w:szCs w:val="21"/>
                    </w:rPr>
                  </w:pPr>
                  <w:r>
                    <w:rPr>
                      <w:rFonts w:ascii="Times New Roman" w:hAnsi="Times New Roman" w:eastAsia="宋体" w:cs="Times New Roman"/>
                      <w:bCs/>
                      <w:szCs w:val="21"/>
                    </w:rPr>
                    <w:t>注1：S——收到基硫分（取值范围0-100，燃料为气体时，取值范围≥0），本次S取值为100。</w:t>
                  </w:r>
                </w:p>
              </w:tc>
            </w:tr>
          </w:tbl>
          <w:p>
            <w:pPr>
              <w:pStyle w:val="42"/>
              <w:numPr>
                <w:ilvl w:val="0"/>
                <w:numId w:val="1"/>
              </w:numPr>
              <w:autoSpaceDE w:val="0"/>
              <w:autoSpaceDN w:val="0"/>
              <w:adjustRightInd w:val="0"/>
              <w:snapToGrid w:val="0"/>
              <w:spacing w:line="360" w:lineRule="auto"/>
              <w:ind w:firstLineChars="0"/>
              <w:rPr>
                <w:rFonts w:ascii="Times New Roman" w:hAnsi="Times New Roman" w:eastAsia="宋体" w:cs="Times New Roman"/>
                <w:kern w:val="0"/>
                <w:sz w:val="24"/>
                <w:szCs w:val="24"/>
              </w:rPr>
            </w:pPr>
            <w:r>
              <w:rPr>
                <w:rFonts w:ascii="Times New Roman" w:hAnsi="Times New Roman" w:eastAsia="宋体" w:cs="Times New Roman"/>
                <w:kern w:val="0"/>
                <w:sz w:val="24"/>
                <w:szCs w:val="24"/>
              </w:rPr>
              <w:t>天然气耗量分析</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根据建设单位提供资料</w:t>
            </w:r>
            <w:r>
              <w:rPr>
                <w:rFonts w:ascii="Times New Roman" w:hAnsi="Times New Roman" w:eastAsia="宋体" w:cs="Times New Roman"/>
                <w:kern w:val="0"/>
                <w:sz w:val="24"/>
                <w:szCs w:val="24"/>
              </w:rPr>
              <w:t>，直燃式加热熔化1t铝大约需要消耗60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65m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天然气，拟建项目采用直燃式加热</w:t>
            </w:r>
            <w:r>
              <w:rPr>
                <w:rFonts w:hint="eastAsia" w:ascii="Times New Roman" w:hAnsi="Times New Roman" w:eastAsia="宋体" w:cs="Times New Roman"/>
                <w:kern w:val="0"/>
                <w:sz w:val="24"/>
                <w:szCs w:val="24"/>
              </w:rPr>
              <w:t>年</w:t>
            </w:r>
            <w:r>
              <w:rPr>
                <w:rFonts w:ascii="Times New Roman" w:hAnsi="Times New Roman" w:eastAsia="宋体" w:cs="Times New Roman"/>
                <w:kern w:val="0"/>
                <w:sz w:val="24"/>
                <w:szCs w:val="24"/>
              </w:rPr>
              <w:t>熔化铝锭</w:t>
            </w:r>
            <w:r>
              <w:rPr>
                <w:rFonts w:hint="eastAsia" w:ascii="Times New Roman" w:hAnsi="Times New Roman" w:eastAsia="宋体" w:cs="Times New Roman"/>
                <w:kern w:val="0"/>
                <w:sz w:val="24"/>
                <w:szCs w:val="24"/>
              </w:rPr>
              <w:t>约1</w:t>
            </w:r>
            <w:r>
              <w:rPr>
                <w:rFonts w:ascii="Times New Roman" w:hAnsi="Times New Roman" w:eastAsia="宋体" w:cs="Times New Roman"/>
                <w:kern w:val="0"/>
                <w:sz w:val="24"/>
                <w:szCs w:val="24"/>
              </w:rPr>
              <w:t>344</w:t>
            </w:r>
            <w:r>
              <w:rPr>
                <w:rFonts w:hint="eastAsia" w:ascii="Times New Roman" w:hAnsi="Times New Roman" w:eastAsia="宋体" w:cs="Times New Roman"/>
                <w:kern w:val="0"/>
                <w:sz w:val="24"/>
                <w:szCs w:val="24"/>
              </w:rPr>
              <w:t>t</w:t>
            </w:r>
            <w:r>
              <w:rPr>
                <w:rFonts w:ascii="Times New Roman" w:hAnsi="Times New Roman" w:eastAsia="宋体" w:cs="Times New Roman"/>
                <w:kern w:val="0"/>
                <w:sz w:val="24"/>
                <w:szCs w:val="24"/>
              </w:rPr>
              <w:t>，熔炼工作时间为2400h/a</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则熔炼过程天然气年耗量为87360m</w:t>
            </w:r>
            <w:r>
              <w:rPr>
                <w:rFonts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6.4</w:t>
            </w:r>
            <w:r>
              <w:rPr>
                <w:rFonts w:ascii="Times New Roman" w:hAnsi="Times New Roman" w:eastAsia="宋体" w:cs="Times New Roman"/>
                <w:bCs/>
                <w:kern w:val="0"/>
                <w:sz w:val="24"/>
                <w:szCs w:val="24"/>
              </w:rPr>
              <w:t>m</w:t>
            </w:r>
            <w:r>
              <w:rPr>
                <w:rFonts w:ascii="Times New Roman" w:hAnsi="Times New Roman" w:eastAsia="宋体" w:cs="Times New Roman"/>
                <w:bCs/>
                <w:kern w:val="0"/>
                <w:sz w:val="24"/>
                <w:szCs w:val="24"/>
                <w:vertAlign w:val="superscript"/>
              </w:rPr>
              <w:t>3</w:t>
            </w:r>
            <w:r>
              <w:rPr>
                <w:rFonts w:ascii="Times New Roman" w:hAnsi="Times New Roman" w:eastAsia="宋体" w:cs="Times New Roman"/>
                <w:bCs/>
                <w:kern w:val="0"/>
                <w:sz w:val="24"/>
                <w:szCs w:val="24"/>
              </w:rPr>
              <w:t>/h</w:t>
            </w:r>
            <w:r>
              <w:rPr>
                <w:rFonts w:hint="eastAsia" w:ascii="Times New Roman" w:hAnsi="Times New Roman" w:eastAsia="宋体" w:cs="Times New Roman"/>
                <w:kern w:val="0"/>
                <w:sz w:val="24"/>
                <w:szCs w:val="24"/>
              </w:rPr>
              <w:t>）。</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②</w:t>
            </w:r>
            <w:r>
              <w:rPr>
                <w:rFonts w:ascii="Times New Roman" w:hAnsi="Times New Roman" w:eastAsia="宋体" w:cs="Times New Roman"/>
                <w:kern w:val="0"/>
                <w:sz w:val="24"/>
                <w:szCs w:val="24"/>
              </w:rPr>
              <w:t>颗粒物</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根据上述产排污系数，计算熔炼过程中天然气燃烧颗粒物的产生量，计算公式如下：</w:t>
            </w:r>
          </w:p>
          <w:p>
            <w:pPr>
              <w:spacing w:line="460" w:lineRule="exact"/>
              <w:ind w:firstLine="480" w:firstLineChars="200"/>
              <w:jc w:val="center"/>
              <w:rPr>
                <w:rFonts w:ascii="Times New Roman" w:hAnsi="Times New Roman" w:cs="Times New Roman"/>
                <w:bCs/>
                <w:sz w:val="24"/>
              </w:rPr>
            </w:pPr>
            <w:r>
              <w:rPr>
                <w:rFonts w:ascii="Times New Roman" w:hAnsi="Times New Roman" w:eastAsia="宋体" w:cs="Times New Roman"/>
                <w:bCs/>
                <w:sz w:val="24"/>
              </w:rPr>
              <w:t>G</w:t>
            </w:r>
            <w:r>
              <w:rPr>
                <w:rFonts w:ascii="Times New Roman" w:hAnsi="Times New Roman" w:eastAsia="宋体" w:cs="Times New Roman"/>
                <w:bCs/>
                <w:sz w:val="24"/>
                <w:vertAlign w:val="subscript"/>
              </w:rPr>
              <w:t>颗粒物</w:t>
            </w:r>
            <w:r>
              <w:rPr>
                <w:rFonts w:ascii="Times New Roman" w:hAnsi="Times New Roman" w:eastAsia="宋体" w:cs="Times New Roman"/>
                <w:bCs/>
                <w:sz w:val="24"/>
              </w:rPr>
              <w:t xml:space="preserve">=0.000286×B </w:t>
            </w:r>
            <w:r>
              <w:rPr>
                <w:rFonts w:ascii="Times New Roman" w:hAnsi="Times New Roman" w:cs="Times New Roman"/>
                <w:bCs/>
                <w:sz w:val="24"/>
              </w:rPr>
              <w:t xml:space="preserve">  </w:t>
            </w:r>
            <w:r>
              <w:rPr>
                <w:rFonts w:ascii="Times New Roman" w:hAnsi="Times New Roman" w:eastAsia="宋体" w:cs="Times New Roman"/>
                <w:kern w:val="0"/>
                <w:sz w:val="24"/>
                <w:szCs w:val="24"/>
              </w:rPr>
              <w:t>（1）</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式中：G</w:t>
            </w:r>
            <w:r>
              <w:rPr>
                <w:rFonts w:ascii="Times New Roman" w:hAnsi="Times New Roman" w:eastAsia="宋体" w:cs="Times New Roman"/>
                <w:kern w:val="0"/>
                <w:sz w:val="24"/>
                <w:szCs w:val="24"/>
                <w:vertAlign w:val="subscript"/>
              </w:rPr>
              <w:t>颗粒物</w:t>
            </w:r>
            <w:r>
              <w:rPr>
                <w:rFonts w:ascii="Times New Roman" w:hAnsi="Times New Roman" w:eastAsia="宋体" w:cs="Times New Roman"/>
                <w:kern w:val="0"/>
                <w:sz w:val="24"/>
                <w:szCs w:val="24"/>
              </w:rPr>
              <w:t>---颗粒物的产生量，kg；</w:t>
            </w:r>
          </w:p>
          <w:p>
            <w:pPr>
              <w:autoSpaceDE w:val="0"/>
              <w:autoSpaceDN w:val="0"/>
              <w:adjustRightInd w:val="0"/>
              <w:snapToGrid w:val="0"/>
              <w:spacing w:line="360" w:lineRule="auto"/>
              <w:ind w:firstLine="1200" w:firstLineChars="500"/>
              <w:rPr>
                <w:rFonts w:ascii="Times New Roman" w:hAnsi="Times New Roman" w:eastAsia="宋体" w:cs="Times New Roman"/>
                <w:kern w:val="0"/>
                <w:sz w:val="24"/>
                <w:szCs w:val="24"/>
              </w:rPr>
            </w:pPr>
            <w:r>
              <w:rPr>
                <w:rFonts w:ascii="Times New Roman" w:hAnsi="Times New Roman" w:eastAsia="宋体" w:cs="Times New Roman"/>
                <w:kern w:val="0"/>
                <w:sz w:val="24"/>
                <w:szCs w:val="24"/>
              </w:rPr>
              <w:t>B---天然气消耗量，m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计算得出颗粒物产生量为24.98kg/a。</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③</w:t>
            </w:r>
            <w:r>
              <w:rPr>
                <w:rFonts w:ascii="Times New Roman" w:hAnsi="Times New Roman" w:eastAsia="宋体" w:cs="Times New Roman"/>
                <w:kern w:val="0"/>
                <w:sz w:val="24"/>
                <w:szCs w:val="24"/>
              </w:rPr>
              <w:t>SO</w:t>
            </w:r>
            <w:r>
              <w:rPr>
                <w:rFonts w:ascii="Times New Roman" w:hAnsi="Times New Roman" w:eastAsia="宋体" w:cs="Times New Roman"/>
                <w:kern w:val="0"/>
                <w:sz w:val="24"/>
                <w:szCs w:val="24"/>
                <w:vertAlign w:val="subscript"/>
              </w:rPr>
              <w:t>2</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根据上述产排污系数，计算熔炼过程中天然气燃烧SO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的产生量，计算公式如下：</w:t>
            </w:r>
          </w:p>
          <w:p>
            <w:pPr>
              <w:autoSpaceDE w:val="0"/>
              <w:autoSpaceDN w:val="0"/>
              <w:adjustRightInd w:val="0"/>
              <w:snapToGrid w:val="0"/>
              <w:spacing w:line="360" w:lineRule="auto"/>
              <w:ind w:firstLine="480" w:firstLineChars="20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G</w:t>
            </w:r>
            <w:r>
              <w:rPr>
                <w:rFonts w:ascii="Times New Roman" w:hAnsi="Times New Roman" w:eastAsia="宋体" w:cs="Times New Roman"/>
                <w:kern w:val="0"/>
                <w:sz w:val="24"/>
                <w:szCs w:val="24"/>
                <w:vertAlign w:val="subscript"/>
              </w:rPr>
              <w:t>SO2</w:t>
            </w:r>
            <w:r>
              <w:rPr>
                <w:rFonts w:ascii="Times New Roman" w:hAnsi="Times New Roman" w:eastAsia="宋体" w:cs="Times New Roman"/>
                <w:kern w:val="0"/>
                <w:sz w:val="24"/>
                <w:szCs w:val="24"/>
              </w:rPr>
              <w:t>=0.000002S×B   （2）</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式中：G</w:t>
            </w:r>
            <w:r>
              <w:rPr>
                <w:rFonts w:ascii="Times New Roman" w:hAnsi="Times New Roman" w:eastAsia="宋体" w:cs="Times New Roman"/>
                <w:kern w:val="0"/>
                <w:sz w:val="24"/>
                <w:szCs w:val="24"/>
                <w:vertAlign w:val="subscript"/>
              </w:rPr>
              <w:t>SO2</w:t>
            </w:r>
            <w:r>
              <w:rPr>
                <w:rFonts w:ascii="Times New Roman" w:hAnsi="Times New Roman" w:eastAsia="宋体" w:cs="Times New Roman"/>
                <w:kern w:val="0"/>
                <w:sz w:val="24"/>
                <w:szCs w:val="24"/>
              </w:rPr>
              <w:t>--SO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的产生量kg；</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B---天然气消耗量，m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S---天然气中的含硫量（取值100 mg/m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计算得出SO</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产生量为17.47kg/a。</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宋体"/>
                <w:kern w:val="0"/>
                <w:sz w:val="24"/>
                <w:szCs w:val="24"/>
              </w:rPr>
              <w:t>④</w:t>
            </w:r>
            <w:r>
              <w:rPr>
                <w:rFonts w:ascii="Times New Roman" w:hAnsi="Times New Roman" w:eastAsia="宋体" w:cs="Times New Roman"/>
                <w:kern w:val="0"/>
                <w:sz w:val="24"/>
                <w:szCs w:val="24"/>
              </w:rPr>
              <w:t>NO</w:t>
            </w:r>
            <w:r>
              <w:rPr>
                <w:rFonts w:ascii="Times New Roman" w:hAnsi="Times New Roman" w:eastAsia="宋体" w:cs="Times New Roman"/>
                <w:kern w:val="0"/>
                <w:sz w:val="24"/>
                <w:szCs w:val="24"/>
                <w:vertAlign w:val="subscript"/>
              </w:rPr>
              <w:t>X</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根据上述产排污系数，计算熔炼过程中天然气燃烧NO</w:t>
            </w:r>
            <w:r>
              <w:rPr>
                <w:rFonts w:ascii="Times New Roman" w:hAnsi="Times New Roman" w:eastAsia="宋体" w:cs="Times New Roman"/>
                <w:kern w:val="0"/>
                <w:sz w:val="24"/>
                <w:szCs w:val="24"/>
                <w:vertAlign w:val="subscript"/>
              </w:rPr>
              <w:t>X</w:t>
            </w:r>
            <w:r>
              <w:rPr>
                <w:rFonts w:ascii="Times New Roman" w:hAnsi="Times New Roman" w:eastAsia="宋体" w:cs="Times New Roman"/>
                <w:kern w:val="0"/>
                <w:sz w:val="24"/>
                <w:szCs w:val="24"/>
              </w:rPr>
              <w:t>的产生量，计算公式如下：</w:t>
            </w:r>
          </w:p>
          <w:p>
            <w:pPr>
              <w:autoSpaceDE w:val="0"/>
              <w:autoSpaceDN w:val="0"/>
              <w:adjustRightInd w:val="0"/>
              <w:snapToGrid w:val="0"/>
              <w:spacing w:line="360" w:lineRule="auto"/>
              <w:ind w:firstLine="480" w:firstLineChars="20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G</w:t>
            </w:r>
            <w:r>
              <w:rPr>
                <w:rFonts w:ascii="Times New Roman" w:hAnsi="Times New Roman" w:eastAsia="宋体" w:cs="Times New Roman"/>
                <w:kern w:val="0"/>
                <w:sz w:val="24"/>
                <w:szCs w:val="24"/>
                <w:vertAlign w:val="subscript"/>
              </w:rPr>
              <w:t>NOX</w:t>
            </w:r>
            <w:r>
              <w:rPr>
                <w:rFonts w:ascii="Times New Roman" w:hAnsi="Times New Roman" w:eastAsia="宋体" w:cs="Times New Roman"/>
                <w:kern w:val="0"/>
                <w:sz w:val="24"/>
                <w:szCs w:val="24"/>
              </w:rPr>
              <w:t xml:space="preserve"> =0.00187×B   （3）</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式中：G</w:t>
            </w:r>
            <w:r>
              <w:rPr>
                <w:rFonts w:ascii="Times New Roman" w:hAnsi="Times New Roman" w:eastAsia="宋体" w:cs="Times New Roman"/>
                <w:kern w:val="0"/>
                <w:sz w:val="24"/>
                <w:szCs w:val="24"/>
                <w:vertAlign w:val="subscript"/>
              </w:rPr>
              <w:t>NOX</w:t>
            </w:r>
            <w:r>
              <w:rPr>
                <w:rFonts w:ascii="Times New Roman" w:hAnsi="Times New Roman" w:eastAsia="宋体" w:cs="Times New Roman"/>
                <w:kern w:val="0"/>
                <w:sz w:val="24"/>
                <w:szCs w:val="24"/>
              </w:rPr>
              <w:t xml:space="preserve"> --NO</w:t>
            </w:r>
            <w:r>
              <w:rPr>
                <w:rFonts w:ascii="Times New Roman" w:hAnsi="Times New Roman" w:eastAsia="宋体" w:cs="Times New Roman"/>
                <w:kern w:val="0"/>
                <w:sz w:val="24"/>
                <w:szCs w:val="24"/>
                <w:vertAlign w:val="subscript"/>
              </w:rPr>
              <w:t>X</w:t>
            </w:r>
            <w:r>
              <w:rPr>
                <w:rFonts w:ascii="Times New Roman" w:hAnsi="Times New Roman" w:eastAsia="宋体" w:cs="Times New Roman"/>
                <w:kern w:val="0"/>
                <w:sz w:val="24"/>
                <w:szCs w:val="24"/>
              </w:rPr>
              <w:t>的产生量，kg；</w:t>
            </w:r>
          </w:p>
          <w:p>
            <w:pPr>
              <w:autoSpaceDE w:val="0"/>
              <w:autoSpaceDN w:val="0"/>
              <w:adjustRightInd w:val="0"/>
              <w:snapToGrid w:val="0"/>
              <w:spacing w:line="360" w:lineRule="auto"/>
              <w:ind w:firstLine="1200" w:firstLineChars="500"/>
              <w:rPr>
                <w:rFonts w:ascii="Times New Roman" w:hAnsi="Times New Roman" w:eastAsia="宋体" w:cs="Times New Roman"/>
                <w:kern w:val="0"/>
                <w:sz w:val="24"/>
                <w:szCs w:val="24"/>
              </w:rPr>
            </w:pPr>
            <w:r>
              <w:rPr>
                <w:rFonts w:ascii="Times New Roman" w:hAnsi="Times New Roman" w:eastAsia="宋体" w:cs="Times New Roman"/>
                <w:kern w:val="0"/>
                <w:sz w:val="24"/>
                <w:szCs w:val="24"/>
              </w:rPr>
              <w:t>B---天然气消耗量，m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计算得出NO</w:t>
            </w:r>
            <w:r>
              <w:rPr>
                <w:rFonts w:ascii="Times New Roman" w:hAnsi="Times New Roman" w:eastAsia="宋体" w:cs="Times New Roman"/>
                <w:kern w:val="0"/>
                <w:sz w:val="24"/>
                <w:szCs w:val="24"/>
                <w:vertAlign w:val="subscript"/>
              </w:rPr>
              <w:t>X</w:t>
            </w:r>
            <w:r>
              <w:rPr>
                <w:rFonts w:ascii="Times New Roman" w:hAnsi="Times New Roman" w:eastAsia="宋体" w:cs="Times New Roman"/>
                <w:kern w:val="0"/>
                <w:sz w:val="24"/>
                <w:szCs w:val="24"/>
              </w:rPr>
              <w:t>产生量为163.36kg/a。</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Ⅱ、熔炼烟尘</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拟建项目共设置7台熔炼炉进行铝锭熔化，根据《排放源统计调查产排污核算方法和系数手册》中“C33-37机械行业系数手册”可知，铸造核算环节中熔炼（燃气炉）工艺颗粒物产污系数为0.943kg/t-</w:t>
            </w:r>
            <w:r>
              <w:rPr>
                <w:rFonts w:hint="eastAsia" w:ascii="Times New Roman" w:hAnsi="Times New Roman" w:eastAsia="宋体" w:cs="Times New Roman"/>
                <w:kern w:val="0"/>
                <w:sz w:val="24"/>
                <w:szCs w:val="24"/>
              </w:rPr>
              <w:t>产品</w:t>
            </w:r>
            <w:r>
              <w:rPr>
                <w:rFonts w:ascii="Times New Roman" w:hAnsi="Times New Roman" w:eastAsia="宋体" w:cs="Times New Roman"/>
                <w:kern w:val="0"/>
                <w:sz w:val="24"/>
                <w:szCs w:val="24"/>
              </w:rPr>
              <w:t>。项目</w:t>
            </w:r>
            <w:r>
              <w:rPr>
                <w:rFonts w:hint="eastAsia" w:ascii="Times New Roman" w:hAnsi="Times New Roman" w:eastAsia="宋体" w:cs="Times New Roman"/>
                <w:kern w:val="0"/>
                <w:sz w:val="24"/>
                <w:szCs w:val="24"/>
              </w:rPr>
              <w:t>产品</w:t>
            </w:r>
            <w:r>
              <w:rPr>
                <w:rFonts w:ascii="Times New Roman" w:hAnsi="Times New Roman" w:eastAsia="宋体" w:cs="Times New Roman"/>
                <w:kern w:val="0"/>
                <w:sz w:val="24"/>
                <w:szCs w:val="24"/>
              </w:rPr>
              <w:t>量为1200t/a，则项目熔化粉尘产生量约为1.132t/a。</w:t>
            </w:r>
          </w:p>
          <w:p>
            <w:pPr>
              <w:pStyle w:val="10"/>
              <w:spacing w:line="360" w:lineRule="auto"/>
              <w:ind w:firstLine="480" w:firstLineChars="200"/>
              <w:rPr>
                <w:rFonts w:ascii="Times New Roman" w:hAnsi="Times New Roman"/>
                <w:bCs/>
                <w:sz w:val="24"/>
                <w:szCs w:val="24"/>
              </w:rPr>
            </w:pPr>
            <w:r>
              <w:rPr>
                <w:rFonts w:ascii="Times New Roman" w:hAnsi="Times New Roman"/>
                <w:bCs/>
                <w:sz w:val="24"/>
                <w:szCs w:val="24"/>
              </w:rPr>
              <w:t>根据《大气污染控制工程》，其原理为通过罩口的抽吸作用在距离吸气口最远的有害物散发点（即控制点）上造成适应的空气流动，从而把污染物吸入罩内。</w:t>
            </w:r>
          </w:p>
          <w:p>
            <w:pPr>
              <w:pStyle w:val="10"/>
              <w:spacing w:line="360" w:lineRule="auto"/>
              <w:ind w:firstLine="480" w:firstLineChars="200"/>
              <w:jc w:val="center"/>
              <w:rPr>
                <w:rFonts w:ascii="Times New Roman" w:hAnsi="Times New Roman"/>
                <w:bCs/>
                <w:sz w:val="24"/>
                <w:szCs w:val="24"/>
              </w:rPr>
            </w:pPr>
            <m:oMath>
              <m:r>
                <w:rPr>
                  <w:rFonts w:ascii="Cambria Math" w:hAnsi="Cambria Math"/>
                  <w:sz w:val="24"/>
                  <w:szCs w:val="24"/>
                </w:rPr>
                <m:t>L</m:t>
              </m:r>
              <m:r>
                <m:rPr>
                  <m:sty m:val="p"/>
                </m:rPr>
                <w:rPr>
                  <w:rFonts w:ascii="Cambria Math" w:hAnsi="Cambria Math"/>
                  <w:sz w:val="24"/>
                  <w:szCs w:val="24"/>
                </w:rPr>
                <m:t>=</m:t>
              </m:r>
              <m:sSub>
                <m:sSubPr>
                  <m:ctrlPr>
                    <w:rPr>
                      <w:rFonts w:ascii="Cambria Math" w:hAnsi="Cambria Math"/>
                      <w:bCs/>
                      <w:sz w:val="24"/>
                      <w:szCs w:val="24"/>
                    </w:rPr>
                  </m:ctrlPr>
                </m:sSubPr>
                <m:e>
                  <m:r>
                    <w:rPr>
                      <w:rFonts w:ascii="Cambria Math" w:hAnsi="Cambria Math"/>
                      <w:sz w:val="24"/>
                      <w:szCs w:val="24"/>
                    </w:rPr>
                    <m:t>V</m:t>
                  </m:r>
                  <m:ctrlPr>
                    <w:rPr>
                      <w:rFonts w:ascii="Cambria Math" w:hAnsi="Cambria Math"/>
                      <w:bCs/>
                      <w:sz w:val="24"/>
                      <w:szCs w:val="24"/>
                    </w:rPr>
                  </m:ctrlPr>
                </m:e>
                <m:sub>
                  <m:r>
                    <m:rPr>
                      <m:sty m:val="p"/>
                    </m:rPr>
                    <w:rPr>
                      <w:rFonts w:ascii="Cambria Math" w:hAnsi="Cambria Math"/>
                      <w:sz w:val="24"/>
                      <w:szCs w:val="24"/>
                    </w:rPr>
                    <m:t>0</m:t>
                  </m:r>
                  <m:ctrlPr>
                    <w:rPr>
                      <w:rFonts w:ascii="Cambria Math" w:hAnsi="Cambria Math"/>
                      <w:bCs/>
                      <w:sz w:val="24"/>
                      <w:szCs w:val="24"/>
                    </w:rPr>
                  </m:ctrlPr>
                </m:sub>
              </m:sSub>
              <m:r>
                <w:rPr>
                  <w:rFonts w:ascii="Cambria Math" w:hAnsi="Cambria Math"/>
                  <w:sz w:val="24"/>
                  <w:szCs w:val="24"/>
                </w:rPr>
                <m:t>F</m:t>
              </m:r>
              <m:r>
                <m:rPr>
                  <m:sty m:val="p"/>
                </m:rPr>
                <w:rPr>
                  <w:rFonts w:ascii="Cambria Math" w:hAnsi="Cambria Math"/>
                  <w:sz w:val="24"/>
                  <w:szCs w:val="24"/>
                </w:rPr>
                <m:t>=(10</m:t>
              </m:r>
              <m:sSup>
                <m:sSupPr>
                  <m:ctrlPr>
                    <w:rPr>
                      <w:rFonts w:ascii="Cambria Math" w:hAnsi="Cambria Math"/>
                      <w:bCs/>
                      <w:sz w:val="24"/>
                      <w:szCs w:val="24"/>
                    </w:rPr>
                  </m:ctrlPr>
                </m:sSupPr>
                <m:e>
                  <m:r>
                    <w:rPr>
                      <w:rFonts w:ascii="Cambria Math" w:hAnsi="Cambria Math"/>
                      <w:sz w:val="24"/>
                      <w:szCs w:val="24"/>
                    </w:rPr>
                    <m:t>X</m:t>
                  </m:r>
                  <m:ctrlPr>
                    <w:rPr>
                      <w:rFonts w:ascii="Cambria Math" w:hAnsi="Cambria Math"/>
                      <w:bCs/>
                      <w:sz w:val="24"/>
                      <w:szCs w:val="24"/>
                    </w:rPr>
                  </m:ctrlPr>
                </m:e>
                <m:sup>
                  <m:r>
                    <m:rPr>
                      <m:sty m:val="p"/>
                    </m:rPr>
                    <w:rPr>
                      <w:rFonts w:ascii="Cambria Math" w:hAnsi="Cambria Math"/>
                      <w:sz w:val="24"/>
                      <w:szCs w:val="24"/>
                    </w:rPr>
                    <m:t>2</m:t>
                  </m:r>
                  <m:ctrlPr>
                    <w:rPr>
                      <w:rFonts w:ascii="Cambria Math" w:hAnsi="Cambria Math"/>
                      <w:bCs/>
                      <w:sz w:val="24"/>
                      <w:szCs w:val="24"/>
                    </w:rPr>
                  </m:ctrlPr>
                </m:sup>
              </m:sSup>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m:t>
              </m:r>
              <m:sSub>
                <m:sSubPr>
                  <m:ctrlPr>
                    <w:rPr>
                      <w:rFonts w:ascii="Cambria Math" w:hAnsi="Cambria Math"/>
                      <w:bCs/>
                      <w:sz w:val="24"/>
                      <w:szCs w:val="24"/>
                    </w:rPr>
                  </m:ctrlPr>
                </m:sSubPr>
                <m:e>
                  <m:r>
                    <w:rPr>
                      <w:rFonts w:ascii="Cambria Math" w:hAnsi="Cambria Math"/>
                      <w:sz w:val="24"/>
                      <w:szCs w:val="24"/>
                    </w:rPr>
                    <m:t>V</m:t>
                  </m:r>
                  <m:ctrlPr>
                    <w:rPr>
                      <w:rFonts w:ascii="Cambria Math" w:hAnsi="Cambria Math"/>
                      <w:bCs/>
                      <w:sz w:val="24"/>
                      <w:szCs w:val="24"/>
                    </w:rPr>
                  </m:ctrlPr>
                </m:e>
                <m:sub>
                  <m:r>
                    <w:rPr>
                      <w:rFonts w:ascii="Cambria Math" w:hAnsi="Cambria Math"/>
                      <w:sz w:val="24"/>
                      <w:szCs w:val="24"/>
                    </w:rPr>
                    <m:t>X</m:t>
                  </m:r>
                  <m:ctrlPr>
                    <w:rPr>
                      <w:rFonts w:ascii="Cambria Math" w:hAnsi="Cambria Math"/>
                      <w:bCs/>
                      <w:sz w:val="24"/>
                      <w:szCs w:val="24"/>
                    </w:rPr>
                  </m:ctrlPr>
                </m:sub>
              </m:sSub>
            </m:oMath>
            <w:r>
              <w:rPr>
                <w:rFonts w:ascii="Times New Roman" w:hAnsi="Times New Roman"/>
                <w:bCs/>
                <w:sz w:val="24"/>
                <w:szCs w:val="24"/>
              </w:rPr>
              <w:t xml:space="preserve">     </w:t>
            </w:r>
            <w:r>
              <w:rPr>
                <w:rFonts w:ascii="Times New Roman" w:hAnsi="Times New Roman"/>
                <w:kern w:val="0"/>
                <w:sz w:val="24"/>
                <w:szCs w:val="24"/>
              </w:rPr>
              <w:t>（4）</w:t>
            </w:r>
          </w:p>
          <w:p>
            <w:pPr>
              <w:pStyle w:val="10"/>
              <w:spacing w:line="360" w:lineRule="auto"/>
              <w:ind w:firstLine="480" w:firstLineChars="200"/>
              <w:rPr>
                <w:rFonts w:ascii="Times New Roman" w:hAnsi="Times New Roman"/>
                <w:bCs/>
                <w:sz w:val="24"/>
                <w:szCs w:val="24"/>
              </w:rPr>
            </w:pPr>
            <w:r>
              <w:rPr>
                <w:rFonts w:ascii="Times New Roman" w:hAnsi="Times New Roman"/>
                <w:bCs/>
                <w:sz w:val="24"/>
                <w:szCs w:val="24"/>
              </w:rPr>
              <w:t>式中：L——集气罩风量，m</w:t>
            </w:r>
            <w:r>
              <w:rPr>
                <w:rFonts w:ascii="Times New Roman" w:hAnsi="Times New Roman"/>
                <w:bCs/>
                <w:sz w:val="24"/>
                <w:szCs w:val="24"/>
                <w:vertAlign w:val="superscript"/>
              </w:rPr>
              <w:t>2</w:t>
            </w:r>
            <w:r>
              <w:rPr>
                <w:rFonts w:ascii="Times New Roman" w:hAnsi="Times New Roman"/>
                <w:bCs/>
                <w:sz w:val="24"/>
                <w:szCs w:val="24"/>
              </w:rPr>
              <w:t>/s；</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V0——吸气口的平均风速，m/s；</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Vx——控制点的吸入风速，m/s；</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F——集气罩面积，m</w:t>
            </w:r>
            <w:r>
              <w:rPr>
                <w:rFonts w:ascii="Times New Roman" w:hAnsi="Times New Roman"/>
                <w:bCs/>
                <w:sz w:val="24"/>
                <w:szCs w:val="24"/>
                <w:vertAlign w:val="superscript"/>
              </w:rPr>
              <w:t>2</w:t>
            </w:r>
            <w:r>
              <w:rPr>
                <w:rFonts w:ascii="Times New Roman" w:hAnsi="Times New Roman"/>
                <w:bCs/>
                <w:sz w:val="24"/>
                <w:szCs w:val="24"/>
              </w:rPr>
              <w:t>；</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X——控制点到吸气口的距离，m。</w:t>
            </w:r>
          </w:p>
          <w:p>
            <w:pPr>
              <w:pStyle w:val="10"/>
              <w:spacing w:line="360" w:lineRule="auto"/>
              <w:ind w:firstLine="480" w:firstLineChars="200"/>
              <w:rPr>
                <w:rFonts w:ascii="Times New Roman" w:hAnsi="Times New Roman"/>
                <w:bCs/>
                <w:sz w:val="24"/>
                <w:szCs w:val="24"/>
              </w:rPr>
            </w:pPr>
            <w:r>
              <w:rPr>
                <w:rFonts w:ascii="Times New Roman" w:hAnsi="Times New Roman"/>
                <w:bCs/>
                <w:sz w:val="24"/>
                <w:szCs w:val="24"/>
              </w:rPr>
              <w:t>项目正常生产时集气罩距废气散发点距离（X）可控制在约0.3m；项目单个集气罩面积约0.3m</w:t>
            </w:r>
            <w:r>
              <w:rPr>
                <w:rFonts w:ascii="Times New Roman" w:hAnsi="Times New Roman"/>
                <w:bCs/>
                <w:sz w:val="24"/>
                <w:szCs w:val="24"/>
                <w:vertAlign w:val="superscript"/>
              </w:rPr>
              <w:t>2</w:t>
            </w:r>
            <w:r>
              <w:rPr>
                <w:rFonts w:ascii="Times New Roman" w:hAnsi="Times New Roman"/>
                <w:bCs/>
                <w:sz w:val="24"/>
                <w:szCs w:val="24"/>
              </w:rPr>
              <w:t>，共设置7个集气罩，面积合计为2.1m</w:t>
            </w:r>
            <w:r>
              <w:rPr>
                <w:rFonts w:ascii="Times New Roman" w:hAnsi="Times New Roman"/>
                <w:bCs/>
                <w:sz w:val="24"/>
                <w:szCs w:val="24"/>
                <w:vertAlign w:val="superscript"/>
              </w:rPr>
              <w:t>2</w:t>
            </w:r>
            <w:r>
              <w:rPr>
                <w:rFonts w:hint="eastAsia" w:ascii="Times New Roman" w:hAnsi="Times New Roman"/>
                <w:bCs/>
                <w:sz w:val="24"/>
                <w:szCs w:val="24"/>
              </w:rPr>
              <w:t>，</w:t>
            </w:r>
            <w:r>
              <w:rPr>
                <w:rFonts w:ascii="Times New Roman" w:hAnsi="Times New Roman"/>
                <w:bCs/>
                <w:sz w:val="24"/>
                <w:szCs w:val="24"/>
              </w:rPr>
              <w:t>拟建项目Vx取0.5m/s；计算得集气罩要求的最小风量为1.5m</w:t>
            </w:r>
            <w:r>
              <w:rPr>
                <w:rFonts w:ascii="Times New Roman" w:hAnsi="Times New Roman"/>
                <w:bCs/>
                <w:sz w:val="24"/>
                <w:szCs w:val="24"/>
                <w:vertAlign w:val="superscript"/>
              </w:rPr>
              <w:t>3</w:t>
            </w:r>
            <w:r>
              <w:rPr>
                <w:rFonts w:ascii="Times New Roman" w:hAnsi="Times New Roman"/>
                <w:bCs/>
                <w:sz w:val="24"/>
                <w:szCs w:val="24"/>
              </w:rPr>
              <w:t>/s，约5400m</w:t>
            </w:r>
            <w:r>
              <w:rPr>
                <w:rFonts w:ascii="Times New Roman" w:hAnsi="Times New Roman"/>
                <w:bCs/>
                <w:sz w:val="24"/>
                <w:szCs w:val="24"/>
                <w:vertAlign w:val="superscript"/>
              </w:rPr>
              <w:t>3</w:t>
            </w:r>
            <w:r>
              <w:rPr>
                <w:rFonts w:ascii="Times New Roman" w:hAnsi="Times New Roman"/>
                <w:bCs/>
                <w:sz w:val="24"/>
                <w:szCs w:val="24"/>
              </w:rPr>
              <w:t>/h，最终选取风量为6000m</w:t>
            </w:r>
            <w:r>
              <w:rPr>
                <w:rFonts w:ascii="Times New Roman" w:hAnsi="Times New Roman"/>
                <w:bCs/>
                <w:sz w:val="24"/>
                <w:szCs w:val="24"/>
                <w:vertAlign w:val="superscript"/>
              </w:rPr>
              <w:t>3</w:t>
            </w:r>
            <w:r>
              <w:rPr>
                <w:rFonts w:ascii="Times New Roman" w:hAnsi="Times New Roman"/>
                <w:bCs/>
                <w:sz w:val="24"/>
                <w:szCs w:val="24"/>
              </w:rPr>
              <w:t>/h。</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熔炼过程产生的熔炼烟尘及天然气燃烧废气收集后共同经布袋除尘器（风机风量为6000m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/h，除尘效率按95%计）处理后由一根总管引至总排放口经15m高1#排气筒排放。</w:t>
            </w:r>
          </w:p>
          <w:p>
            <w:pPr>
              <w:autoSpaceDE w:val="0"/>
              <w:autoSpaceDN w:val="0"/>
              <w:adjustRightInd w:val="0"/>
              <w:snapToGrid w:val="0"/>
              <w:spacing w:line="360" w:lineRule="auto"/>
              <w:ind w:firstLine="482" w:firstLineChars="200"/>
              <w:jc w:val="center"/>
              <w:rPr>
                <w:rFonts w:ascii="Times New Roman" w:hAnsi="Times New Roman" w:cs="Times New Roman"/>
                <w:b/>
                <w:bCs/>
                <w:kern w:val="0"/>
                <w:sz w:val="24"/>
              </w:rPr>
            </w:pPr>
            <w:r>
              <w:rPr>
                <w:rFonts w:ascii="Times New Roman" w:hAnsi="Times New Roman" w:eastAsia="宋体" w:cs="Times New Roman"/>
                <w:b/>
                <w:bCs/>
                <w:kern w:val="0"/>
                <w:sz w:val="24"/>
                <w:szCs w:val="24"/>
              </w:rPr>
              <w:t>表4.2-2  熔炼废气污染物产、排放一览表</w:t>
            </w:r>
          </w:p>
          <w:tbl>
            <w:tblPr>
              <w:tblStyle w:val="18"/>
              <w:tblW w:w="82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6"/>
              <w:gridCol w:w="851"/>
              <w:gridCol w:w="714"/>
              <w:gridCol w:w="851"/>
              <w:gridCol w:w="850"/>
              <w:gridCol w:w="1276"/>
              <w:gridCol w:w="703"/>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425"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排放方式</w:t>
                  </w:r>
                </w:p>
              </w:tc>
              <w:tc>
                <w:tcPr>
                  <w:tcW w:w="876"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风量</w:t>
                  </w:r>
                </w:p>
                <w:p>
                  <w:pPr>
                    <w:pStyle w:val="10"/>
                    <w:adjustRightInd w:val="0"/>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851"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污染因子</w:t>
                  </w:r>
                </w:p>
              </w:tc>
              <w:tc>
                <w:tcPr>
                  <w:tcW w:w="2415"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产生情况</w:t>
                  </w:r>
                </w:p>
              </w:tc>
              <w:tc>
                <w:tcPr>
                  <w:tcW w:w="1276"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治理措施</w:t>
                  </w:r>
                </w:p>
              </w:tc>
              <w:tc>
                <w:tcPr>
                  <w:tcW w:w="2404"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876" w:type="dxa"/>
                  <w:vMerge w:val="continue"/>
                  <w:vAlign w:val="center"/>
                </w:tcPr>
                <w:p>
                  <w:pPr>
                    <w:pStyle w:val="10"/>
                    <w:adjustRightInd w:val="0"/>
                    <w:snapToGrid w:val="0"/>
                    <w:jc w:val="center"/>
                    <w:rPr>
                      <w:rFonts w:ascii="Times New Roman" w:hAnsi="Times New Roman"/>
                      <w:szCs w:val="21"/>
                    </w:rPr>
                  </w:pPr>
                </w:p>
              </w:tc>
              <w:tc>
                <w:tcPr>
                  <w:tcW w:w="851" w:type="dxa"/>
                  <w:vMerge w:val="continue"/>
                  <w:vAlign w:val="center"/>
                </w:tcPr>
                <w:p>
                  <w:pPr>
                    <w:pStyle w:val="10"/>
                    <w:adjustRightInd w:val="0"/>
                    <w:snapToGrid w:val="0"/>
                    <w:jc w:val="center"/>
                    <w:rPr>
                      <w:rFonts w:ascii="Times New Roman" w:hAnsi="Times New Roman"/>
                      <w:szCs w:val="21"/>
                    </w:rPr>
                  </w:pP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szCs w:val="21"/>
                    </w:rPr>
                    <w:t>产生量</w:t>
                  </w:r>
                </w:p>
                <w:p>
                  <w:pPr>
                    <w:pStyle w:val="10"/>
                    <w:adjustRightInd w:val="0"/>
                    <w:snapToGrid w:val="0"/>
                    <w:jc w:val="center"/>
                    <w:rPr>
                      <w:rFonts w:ascii="Times New Roman" w:hAnsi="Times New Roman"/>
                      <w:szCs w:val="21"/>
                    </w:rPr>
                  </w:pPr>
                  <w:r>
                    <w:rPr>
                      <w:rFonts w:ascii="Times New Roman" w:hAnsi="Times New Roman"/>
                      <w:szCs w:val="21"/>
                    </w:rPr>
                    <w:t>t/a</w:t>
                  </w:r>
                </w:p>
              </w:tc>
              <w:tc>
                <w:tcPr>
                  <w:tcW w:w="1276" w:type="dxa"/>
                  <w:vMerge w:val="continue"/>
                  <w:vAlign w:val="center"/>
                </w:tcPr>
                <w:p>
                  <w:pPr>
                    <w:pStyle w:val="10"/>
                    <w:adjustRightInd w:val="0"/>
                    <w:snapToGrid w:val="0"/>
                    <w:jc w:val="center"/>
                    <w:rPr>
                      <w:rFonts w:ascii="Times New Roman" w:hAnsi="Times New Roman"/>
                      <w:szCs w:val="21"/>
                    </w:rPr>
                  </w:pP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szCs w:val="21"/>
                    </w:rPr>
                    <w:t>排放量</w:t>
                  </w:r>
                </w:p>
                <w:p>
                  <w:pPr>
                    <w:pStyle w:val="10"/>
                    <w:adjustRightInd w:val="0"/>
                    <w:snapToGrid w:val="0"/>
                    <w:jc w:val="center"/>
                    <w:rPr>
                      <w:rFonts w:ascii="Times New Roman" w:hAnsi="Times New Roman"/>
                      <w:szCs w:val="21"/>
                    </w:rPr>
                  </w:pPr>
                  <w:r>
                    <w:rPr>
                      <w:rFonts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25"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有组织</w:t>
                  </w:r>
                </w:p>
              </w:tc>
              <w:tc>
                <w:tcPr>
                  <w:tcW w:w="876"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6000</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颗粒物</w:t>
                  </w: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0.388</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64.6</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0.93</w:t>
                  </w:r>
                </w:p>
              </w:tc>
              <w:tc>
                <w:tcPr>
                  <w:tcW w:w="127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集气罩收集，布袋除尘器处理，经15m高排气筒排放</w:t>
                  </w: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0.019</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3.2</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876" w:type="dxa"/>
                  <w:vMerge w:val="continue"/>
                  <w:vAlign w:val="center"/>
                </w:tcPr>
                <w:p>
                  <w:pPr>
                    <w:pStyle w:val="10"/>
                    <w:adjustRightInd w:val="0"/>
                    <w:snapToGrid w:val="0"/>
                    <w:jc w:val="center"/>
                    <w:rPr>
                      <w:rFonts w:ascii="Times New Roman" w:hAnsi="Times New Roman"/>
                      <w:szCs w:val="21"/>
                    </w:rPr>
                  </w:pP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0.007</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1.2</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0.017</w:t>
                  </w:r>
                </w:p>
              </w:tc>
              <w:tc>
                <w:tcPr>
                  <w:tcW w:w="1276" w:type="dxa"/>
                  <w:vMerge w:val="continue"/>
                  <w:vAlign w:val="center"/>
                </w:tcPr>
                <w:p>
                  <w:pPr>
                    <w:jc w:val="center"/>
                    <w:rPr>
                      <w:rFonts w:ascii="Times New Roman" w:hAnsi="Times New Roman" w:eastAsia="宋体" w:cs="Times New Roman"/>
                      <w:szCs w:val="21"/>
                    </w:rPr>
                  </w:pP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0.007</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1.2</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876" w:type="dxa"/>
                  <w:vMerge w:val="continue"/>
                  <w:vAlign w:val="center"/>
                </w:tcPr>
                <w:p>
                  <w:pPr>
                    <w:pStyle w:val="10"/>
                    <w:adjustRightInd w:val="0"/>
                    <w:snapToGrid w:val="0"/>
                    <w:jc w:val="center"/>
                    <w:rPr>
                      <w:rFonts w:ascii="Times New Roman" w:hAnsi="Times New Roman"/>
                      <w:szCs w:val="21"/>
                    </w:rPr>
                  </w:pP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NOx</w:t>
                  </w: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0.068</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11.3</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0.163</w:t>
                  </w:r>
                </w:p>
              </w:tc>
              <w:tc>
                <w:tcPr>
                  <w:tcW w:w="1276" w:type="dxa"/>
                  <w:vMerge w:val="continue"/>
                  <w:vAlign w:val="center"/>
                </w:tcPr>
                <w:p>
                  <w:pPr>
                    <w:jc w:val="center"/>
                    <w:rPr>
                      <w:rFonts w:ascii="Times New Roman" w:hAnsi="Times New Roman" w:eastAsia="宋体" w:cs="Times New Roman"/>
                      <w:szCs w:val="21"/>
                    </w:rPr>
                  </w:pP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0.068</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11.3</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425" w:type="dxa"/>
                  <w:vAlign w:val="center"/>
                </w:tcPr>
                <w:p>
                  <w:pPr>
                    <w:pStyle w:val="10"/>
                    <w:adjustRightInd w:val="0"/>
                    <w:snapToGrid w:val="0"/>
                    <w:jc w:val="center"/>
                    <w:rPr>
                      <w:rFonts w:ascii="Times New Roman" w:hAnsi="Times New Roman"/>
                      <w:szCs w:val="21"/>
                    </w:rPr>
                  </w:pPr>
                  <w:r>
                    <w:rPr>
                      <w:rFonts w:ascii="Times New Roman" w:hAnsi="Times New Roman"/>
                      <w:szCs w:val="21"/>
                    </w:rPr>
                    <w:t>无组织</w:t>
                  </w:r>
                </w:p>
              </w:tc>
              <w:tc>
                <w:tcPr>
                  <w:tcW w:w="876" w:type="dxa"/>
                  <w:vAlign w:val="center"/>
                </w:tcPr>
                <w:p>
                  <w:pPr>
                    <w:pStyle w:val="10"/>
                    <w:adjustRightInd w:val="0"/>
                    <w:snapToGrid w:val="0"/>
                    <w:jc w:val="center"/>
                    <w:rPr>
                      <w:rFonts w:ascii="Times New Roman" w:hAnsi="Times New Roman"/>
                      <w:szCs w:val="21"/>
                    </w:rPr>
                  </w:pPr>
                  <w:r>
                    <w:rPr>
                      <w:rFonts w:ascii="Times New Roman" w:hAnsi="Times New Roman"/>
                      <w:szCs w:val="21"/>
                    </w:rPr>
                    <w:t>/</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颗粒物</w:t>
                  </w:r>
                </w:p>
              </w:tc>
              <w:tc>
                <w:tcPr>
                  <w:tcW w:w="714"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0.094</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w:t>
                  </w:r>
                </w:p>
              </w:tc>
              <w:tc>
                <w:tcPr>
                  <w:tcW w:w="850"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0.226</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加强车间机械通风</w:t>
                  </w:r>
                </w:p>
              </w:tc>
              <w:tc>
                <w:tcPr>
                  <w:tcW w:w="703"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0.094</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w:t>
                  </w:r>
                </w:p>
              </w:tc>
              <w:tc>
                <w:tcPr>
                  <w:tcW w:w="850"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0.226</w:t>
                  </w:r>
                </w:p>
              </w:tc>
            </w:tr>
          </w:tbl>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（2）压铸废气G2</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拟建项目压铸过程采用水性脱模剂与水按比例混合后对模具型腔进行喷涂，压铸工序中脱模剂会附着在铸件表面被带走或附着于模具型腔内。附在模具型腔内的脱模剂遇高温铝合金液会产生少量的挥发性有机废气，本评价以非甲烷总烃计；另外在高温情况下，脱模剂会气化遇到冷空气后产生一定量油雾，本项目使用水基脱模剂，成分较为简单及清洁，大部分组成为水，因此本评价对其进行定性分析，拟采取静电净化技术对油雾进行处理（属于“铸造工业大气污染防治可行技术指南”污染治理推荐技术，要求控制油雾排放浓度水平小于1</w:t>
            </w:r>
            <w:r>
              <w:rPr>
                <w:rFonts w:ascii="Times New Roman" w:hAnsi="Times New Roman" w:eastAsia="宋体" w:cs="Times New Roman"/>
                <w:kern w:val="0"/>
                <w:sz w:val="24"/>
                <w:szCs w:val="24"/>
              </w:rPr>
              <w:t>0</w:t>
            </w:r>
            <w:r>
              <w:rPr>
                <w:rFonts w:ascii="Times New Roman" w:hAnsi="Times New Roman"/>
                <w:szCs w:val="21"/>
              </w:rPr>
              <w:t xml:space="preserve"> </w:t>
            </w:r>
            <w:r>
              <w:rPr>
                <w:rFonts w:ascii="Times New Roman" w:hAnsi="Times New Roman" w:eastAsia="宋体" w:cs="Times New Roman"/>
                <w:kern w:val="0"/>
                <w:sz w:val="24"/>
                <w:szCs w:val="24"/>
              </w:rPr>
              <w:t>mg/m</w:t>
            </w:r>
            <w:r>
              <w:rPr>
                <w:rFonts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拟建项目脱模剂主要成份为</w:t>
            </w:r>
            <w:r>
              <w:rPr>
                <w:rFonts w:hint="eastAsia" w:ascii="Times New Roman" w:hAnsi="Times New Roman" w:eastAsia="宋体" w:cs="Times New Roman"/>
                <w:kern w:val="0"/>
                <w:sz w:val="24"/>
                <w:szCs w:val="24"/>
              </w:rPr>
              <w:t>合成</w:t>
            </w:r>
            <w:r>
              <w:rPr>
                <w:rFonts w:ascii="Times New Roman" w:hAnsi="Times New Roman" w:eastAsia="宋体" w:cs="Times New Roman"/>
                <w:kern w:val="0"/>
                <w:sz w:val="24"/>
                <w:szCs w:val="24"/>
              </w:rPr>
              <w:t>硅油、</w:t>
            </w:r>
            <w:r>
              <w:rPr>
                <w:rFonts w:hint="eastAsia" w:ascii="Times New Roman" w:hAnsi="Times New Roman" w:eastAsia="宋体" w:cs="Times New Roman"/>
                <w:kern w:val="0"/>
                <w:sz w:val="24"/>
                <w:szCs w:val="24"/>
              </w:rPr>
              <w:t>乳化剂</w:t>
            </w:r>
            <w:r>
              <w:rPr>
                <w:rFonts w:ascii="Times New Roman" w:hAnsi="Times New Roman" w:eastAsia="宋体" w:cs="Times New Roman"/>
                <w:kern w:val="0"/>
                <w:sz w:val="24"/>
                <w:szCs w:val="24"/>
              </w:rPr>
              <w:t>、水、</w:t>
            </w:r>
            <w:r>
              <w:rPr>
                <w:rFonts w:hint="eastAsia" w:ascii="Times New Roman" w:hAnsi="Times New Roman" w:eastAsia="宋体" w:cs="Times New Roman"/>
                <w:kern w:val="0"/>
                <w:sz w:val="24"/>
                <w:szCs w:val="24"/>
              </w:rPr>
              <w:t>添加</w:t>
            </w:r>
            <w:r>
              <w:rPr>
                <w:rFonts w:ascii="Times New Roman" w:hAnsi="Times New Roman" w:eastAsia="宋体" w:cs="Times New Roman"/>
                <w:kern w:val="0"/>
                <w:sz w:val="24"/>
                <w:szCs w:val="24"/>
              </w:rPr>
              <w:t>剂等，</w:t>
            </w:r>
            <w:r>
              <w:rPr>
                <w:rFonts w:hint="eastAsia" w:ascii="Times New Roman" w:hAnsi="Times New Roman" w:eastAsia="宋体" w:cs="Times New Roman"/>
                <w:kern w:val="0"/>
                <w:sz w:val="24"/>
                <w:szCs w:val="24"/>
              </w:rPr>
              <w:t>其中水分占比为8</w:t>
            </w:r>
            <w:r>
              <w:rPr>
                <w:rFonts w:ascii="Times New Roman" w:hAnsi="Times New Roman" w:eastAsia="宋体" w:cs="Times New Roman"/>
                <w:kern w:val="0"/>
                <w:sz w:val="24"/>
                <w:szCs w:val="24"/>
              </w:rPr>
              <w:t>0</w:t>
            </w:r>
            <w:r>
              <w:rPr>
                <w:rFonts w:hint="eastAsia" w:ascii="Times New Roman" w:hAnsi="Times New Roman" w:eastAsia="宋体" w:cs="Times New Roman"/>
                <w:kern w:val="0"/>
                <w:sz w:val="24"/>
                <w:szCs w:val="24"/>
              </w:rPr>
              <w:t>%，其他有机组分占比为2</w:t>
            </w:r>
            <w:r>
              <w:rPr>
                <w:rFonts w:ascii="Times New Roman" w:hAnsi="Times New Roman" w:eastAsia="宋体" w:cs="Times New Roman"/>
                <w:kern w:val="0"/>
                <w:sz w:val="24"/>
                <w:szCs w:val="24"/>
              </w:rPr>
              <w:t>0</w:t>
            </w:r>
            <w:r>
              <w:rPr>
                <w:rFonts w:hint="eastAsia" w:ascii="Times New Roman" w:hAnsi="Times New Roman" w:eastAsia="宋体" w:cs="Times New Roman"/>
                <w:kern w:val="0"/>
                <w:sz w:val="24"/>
                <w:szCs w:val="24"/>
              </w:rPr>
              <w:t>%（按照最不利情况考虑）。脱模剂用量为</w:t>
            </w:r>
            <w:r>
              <w:rPr>
                <w:rFonts w:ascii="Times New Roman" w:hAnsi="Times New Roman" w:eastAsia="宋体" w:cs="Times New Roman"/>
                <w:kern w:val="0"/>
                <w:sz w:val="24"/>
                <w:szCs w:val="24"/>
              </w:rPr>
              <w:t>3.8</w:t>
            </w:r>
            <w:r>
              <w:rPr>
                <w:rFonts w:hint="eastAsia" w:ascii="Times New Roman" w:hAnsi="Times New Roman" w:eastAsia="宋体" w:cs="Times New Roman"/>
                <w:kern w:val="0"/>
                <w:sz w:val="24"/>
                <w:szCs w:val="24"/>
              </w:rPr>
              <w:t>t/a，其中有机组分含量为</w:t>
            </w:r>
            <w:r>
              <w:rPr>
                <w:rFonts w:ascii="Times New Roman" w:hAnsi="Times New Roman" w:eastAsia="宋体" w:cs="Times New Roman"/>
                <w:kern w:val="0"/>
                <w:sz w:val="24"/>
                <w:szCs w:val="24"/>
              </w:rPr>
              <w:t>0.76</w:t>
            </w:r>
            <w:r>
              <w:rPr>
                <w:rFonts w:hint="eastAsia" w:ascii="Times New Roman" w:hAnsi="Times New Roman" w:eastAsia="宋体" w:cs="Times New Roman"/>
                <w:kern w:val="0"/>
                <w:sz w:val="24"/>
                <w:szCs w:val="24"/>
              </w:rPr>
              <w:t>t</w:t>
            </w:r>
            <w:r>
              <w:rPr>
                <w:rFonts w:ascii="Times New Roman" w:hAnsi="Times New Roman" w:eastAsia="宋体" w:cs="Times New Roman"/>
                <w:kern w:val="0"/>
                <w:sz w:val="24"/>
                <w:szCs w:val="24"/>
              </w:rPr>
              <w:t>。</w:t>
            </w:r>
          </w:p>
          <w:p>
            <w:pPr>
              <w:pStyle w:val="10"/>
              <w:spacing w:line="360" w:lineRule="auto"/>
              <w:ind w:firstLine="480" w:firstLineChars="200"/>
              <w:rPr>
                <w:rFonts w:ascii="Times New Roman" w:hAnsi="Times New Roman"/>
                <w:bCs/>
                <w:sz w:val="24"/>
                <w:szCs w:val="24"/>
              </w:rPr>
            </w:pPr>
            <w:r>
              <w:rPr>
                <w:rFonts w:hint="eastAsia" w:ascii="Times New Roman" w:hAnsi="Times New Roman"/>
                <w:kern w:val="0"/>
                <w:sz w:val="24"/>
                <w:szCs w:val="24"/>
              </w:rPr>
              <w:t>拟设置集气罩</w:t>
            </w:r>
            <w:r>
              <w:rPr>
                <w:rFonts w:ascii="Times New Roman" w:hAnsi="Times New Roman"/>
                <w:kern w:val="0"/>
                <w:sz w:val="24"/>
                <w:szCs w:val="24"/>
              </w:rPr>
              <w:t>（收集效率为80%）</w:t>
            </w:r>
            <w:r>
              <w:rPr>
                <w:rFonts w:hint="eastAsia" w:ascii="Times New Roman" w:hAnsi="Times New Roman"/>
                <w:kern w:val="0"/>
                <w:sz w:val="24"/>
                <w:szCs w:val="24"/>
              </w:rPr>
              <w:t>对压铸产生的废气进行收集，</w:t>
            </w:r>
            <w:r>
              <w:rPr>
                <w:rFonts w:ascii="Times New Roman" w:hAnsi="Times New Roman"/>
                <w:bCs/>
                <w:sz w:val="24"/>
                <w:szCs w:val="24"/>
              </w:rPr>
              <w:t>根据《大气污染控制工程》，其原理为通过罩口的抽吸作用在距离吸气口最远的有害物散发点（即控制点）上造成适应的空气流动，从而把污染物吸入罩内。</w:t>
            </w:r>
          </w:p>
          <w:p>
            <w:pPr>
              <w:pStyle w:val="10"/>
              <w:spacing w:line="360" w:lineRule="auto"/>
              <w:ind w:firstLine="480" w:firstLineChars="200"/>
              <w:jc w:val="center"/>
              <w:rPr>
                <w:rFonts w:ascii="Times New Roman" w:hAnsi="Times New Roman"/>
                <w:bCs/>
                <w:sz w:val="24"/>
                <w:szCs w:val="24"/>
              </w:rPr>
            </w:pPr>
            <m:oMath>
              <m:r>
                <w:rPr>
                  <w:rFonts w:ascii="Cambria Math" w:hAnsi="Cambria Math"/>
                  <w:sz w:val="24"/>
                  <w:szCs w:val="24"/>
                </w:rPr>
                <m:t>L</m:t>
              </m:r>
              <m:r>
                <m:rPr>
                  <m:sty m:val="p"/>
                </m:rPr>
                <w:rPr>
                  <w:rFonts w:ascii="Cambria Math" w:hAnsi="Cambria Math"/>
                  <w:sz w:val="24"/>
                  <w:szCs w:val="24"/>
                </w:rPr>
                <m:t>=</m:t>
              </m:r>
              <m:sSub>
                <m:sSubPr>
                  <m:ctrlPr>
                    <w:rPr>
                      <w:rFonts w:ascii="Cambria Math" w:hAnsi="Cambria Math"/>
                      <w:bCs/>
                      <w:sz w:val="24"/>
                      <w:szCs w:val="24"/>
                    </w:rPr>
                  </m:ctrlPr>
                </m:sSubPr>
                <m:e>
                  <m:r>
                    <w:rPr>
                      <w:rFonts w:ascii="Cambria Math" w:hAnsi="Cambria Math"/>
                      <w:sz w:val="24"/>
                      <w:szCs w:val="24"/>
                    </w:rPr>
                    <m:t>V</m:t>
                  </m:r>
                  <m:ctrlPr>
                    <w:rPr>
                      <w:rFonts w:ascii="Cambria Math" w:hAnsi="Cambria Math"/>
                      <w:bCs/>
                      <w:sz w:val="24"/>
                      <w:szCs w:val="24"/>
                    </w:rPr>
                  </m:ctrlPr>
                </m:e>
                <m:sub>
                  <m:r>
                    <m:rPr>
                      <m:sty m:val="p"/>
                    </m:rPr>
                    <w:rPr>
                      <w:rFonts w:ascii="Cambria Math" w:hAnsi="Cambria Math"/>
                      <w:sz w:val="24"/>
                      <w:szCs w:val="24"/>
                    </w:rPr>
                    <m:t>0</m:t>
                  </m:r>
                  <m:ctrlPr>
                    <w:rPr>
                      <w:rFonts w:ascii="Cambria Math" w:hAnsi="Cambria Math"/>
                      <w:bCs/>
                      <w:sz w:val="24"/>
                      <w:szCs w:val="24"/>
                    </w:rPr>
                  </m:ctrlPr>
                </m:sub>
              </m:sSub>
              <m:r>
                <w:rPr>
                  <w:rFonts w:ascii="Cambria Math" w:hAnsi="Cambria Math"/>
                  <w:sz w:val="24"/>
                  <w:szCs w:val="24"/>
                </w:rPr>
                <m:t>F</m:t>
              </m:r>
              <m:r>
                <m:rPr>
                  <m:sty m:val="p"/>
                </m:rPr>
                <w:rPr>
                  <w:rFonts w:ascii="Cambria Math" w:hAnsi="Cambria Math"/>
                  <w:sz w:val="24"/>
                  <w:szCs w:val="24"/>
                </w:rPr>
                <m:t>=(10</m:t>
              </m:r>
              <m:sSup>
                <m:sSupPr>
                  <m:ctrlPr>
                    <w:rPr>
                      <w:rFonts w:ascii="Cambria Math" w:hAnsi="Cambria Math"/>
                      <w:bCs/>
                      <w:sz w:val="24"/>
                      <w:szCs w:val="24"/>
                    </w:rPr>
                  </m:ctrlPr>
                </m:sSupPr>
                <m:e>
                  <m:r>
                    <w:rPr>
                      <w:rFonts w:ascii="Cambria Math" w:hAnsi="Cambria Math"/>
                      <w:sz w:val="24"/>
                      <w:szCs w:val="24"/>
                    </w:rPr>
                    <m:t>X</m:t>
                  </m:r>
                  <m:ctrlPr>
                    <w:rPr>
                      <w:rFonts w:ascii="Cambria Math" w:hAnsi="Cambria Math"/>
                      <w:bCs/>
                      <w:sz w:val="24"/>
                      <w:szCs w:val="24"/>
                    </w:rPr>
                  </m:ctrlPr>
                </m:e>
                <m:sup>
                  <m:r>
                    <m:rPr>
                      <m:sty m:val="p"/>
                    </m:rPr>
                    <w:rPr>
                      <w:rFonts w:ascii="Cambria Math" w:hAnsi="Cambria Math"/>
                      <w:sz w:val="24"/>
                      <w:szCs w:val="24"/>
                    </w:rPr>
                    <m:t>2</m:t>
                  </m:r>
                  <m:ctrlPr>
                    <w:rPr>
                      <w:rFonts w:ascii="Cambria Math" w:hAnsi="Cambria Math"/>
                      <w:bCs/>
                      <w:sz w:val="24"/>
                      <w:szCs w:val="24"/>
                    </w:rPr>
                  </m:ctrlPr>
                </m:sup>
              </m:sSup>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m:t>
              </m:r>
              <m:sSub>
                <m:sSubPr>
                  <m:ctrlPr>
                    <w:rPr>
                      <w:rFonts w:ascii="Cambria Math" w:hAnsi="Cambria Math"/>
                      <w:bCs/>
                      <w:sz w:val="24"/>
                      <w:szCs w:val="24"/>
                    </w:rPr>
                  </m:ctrlPr>
                </m:sSubPr>
                <m:e>
                  <m:r>
                    <w:rPr>
                      <w:rFonts w:ascii="Cambria Math" w:hAnsi="Cambria Math"/>
                      <w:sz w:val="24"/>
                      <w:szCs w:val="24"/>
                    </w:rPr>
                    <m:t>V</m:t>
                  </m:r>
                  <m:ctrlPr>
                    <w:rPr>
                      <w:rFonts w:ascii="Cambria Math" w:hAnsi="Cambria Math"/>
                      <w:bCs/>
                      <w:sz w:val="24"/>
                      <w:szCs w:val="24"/>
                    </w:rPr>
                  </m:ctrlPr>
                </m:e>
                <m:sub>
                  <m:r>
                    <w:rPr>
                      <w:rFonts w:ascii="Cambria Math" w:hAnsi="Cambria Math"/>
                      <w:sz w:val="24"/>
                      <w:szCs w:val="24"/>
                    </w:rPr>
                    <m:t>X</m:t>
                  </m:r>
                  <m:ctrlPr>
                    <w:rPr>
                      <w:rFonts w:ascii="Cambria Math" w:hAnsi="Cambria Math"/>
                      <w:bCs/>
                      <w:sz w:val="24"/>
                      <w:szCs w:val="24"/>
                    </w:rPr>
                  </m:ctrlPr>
                </m:sub>
              </m:sSub>
            </m:oMath>
            <w:r>
              <w:rPr>
                <w:rFonts w:ascii="Times New Roman" w:hAnsi="Times New Roman"/>
                <w:bCs/>
                <w:sz w:val="24"/>
                <w:szCs w:val="24"/>
              </w:rPr>
              <w:t xml:space="preserve">     </w:t>
            </w:r>
            <w:r>
              <w:rPr>
                <w:rFonts w:ascii="Times New Roman" w:hAnsi="Times New Roman"/>
                <w:kern w:val="0"/>
                <w:sz w:val="24"/>
                <w:szCs w:val="24"/>
              </w:rPr>
              <w:t>（4）</w:t>
            </w:r>
          </w:p>
          <w:p>
            <w:pPr>
              <w:pStyle w:val="10"/>
              <w:spacing w:line="360" w:lineRule="auto"/>
              <w:ind w:firstLine="480" w:firstLineChars="200"/>
              <w:rPr>
                <w:rFonts w:ascii="Times New Roman" w:hAnsi="Times New Roman"/>
                <w:bCs/>
                <w:sz w:val="24"/>
                <w:szCs w:val="24"/>
              </w:rPr>
            </w:pPr>
            <w:r>
              <w:rPr>
                <w:rFonts w:ascii="Times New Roman" w:hAnsi="Times New Roman"/>
                <w:bCs/>
                <w:sz w:val="24"/>
                <w:szCs w:val="24"/>
              </w:rPr>
              <w:t>式中：L——集气罩风量，m</w:t>
            </w:r>
            <w:r>
              <w:rPr>
                <w:rFonts w:ascii="Times New Roman" w:hAnsi="Times New Roman"/>
                <w:bCs/>
                <w:sz w:val="24"/>
                <w:szCs w:val="24"/>
                <w:vertAlign w:val="superscript"/>
              </w:rPr>
              <w:t>2</w:t>
            </w:r>
            <w:r>
              <w:rPr>
                <w:rFonts w:ascii="Times New Roman" w:hAnsi="Times New Roman"/>
                <w:bCs/>
                <w:sz w:val="24"/>
                <w:szCs w:val="24"/>
              </w:rPr>
              <w:t>/s；</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V0——吸气口的平均风速，m/s；</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Vx——控制点的吸入风速，m/s；</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F——集气罩面积，m</w:t>
            </w:r>
            <w:r>
              <w:rPr>
                <w:rFonts w:ascii="Times New Roman" w:hAnsi="Times New Roman"/>
                <w:bCs/>
                <w:sz w:val="24"/>
                <w:szCs w:val="24"/>
                <w:vertAlign w:val="superscript"/>
              </w:rPr>
              <w:t>2</w:t>
            </w:r>
            <w:r>
              <w:rPr>
                <w:rFonts w:ascii="Times New Roman" w:hAnsi="Times New Roman"/>
                <w:bCs/>
                <w:sz w:val="24"/>
                <w:szCs w:val="24"/>
              </w:rPr>
              <w:t>；</w:t>
            </w:r>
          </w:p>
          <w:p>
            <w:pPr>
              <w:pStyle w:val="10"/>
              <w:spacing w:line="360" w:lineRule="auto"/>
              <w:ind w:firstLine="1200" w:firstLineChars="500"/>
              <w:rPr>
                <w:rFonts w:ascii="Times New Roman" w:hAnsi="Times New Roman"/>
                <w:bCs/>
                <w:sz w:val="24"/>
                <w:szCs w:val="24"/>
              </w:rPr>
            </w:pPr>
            <w:r>
              <w:rPr>
                <w:rFonts w:ascii="Times New Roman" w:hAnsi="Times New Roman"/>
                <w:bCs/>
                <w:sz w:val="24"/>
                <w:szCs w:val="24"/>
              </w:rPr>
              <w:t>X——控制点到吸气口的距离，m。</w:t>
            </w:r>
          </w:p>
          <w:p>
            <w:pPr>
              <w:pStyle w:val="10"/>
              <w:spacing w:line="360" w:lineRule="auto"/>
              <w:ind w:firstLine="480" w:firstLineChars="200"/>
              <w:rPr>
                <w:rFonts w:ascii="Times New Roman" w:hAnsi="Times New Roman"/>
                <w:bCs/>
                <w:sz w:val="24"/>
                <w:szCs w:val="24"/>
              </w:rPr>
            </w:pPr>
            <w:r>
              <w:rPr>
                <w:rFonts w:ascii="Times New Roman" w:hAnsi="Times New Roman"/>
                <w:bCs/>
                <w:sz w:val="24"/>
                <w:szCs w:val="24"/>
              </w:rPr>
              <w:t>项目正常生产时集气罩距废气散发点距离（X）可控制在约0.3m；项目单个集气罩面积约0.3m</w:t>
            </w:r>
            <w:r>
              <w:rPr>
                <w:rFonts w:ascii="Times New Roman" w:hAnsi="Times New Roman"/>
                <w:bCs/>
                <w:sz w:val="24"/>
                <w:szCs w:val="24"/>
                <w:vertAlign w:val="superscript"/>
              </w:rPr>
              <w:t>2</w:t>
            </w:r>
            <w:r>
              <w:rPr>
                <w:rFonts w:ascii="Times New Roman" w:hAnsi="Times New Roman"/>
                <w:bCs/>
                <w:sz w:val="24"/>
                <w:szCs w:val="24"/>
              </w:rPr>
              <w:t>，共设置7个集气罩，面积合计为2.1m</w:t>
            </w:r>
            <w:r>
              <w:rPr>
                <w:rFonts w:ascii="Times New Roman" w:hAnsi="Times New Roman"/>
                <w:bCs/>
                <w:sz w:val="24"/>
                <w:szCs w:val="24"/>
                <w:vertAlign w:val="superscript"/>
              </w:rPr>
              <w:t>2</w:t>
            </w:r>
            <w:r>
              <w:rPr>
                <w:rFonts w:hint="eastAsia" w:ascii="Times New Roman" w:hAnsi="Times New Roman"/>
                <w:bCs/>
                <w:sz w:val="24"/>
                <w:szCs w:val="24"/>
              </w:rPr>
              <w:t>，</w:t>
            </w:r>
            <w:r>
              <w:rPr>
                <w:rFonts w:ascii="Times New Roman" w:hAnsi="Times New Roman"/>
                <w:bCs/>
                <w:sz w:val="24"/>
                <w:szCs w:val="24"/>
              </w:rPr>
              <w:t>拟建项目Vx取0.5m/s；计算得集气罩要求的最小风量为1.5m</w:t>
            </w:r>
            <w:r>
              <w:rPr>
                <w:rFonts w:ascii="Times New Roman" w:hAnsi="Times New Roman"/>
                <w:bCs/>
                <w:sz w:val="24"/>
                <w:szCs w:val="24"/>
                <w:vertAlign w:val="superscript"/>
              </w:rPr>
              <w:t>3</w:t>
            </w:r>
            <w:r>
              <w:rPr>
                <w:rFonts w:ascii="Times New Roman" w:hAnsi="Times New Roman"/>
                <w:bCs/>
                <w:sz w:val="24"/>
                <w:szCs w:val="24"/>
              </w:rPr>
              <w:t>/s，约5400m</w:t>
            </w:r>
            <w:r>
              <w:rPr>
                <w:rFonts w:ascii="Times New Roman" w:hAnsi="Times New Roman"/>
                <w:bCs/>
                <w:sz w:val="24"/>
                <w:szCs w:val="24"/>
                <w:vertAlign w:val="superscript"/>
              </w:rPr>
              <w:t>3</w:t>
            </w:r>
            <w:r>
              <w:rPr>
                <w:rFonts w:ascii="Times New Roman" w:hAnsi="Times New Roman"/>
                <w:bCs/>
                <w:sz w:val="24"/>
                <w:szCs w:val="24"/>
              </w:rPr>
              <w:t>/h，最终选取风量为6000m</w:t>
            </w:r>
            <w:r>
              <w:rPr>
                <w:rFonts w:ascii="Times New Roman" w:hAnsi="Times New Roman"/>
                <w:bCs/>
                <w:sz w:val="24"/>
                <w:szCs w:val="24"/>
                <w:vertAlign w:val="superscript"/>
              </w:rPr>
              <w:t>3</w:t>
            </w:r>
            <w:r>
              <w:rPr>
                <w:rFonts w:ascii="Times New Roman" w:hAnsi="Times New Roman"/>
                <w:bCs/>
                <w:sz w:val="24"/>
                <w:szCs w:val="24"/>
              </w:rPr>
              <w:t>/h。</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压铸过程产生的有机废气及油雾收集后经静电净化设备处理后由1</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m高2#排气筒排放。</w:t>
            </w:r>
          </w:p>
          <w:p>
            <w:pPr>
              <w:autoSpaceDE w:val="0"/>
              <w:autoSpaceDN w:val="0"/>
              <w:adjustRightInd w:val="0"/>
              <w:snapToGrid w:val="0"/>
              <w:spacing w:line="360" w:lineRule="auto"/>
              <w:ind w:firstLine="482" w:firstLineChars="200"/>
              <w:jc w:val="center"/>
              <w:rPr>
                <w:rFonts w:ascii="Times New Roman" w:hAnsi="Times New Roman" w:cs="Times New Roman"/>
                <w:b/>
                <w:bCs/>
                <w:kern w:val="0"/>
                <w:sz w:val="24"/>
              </w:rPr>
            </w:pPr>
            <w:r>
              <w:rPr>
                <w:rFonts w:ascii="Times New Roman" w:hAnsi="Times New Roman" w:eastAsia="宋体" w:cs="Times New Roman"/>
                <w:b/>
                <w:bCs/>
                <w:kern w:val="0"/>
                <w:sz w:val="24"/>
                <w:szCs w:val="24"/>
              </w:rPr>
              <w:t xml:space="preserve">表4.2-3  </w:t>
            </w:r>
            <w:r>
              <w:rPr>
                <w:rFonts w:hint="eastAsia" w:ascii="Times New Roman" w:hAnsi="Times New Roman" w:eastAsia="宋体" w:cs="Times New Roman"/>
                <w:b/>
                <w:bCs/>
                <w:kern w:val="0"/>
                <w:sz w:val="24"/>
                <w:szCs w:val="24"/>
              </w:rPr>
              <w:t>压铸</w:t>
            </w:r>
            <w:r>
              <w:rPr>
                <w:rFonts w:ascii="Times New Roman" w:hAnsi="Times New Roman" w:eastAsia="宋体" w:cs="Times New Roman"/>
                <w:b/>
                <w:bCs/>
                <w:kern w:val="0"/>
                <w:sz w:val="24"/>
                <w:szCs w:val="24"/>
              </w:rPr>
              <w:t>废气污染物产、排放一览表</w:t>
            </w:r>
          </w:p>
          <w:tbl>
            <w:tblPr>
              <w:tblStyle w:val="18"/>
              <w:tblW w:w="82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6"/>
              <w:gridCol w:w="851"/>
              <w:gridCol w:w="714"/>
              <w:gridCol w:w="851"/>
              <w:gridCol w:w="850"/>
              <w:gridCol w:w="1276"/>
              <w:gridCol w:w="703"/>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425"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排放方式</w:t>
                  </w:r>
                </w:p>
              </w:tc>
              <w:tc>
                <w:tcPr>
                  <w:tcW w:w="876"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风量</w:t>
                  </w:r>
                </w:p>
                <w:p>
                  <w:pPr>
                    <w:pStyle w:val="10"/>
                    <w:adjustRightInd w:val="0"/>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851"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污染因子</w:t>
                  </w:r>
                </w:p>
              </w:tc>
              <w:tc>
                <w:tcPr>
                  <w:tcW w:w="2415"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产生情况</w:t>
                  </w:r>
                </w:p>
              </w:tc>
              <w:tc>
                <w:tcPr>
                  <w:tcW w:w="1276"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治理措施</w:t>
                  </w:r>
                </w:p>
              </w:tc>
              <w:tc>
                <w:tcPr>
                  <w:tcW w:w="2404"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876" w:type="dxa"/>
                  <w:vMerge w:val="continue"/>
                  <w:vAlign w:val="center"/>
                </w:tcPr>
                <w:p>
                  <w:pPr>
                    <w:pStyle w:val="10"/>
                    <w:adjustRightInd w:val="0"/>
                    <w:snapToGrid w:val="0"/>
                    <w:jc w:val="center"/>
                    <w:rPr>
                      <w:rFonts w:ascii="Times New Roman" w:hAnsi="Times New Roman"/>
                      <w:szCs w:val="21"/>
                    </w:rPr>
                  </w:pPr>
                </w:p>
              </w:tc>
              <w:tc>
                <w:tcPr>
                  <w:tcW w:w="851" w:type="dxa"/>
                  <w:vMerge w:val="continue"/>
                  <w:vAlign w:val="center"/>
                </w:tcPr>
                <w:p>
                  <w:pPr>
                    <w:pStyle w:val="10"/>
                    <w:adjustRightInd w:val="0"/>
                    <w:snapToGrid w:val="0"/>
                    <w:jc w:val="center"/>
                    <w:rPr>
                      <w:rFonts w:ascii="Times New Roman" w:hAnsi="Times New Roman"/>
                      <w:szCs w:val="21"/>
                    </w:rPr>
                  </w:pP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szCs w:val="21"/>
                    </w:rPr>
                    <w:t>产生量</w:t>
                  </w:r>
                </w:p>
                <w:p>
                  <w:pPr>
                    <w:pStyle w:val="10"/>
                    <w:adjustRightInd w:val="0"/>
                    <w:snapToGrid w:val="0"/>
                    <w:jc w:val="center"/>
                    <w:rPr>
                      <w:rFonts w:ascii="Times New Roman" w:hAnsi="Times New Roman"/>
                      <w:szCs w:val="21"/>
                    </w:rPr>
                  </w:pPr>
                  <w:r>
                    <w:rPr>
                      <w:rFonts w:ascii="Times New Roman" w:hAnsi="Times New Roman"/>
                      <w:szCs w:val="21"/>
                    </w:rPr>
                    <w:t>t/a</w:t>
                  </w:r>
                </w:p>
              </w:tc>
              <w:tc>
                <w:tcPr>
                  <w:tcW w:w="1276" w:type="dxa"/>
                  <w:vMerge w:val="continue"/>
                  <w:vAlign w:val="center"/>
                </w:tcPr>
                <w:p>
                  <w:pPr>
                    <w:pStyle w:val="10"/>
                    <w:adjustRightInd w:val="0"/>
                    <w:snapToGrid w:val="0"/>
                    <w:jc w:val="center"/>
                    <w:rPr>
                      <w:rFonts w:ascii="Times New Roman" w:hAnsi="Times New Roman"/>
                      <w:szCs w:val="21"/>
                    </w:rPr>
                  </w:pP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szCs w:val="21"/>
                    </w:rPr>
                    <w:t>排放量</w:t>
                  </w:r>
                </w:p>
                <w:p>
                  <w:pPr>
                    <w:pStyle w:val="10"/>
                    <w:adjustRightInd w:val="0"/>
                    <w:snapToGrid w:val="0"/>
                    <w:jc w:val="center"/>
                    <w:rPr>
                      <w:rFonts w:ascii="Times New Roman" w:hAnsi="Times New Roman"/>
                      <w:szCs w:val="21"/>
                    </w:rPr>
                  </w:pPr>
                  <w:r>
                    <w:rPr>
                      <w:rFonts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25" w:type="dxa"/>
                  <w:vAlign w:val="center"/>
                </w:tcPr>
                <w:p>
                  <w:pPr>
                    <w:pStyle w:val="10"/>
                    <w:adjustRightInd w:val="0"/>
                    <w:snapToGrid w:val="0"/>
                    <w:jc w:val="center"/>
                    <w:rPr>
                      <w:rFonts w:ascii="Times New Roman" w:hAnsi="Times New Roman"/>
                      <w:szCs w:val="21"/>
                    </w:rPr>
                  </w:pPr>
                  <w:r>
                    <w:rPr>
                      <w:rFonts w:ascii="Times New Roman" w:hAnsi="Times New Roman"/>
                      <w:szCs w:val="21"/>
                    </w:rPr>
                    <w:t>有组织</w:t>
                  </w:r>
                </w:p>
              </w:tc>
              <w:tc>
                <w:tcPr>
                  <w:tcW w:w="876" w:type="dxa"/>
                  <w:vAlign w:val="center"/>
                </w:tcPr>
                <w:p>
                  <w:pPr>
                    <w:pStyle w:val="10"/>
                    <w:adjustRightInd w:val="0"/>
                    <w:snapToGrid w:val="0"/>
                    <w:jc w:val="center"/>
                    <w:rPr>
                      <w:rFonts w:ascii="Times New Roman" w:hAnsi="Times New Roman"/>
                      <w:szCs w:val="21"/>
                    </w:rPr>
                  </w:pPr>
                  <w:r>
                    <w:rPr>
                      <w:rFonts w:ascii="Times New Roman" w:hAnsi="Times New Roman"/>
                      <w:szCs w:val="21"/>
                    </w:rPr>
                    <w:t>6000</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非甲烷总烃</w:t>
                  </w: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0.253</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42.22</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0.608</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集气罩收集，</w:t>
                  </w:r>
                  <w:r>
                    <w:rPr>
                      <w:rFonts w:hint="eastAsia" w:ascii="Times New Roman" w:hAnsi="Times New Roman" w:eastAsia="宋体" w:cs="Times New Roman"/>
                      <w:szCs w:val="21"/>
                    </w:rPr>
                    <w:t>静电净化设备</w:t>
                  </w:r>
                  <w:r>
                    <w:rPr>
                      <w:rFonts w:ascii="Times New Roman" w:hAnsi="Times New Roman" w:eastAsia="宋体" w:cs="Times New Roman"/>
                      <w:szCs w:val="21"/>
                    </w:rPr>
                    <w:t>处理，经15m高排气筒排放</w:t>
                  </w: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0.253</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42.22</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425" w:type="dxa"/>
                  <w:vAlign w:val="center"/>
                </w:tcPr>
                <w:p>
                  <w:pPr>
                    <w:pStyle w:val="10"/>
                    <w:adjustRightInd w:val="0"/>
                    <w:snapToGrid w:val="0"/>
                    <w:jc w:val="center"/>
                    <w:rPr>
                      <w:rFonts w:ascii="Times New Roman" w:hAnsi="Times New Roman"/>
                      <w:szCs w:val="21"/>
                    </w:rPr>
                  </w:pPr>
                  <w:r>
                    <w:rPr>
                      <w:rFonts w:ascii="Times New Roman" w:hAnsi="Times New Roman"/>
                      <w:szCs w:val="21"/>
                    </w:rPr>
                    <w:t>无组织</w:t>
                  </w:r>
                </w:p>
              </w:tc>
              <w:tc>
                <w:tcPr>
                  <w:tcW w:w="876" w:type="dxa"/>
                  <w:vAlign w:val="center"/>
                </w:tcPr>
                <w:p>
                  <w:pPr>
                    <w:pStyle w:val="10"/>
                    <w:adjustRightInd w:val="0"/>
                    <w:snapToGrid w:val="0"/>
                    <w:jc w:val="center"/>
                    <w:rPr>
                      <w:rFonts w:ascii="Times New Roman" w:hAnsi="Times New Roman"/>
                      <w:szCs w:val="21"/>
                    </w:rPr>
                  </w:pPr>
                  <w:r>
                    <w:rPr>
                      <w:rFonts w:ascii="Times New Roman" w:hAnsi="Times New Roman"/>
                      <w:szCs w:val="21"/>
                    </w:rPr>
                    <w:t>/</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非甲烷总烃</w:t>
                  </w: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0.063</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0.152</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加强车间机械通风</w:t>
                  </w: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0.063</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0.152</w:t>
                  </w:r>
                </w:p>
              </w:tc>
            </w:tr>
          </w:tbl>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（3）抛丸粉尘G3</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排放源统计调查产排污核算方法和系数手册》中“C33-37机械行业系数手册”可知，预处理核算环节中抛丸、打磨工艺颗粒物产污系数为2.19kg/t-原料。抛丸过程工作时间为900h（按年工作300天计，每天工作时间为3h计）。</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拟建项目只有部分产品（其他汽车零部件与通用机械零部件</w:t>
            </w:r>
            <w:r>
              <w:rPr>
                <w:rFonts w:hint="eastAsia" w:ascii="Times New Roman" w:hAnsi="Times New Roman" w:eastAsia="宋体" w:cs="Times New Roman"/>
                <w:kern w:val="0"/>
                <w:sz w:val="24"/>
                <w:szCs w:val="24"/>
              </w:rPr>
              <w:t>等</w:t>
            </w:r>
            <w:r>
              <w:rPr>
                <w:rFonts w:ascii="Times New Roman" w:hAnsi="Times New Roman" w:eastAsia="宋体" w:cs="Times New Roman"/>
                <w:kern w:val="0"/>
                <w:sz w:val="24"/>
                <w:szCs w:val="24"/>
              </w:rPr>
              <w:t>）需要进行抛丸，</w:t>
            </w:r>
            <w:r>
              <w:rPr>
                <w:rFonts w:hint="eastAsia" w:ascii="Times New Roman" w:hAnsi="Times New Roman" w:eastAsia="宋体" w:cs="Times New Roman"/>
                <w:kern w:val="0"/>
                <w:sz w:val="24"/>
                <w:szCs w:val="24"/>
              </w:rPr>
              <w:t>根据建设单位提供参数，</w:t>
            </w:r>
            <w:r>
              <w:rPr>
                <w:rFonts w:ascii="Times New Roman" w:hAnsi="Times New Roman" w:eastAsia="宋体" w:cs="Times New Roman"/>
                <w:kern w:val="0"/>
                <w:sz w:val="24"/>
                <w:szCs w:val="24"/>
              </w:rPr>
              <w:t>每年抛丸量约</w:t>
            </w:r>
            <w:r>
              <w:rPr>
                <w:rFonts w:hint="eastAsia" w:ascii="Times New Roman" w:hAnsi="Times New Roman" w:eastAsia="宋体" w:cs="Times New Roman"/>
                <w:kern w:val="0"/>
                <w:sz w:val="24"/>
                <w:szCs w:val="24"/>
              </w:rPr>
              <w:t>占产品总量的4</w:t>
            </w:r>
            <w:r>
              <w:rPr>
                <w:rFonts w:ascii="Times New Roman" w:hAnsi="Times New Roman" w:eastAsia="宋体" w:cs="Times New Roman"/>
                <w:kern w:val="0"/>
                <w:sz w:val="24"/>
                <w:szCs w:val="24"/>
              </w:rPr>
              <w:t>0</w:t>
            </w:r>
            <w:r>
              <w:rPr>
                <w:rFonts w:hint="eastAsia" w:ascii="Times New Roman" w:hAnsi="Times New Roman" w:eastAsia="宋体" w:cs="Times New Roman"/>
                <w:kern w:val="0"/>
                <w:sz w:val="24"/>
                <w:szCs w:val="24"/>
              </w:rPr>
              <w:t>%（约</w:t>
            </w:r>
            <w:r>
              <w:rPr>
                <w:rFonts w:ascii="Times New Roman" w:hAnsi="Times New Roman" w:eastAsia="宋体" w:cs="Times New Roman"/>
                <w:kern w:val="0"/>
                <w:sz w:val="24"/>
                <w:szCs w:val="24"/>
              </w:rPr>
              <w:t>为480t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，则颗粒物产生量为1.05t/a。拟将项目共有2台抛丸机，抛丸机自带收集（密闭收集）和处理装置（单台风机风量2500m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/h，收集效率100%），收集后经自带的处理装置（布袋除尘器）进行处理（处理效率为95%），</w:t>
            </w:r>
            <w:r>
              <w:rPr>
                <w:rFonts w:hint="eastAsia" w:ascii="Times New Roman" w:hAnsi="Times New Roman" w:eastAsia="宋体" w:cs="Times New Roman"/>
                <w:kern w:val="0"/>
                <w:sz w:val="24"/>
                <w:szCs w:val="24"/>
              </w:rPr>
              <w:t>废气管道汇集至一根总管后</w:t>
            </w:r>
            <w:r>
              <w:rPr>
                <w:rFonts w:ascii="Times New Roman" w:hAnsi="Times New Roman" w:eastAsia="宋体" w:cs="Times New Roman"/>
                <w:kern w:val="0"/>
                <w:sz w:val="24"/>
                <w:szCs w:val="24"/>
              </w:rPr>
              <w:t>经3#排气筒排放。</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表4.2-4  抛丸粉尘污染物产、排放一览表</w:t>
            </w:r>
          </w:p>
          <w:tbl>
            <w:tblPr>
              <w:tblStyle w:val="18"/>
              <w:tblW w:w="80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04"/>
              <w:gridCol w:w="851"/>
              <w:gridCol w:w="714"/>
              <w:gridCol w:w="845"/>
              <w:gridCol w:w="846"/>
              <w:gridCol w:w="1428"/>
              <w:gridCol w:w="708"/>
              <w:gridCol w:w="851"/>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425"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排放方式</w:t>
                  </w:r>
                </w:p>
              </w:tc>
              <w:tc>
                <w:tcPr>
                  <w:tcW w:w="704"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处理设备</w:t>
                  </w:r>
                </w:p>
              </w:tc>
              <w:tc>
                <w:tcPr>
                  <w:tcW w:w="851"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污染因子</w:t>
                  </w:r>
                </w:p>
              </w:tc>
              <w:tc>
                <w:tcPr>
                  <w:tcW w:w="2405"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产生情况</w:t>
                  </w:r>
                </w:p>
              </w:tc>
              <w:tc>
                <w:tcPr>
                  <w:tcW w:w="1428"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治理措施</w:t>
                  </w:r>
                </w:p>
              </w:tc>
              <w:tc>
                <w:tcPr>
                  <w:tcW w:w="2262"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704" w:type="dxa"/>
                  <w:vMerge w:val="continue"/>
                  <w:vAlign w:val="center"/>
                </w:tcPr>
                <w:p>
                  <w:pPr>
                    <w:pStyle w:val="10"/>
                    <w:adjustRightInd w:val="0"/>
                    <w:snapToGrid w:val="0"/>
                    <w:jc w:val="center"/>
                    <w:rPr>
                      <w:rFonts w:ascii="Times New Roman" w:hAnsi="Times New Roman"/>
                      <w:szCs w:val="21"/>
                    </w:rPr>
                  </w:pPr>
                </w:p>
              </w:tc>
              <w:tc>
                <w:tcPr>
                  <w:tcW w:w="851" w:type="dxa"/>
                  <w:vMerge w:val="continue"/>
                  <w:vAlign w:val="center"/>
                </w:tcPr>
                <w:p>
                  <w:pPr>
                    <w:pStyle w:val="10"/>
                    <w:adjustRightInd w:val="0"/>
                    <w:snapToGrid w:val="0"/>
                    <w:jc w:val="center"/>
                    <w:rPr>
                      <w:rFonts w:ascii="Times New Roman" w:hAnsi="Times New Roman"/>
                      <w:szCs w:val="21"/>
                    </w:rPr>
                  </w:pP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45"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846" w:type="dxa"/>
                  <w:vAlign w:val="center"/>
                </w:tcPr>
                <w:p>
                  <w:pPr>
                    <w:pStyle w:val="10"/>
                    <w:adjustRightInd w:val="0"/>
                    <w:snapToGrid w:val="0"/>
                    <w:jc w:val="center"/>
                    <w:rPr>
                      <w:rFonts w:ascii="Times New Roman" w:hAnsi="Times New Roman"/>
                      <w:szCs w:val="21"/>
                    </w:rPr>
                  </w:pPr>
                  <w:r>
                    <w:rPr>
                      <w:rFonts w:ascii="Times New Roman" w:hAnsi="Times New Roman"/>
                      <w:szCs w:val="21"/>
                    </w:rPr>
                    <w:t>产生量</w:t>
                  </w:r>
                </w:p>
                <w:p>
                  <w:pPr>
                    <w:pStyle w:val="10"/>
                    <w:adjustRightInd w:val="0"/>
                    <w:snapToGrid w:val="0"/>
                    <w:jc w:val="center"/>
                    <w:rPr>
                      <w:rFonts w:ascii="Times New Roman" w:hAnsi="Times New Roman"/>
                      <w:szCs w:val="21"/>
                    </w:rPr>
                  </w:pPr>
                  <w:r>
                    <w:rPr>
                      <w:rFonts w:ascii="Times New Roman" w:hAnsi="Times New Roman"/>
                      <w:szCs w:val="21"/>
                    </w:rPr>
                    <w:t>t/a</w:t>
                  </w:r>
                </w:p>
              </w:tc>
              <w:tc>
                <w:tcPr>
                  <w:tcW w:w="1428" w:type="dxa"/>
                  <w:vMerge w:val="continue"/>
                  <w:vAlign w:val="center"/>
                </w:tcPr>
                <w:p>
                  <w:pPr>
                    <w:pStyle w:val="10"/>
                    <w:adjustRightInd w:val="0"/>
                    <w:snapToGrid w:val="0"/>
                    <w:jc w:val="center"/>
                    <w:rPr>
                      <w:rFonts w:ascii="Times New Roman" w:hAnsi="Times New Roman"/>
                      <w:szCs w:val="21"/>
                    </w:rPr>
                  </w:pPr>
                </w:p>
              </w:tc>
              <w:tc>
                <w:tcPr>
                  <w:tcW w:w="708"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szCs w:val="21"/>
                    </w:rPr>
                    <w:t>排放量</w:t>
                  </w:r>
                </w:p>
                <w:p>
                  <w:pPr>
                    <w:pStyle w:val="10"/>
                    <w:adjustRightInd w:val="0"/>
                    <w:snapToGrid w:val="0"/>
                    <w:jc w:val="center"/>
                    <w:rPr>
                      <w:rFonts w:ascii="Times New Roman" w:hAnsi="Times New Roman"/>
                      <w:szCs w:val="21"/>
                    </w:rPr>
                  </w:pPr>
                  <w:r>
                    <w:rPr>
                      <w:rFonts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425"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有组织</w:t>
                  </w:r>
                </w:p>
              </w:tc>
              <w:tc>
                <w:tcPr>
                  <w:tcW w:w="704" w:type="dxa"/>
                  <w:vAlign w:val="center"/>
                </w:tcPr>
                <w:p>
                  <w:pPr>
                    <w:pStyle w:val="10"/>
                    <w:adjustRightInd w:val="0"/>
                    <w:snapToGrid w:val="0"/>
                    <w:jc w:val="center"/>
                    <w:rPr>
                      <w:rFonts w:ascii="Times New Roman" w:hAnsi="Times New Roman"/>
                      <w:szCs w:val="21"/>
                    </w:rPr>
                  </w:pPr>
                  <w:r>
                    <w:rPr>
                      <w:rFonts w:ascii="Times New Roman" w:hAnsi="Times New Roman"/>
                      <w:szCs w:val="21"/>
                    </w:rPr>
                    <w:t>1#布袋除尘器</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颗粒物</w:t>
                  </w: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0.583</w:t>
                  </w:r>
                </w:p>
              </w:tc>
              <w:tc>
                <w:tcPr>
                  <w:tcW w:w="845" w:type="dxa"/>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233.33</w:t>
                  </w:r>
                </w:p>
              </w:tc>
              <w:tc>
                <w:tcPr>
                  <w:tcW w:w="846" w:type="dxa"/>
                  <w:vAlign w:val="center"/>
                </w:tcPr>
                <w:p>
                  <w:pPr>
                    <w:pStyle w:val="10"/>
                    <w:adjustRightInd w:val="0"/>
                    <w:snapToGrid w:val="0"/>
                    <w:jc w:val="center"/>
                    <w:rPr>
                      <w:rFonts w:ascii="Times New Roman" w:hAnsi="Times New Roman" w:eastAsia="等线"/>
                      <w:szCs w:val="21"/>
                    </w:rPr>
                  </w:pPr>
                  <w:r>
                    <w:rPr>
                      <w:rFonts w:ascii="Times New Roman" w:hAnsi="Times New Roman" w:eastAsia="等线"/>
                      <w:szCs w:val="21"/>
                    </w:rPr>
                    <w:t>0.525</w:t>
                  </w:r>
                </w:p>
              </w:tc>
              <w:tc>
                <w:tcPr>
                  <w:tcW w:w="14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密闭收集，由自带布袋除尘器处理</w:t>
                  </w:r>
                </w:p>
              </w:tc>
              <w:tc>
                <w:tcPr>
                  <w:tcW w:w="708" w:type="dxa"/>
                  <w:vAlign w:val="center"/>
                </w:tcPr>
                <w:p>
                  <w:pPr>
                    <w:jc w:val="center"/>
                    <w:rPr>
                      <w:rFonts w:ascii="Times New Roman" w:hAnsi="Times New Roman" w:eastAsia="宋体" w:cs="Times New Roman"/>
                      <w:szCs w:val="21"/>
                    </w:rPr>
                  </w:pPr>
                  <w:r>
                    <w:rPr>
                      <w:rFonts w:ascii="Times New Roman" w:hAnsi="Times New Roman" w:eastAsia="等线" w:cs="Times New Roman"/>
                      <w:szCs w:val="21"/>
                    </w:rPr>
                    <w:t>0.029</w:t>
                  </w:r>
                </w:p>
              </w:tc>
              <w:tc>
                <w:tcPr>
                  <w:tcW w:w="851" w:type="dxa"/>
                  <w:vAlign w:val="center"/>
                </w:tcPr>
                <w:p>
                  <w:pPr>
                    <w:jc w:val="center"/>
                    <w:rPr>
                      <w:rFonts w:ascii="Times New Roman" w:hAnsi="Times New Roman" w:eastAsia="宋体" w:cs="Times New Roman"/>
                      <w:szCs w:val="21"/>
                    </w:rPr>
                  </w:pPr>
                  <w:r>
                    <w:rPr>
                      <w:rFonts w:ascii="Times New Roman" w:hAnsi="Times New Roman" w:eastAsia="等线" w:cs="Times New Roman"/>
                      <w:szCs w:val="21"/>
                    </w:rPr>
                    <w:t>11.67</w:t>
                  </w:r>
                </w:p>
              </w:tc>
              <w:tc>
                <w:tcPr>
                  <w:tcW w:w="703" w:type="dxa"/>
                  <w:vAlign w:val="center"/>
                </w:tcPr>
                <w:p>
                  <w:pPr>
                    <w:jc w:val="center"/>
                    <w:rPr>
                      <w:rFonts w:ascii="Times New Roman" w:hAnsi="Times New Roman" w:eastAsia="宋体" w:cs="Times New Roman"/>
                      <w:szCs w:val="21"/>
                    </w:rPr>
                  </w:pPr>
                  <w:r>
                    <w:rPr>
                      <w:rFonts w:ascii="Times New Roman" w:hAnsi="Times New Roman" w:eastAsia="等线" w:cs="Times New Roman"/>
                      <w:szCs w:val="21"/>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704" w:type="dxa"/>
                  <w:vAlign w:val="center"/>
                </w:tcPr>
                <w:p>
                  <w:pPr>
                    <w:pStyle w:val="10"/>
                    <w:adjustRightInd w:val="0"/>
                    <w:snapToGrid w:val="0"/>
                    <w:jc w:val="center"/>
                    <w:rPr>
                      <w:rFonts w:ascii="Times New Roman" w:hAnsi="Times New Roman"/>
                      <w:szCs w:val="21"/>
                    </w:rPr>
                  </w:pPr>
                  <w:r>
                    <w:rPr>
                      <w:rFonts w:ascii="Times New Roman" w:hAnsi="Times New Roman"/>
                      <w:szCs w:val="21"/>
                    </w:rPr>
                    <w:t>2#布袋除</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颗粒物</w:t>
                  </w:r>
                </w:p>
              </w:tc>
              <w:tc>
                <w:tcPr>
                  <w:tcW w:w="714" w:type="dxa"/>
                  <w:vAlign w:val="center"/>
                </w:tcPr>
                <w:p>
                  <w:pPr>
                    <w:pStyle w:val="10"/>
                    <w:adjustRightInd w:val="0"/>
                    <w:snapToGrid w:val="0"/>
                    <w:jc w:val="center"/>
                    <w:rPr>
                      <w:rFonts w:ascii="Times New Roman" w:hAnsi="Times New Roman" w:eastAsia="等线"/>
                      <w:szCs w:val="21"/>
                    </w:rPr>
                  </w:pPr>
                  <w:r>
                    <w:rPr>
                      <w:rFonts w:ascii="Times New Roman" w:hAnsi="Times New Roman" w:eastAsia="等线"/>
                      <w:szCs w:val="21"/>
                    </w:rPr>
                    <w:t>0.583</w:t>
                  </w:r>
                </w:p>
              </w:tc>
              <w:tc>
                <w:tcPr>
                  <w:tcW w:w="845" w:type="dxa"/>
                  <w:vAlign w:val="center"/>
                </w:tcPr>
                <w:p>
                  <w:pPr>
                    <w:pStyle w:val="10"/>
                    <w:adjustRightInd w:val="0"/>
                    <w:snapToGrid w:val="0"/>
                    <w:jc w:val="center"/>
                    <w:rPr>
                      <w:rFonts w:ascii="Times New Roman" w:hAnsi="Times New Roman" w:eastAsia="等线"/>
                      <w:szCs w:val="21"/>
                    </w:rPr>
                  </w:pPr>
                  <w:r>
                    <w:rPr>
                      <w:rFonts w:ascii="Times New Roman" w:hAnsi="Times New Roman" w:eastAsia="等线"/>
                      <w:szCs w:val="21"/>
                    </w:rPr>
                    <w:t>233.33</w:t>
                  </w:r>
                </w:p>
              </w:tc>
              <w:tc>
                <w:tcPr>
                  <w:tcW w:w="846" w:type="dxa"/>
                  <w:vAlign w:val="center"/>
                </w:tcPr>
                <w:p>
                  <w:pPr>
                    <w:pStyle w:val="10"/>
                    <w:adjustRightInd w:val="0"/>
                    <w:snapToGrid w:val="0"/>
                    <w:jc w:val="center"/>
                    <w:rPr>
                      <w:rFonts w:ascii="Times New Roman" w:hAnsi="Times New Roman" w:eastAsia="等线"/>
                      <w:szCs w:val="21"/>
                    </w:rPr>
                  </w:pPr>
                  <w:r>
                    <w:rPr>
                      <w:rFonts w:ascii="Times New Roman" w:hAnsi="Times New Roman" w:eastAsia="等线"/>
                      <w:szCs w:val="21"/>
                    </w:rPr>
                    <w:t>0.525</w:t>
                  </w:r>
                </w:p>
              </w:tc>
              <w:tc>
                <w:tcPr>
                  <w:tcW w:w="14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密闭收集，由自带布袋除尘器处理</w:t>
                  </w:r>
                </w:p>
              </w:tc>
              <w:tc>
                <w:tcPr>
                  <w:tcW w:w="708" w:type="dxa"/>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0.029</w:t>
                  </w:r>
                </w:p>
              </w:tc>
              <w:tc>
                <w:tcPr>
                  <w:tcW w:w="851" w:type="dxa"/>
                  <w:vAlign w:val="center"/>
                </w:tcPr>
                <w:p>
                  <w:pPr>
                    <w:jc w:val="center"/>
                    <w:rPr>
                      <w:rFonts w:ascii="Times New Roman" w:hAnsi="Times New Roman" w:eastAsia="等线" w:cs="Times New Roman"/>
                      <w:szCs w:val="21"/>
                    </w:rPr>
                  </w:pPr>
                  <w:r>
                    <w:rPr>
                      <w:rFonts w:ascii="Times New Roman" w:hAnsi="Times New Roman" w:eastAsia="等线" w:cs="Times New Roman"/>
                      <w:szCs w:val="21"/>
                    </w:rPr>
                    <w:t>11.67</w:t>
                  </w:r>
                </w:p>
              </w:tc>
              <w:tc>
                <w:tcPr>
                  <w:tcW w:w="703" w:type="dxa"/>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3960" w:type="dxa"/>
                  <w:gridSpan w:val="5"/>
                  <w:vAlign w:val="center"/>
                </w:tcPr>
                <w:p>
                  <w:pPr>
                    <w:pStyle w:val="10"/>
                    <w:adjustRightInd w:val="0"/>
                    <w:snapToGrid w:val="0"/>
                    <w:jc w:val="center"/>
                    <w:rPr>
                      <w:rFonts w:ascii="Times New Roman" w:hAnsi="Times New Roman"/>
                      <w:szCs w:val="21"/>
                    </w:rPr>
                  </w:pPr>
                  <w:r>
                    <w:rPr>
                      <w:rFonts w:ascii="Times New Roman" w:hAnsi="Times New Roman"/>
                      <w:szCs w:val="21"/>
                    </w:rPr>
                    <w:t>合并排放</w:t>
                  </w:r>
                </w:p>
              </w:tc>
              <w:tc>
                <w:tcPr>
                  <w:tcW w:w="14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经15m高排气筒（3#）排放</w:t>
                  </w:r>
                </w:p>
              </w:tc>
              <w:tc>
                <w:tcPr>
                  <w:tcW w:w="708" w:type="dxa"/>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0.058</w:t>
                  </w:r>
                </w:p>
              </w:tc>
              <w:tc>
                <w:tcPr>
                  <w:tcW w:w="851" w:type="dxa"/>
                  <w:vAlign w:val="center"/>
                </w:tcPr>
                <w:p>
                  <w:pPr>
                    <w:jc w:val="center"/>
                    <w:rPr>
                      <w:rFonts w:ascii="Times New Roman" w:hAnsi="Times New Roman" w:eastAsia="等线" w:cs="Times New Roman"/>
                      <w:szCs w:val="21"/>
                    </w:rPr>
                  </w:pPr>
                  <w:r>
                    <w:rPr>
                      <w:rFonts w:ascii="Times New Roman" w:hAnsi="Times New Roman" w:eastAsia="等线" w:cs="Times New Roman"/>
                      <w:szCs w:val="21"/>
                    </w:rPr>
                    <w:t>11.67</w:t>
                  </w:r>
                </w:p>
              </w:tc>
              <w:tc>
                <w:tcPr>
                  <w:tcW w:w="703" w:type="dxa"/>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0.053</w:t>
                  </w:r>
                </w:p>
              </w:tc>
            </w:tr>
          </w:tbl>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（4）打磨粉尘G4</w:t>
            </w:r>
          </w:p>
          <w:p>
            <w:pPr>
              <w:autoSpaceDE w:val="0"/>
              <w:autoSpaceDN w:val="0"/>
              <w:adjustRightInd w:val="0"/>
              <w:snapToGrid w:val="0"/>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w:t>
            </w:r>
            <w:r>
              <w:rPr>
                <w:rFonts w:hint="eastAsia" w:ascii="Times New Roman" w:hAnsi="Times New Roman" w:eastAsia="宋体" w:cs="Times New Roman"/>
                <w:kern w:val="0"/>
                <w:sz w:val="24"/>
                <w:szCs w:val="24"/>
              </w:rPr>
              <w:t>压铸成型后的</w:t>
            </w:r>
            <w:r>
              <w:rPr>
                <w:rFonts w:ascii="Times New Roman" w:hAnsi="Times New Roman" w:eastAsia="宋体" w:cs="Times New Roman"/>
                <w:kern w:val="0"/>
                <w:sz w:val="24"/>
                <w:szCs w:val="24"/>
              </w:rPr>
              <w:t>工件会使用</w:t>
            </w:r>
            <w:r>
              <w:rPr>
                <w:rFonts w:hint="eastAsia" w:ascii="Times New Roman" w:hAnsi="Times New Roman" w:eastAsia="宋体" w:cs="Times New Roman"/>
                <w:kern w:val="0"/>
                <w:sz w:val="24"/>
                <w:szCs w:val="24"/>
              </w:rPr>
              <w:t>沙带机</w:t>
            </w:r>
            <w:r>
              <w:rPr>
                <w:rFonts w:ascii="Times New Roman" w:hAnsi="Times New Roman" w:eastAsia="宋体" w:cs="Times New Roman"/>
                <w:kern w:val="0"/>
                <w:sz w:val="24"/>
                <w:szCs w:val="24"/>
              </w:rPr>
              <w:t>或固定式</w:t>
            </w:r>
            <w:r>
              <w:rPr>
                <w:rFonts w:hint="eastAsia" w:ascii="Times New Roman" w:hAnsi="Times New Roman" w:eastAsia="宋体" w:cs="Times New Roman"/>
                <w:kern w:val="0"/>
                <w:sz w:val="24"/>
                <w:szCs w:val="24"/>
              </w:rPr>
              <w:t>打磨机</w:t>
            </w:r>
            <w:r>
              <w:rPr>
                <w:rFonts w:ascii="Times New Roman" w:hAnsi="Times New Roman" w:eastAsia="宋体" w:cs="Times New Roman"/>
                <w:kern w:val="0"/>
                <w:sz w:val="24"/>
                <w:szCs w:val="24"/>
              </w:rPr>
              <w:t>对工件进行打磨，打磨过程产生的颗粒物主要成分为金属，因为其质量较大，大部分沉降较快，少部分较细小的颗粒物随着机械的运动而可能会在空气中停留短暂时间后沉降于地面。</w:t>
            </w:r>
            <w:r>
              <w:rPr>
                <w:rFonts w:hint="eastAsia" w:ascii="Times New Roman" w:hAnsi="Times New Roman" w:eastAsia="宋体" w:cs="Times New Roman"/>
                <w:kern w:val="0"/>
                <w:sz w:val="24"/>
                <w:szCs w:val="24"/>
              </w:rPr>
              <w:t>《排放源统计调查产排污核算方法和系数手册—机械行业系数手册》—</w:t>
            </w:r>
            <w:r>
              <w:rPr>
                <w:rFonts w:ascii="Times New Roman" w:hAnsi="Times New Roman" w:eastAsia="宋体" w:cs="Times New Roman"/>
                <w:kern w:val="0"/>
                <w:sz w:val="24"/>
                <w:szCs w:val="24"/>
              </w:rPr>
              <w:t>06预处理核算环节，本项目打磨的产污系数为2.19kg/t-原料。根据业主</w:t>
            </w:r>
            <w:r>
              <w:rPr>
                <w:rFonts w:hint="eastAsia" w:ascii="Times New Roman" w:hAnsi="Times New Roman" w:eastAsia="宋体" w:cs="Times New Roman"/>
                <w:kern w:val="0"/>
                <w:sz w:val="24"/>
                <w:szCs w:val="24"/>
              </w:rPr>
              <w:t>提供资料，本项目需要打磨的产品量约</w:t>
            </w:r>
            <w:r>
              <w:rPr>
                <w:rFonts w:ascii="Times New Roman" w:hAnsi="Times New Roman" w:eastAsia="宋体" w:cs="Times New Roman"/>
                <w:kern w:val="0"/>
                <w:sz w:val="24"/>
                <w:szCs w:val="24"/>
              </w:rPr>
              <w:t>1200t，则颗粒物产生总量为2..628t/a。</w:t>
            </w:r>
            <w:r>
              <w:rPr>
                <w:rFonts w:hint="eastAsia" w:ascii="Times New Roman" w:hAnsi="Times New Roman" w:eastAsia="宋体" w:cs="Times New Roman"/>
                <w:kern w:val="0"/>
                <w:sz w:val="24"/>
                <w:szCs w:val="24"/>
              </w:rPr>
              <w:t>打磨工作台配套设置了负压收集除尘装置，收集效率按</w:t>
            </w:r>
            <w:r>
              <w:rPr>
                <w:rFonts w:ascii="Times New Roman" w:hAnsi="Times New Roman" w:eastAsia="宋体" w:cs="Times New Roman"/>
                <w:kern w:val="0"/>
                <w:sz w:val="24"/>
                <w:szCs w:val="24"/>
              </w:rPr>
              <w:t>90</w:t>
            </w:r>
            <w:r>
              <w:rPr>
                <w:rFonts w:hint="eastAsia" w:ascii="Times New Roman" w:hAnsi="Times New Roman" w:eastAsia="宋体" w:cs="Times New Roman"/>
                <w:kern w:val="0"/>
                <w:sz w:val="24"/>
                <w:szCs w:val="24"/>
              </w:rPr>
              <w:t>%计、处理效率按9</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%计，处理后金属颗粒物排放量约为0</w:t>
            </w:r>
            <w:r>
              <w:rPr>
                <w:rFonts w:ascii="Times New Roman" w:hAnsi="Times New Roman" w:eastAsia="宋体" w:cs="Times New Roman"/>
                <w:kern w:val="0"/>
                <w:sz w:val="24"/>
                <w:szCs w:val="24"/>
              </w:rPr>
              <w:t>.118</w:t>
            </w:r>
            <w:r>
              <w:rPr>
                <w:rFonts w:hint="eastAsia" w:ascii="Times New Roman" w:hAnsi="Times New Roman" w:eastAsia="宋体" w:cs="Times New Roman"/>
                <w:kern w:val="0"/>
                <w:sz w:val="24"/>
                <w:szCs w:val="24"/>
              </w:rPr>
              <w:t>t/a，由一根1</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m高4#排气筒排放。</w:t>
            </w:r>
          </w:p>
          <w:p>
            <w:pPr>
              <w:autoSpaceDE w:val="0"/>
              <w:autoSpaceDN w:val="0"/>
              <w:adjustRightInd w:val="0"/>
              <w:snapToGrid w:val="0"/>
              <w:spacing w:line="360" w:lineRule="auto"/>
              <w:ind w:firstLine="482" w:firstLineChars="200"/>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 xml:space="preserve">表4.2-5  </w:t>
            </w:r>
            <w:r>
              <w:rPr>
                <w:rFonts w:hint="eastAsia" w:ascii="Times New Roman" w:hAnsi="Times New Roman" w:eastAsia="宋体" w:cs="Times New Roman"/>
                <w:b/>
                <w:bCs/>
                <w:kern w:val="0"/>
                <w:sz w:val="24"/>
                <w:szCs w:val="24"/>
              </w:rPr>
              <w:t>打磨</w:t>
            </w:r>
            <w:r>
              <w:rPr>
                <w:rFonts w:ascii="Times New Roman" w:hAnsi="Times New Roman" w:eastAsia="宋体" w:cs="Times New Roman"/>
                <w:b/>
                <w:bCs/>
                <w:kern w:val="0"/>
                <w:sz w:val="24"/>
                <w:szCs w:val="24"/>
              </w:rPr>
              <w:t>粉尘污染物产、排放一览表</w:t>
            </w:r>
          </w:p>
          <w:tbl>
            <w:tblPr>
              <w:tblStyle w:val="18"/>
              <w:tblW w:w="82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6"/>
              <w:gridCol w:w="851"/>
              <w:gridCol w:w="714"/>
              <w:gridCol w:w="851"/>
              <w:gridCol w:w="760"/>
              <w:gridCol w:w="1366"/>
              <w:gridCol w:w="703"/>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425"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排放方式</w:t>
                  </w:r>
                </w:p>
              </w:tc>
              <w:tc>
                <w:tcPr>
                  <w:tcW w:w="876"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风量</w:t>
                  </w:r>
                </w:p>
                <w:p>
                  <w:pPr>
                    <w:pStyle w:val="10"/>
                    <w:adjustRightInd w:val="0"/>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851"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污染因子</w:t>
                  </w:r>
                </w:p>
              </w:tc>
              <w:tc>
                <w:tcPr>
                  <w:tcW w:w="2325"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产生情况</w:t>
                  </w:r>
                </w:p>
              </w:tc>
              <w:tc>
                <w:tcPr>
                  <w:tcW w:w="1366" w:type="dxa"/>
                  <w:vMerge w:val="restart"/>
                  <w:vAlign w:val="center"/>
                </w:tcPr>
                <w:p>
                  <w:pPr>
                    <w:pStyle w:val="10"/>
                    <w:adjustRightInd w:val="0"/>
                    <w:snapToGrid w:val="0"/>
                    <w:jc w:val="center"/>
                    <w:rPr>
                      <w:rFonts w:ascii="Times New Roman" w:hAnsi="Times New Roman"/>
                      <w:szCs w:val="21"/>
                    </w:rPr>
                  </w:pPr>
                  <w:r>
                    <w:rPr>
                      <w:rFonts w:ascii="Times New Roman" w:hAnsi="Times New Roman"/>
                      <w:szCs w:val="21"/>
                    </w:rPr>
                    <w:t>治理措施</w:t>
                  </w:r>
                </w:p>
              </w:tc>
              <w:tc>
                <w:tcPr>
                  <w:tcW w:w="2404" w:type="dxa"/>
                  <w:gridSpan w:val="3"/>
                  <w:vAlign w:val="center"/>
                </w:tcPr>
                <w:p>
                  <w:pPr>
                    <w:pStyle w:val="10"/>
                    <w:adjustRightInd w:val="0"/>
                    <w:snapToGrid w:val="0"/>
                    <w:jc w:val="center"/>
                    <w:rPr>
                      <w:rFonts w:ascii="Times New Roman" w:hAnsi="Times New Roman"/>
                      <w:szCs w:val="21"/>
                    </w:rPr>
                  </w:pPr>
                  <w:r>
                    <w:rPr>
                      <w:rFonts w:ascii="Times New Roman" w:hAnsi="Times New Roman"/>
                      <w:szCs w:val="21"/>
                    </w:rPr>
                    <w:t>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425" w:type="dxa"/>
                  <w:vMerge w:val="continue"/>
                  <w:vAlign w:val="center"/>
                </w:tcPr>
                <w:p>
                  <w:pPr>
                    <w:pStyle w:val="10"/>
                    <w:adjustRightInd w:val="0"/>
                    <w:snapToGrid w:val="0"/>
                    <w:jc w:val="center"/>
                    <w:rPr>
                      <w:rFonts w:ascii="Times New Roman" w:hAnsi="Times New Roman"/>
                      <w:szCs w:val="21"/>
                    </w:rPr>
                  </w:pPr>
                </w:p>
              </w:tc>
              <w:tc>
                <w:tcPr>
                  <w:tcW w:w="876" w:type="dxa"/>
                  <w:vMerge w:val="continue"/>
                  <w:vAlign w:val="center"/>
                </w:tcPr>
                <w:p>
                  <w:pPr>
                    <w:pStyle w:val="10"/>
                    <w:adjustRightInd w:val="0"/>
                    <w:snapToGrid w:val="0"/>
                    <w:jc w:val="center"/>
                    <w:rPr>
                      <w:rFonts w:ascii="Times New Roman" w:hAnsi="Times New Roman"/>
                      <w:szCs w:val="21"/>
                    </w:rPr>
                  </w:pPr>
                </w:p>
              </w:tc>
              <w:tc>
                <w:tcPr>
                  <w:tcW w:w="851" w:type="dxa"/>
                  <w:vMerge w:val="continue"/>
                  <w:vAlign w:val="center"/>
                </w:tcPr>
                <w:p>
                  <w:pPr>
                    <w:pStyle w:val="10"/>
                    <w:adjustRightInd w:val="0"/>
                    <w:snapToGrid w:val="0"/>
                    <w:jc w:val="center"/>
                    <w:rPr>
                      <w:rFonts w:ascii="Times New Roman" w:hAnsi="Times New Roman"/>
                      <w:szCs w:val="21"/>
                    </w:rPr>
                  </w:pP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760" w:type="dxa"/>
                  <w:vAlign w:val="center"/>
                </w:tcPr>
                <w:p>
                  <w:pPr>
                    <w:pStyle w:val="10"/>
                    <w:adjustRightInd w:val="0"/>
                    <w:snapToGrid w:val="0"/>
                    <w:jc w:val="center"/>
                    <w:rPr>
                      <w:rFonts w:ascii="Times New Roman" w:hAnsi="Times New Roman"/>
                      <w:szCs w:val="21"/>
                    </w:rPr>
                  </w:pPr>
                  <w:r>
                    <w:rPr>
                      <w:rFonts w:ascii="Times New Roman" w:hAnsi="Times New Roman"/>
                      <w:szCs w:val="21"/>
                    </w:rPr>
                    <w:t>产生量</w:t>
                  </w:r>
                </w:p>
                <w:p>
                  <w:pPr>
                    <w:pStyle w:val="10"/>
                    <w:adjustRightInd w:val="0"/>
                    <w:snapToGrid w:val="0"/>
                    <w:jc w:val="center"/>
                    <w:rPr>
                      <w:rFonts w:ascii="Times New Roman" w:hAnsi="Times New Roman"/>
                      <w:szCs w:val="21"/>
                    </w:rPr>
                  </w:pPr>
                  <w:r>
                    <w:rPr>
                      <w:rFonts w:ascii="Times New Roman" w:hAnsi="Times New Roman"/>
                      <w:szCs w:val="21"/>
                    </w:rPr>
                    <w:t>t/a</w:t>
                  </w:r>
                </w:p>
              </w:tc>
              <w:tc>
                <w:tcPr>
                  <w:tcW w:w="1366" w:type="dxa"/>
                  <w:vMerge w:val="continue"/>
                  <w:vAlign w:val="center"/>
                </w:tcPr>
                <w:p>
                  <w:pPr>
                    <w:pStyle w:val="10"/>
                    <w:adjustRightInd w:val="0"/>
                    <w:snapToGrid w:val="0"/>
                    <w:jc w:val="center"/>
                    <w:rPr>
                      <w:rFonts w:ascii="Times New Roman" w:hAnsi="Times New Roman"/>
                      <w:szCs w:val="21"/>
                    </w:rPr>
                  </w:pPr>
                </w:p>
              </w:tc>
              <w:tc>
                <w:tcPr>
                  <w:tcW w:w="703" w:type="dxa"/>
                  <w:vAlign w:val="center"/>
                </w:tcPr>
                <w:p>
                  <w:pPr>
                    <w:pStyle w:val="10"/>
                    <w:adjustRightInd w:val="0"/>
                    <w:snapToGrid w:val="0"/>
                    <w:jc w:val="center"/>
                    <w:rPr>
                      <w:rFonts w:ascii="Times New Roman" w:hAnsi="Times New Roman"/>
                      <w:szCs w:val="21"/>
                    </w:rPr>
                  </w:pPr>
                  <w:r>
                    <w:rPr>
                      <w:rFonts w:ascii="Times New Roman" w:hAnsi="Times New Roman"/>
                      <w:szCs w:val="21"/>
                    </w:rPr>
                    <w:t>速率</w:t>
                  </w:r>
                </w:p>
                <w:p>
                  <w:pPr>
                    <w:pStyle w:val="10"/>
                    <w:adjustRightInd w:val="0"/>
                    <w:snapToGrid w:val="0"/>
                    <w:jc w:val="center"/>
                    <w:rPr>
                      <w:rFonts w:ascii="Times New Roman" w:hAnsi="Times New Roman"/>
                      <w:szCs w:val="21"/>
                    </w:rPr>
                  </w:pPr>
                  <w:r>
                    <w:rPr>
                      <w:rFonts w:ascii="Times New Roman" w:hAnsi="Times New Roman"/>
                      <w:szCs w:val="21"/>
                    </w:rPr>
                    <w:t>kg/h</w:t>
                  </w:r>
                </w:p>
              </w:tc>
              <w:tc>
                <w:tcPr>
                  <w:tcW w:w="851" w:type="dxa"/>
                  <w:vAlign w:val="center"/>
                </w:tcPr>
                <w:p>
                  <w:pPr>
                    <w:pStyle w:val="10"/>
                    <w:adjustRightInd w:val="0"/>
                    <w:snapToGrid w:val="0"/>
                    <w:jc w:val="center"/>
                    <w:rPr>
                      <w:rFonts w:ascii="Times New Roman" w:hAnsi="Times New Roman"/>
                      <w:szCs w:val="21"/>
                    </w:rPr>
                  </w:pPr>
                  <w:r>
                    <w:rPr>
                      <w:rFonts w:ascii="Times New Roman" w:hAnsi="Times New Roman"/>
                      <w:szCs w:val="21"/>
                    </w:rPr>
                    <w:t>浓度</w:t>
                  </w:r>
                </w:p>
                <w:p>
                  <w:pPr>
                    <w:pStyle w:val="10"/>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850" w:type="dxa"/>
                  <w:vAlign w:val="center"/>
                </w:tcPr>
                <w:p>
                  <w:pPr>
                    <w:pStyle w:val="10"/>
                    <w:adjustRightInd w:val="0"/>
                    <w:snapToGrid w:val="0"/>
                    <w:jc w:val="center"/>
                    <w:rPr>
                      <w:rFonts w:ascii="Times New Roman" w:hAnsi="Times New Roman"/>
                      <w:szCs w:val="21"/>
                    </w:rPr>
                  </w:pPr>
                  <w:r>
                    <w:rPr>
                      <w:rFonts w:ascii="Times New Roman" w:hAnsi="Times New Roman"/>
                      <w:szCs w:val="21"/>
                    </w:rPr>
                    <w:t>排放量</w:t>
                  </w:r>
                </w:p>
                <w:p>
                  <w:pPr>
                    <w:pStyle w:val="10"/>
                    <w:adjustRightInd w:val="0"/>
                    <w:snapToGrid w:val="0"/>
                    <w:jc w:val="center"/>
                    <w:rPr>
                      <w:rFonts w:ascii="Times New Roman" w:hAnsi="Times New Roman"/>
                      <w:szCs w:val="21"/>
                    </w:rPr>
                  </w:pPr>
                  <w:r>
                    <w:rPr>
                      <w:rFonts w:ascii="Times New Roman" w:hAnsi="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25" w:type="dxa"/>
                  <w:vAlign w:val="center"/>
                </w:tcPr>
                <w:p>
                  <w:pPr>
                    <w:pStyle w:val="10"/>
                    <w:adjustRightInd w:val="0"/>
                    <w:snapToGrid w:val="0"/>
                    <w:jc w:val="center"/>
                    <w:rPr>
                      <w:rFonts w:ascii="Times New Roman" w:hAnsi="Times New Roman"/>
                      <w:szCs w:val="21"/>
                    </w:rPr>
                  </w:pPr>
                  <w:r>
                    <w:rPr>
                      <w:rFonts w:ascii="Times New Roman" w:hAnsi="Times New Roman"/>
                      <w:szCs w:val="21"/>
                    </w:rPr>
                    <w:t>有组织</w:t>
                  </w:r>
                </w:p>
              </w:tc>
              <w:tc>
                <w:tcPr>
                  <w:tcW w:w="876" w:type="dxa"/>
                  <w:vAlign w:val="center"/>
                </w:tcPr>
                <w:p>
                  <w:pPr>
                    <w:pStyle w:val="10"/>
                    <w:adjustRightInd w:val="0"/>
                    <w:snapToGrid w:val="0"/>
                    <w:jc w:val="center"/>
                    <w:rPr>
                      <w:rFonts w:ascii="Times New Roman" w:hAnsi="Times New Roman"/>
                      <w:szCs w:val="21"/>
                    </w:rPr>
                  </w:pPr>
                  <w:r>
                    <w:rPr>
                      <w:rFonts w:ascii="Times New Roman" w:hAnsi="Times New Roman"/>
                      <w:szCs w:val="21"/>
                    </w:rPr>
                    <w:t>4000</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颗粒物</w:t>
                  </w:r>
                </w:p>
              </w:tc>
              <w:tc>
                <w:tcPr>
                  <w:tcW w:w="714"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.986</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2</w:t>
                  </w:r>
                  <w:r>
                    <w:rPr>
                      <w:rFonts w:ascii="Times New Roman" w:hAnsi="Times New Roman"/>
                      <w:szCs w:val="21"/>
                    </w:rPr>
                    <w:t>46.4</w:t>
                  </w:r>
                </w:p>
              </w:tc>
              <w:tc>
                <w:tcPr>
                  <w:tcW w:w="760"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2</w:t>
                  </w:r>
                  <w:r>
                    <w:rPr>
                      <w:rFonts w:ascii="Times New Roman" w:hAnsi="Times New Roman"/>
                      <w:szCs w:val="21"/>
                    </w:rPr>
                    <w:t>.365</w:t>
                  </w:r>
                </w:p>
              </w:tc>
              <w:tc>
                <w:tcPr>
                  <w:tcW w:w="136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袋式除尘器</w:t>
                  </w:r>
                  <w:r>
                    <w:rPr>
                      <w:rFonts w:ascii="Times New Roman" w:hAnsi="Times New Roman" w:eastAsia="宋体" w:cs="Times New Roman"/>
                      <w:szCs w:val="21"/>
                    </w:rPr>
                    <w:t>处理，经15m高</w:t>
                  </w:r>
                  <w:r>
                    <w:rPr>
                      <w:rFonts w:hint="eastAsia" w:ascii="Times New Roman" w:hAnsi="Times New Roman" w:eastAsia="宋体" w:cs="Times New Roman"/>
                      <w:szCs w:val="21"/>
                    </w:rPr>
                    <w:t>4#</w:t>
                  </w:r>
                  <w:r>
                    <w:rPr>
                      <w:rFonts w:ascii="Times New Roman" w:hAnsi="Times New Roman" w:eastAsia="宋体" w:cs="Times New Roman"/>
                      <w:szCs w:val="21"/>
                    </w:rPr>
                    <w:t>排气筒排放</w:t>
                  </w:r>
                </w:p>
              </w:tc>
              <w:tc>
                <w:tcPr>
                  <w:tcW w:w="703"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.049</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1</w:t>
                  </w:r>
                  <w:r>
                    <w:rPr>
                      <w:rFonts w:ascii="Times New Roman" w:hAnsi="Times New Roman"/>
                      <w:szCs w:val="21"/>
                    </w:rPr>
                    <w:t>2.32</w:t>
                  </w:r>
                </w:p>
              </w:tc>
              <w:tc>
                <w:tcPr>
                  <w:tcW w:w="850"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425" w:type="dxa"/>
                  <w:vAlign w:val="center"/>
                </w:tcPr>
                <w:p>
                  <w:pPr>
                    <w:pStyle w:val="10"/>
                    <w:adjustRightInd w:val="0"/>
                    <w:snapToGrid w:val="0"/>
                    <w:jc w:val="center"/>
                    <w:rPr>
                      <w:rFonts w:ascii="Times New Roman" w:hAnsi="Times New Roman"/>
                      <w:szCs w:val="21"/>
                    </w:rPr>
                  </w:pPr>
                  <w:r>
                    <w:rPr>
                      <w:rFonts w:ascii="Times New Roman" w:hAnsi="Times New Roman"/>
                      <w:szCs w:val="21"/>
                    </w:rPr>
                    <w:t>无组织</w:t>
                  </w:r>
                </w:p>
              </w:tc>
              <w:tc>
                <w:tcPr>
                  <w:tcW w:w="876" w:type="dxa"/>
                  <w:vAlign w:val="center"/>
                </w:tcPr>
                <w:p>
                  <w:pPr>
                    <w:pStyle w:val="10"/>
                    <w:adjustRightInd w:val="0"/>
                    <w:snapToGrid w:val="0"/>
                    <w:jc w:val="center"/>
                    <w:rPr>
                      <w:rFonts w:ascii="Times New Roman" w:hAnsi="Times New Roman"/>
                      <w:szCs w:val="21"/>
                    </w:rPr>
                  </w:pPr>
                  <w:r>
                    <w:rPr>
                      <w:rFonts w:ascii="Times New Roman" w:hAnsi="Times New Roman"/>
                      <w:szCs w:val="21"/>
                    </w:rPr>
                    <w:t>/</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颗粒物</w:t>
                  </w:r>
                </w:p>
              </w:tc>
              <w:tc>
                <w:tcPr>
                  <w:tcW w:w="714" w:type="dxa"/>
                  <w:vAlign w:val="center"/>
                </w:tcPr>
                <w:p>
                  <w:pPr>
                    <w:pStyle w:val="10"/>
                    <w:adjustRightInd w:val="0"/>
                    <w:snapToGrid w:val="0"/>
                    <w:jc w:val="center"/>
                    <w:rPr>
                      <w:rFonts w:ascii="Times New Roman" w:hAnsi="Times New Roman"/>
                      <w:szCs w:val="21"/>
                    </w:rPr>
                  </w:pPr>
                  <w:r>
                    <w:rPr>
                      <w:rFonts w:ascii="Times New Roman" w:hAnsi="Times New Roman"/>
                      <w:szCs w:val="21"/>
                    </w:rPr>
                    <w:t>0.11</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w:t>
                  </w:r>
                </w:p>
              </w:tc>
              <w:tc>
                <w:tcPr>
                  <w:tcW w:w="760" w:type="dxa"/>
                  <w:vAlign w:val="center"/>
                </w:tcPr>
                <w:p>
                  <w:pPr>
                    <w:pStyle w:val="10"/>
                    <w:adjustRightInd w:val="0"/>
                    <w:snapToGrid w:val="0"/>
                    <w:jc w:val="center"/>
                    <w:rPr>
                      <w:rFonts w:ascii="Times New Roman" w:hAnsi="Times New Roman"/>
                      <w:szCs w:val="21"/>
                    </w:rPr>
                  </w:pPr>
                  <w:r>
                    <w:rPr>
                      <w:rFonts w:ascii="Times New Roman" w:hAnsi="Times New Roman"/>
                      <w:szCs w:val="21"/>
                    </w:rPr>
                    <w:t>0.263</w:t>
                  </w:r>
                </w:p>
              </w:tc>
              <w:tc>
                <w:tcPr>
                  <w:tcW w:w="136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加强车间通风</w:t>
                  </w:r>
                </w:p>
              </w:tc>
              <w:tc>
                <w:tcPr>
                  <w:tcW w:w="703"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0.11</w:t>
                  </w:r>
                </w:p>
              </w:tc>
              <w:tc>
                <w:tcPr>
                  <w:tcW w:w="851"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w:t>
                  </w:r>
                </w:p>
              </w:tc>
              <w:tc>
                <w:tcPr>
                  <w:tcW w:w="850" w:type="dxa"/>
                  <w:vAlign w:val="center"/>
                </w:tcPr>
                <w:p>
                  <w:pPr>
                    <w:pStyle w:val="10"/>
                    <w:adjustRightInd w:val="0"/>
                    <w:snapToGrid w:val="0"/>
                    <w:jc w:val="center"/>
                    <w:rPr>
                      <w:rFonts w:ascii="Times New Roman" w:hAnsi="Times New Roman"/>
                      <w:szCs w:val="21"/>
                    </w:rPr>
                  </w:pPr>
                  <w:r>
                    <w:rPr>
                      <w:rFonts w:hint="eastAsia" w:ascii="Times New Roman" w:hAnsi="Times New Roman"/>
                      <w:szCs w:val="21"/>
                    </w:rPr>
                    <w:t>0.263</w:t>
                  </w:r>
                </w:p>
              </w:tc>
            </w:tr>
          </w:tbl>
          <w:p>
            <w:pPr>
              <w:autoSpaceDE w:val="0"/>
              <w:autoSpaceDN w:val="0"/>
              <w:adjustRightInd w:val="0"/>
              <w:snapToGrid w:val="0"/>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（5）达标分析</w:t>
            </w:r>
          </w:p>
          <w:p>
            <w:pPr>
              <w:spacing w:line="360" w:lineRule="auto"/>
              <w:ind w:firstLine="520"/>
              <w:rPr>
                <w:rFonts w:ascii="Times New Roman" w:hAnsi="Times New Roman" w:eastAsia="宋体" w:cs="Times New Roman"/>
                <w:b/>
                <w:sz w:val="24"/>
                <w:szCs w:val="24"/>
              </w:rPr>
            </w:pPr>
            <w:r>
              <w:rPr>
                <w:rFonts w:ascii="Times New Roman" w:hAnsi="Times New Roman" w:eastAsia="宋体" w:cs="Times New Roman"/>
                <w:sz w:val="24"/>
                <w:szCs w:val="24"/>
              </w:rPr>
              <w:t>根据前面源强核算，本项目有组织废气排放能够满足达标要求。具体达标情况见下表。</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表4.2-6  废气达标排放分析表</w:t>
            </w:r>
          </w:p>
          <w:tbl>
            <w:tblPr>
              <w:tblStyle w:val="20"/>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1418"/>
              <w:gridCol w:w="1700"/>
              <w:gridCol w:w="170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排放口</w:t>
                  </w:r>
                </w:p>
                <w:p>
                  <w:pPr>
                    <w:jc w:val="center"/>
                    <w:rPr>
                      <w:rFonts w:ascii="Times New Roman" w:hAnsi="Times New Roman" w:eastAsia="宋体" w:cs="Times New Roman"/>
                      <w:bCs/>
                      <w:szCs w:val="21"/>
                    </w:rPr>
                  </w:pPr>
                  <w:r>
                    <w:rPr>
                      <w:rFonts w:ascii="Times New Roman" w:hAnsi="Times New Roman" w:eastAsia="宋体" w:cs="Times New Roman"/>
                      <w:bCs/>
                      <w:szCs w:val="21"/>
                    </w:rPr>
                    <w:t>（编号、名称）</w:t>
                  </w:r>
                </w:p>
              </w:tc>
              <w:tc>
                <w:tcPr>
                  <w:tcW w:w="141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污染物</w:t>
                  </w:r>
                </w:p>
              </w:tc>
              <w:tc>
                <w:tcPr>
                  <w:tcW w:w="170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排放浓度（mg/m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w:t>
                  </w:r>
                </w:p>
              </w:tc>
              <w:tc>
                <w:tcPr>
                  <w:tcW w:w="170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标准限值（mg/m</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w:t>
                  </w:r>
                </w:p>
              </w:tc>
              <w:tc>
                <w:tcPr>
                  <w:tcW w:w="141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达标性判定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1#排气筒</w:t>
                  </w:r>
                </w:p>
                <w:p>
                  <w:pPr>
                    <w:jc w:val="center"/>
                    <w:rPr>
                      <w:rFonts w:ascii="Times New Roman" w:hAnsi="Times New Roman" w:eastAsia="宋体" w:cs="Times New Roman"/>
                      <w:bCs/>
                      <w:szCs w:val="21"/>
                    </w:rPr>
                  </w:pPr>
                  <w:r>
                    <w:rPr>
                      <w:rFonts w:ascii="Times New Roman" w:hAnsi="Times New Roman" w:eastAsia="宋体" w:cs="Times New Roman"/>
                      <w:szCs w:val="21"/>
                    </w:rPr>
                    <w:t>（DA001）</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700" w:type="dxa"/>
                  <w:vAlign w:val="center"/>
                </w:tcPr>
                <w:p>
                  <w:pPr>
                    <w:widowControl/>
                    <w:jc w:val="center"/>
                    <w:rPr>
                      <w:rFonts w:ascii="Times New Roman" w:hAnsi="Times New Roman" w:eastAsia="等线" w:cs="Times New Roman"/>
                      <w:szCs w:val="21"/>
                    </w:rPr>
                  </w:pPr>
                  <w:r>
                    <w:rPr>
                      <w:rFonts w:hint="eastAsia" w:ascii="Times New Roman" w:hAnsi="Times New Roman" w:eastAsia="等线" w:cs="Times New Roman"/>
                      <w:szCs w:val="21"/>
                    </w:rPr>
                    <w:t>3</w:t>
                  </w:r>
                  <w:r>
                    <w:rPr>
                      <w:rFonts w:ascii="Times New Roman" w:hAnsi="Times New Roman" w:eastAsia="等线" w:cs="Times New Roman"/>
                      <w:szCs w:val="21"/>
                    </w:rPr>
                    <w:t>.2</w:t>
                  </w:r>
                </w:p>
              </w:tc>
              <w:tc>
                <w:tcPr>
                  <w:tcW w:w="170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30</w:t>
                  </w:r>
                </w:p>
              </w:tc>
              <w:tc>
                <w:tcPr>
                  <w:tcW w:w="141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6" w:type="dxa"/>
                  <w:vMerge w:val="continue"/>
                  <w:vAlign w:val="center"/>
                </w:tcPr>
                <w:p>
                  <w:pPr>
                    <w:jc w:val="center"/>
                    <w:rPr>
                      <w:rFonts w:ascii="Times New Roman" w:hAnsi="Times New Roman" w:eastAsia="宋体" w:cs="Times New Roman"/>
                      <w:bCs/>
                      <w:szCs w:val="21"/>
                    </w:rPr>
                  </w:pP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1700"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.2</w:t>
                  </w:r>
                </w:p>
              </w:tc>
              <w:tc>
                <w:tcPr>
                  <w:tcW w:w="170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100</w:t>
                  </w:r>
                </w:p>
              </w:tc>
              <w:tc>
                <w:tcPr>
                  <w:tcW w:w="141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6" w:type="dxa"/>
                  <w:vMerge w:val="continue"/>
                  <w:vAlign w:val="center"/>
                </w:tcPr>
                <w:p>
                  <w:pPr>
                    <w:jc w:val="center"/>
                    <w:rPr>
                      <w:rFonts w:ascii="Times New Roman" w:hAnsi="Times New Roman" w:eastAsia="宋体" w:cs="Times New Roman"/>
                      <w:bCs/>
                      <w:szCs w:val="21"/>
                    </w:rPr>
                  </w:pP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NOx</w:t>
                  </w:r>
                </w:p>
              </w:tc>
              <w:tc>
                <w:tcPr>
                  <w:tcW w:w="1700" w:type="dxa"/>
                  <w:vAlign w:val="center"/>
                </w:tcPr>
                <w:p>
                  <w:pPr>
                    <w:widowControl/>
                    <w:jc w:val="center"/>
                    <w:rPr>
                      <w:rFonts w:ascii="Times New Roman" w:hAnsi="Times New Roman" w:eastAsia="等线" w:cs="Times New Roman"/>
                      <w:szCs w:val="21"/>
                    </w:rPr>
                  </w:pPr>
                  <w:r>
                    <w:rPr>
                      <w:rFonts w:hint="eastAsia" w:ascii="Times New Roman" w:hAnsi="Times New Roman" w:eastAsia="等线" w:cs="Times New Roman"/>
                      <w:szCs w:val="21"/>
                    </w:rPr>
                    <w:t>1</w:t>
                  </w:r>
                  <w:r>
                    <w:rPr>
                      <w:rFonts w:ascii="Times New Roman" w:hAnsi="Times New Roman" w:eastAsia="等线" w:cs="Times New Roman"/>
                      <w:szCs w:val="21"/>
                    </w:rPr>
                    <w:t>1.3</w:t>
                  </w:r>
                </w:p>
              </w:tc>
              <w:tc>
                <w:tcPr>
                  <w:tcW w:w="170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400</w:t>
                  </w:r>
                </w:p>
              </w:tc>
              <w:tc>
                <w:tcPr>
                  <w:tcW w:w="141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2#排气筒</w:t>
                  </w:r>
                </w:p>
                <w:p>
                  <w:pPr>
                    <w:jc w:val="center"/>
                    <w:rPr>
                      <w:rFonts w:ascii="Times New Roman" w:hAnsi="Times New Roman" w:eastAsia="宋体" w:cs="Times New Roman"/>
                      <w:szCs w:val="21"/>
                    </w:rPr>
                  </w:pPr>
                  <w:r>
                    <w:rPr>
                      <w:rFonts w:ascii="Times New Roman" w:hAnsi="Times New Roman" w:eastAsia="宋体" w:cs="Times New Roman"/>
                      <w:szCs w:val="21"/>
                    </w:rPr>
                    <w:t>（DA002）</w:t>
                  </w:r>
                </w:p>
              </w:tc>
              <w:tc>
                <w:tcPr>
                  <w:tcW w:w="141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700" w:type="dxa"/>
                  <w:vAlign w:val="center"/>
                </w:tcPr>
                <w:p>
                  <w:pPr>
                    <w:widowControl/>
                    <w:jc w:val="center"/>
                    <w:rPr>
                      <w:rFonts w:ascii="Times New Roman" w:hAnsi="Times New Roman" w:eastAsia="等线" w:cs="Times New Roman"/>
                      <w:szCs w:val="21"/>
                    </w:rPr>
                  </w:pPr>
                  <w:r>
                    <w:rPr>
                      <w:rFonts w:hint="eastAsia" w:ascii="Times New Roman" w:hAnsi="Times New Roman" w:eastAsia="等线" w:cs="Times New Roman"/>
                      <w:szCs w:val="21"/>
                    </w:rPr>
                    <w:t>4</w:t>
                  </w:r>
                  <w:r>
                    <w:rPr>
                      <w:rFonts w:ascii="Times New Roman" w:hAnsi="Times New Roman" w:eastAsia="等线" w:cs="Times New Roman"/>
                      <w:szCs w:val="21"/>
                    </w:rPr>
                    <w:t>2.22</w:t>
                  </w:r>
                </w:p>
              </w:tc>
              <w:tc>
                <w:tcPr>
                  <w:tcW w:w="170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20</w:t>
                  </w:r>
                </w:p>
              </w:tc>
              <w:tc>
                <w:tcPr>
                  <w:tcW w:w="1418"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3#排气筒</w:t>
                  </w:r>
                </w:p>
                <w:p>
                  <w:pPr>
                    <w:jc w:val="center"/>
                    <w:rPr>
                      <w:rFonts w:ascii="Times New Roman" w:hAnsi="Times New Roman" w:eastAsia="宋体" w:cs="Times New Roman"/>
                      <w:bCs/>
                      <w:szCs w:val="21"/>
                    </w:rPr>
                  </w:pPr>
                  <w:r>
                    <w:rPr>
                      <w:rFonts w:ascii="Times New Roman" w:hAnsi="Times New Roman" w:eastAsia="宋体" w:cs="Times New Roman"/>
                      <w:szCs w:val="21"/>
                    </w:rPr>
                    <w:t>（DA003）</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700" w:type="dxa"/>
                  <w:vAlign w:val="center"/>
                </w:tcPr>
                <w:p>
                  <w:pPr>
                    <w:widowControl/>
                    <w:jc w:val="center"/>
                    <w:rPr>
                      <w:rFonts w:ascii="Times New Roman" w:hAnsi="Times New Roman" w:eastAsia="等线" w:cs="Times New Roman"/>
                      <w:szCs w:val="21"/>
                    </w:rPr>
                  </w:pPr>
                  <w:r>
                    <w:rPr>
                      <w:rFonts w:ascii="Times New Roman" w:hAnsi="Times New Roman" w:eastAsia="等线" w:cs="Times New Roman"/>
                      <w:szCs w:val="21"/>
                    </w:rPr>
                    <w:t>11.67</w:t>
                  </w:r>
                </w:p>
              </w:tc>
              <w:tc>
                <w:tcPr>
                  <w:tcW w:w="170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30</w:t>
                  </w:r>
                </w:p>
              </w:tc>
              <w:tc>
                <w:tcPr>
                  <w:tcW w:w="141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4#排气筒</w:t>
                  </w:r>
                </w:p>
                <w:p>
                  <w:pPr>
                    <w:jc w:val="center"/>
                    <w:rPr>
                      <w:rFonts w:ascii="Times New Roman" w:hAnsi="Times New Roman" w:eastAsia="宋体" w:cs="Times New Roman"/>
                      <w:szCs w:val="21"/>
                    </w:rPr>
                  </w:pPr>
                  <w:r>
                    <w:rPr>
                      <w:rFonts w:ascii="Times New Roman" w:hAnsi="Times New Roman" w:eastAsia="宋体" w:cs="Times New Roman"/>
                      <w:szCs w:val="21"/>
                    </w:rPr>
                    <w:t>（DA004）</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700" w:type="dxa"/>
                  <w:vAlign w:val="center"/>
                </w:tcPr>
                <w:p>
                  <w:pPr>
                    <w:widowControl/>
                    <w:jc w:val="center"/>
                    <w:rPr>
                      <w:rFonts w:ascii="Times New Roman" w:hAnsi="Times New Roman" w:eastAsia="等线" w:cs="Times New Roman"/>
                      <w:szCs w:val="21"/>
                    </w:rPr>
                  </w:pPr>
                  <w:r>
                    <w:rPr>
                      <w:rFonts w:ascii="Times New Roman" w:hAnsi="Times New Roman" w:eastAsia="等线" w:cs="Times New Roman"/>
                      <w:szCs w:val="21"/>
                    </w:rPr>
                    <w:t>12.32</w:t>
                  </w:r>
                </w:p>
              </w:tc>
              <w:tc>
                <w:tcPr>
                  <w:tcW w:w="170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30</w:t>
                  </w:r>
                </w:p>
              </w:tc>
              <w:tc>
                <w:tcPr>
                  <w:tcW w:w="141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达标</w:t>
                  </w:r>
                </w:p>
              </w:tc>
            </w:tr>
          </w:tbl>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tc>
      </w:tr>
      <w:bookmarkEnd w:id="15"/>
    </w:tbl>
    <w:p>
      <w:pPr>
        <w:rPr>
          <w:rFonts w:ascii="Times New Roman" w:hAnsi="Times New Roman" w:cs="Times New Roman"/>
        </w:rPr>
        <w:sectPr>
          <w:pgSz w:w="11906" w:h="16838"/>
          <w:pgMar w:top="1440" w:right="1800" w:bottom="1440" w:left="1800" w:header="851" w:footer="992" w:gutter="0"/>
          <w:pgNumType w:fmt="numberInDash"/>
          <w:cols w:space="425" w:num="1"/>
          <w:docGrid w:type="lines" w:linePitch="312" w:charSpace="0"/>
        </w:sectPr>
      </w:pPr>
    </w:p>
    <w:p>
      <w:pPr>
        <w:tabs>
          <w:tab w:val="left" w:pos="1385"/>
          <w:tab w:val="center" w:pos="6979"/>
        </w:tabs>
        <w:jc w:val="center"/>
        <w:rPr>
          <w:rFonts w:ascii="Times New Roman" w:hAnsi="Times New Roman" w:eastAsia="黑体" w:cs="Times New Roman"/>
          <w:sz w:val="30"/>
          <w:szCs w:val="30"/>
        </w:rPr>
      </w:pPr>
      <w:r>
        <w:rPr>
          <w:rFonts w:ascii="Times New Roman" w:hAnsi="Times New Roman" w:eastAsia="宋体" w:cs="Times New Roman"/>
          <w:b/>
          <w:sz w:val="24"/>
          <w:szCs w:val="24"/>
        </w:rPr>
        <w:t>表4.2-7  废气污染源源强核算结果及相关参数一览表</w:t>
      </w:r>
    </w:p>
    <w:tbl>
      <w:tblPr>
        <w:tblStyle w:val="18"/>
        <w:tblW w:w="141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73"/>
        <w:gridCol w:w="1171"/>
        <w:gridCol w:w="982"/>
        <w:gridCol w:w="763"/>
        <w:gridCol w:w="1061"/>
        <w:gridCol w:w="1229"/>
        <w:gridCol w:w="975"/>
        <w:gridCol w:w="787"/>
        <w:gridCol w:w="833"/>
        <w:gridCol w:w="666"/>
        <w:gridCol w:w="1061"/>
        <w:gridCol w:w="1229"/>
        <w:gridCol w:w="888"/>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69" w:type="dxa"/>
            <w:vMerge w:val="restart"/>
            <w:vAlign w:val="center"/>
          </w:tcPr>
          <w:p>
            <w:pPr>
              <w:pStyle w:val="32"/>
              <w:spacing w:line="240" w:lineRule="atLeast"/>
              <w:jc w:val="center"/>
              <w:rPr>
                <w:rFonts w:ascii="Times New Roman" w:hAnsi="Times New Roman"/>
                <w:szCs w:val="21"/>
              </w:rPr>
            </w:pPr>
            <w:bookmarkStart w:id="16" w:name="_Hlk66543028"/>
            <w:r>
              <w:rPr>
                <w:rFonts w:ascii="Times New Roman" w:hAnsi="Times New Roman"/>
                <w:szCs w:val="21"/>
              </w:rPr>
              <w:t>工序/生产线</w:t>
            </w:r>
          </w:p>
        </w:tc>
        <w:tc>
          <w:tcPr>
            <w:tcW w:w="873"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装置</w:t>
            </w:r>
          </w:p>
        </w:tc>
        <w:tc>
          <w:tcPr>
            <w:tcW w:w="1171"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污染源</w:t>
            </w:r>
          </w:p>
        </w:tc>
        <w:tc>
          <w:tcPr>
            <w:tcW w:w="982"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污染物</w:t>
            </w:r>
          </w:p>
        </w:tc>
        <w:tc>
          <w:tcPr>
            <w:tcW w:w="4028" w:type="dxa"/>
            <w:gridSpan w:val="4"/>
            <w:vAlign w:val="center"/>
          </w:tcPr>
          <w:p>
            <w:pPr>
              <w:pStyle w:val="32"/>
              <w:spacing w:line="240" w:lineRule="atLeast"/>
              <w:jc w:val="center"/>
              <w:rPr>
                <w:rFonts w:ascii="Times New Roman" w:hAnsi="Times New Roman"/>
                <w:szCs w:val="21"/>
              </w:rPr>
            </w:pPr>
            <w:r>
              <w:rPr>
                <w:rFonts w:ascii="Times New Roman" w:hAnsi="Times New Roman"/>
                <w:szCs w:val="21"/>
              </w:rPr>
              <w:t>污染物产生量</w:t>
            </w:r>
          </w:p>
        </w:tc>
        <w:tc>
          <w:tcPr>
            <w:tcW w:w="1620" w:type="dxa"/>
            <w:gridSpan w:val="2"/>
            <w:vAlign w:val="center"/>
          </w:tcPr>
          <w:p>
            <w:pPr>
              <w:pStyle w:val="32"/>
              <w:spacing w:line="240" w:lineRule="atLeast"/>
              <w:jc w:val="center"/>
              <w:rPr>
                <w:rFonts w:ascii="Times New Roman" w:hAnsi="Times New Roman"/>
                <w:szCs w:val="21"/>
              </w:rPr>
            </w:pPr>
            <w:r>
              <w:rPr>
                <w:rFonts w:ascii="Times New Roman" w:hAnsi="Times New Roman"/>
                <w:szCs w:val="21"/>
              </w:rPr>
              <w:t>治理措施</w:t>
            </w:r>
          </w:p>
        </w:tc>
        <w:tc>
          <w:tcPr>
            <w:tcW w:w="3844" w:type="dxa"/>
            <w:gridSpan w:val="4"/>
            <w:vAlign w:val="center"/>
          </w:tcPr>
          <w:p>
            <w:pPr>
              <w:pStyle w:val="32"/>
              <w:spacing w:line="240" w:lineRule="atLeast"/>
              <w:jc w:val="center"/>
              <w:rPr>
                <w:rFonts w:ascii="Times New Roman" w:hAnsi="Times New Roman"/>
                <w:szCs w:val="21"/>
              </w:rPr>
            </w:pPr>
            <w:r>
              <w:rPr>
                <w:rFonts w:ascii="Times New Roman" w:hAnsi="Times New Roman"/>
                <w:szCs w:val="21"/>
              </w:rPr>
              <w:t>污染物排放量</w:t>
            </w:r>
          </w:p>
        </w:tc>
        <w:tc>
          <w:tcPr>
            <w:tcW w:w="769"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69" w:type="dxa"/>
            <w:vMerge w:val="continue"/>
            <w:vAlign w:val="center"/>
          </w:tcPr>
          <w:p>
            <w:pPr>
              <w:pStyle w:val="32"/>
              <w:spacing w:line="240" w:lineRule="atLeast"/>
              <w:jc w:val="center"/>
              <w:rPr>
                <w:rFonts w:ascii="Times New Roman" w:hAnsi="Times New Roman"/>
                <w:szCs w:val="21"/>
              </w:rPr>
            </w:pPr>
          </w:p>
        </w:tc>
        <w:tc>
          <w:tcPr>
            <w:tcW w:w="873" w:type="dxa"/>
            <w:vMerge w:val="continue"/>
            <w:vAlign w:val="center"/>
          </w:tcPr>
          <w:p>
            <w:pPr>
              <w:pStyle w:val="32"/>
              <w:spacing w:line="240" w:lineRule="atLeast"/>
              <w:jc w:val="center"/>
              <w:rPr>
                <w:rFonts w:ascii="Times New Roman" w:hAnsi="Times New Roman"/>
                <w:szCs w:val="21"/>
              </w:rPr>
            </w:pPr>
          </w:p>
        </w:tc>
        <w:tc>
          <w:tcPr>
            <w:tcW w:w="1171" w:type="dxa"/>
            <w:vMerge w:val="continue"/>
            <w:vAlign w:val="center"/>
          </w:tcPr>
          <w:p>
            <w:pPr>
              <w:pStyle w:val="32"/>
              <w:spacing w:line="240" w:lineRule="atLeast"/>
              <w:jc w:val="center"/>
              <w:rPr>
                <w:rFonts w:ascii="Times New Roman" w:hAnsi="Times New Roman"/>
                <w:szCs w:val="21"/>
              </w:rPr>
            </w:pPr>
          </w:p>
        </w:tc>
        <w:tc>
          <w:tcPr>
            <w:tcW w:w="982" w:type="dxa"/>
            <w:vMerge w:val="continue"/>
            <w:vAlign w:val="center"/>
          </w:tcPr>
          <w:p>
            <w:pPr>
              <w:pStyle w:val="32"/>
              <w:spacing w:line="240" w:lineRule="atLeast"/>
              <w:jc w:val="center"/>
              <w:rPr>
                <w:rFonts w:ascii="Times New Roman" w:hAnsi="Times New Roman"/>
                <w:szCs w:val="21"/>
              </w:rPr>
            </w:pPr>
          </w:p>
        </w:tc>
        <w:tc>
          <w:tcPr>
            <w:tcW w:w="763" w:type="dxa"/>
            <w:vAlign w:val="center"/>
          </w:tcPr>
          <w:p>
            <w:pPr>
              <w:pStyle w:val="32"/>
              <w:spacing w:line="240" w:lineRule="atLeast"/>
              <w:jc w:val="center"/>
              <w:rPr>
                <w:rFonts w:ascii="Times New Roman" w:hAnsi="Times New Roman"/>
                <w:szCs w:val="21"/>
              </w:rPr>
            </w:pPr>
            <w:r>
              <w:rPr>
                <w:rFonts w:ascii="Times New Roman" w:hAnsi="Times New Roman"/>
                <w:szCs w:val="21"/>
              </w:rPr>
              <w:t>核算方法</w:t>
            </w:r>
          </w:p>
        </w:tc>
        <w:tc>
          <w:tcPr>
            <w:tcW w:w="1061" w:type="dxa"/>
            <w:vAlign w:val="center"/>
          </w:tcPr>
          <w:p>
            <w:pPr>
              <w:pStyle w:val="32"/>
              <w:spacing w:line="240" w:lineRule="atLeast"/>
              <w:jc w:val="center"/>
              <w:rPr>
                <w:rFonts w:ascii="Times New Roman" w:hAnsi="Times New Roman"/>
                <w:szCs w:val="21"/>
              </w:rPr>
            </w:pPr>
            <w:r>
              <w:rPr>
                <w:rFonts w:ascii="Times New Roman" w:hAnsi="Times New Roman"/>
                <w:szCs w:val="21"/>
              </w:rPr>
              <w:t>速率（kg/h）</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szCs w:val="21"/>
              </w:rPr>
              <w:t>浓度（mg/m</w:t>
            </w:r>
            <w:r>
              <w:rPr>
                <w:rFonts w:ascii="Times New Roman" w:hAnsi="Times New Roman"/>
                <w:szCs w:val="21"/>
                <w:vertAlign w:val="superscript"/>
              </w:rPr>
              <w:t>3</w:t>
            </w:r>
            <w:r>
              <w:rPr>
                <w:rFonts w:ascii="Times New Roman" w:hAnsi="Times New Roman"/>
                <w:szCs w:val="21"/>
              </w:rPr>
              <w:t>）</w:t>
            </w:r>
          </w:p>
        </w:tc>
        <w:tc>
          <w:tcPr>
            <w:tcW w:w="975" w:type="dxa"/>
            <w:vAlign w:val="center"/>
          </w:tcPr>
          <w:p>
            <w:pPr>
              <w:pStyle w:val="32"/>
              <w:spacing w:line="240" w:lineRule="atLeast"/>
              <w:jc w:val="center"/>
              <w:rPr>
                <w:rFonts w:ascii="Times New Roman" w:hAnsi="Times New Roman"/>
                <w:szCs w:val="21"/>
              </w:rPr>
            </w:pPr>
            <w:r>
              <w:rPr>
                <w:rFonts w:ascii="Times New Roman" w:hAnsi="Times New Roman"/>
                <w:szCs w:val="21"/>
              </w:rPr>
              <w:t>产生量（t/a）</w:t>
            </w:r>
          </w:p>
        </w:tc>
        <w:tc>
          <w:tcPr>
            <w:tcW w:w="787" w:type="dxa"/>
            <w:vAlign w:val="center"/>
          </w:tcPr>
          <w:p>
            <w:pPr>
              <w:pStyle w:val="32"/>
              <w:spacing w:line="240" w:lineRule="atLeast"/>
              <w:jc w:val="center"/>
              <w:rPr>
                <w:rFonts w:ascii="Times New Roman" w:hAnsi="Times New Roman"/>
                <w:szCs w:val="21"/>
              </w:rPr>
            </w:pPr>
            <w:r>
              <w:rPr>
                <w:rFonts w:ascii="Times New Roman" w:hAnsi="Times New Roman"/>
                <w:szCs w:val="21"/>
              </w:rPr>
              <w:t>工艺</w:t>
            </w:r>
          </w:p>
        </w:tc>
        <w:tc>
          <w:tcPr>
            <w:tcW w:w="833" w:type="dxa"/>
            <w:vAlign w:val="center"/>
          </w:tcPr>
          <w:p>
            <w:pPr>
              <w:pStyle w:val="32"/>
              <w:spacing w:line="240" w:lineRule="atLeast"/>
              <w:jc w:val="center"/>
              <w:rPr>
                <w:rFonts w:ascii="Times New Roman" w:hAnsi="Times New Roman"/>
                <w:szCs w:val="21"/>
              </w:rPr>
            </w:pPr>
            <w:r>
              <w:rPr>
                <w:rFonts w:ascii="Times New Roman" w:hAnsi="Times New Roman"/>
                <w:szCs w:val="21"/>
              </w:rPr>
              <w:t>效率（%）</w:t>
            </w:r>
          </w:p>
        </w:tc>
        <w:tc>
          <w:tcPr>
            <w:tcW w:w="666" w:type="dxa"/>
            <w:vAlign w:val="center"/>
          </w:tcPr>
          <w:p>
            <w:pPr>
              <w:pStyle w:val="32"/>
              <w:spacing w:line="240" w:lineRule="atLeast"/>
              <w:jc w:val="center"/>
              <w:rPr>
                <w:rFonts w:ascii="Times New Roman" w:hAnsi="Times New Roman"/>
                <w:szCs w:val="21"/>
              </w:rPr>
            </w:pPr>
            <w:r>
              <w:rPr>
                <w:rFonts w:ascii="Times New Roman" w:hAnsi="Times New Roman"/>
                <w:szCs w:val="21"/>
              </w:rPr>
              <w:t>核算方法</w:t>
            </w:r>
          </w:p>
        </w:tc>
        <w:tc>
          <w:tcPr>
            <w:tcW w:w="1061" w:type="dxa"/>
            <w:vAlign w:val="center"/>
          </w:tcPr>
          <w:p>
            <w:pPr>
              <w:pStyle w:val="32"/>
              <w:spacing w:line="240" w:lineRule="atLeast"/>
              <w:jc w:val="center"/>
              <w:rPr>
                <w:rFonts w:ascii="Times New Roman" w:hAnsi="Times New Roman"/>
                <w:szCs w:val="21"/>
              </w:rPr>
            </w:pPr>
            <w:r>
              <w:rPr>
                <w:rFonts w:ascii="Times New Roman" w:hAnsi="Times New Roman"/>
                <w:szCs w:val="21"/>
              </w:rPr>
              <w:t>速率（kg/h）</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szCs w:val="21"/>
              </w:rPr>
              <w:t>浓度（mg/m</w:t>
            </w:r>
            <w:r>
              <w:rPr>
                <w:rFonts w:ascii="Times New Roman" w:hAnsi="Times New Roman"/>
                <w:szCs w:val="21"/>
                <w:vertAlign w:val="superscript"/>
              </w:rPr>
              <w:t>3</w:t>
            </w:r>
            <w:r>
              <w:rPr>
                <w:rFonts w:ascii="Times New Roman" w:hAnsi="Times New Roman"/>
                <w:szCs w:val="21"/>
              </w:rPr>
              <w:t>）</w:t>
            </w:r>
          </w:p>
        </w:tc>
        <w:tc>
          <w:tcPr>
            <w:tcW w:w="888" w:type="dxa"/>
            <w:vAlign w:val="center"/>
          </w:tcPr>
          <w:p>
            <w:pPr>
              <w:pStyle w:val="32"/>
              <w:spacing w:line="240" w:lineRule="atLeast"/>
              <w:jc w:val="center"/>
              <w:rPr>
                <w:rFonts w:ascii="Times New Roman" w:hAnsi="Times New Roman"/>
                <w:szCs w:val="21"/>
              </w:rPr>
            </w:pPr>
            <w:r>
              <w:rPr>
                <w:rFonts w:ascii="Times New Roman" w:hAnsi="Times New Roman"/>
                <w:szCs w:val="21"/>
              </w:rPr>
              <w:t>排放量（t/a）</w:t>
            </w:r>
          </w:p>
        </w:tc>
        <w:tc>
          <w:tcPr>
            <w:tcW w:w="769" w:type="dxa"/>
            <w:vMerge w:val="continue"/>
            <w:vAlign w:val="center"/>
          </w:tcPr>
          <w:p>
            <w:pPr>
              <w:pStyle w:val="32"/>
              <w:spacing w:line="240" w:lineRule="atLeas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69"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铸造</w:t>
            </w:r>
          </w:p>
        </w:tc>
        <w:tc>
          <w:tcPr>
            <w:tcW w:w="873"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熔化炉</w:t>
            </w:r>
          </w:p>
        </w:tc>
        <w:tc>
          <w:tcPr>
            <w:tcW w:w="1171"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熔炼及天然气燃烧废气</w:t>
            </w:r>
          </w:p>
        </w:tc>
        <w:tc>
          <w:tcPr>
            <w:tcW w:w="982" w:type="dxa"/>
            <w:vAlign w:val="center"/>
          </w:tcPr>
          <w:p>
            <w:pPr>
              <w:pStyle w:val="32"/>
              <w:spacing w:line="240" w:lineRule="atLeast"/>
              <w:jc w:val="center"/>
              <w:rPr>
                <w:rFonts w:ascii="Times New Roman" w:hAnsi="Times New Roman"/>
                <w:szCs w:val="21"/>
              </w:rPr>
            </w:pPr>
            <w:r>
              <w:rPr>
                <w:rFonts w:ascii="Times New Roman" w:hAnsi="Times New Roman"/>
                <w:szCs w:val="21"/>
              </w:rPr>
              <w:t>颗粒物</w:t>
            </w:r>
          </w:p>
        </w:tc>
        <w:tc>
          <w:tcPr>
            <w:tcW w:w="763"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0.388</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64.6</w:t>
            </w:r>
          </w:p>
        </w:tc>
        <w:tc>
          <w:tcPr>
            <w:tcW w:w="975"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0.93</w:t>
            </w:r>
          </w:p>
        </w:tc>
        <w:tc>
          <w:tcPr>
            <w:tcW w:w="787"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高温布袋除尘器</w:t>
            </w:r>
          </w:p>
        </w:tc>
        <w:tc>
          <w:tcPr>
            <w:tcW w:w="833" w:type="dxa"/>
            <w:vAlign w:val="center"/>
          </w:tcPr>
          <w:p>
            <w:pPr>
              <w:pStyle w:val="32"/>
              <w:spacing w:line="240" w:lineRule="atLeast"/>
              <w:jc w:val="center"/>
              <w:rPr>
                <w:rFonts w:ascii="Times New Roman" w:hAnsi="Times New Roman"/>
                <w:szCs w:val="21"/>
              </w:rPr>
            </w:pPr>
            <w:r>
              <w:rPr>
                <w:rFonts w:ascii="Times New Roman" w:hAnsi="Times New Roman"/>
                <w:szCs w:val="21"/>
              </w:rPr>
              <w:t>95</w:t>
            </w:r>
          </w:p>
        </w:tc>
        <w:tc>
          <w:tcPr>
            <w:tcW w:w="666"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0.019</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3.2</w:t>
            </w:r>
          </w:p>
        </w:tc>
        <w:tc>
          <w:tcPr>
            <w:tcW w:w="888"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0.047</w:t>
            </w:r>
          </w:p>
        </w:tc>
        <w:tc>
          <w:tcPr>
            <w:tcW w:w="769" w:type="dxa"/>
            <w:vMerge w:val="restart"/>
            <w:vAlign w:val="center"/>
          </w:tcPr>
          <w:p>
            <w:pPr>
              <w:pStyle w:val="32"/>
              <w:spacing w:line="240" w:lineRule="atLeast"/>
              <w:jc w:val="center"/>
              <w:rPr>
                <w:rFonts w:ascii="Times New Roman" w:hAnsi="Times New Roman"/>
                <w:szCs w:val="21"/>
              </w:rPr>
            </w:pPr>
            <w:r>
              <w:rPr>
                <w:rFonts w:ascii="Times New Roman" w:hAnsi="Times New Roman"/>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69" w:type="dxa"/>
            <w:vMerge w:val="continue"/>
            <w:vAlign w:val="center"/>
          </w:tcPr>
          <w:p>
            <w:pPr>
              <w:pStyle w:val="32"/>
              <w:spacing w:line="240" w:lineRule="atLeast"/>
              <w:jc w:val="center"/>
              <w:rPr>
                <w:rFonts w:ascii="Times New Roman" w:hAnsi="Times New Roman"/>
                <w:szCs w:val="21"/>
              </w:rPr>
            </w:pPr>
          </w:p>
        </w:tc>
        <w:tc>
          <w:tcPr>
            <w:tcW w:w="873" w:type="dxa"/>
            <w:vMerge w:val="continue"/>
            <w:vAlign w:val="center"/>
          </w:tcPr>
          <w:p>
            <w:pPr>
              <w:pStyle w:val="32"/>
              <w:spacing w:line="240" w:lineRule="atLeast"/>
              <w:jc w:val="center"/>
              <w:rPr>
                <w:rFonts w:ascii="Times New Roman" w:hAnsi="Times New Roman"/>
                <w:szCs w:val="21"/>
              </w:rPr>
            </w:pPr>
          </w:p>
        </w:tc>
        <w:tc>
          <w:tcPr>
            <w:tcW w:w="1171" w:type="dxa"/>
            <w:vMerge w:val="continue"/>
            <w:vAlign w:val="center"/>
          </w:tcPr>
          <w:p>
            <w:pPr>
              <w:pStyle w:val="32"/>
              <w:spacing w:line="240" w:lineRule="atLeast"/>
              <w:jc w:val="center"/>
              <w:rPr>
                <w:rFonts w:ascii="Times New Roman" w:hAnsi="Times New Roman"/>
                <w:szCs w:val="21"/>
              </w:rPr>
            </w:pPr>
          </w:p>
        </w:tc>
        <w:tc>
          <w:tcPr>
            <w:tcW w:w="982" w:type="dxa"/>
            <w:vAlign w:val="center"/>
          </w:tcPr>
          <w:p>
            <w:pPr>
              <w:pStyle w:val="32"/>
              <w:spacing w:line="240" w:lineRule="atLeas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763" w:type="dxa"/>
            <w:vMerge w:val="continue"/>
            <w:vAlign w:val="center"/>
          </w:tcPr>
          <w:p>
            <w:pPr>
              <w:pStyle w:val="32"/>
              <w:spacing w:line="240" w:lineRule="atLeast"/>
              <w:jc w:val="center"/>
              <w:rPr>
                <w:rFonts w:ascii="Times New Roman" w:hAnsi="Times New Roman"/>
                <w:szCs w:val="21"/>
              </w:rPr>
            </w:pP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0.007</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1.2</w:t>
            </w:r>
          </w:p>
        </w:tc>
        <w:tc>
          <w:tcPr>
            <w:tcW w:w="975"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0.017</w:t>
            </w:r>
          </w:p>
        </w:tc>
        <w:tc>
          <w:tcPr>
            <w:tcW w:w="787" w:type="dxa"/>
            <w:vMerge w:val="continue"/>
            <w:vAlign w:val="center"/>
          </w:tcPr>
          <w:p>
            <w:pPr>
              <w:pStyle w:val="32"/>
              <w:spacing w:line="240" w:lineRule="atLeast"/>
              <w:jc w:val="center"/>
              <w:rPr>
                <w:rFonts w:ascii="Times New Roman" w:hAnsi="Times New Roman"/>
                <w:szCs w:val="21"/>
              </w:rPr>
            </w:pPr>
          </w:p>
        </w:tc>
        <w:tc>
          <w:tcPr>
            <w:tcW w:w="833" w:type="dxa"/>
            <w:vAlign w:val="center"/>
          </w:tcPr>
          <w:p>
            <w:pPr>
              <w:pStyle w:val="32"/>
              <w:spacing w:line="240" w:lineRule="atLeast"/>
              <w:jc w:val="center"/>
              <w:rPr>
                <w:rFonts w:ascii="Times New Roman" w:hAnsi="Times New Roman"/>
                <w:szCs w:val="21"/>
              </w:rPr>
            </w:pPr>
            <w:r>
              <w:rPr>
                <w:rFonts w:ascii="Times New Roman" w:hAnsi="Times New Roman"/>
                <w:szCs w:val="21"/>
              </w:rPr>
              <w:t>0</w:t>
            </w:r>
          </w:p>
        </w:tc>
        <w:tc>
          <w:tcPr>
            <w:tcW w:w="666" w:type="dxa"/>
            <w:vMerge w:val="continue"/>
            <w:vAlign w:val="center"/>
          </w:tcPr>
          <w:p>
            <w:pPr>
              <w:pStyle w:val="32"/>
              <w:spacing w:line="240" w:lineRule="atLeast"/>
              <w:jc w:val="center"/>
              <w:rPr>
                <w:rFonts w:ascii="Times New Roman" w:hAnsi="Times New Roman"/>
                <w:szCs w:val="21"/>
              </w:rPr>
            </w:pP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0.007</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1.2</w:t>
            </w:r>
          </w:p>
        </w:tc>
        <w:tc>
          <w:tcPr>
            <w:tcW w:w="888"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0.017</w:t>
            </w:r>
          </w:p>
        </w:tc>
        <w:tc>
          <w:tcPr>
            <w:tcW w:w="769" w:type="dxa"/>
            <w:vMerge w:val="continue"/>
            <w:vAlign w:val="center"/>
          </w:tcPr>
          <w:p>
            <w:pPr>
              <w:pStyle w:val="32"/>
              <w:spacing w:line="240" w:lineRule="atLeas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69" w:type="dxa"/>
            <w:vMerge w:val="continue"/>
            <w:vAlign w:val="center"/>
          </w:tcPr>
          <w:p>
            <w:pPr>
              <w:pStyle w:val="32"/>
              <w:spacing w:line="240" w:lineRule="atLeast"/>
              <w:jc w:val="center"/>
              <w:rPr>
                <w:rFonts w:ascii="Times New Roman" w:hAnsi="Times New Roman"/>
                <w:szCs w:val="21"/>
              </w:rPr>
            </w:pPr>
          </w:p>
        </w:tc>
        <w:tc>
          <w:tcPr>
            <w:tcW w:w="873" w:type="dxa"/>
            <w:vMerge w:val="continue"/>
            <w:vAlign w:val="center"/>
          </w:tcPr>
          <w:p>
            <w:pPr>
              <w:pStyle w:val="32"/>
              <w:spacing w:line="240" w:lineRule="atLeast"/>
              <w:jc w:val="center"/>
              <w:rPr>
                <w:rFonts w:ascii="Times New Roman" w:hAnsi="Times New Roman"/>
                <w:szCs w:val="21"/>
              </w:rPr>
            </w:pPr>
          </w:p>
        </w:tc>
        <w:tc>
          <w:tcPr>
            <w:tcW w:w="1171" w:type="dxa"/>
            <w:vMerge w:val="continue"/>
            <w:vAlign w:val="center"/>
          </w:tcPr>
          <w:p>
            <w:pPr>
              <w:pStyle w:val="32"/>
              <w:spacing w:line="240" w:lineRule="atLeast"/>
              <w:jc w:val="center"/>
              <w:rPr>
                <w:rFonts w:ascii="Times New Roman" w:hAnsi="Times New Roman"/>
                <w:szCs w:val="21"/>
              </w:rPr>
            </w:pPr>
          </w:p>
        </w:tc>
        <w:tc>
          <w:tcPr>
            <w:tcW w:w="982" w:type="dxa"/>
            <w:vAlign w:val="center"/>
          </w:tcPr>
          <w:p>
            <w:pPr>
              <w:pStyle w:val="32"/>
              <w:spacing w:line="240" w:lineRule="atLeas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763" w:type="dxa"/>
            <w:vMerge w:val="continue"/>
            <w:vAlign w:val="center"/>
          </w:tcPr>
          <w:p>
            <w:pPr>
              <w:pStyle w:val="32"/>
              <w:spacing w:line="240" w:lineRule="atLeast"/>
              <w:jc w:val="center"/>
              <w:rPr>
                <w:rFonts w:ascii="Times New Roman" w:hAnsi="Times New Roman"/>
                <w:szCs w:val="21"/>
              </w:rPr>
            </w:pP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0.068</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11.3</w:t>
            </w:r>
          </w:p>
        </w:tc>
        <w:tc>
          <w:tcPr>
            <w:tcW w:w="975"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0.163</w:t>
            </w:r>
          </w:p>
        </w:tc>
        <w:tc>
          <w:tcPr>
            <w:tcW w:w="787" w:type="dxa"/>
            <w:vMerge w:val="continue"/>
            <w:vAlign w:val="center"/>
          </w:tcPr>
          <w:p>
            <w:pPr>
              <w:pStyle w:val="32"/>
              <w:spacing w:line="240" w:lineRule="atLeast"/>
              <w:jc w:val="center"/>
              <w:rPr>
                <w:rFonts w:ascii="Times New Roman" w:hAnsi="Times New Roman"/>
                <w:szCs w:val="21"/>
              </w:rPr>
            </w:pPr>
          </w:p>
        </w:tc>
        <w:tc>
          <w:tcPr>
            <w:tcW w:w="833" w:type="dxa"/>
            <w:vAlign w:val="center"/>
          </w:tcPr>
          <w:p>
            <w:pPr>
              <w:pStyle w:val="32"/>
              <w:spacing w:line="240" w:lineRule="atLeast"/>
              <w:jc w:val="center"/>
              <w:rPr>
                <w:rFonts w:ascii="Times New Roman" w:hAnsi="Times New Roman"/>
                <w:szCs w:val="21"/>
              </w:rPr>
            </w:pPr>
            <w:r>
              <w:rPr>
                <w:rFonts w:ascii="Times New Roman" w:hAnsi="Times New Roman"/>
                <w:szCs w:val="21"/>
              </w:rPr>
              <w:t>0</w:t>
            </w:r>
          </w:p>
        </w:tc>
        <w:tc>
          <w:tcPr>
            <w:tcW w:w="666" w:type="dxa"/>
            <w:vMerge w:val="continue"/>
            <w:vAlign w:val="center"/>
          </w:tcPr>
          <w:p>
            <w:pPr>
              <w:pStyle w:val="32"/>
              <w:spacing w:line="240" w:lineRule="atLeast"/>
              <w:jc w:val="center"/>
              <w:rPr>
                <w:rFonts w:ascii="Times New Roman" w:hAnsi="Times New Roman"/>
                <w:szCs w:val="21"/>
              </w:rPr>
            </w:pP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0.068</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11.3</w:t>
            </w:r>
          </w:p>
        </w:tc>
        <w:tc>
          <w:tcPr>
            <w:tcW w:w="888"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0.163</w:t>
            </w:r>
          </w:p>
        </w:tc>
        <w:tc>
          <w:tcPr>
            <w:tcW w:w="769" w:type="dxa"/>
            <w:vMerge w:val="continue"/>
            <w:vAlign w:val="center"/>
          </w:tcPr>
          <w:p>
            <w:pPr>
              <w:pStyle w:val="32"/>
              <w:spacing w:line="240" w:lineRule="atLeas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69" w:type="dxa"/>
            <w:vAlign w:val="center"/>
          </w:tcPr>
          <w:p>
            <w:pPr>
              <w:pStyle w:val="32"/>
              <w:spacing w:line="240" w:lineRule="atLeast"/>
              <w:jc w:val="center"/>
              <w:rPr>
                <w:rFonts w:ascii="Times New Roman" w:hAnsi="Times New Roman"/>
                <w:szCs w:val="21"/>
              </w:rPr>
            </w:pPr>
            <w:r>
              <w:rPr>
                <w:rFonts w:ascii="Times New Roman" w:hAnsi="Times New Roman"/>
                <w:szCs w:val="21"/>
              </w:rPr>
              <w:t>压铸</w:t>
            </w:r>
          </w:p>
        </w:tc>
        <w:tc>
          <w:tcPr>
            <w:tcW w:w="873" w:type="dxa"/>
            <w:vAlign w:val="center"/>
          </w:tcPr>
          <w:p>
            <w:pPr>
              <w:pStyle w:val="32"/>
              <w:spacing w:line="240" w:lineRule="atLeast"/>
              <w:jc w:val="center"/>
              <w:rPr>
                <w:rFonts w:ascii="Times New Roman" w:hAnsi="Times New Roman"/>
                <w:szCs w:val="21"/>
              </w:rPr>
            </w:pPr>
            <w:r>
              <w:rPr>
                <w:rFonts w:ascii="Times New Roman" w:hAnsi="Times New Roman"/>
                <w:szCs w:val="21"/>
              </w:rPr>
              <w:t>压铸机</w:t>
            </w:r>
          </w:p>
        </w:tc>
        <w:tc>
          <w:tcPr>
            <w:tcW w:w="1171" w:type="dxa"/>
            <w:vAlign w:val="center"/>
          </w:tcPr>
          <w:p>
            <w:pPr>
              <w:pStyle w:val="32"/>
              <w:spacing w:line="240" w:lineRule="atLeast"/>
              <w:jc w:val="center"/>
              <w:rPr>
                <w:rFonts w:ascii="Times New Roman" w:hAnsi="Times New Roman"/>
                <w:szCs w:val="21"/>
              </w:rPr>
            </w:pPr>
            <w:r>
              <w:rPr>
                <w:rFonts w:ascii="Times New Roman" w:hAnsi="Times New Roman"/>
                <w:szCs w:val="21"/>
              </w:rPr>
              <w:t>压铸废气</w:t>
            </w:r>
          </w:p>
        </w:tc>
        <w:tc>
          <w:tcPr>
            <w:tcW w:w="982" w:type="dxa"/>
            <w:vAlign w:val="center"/>
          </w:tcPr>
          <w:p>
            <w:pPr>
              <w:pStyle w:val="32"/>
              <w:spacing w:line="240" w:lineRule="atLeast"/>
              <w:jc w:val="center"/>
              <w:rPr>
                <w:rFonts w:ascii="Times New Roman" w:hAnsi="Times New Roman"/>
                <w:szCs w:val="21"/>
              </w:rPr>
            </w:pPr>
            <w:r>
              <w:rPr>
                <w:rFonts w:ascii="Times New Roman" w:hAnsi="Times New Roman"/>
                <w:szCs w:val="21"/>
              </w:rPr>
              <w:t>非甲烷总烃</w:t>
            </w:r>
          </w:p>
        </w:tc>
        <w:tc>
          <w:tcPr>
            <w:tcW w:w="763" w:type="dxa"/>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eastAsia="等线"/>
                <w:szCs w:val="21"/>
              </w:rPr>
            </w:pPr>
            <w:r>
              <w:rPr>
                <w:rFonts w:ascii="Times New Roman" w:hAnsi="Times New Roman" w:eastAsia="等线"/>
                <w:szCs w:val="21"/>
              </w:rPr>
              <w:t>0.253</w:t>
            </w:r>
          </w:p>
        </w:tc>
        <w:tc>
          <w:tcPr>
            <w:tcW w:w="1229" w:type="dxa"/>
            <w:vAlign w:val="center"/>
          </w:tcPr>
          <w:p>
            <w:pPr>
              <w:pStyle w:val="32"/>
              <w:spacing w:line="240" w:lineRule="atLeast"/>
              <w:jc w:val="center"/>
              <w:rPr>
                <w:rFonts w:ascii="Times New Roman" w:hAnsi="Times New Roman" w:eastAsia="等线"/>
                <w:szCs w:val="21"/>
              </w:rPr>
            </w:pPr>
            <w:r>
              <w:rPr>
                <w:rFonts w:ascii="Times New Roman" w:hAnsi="Times New Roman" w:eastAsia="等线"/>
                <w:szCs w:val="21"/>
              </w:rPr>
              <w:t>42.22</w:t>
            </w:r>
          </w:p>
        </w:tc>
        <w:tc>
          <w:tcPr>
            <w:tcW w:w="975" w:type="dxa"/>
            <w:vAlign w:val="center"/>
          </w:tcPr>
          <w:p>
            <w:pPr>
              <w:pStyle w:val="32"/>
              <w:spacing w:line="240" w:lineRule="atLeast"/>
              <w:jc w:val="center"/>
              <w:rPr>
                <w:rFonts w:ascii="Times New Roman" w:hAnsi="Times New Roman" w:eastAsia="等线"/>
                <w:szCs w:val="21"/>
              </w:rPr>
            </w:pPr>
            <w:r>
              <w:rPr>
                <w:rFonts w:ascii="Times New Roman" w:hAnsi="Times New Roman" w:eastAsia="等线"/>
                <w:szCs w:val="21"/>
              </w:rPr>
              <w:t>0.608</w:t>
            </w:r>
          </w:p>
        </w:tc>
        <w:tc>
          <w:tcPr>
            <w:tcW w:w="787" w:type="dxa"/>
            <w:vAlign w:val="center"/>
          </w:tcPr>
          <w:p>
            <w:pPr>
              <w:pStyle w:val="32"/>
              <w:spacing w:line="240" w:lineRule="atLeast"/>
              <w:jc w:val="center"/>
              <w:rPr>
                <w:rFonts w:ascii="Times New Roman" w:hAnsi="Times New Roman"/>
                <w:szCs w:val="21"/>
              </w:rPr>
            </w:pPr>
            <w:r>
              <w:rPr>
                <w:rFonts w:ascii="Times New Roman" w:hAnsi="Times New Roman"/>
                <w:szCs w:val="21"/>
              </w:rPr>
              <w:t>静电净化设备</w:t>
            </w:r>
          </w:p>
        </w:tc>
        <w:tc>
          <w:tcPr>
            <w:tcW w:w="833" w:type="dxa"/>
            <w:vAlign w:val="center"/>
          </w:tcPr>
          <w:p>
            <w:pPr>
              <w:pStyle w:val="32"/>
              <w:spacing w:line="240" w:lineRule="atLeast"/>
              <w:jc w:val="center"/>
              <w:rPr>
                <w:rFonts w:ascii="Times New Roman" w:hAnsi="Times New Roman"/>
                <w:szCs w:val="21"/>
              </w:rPr>
            </w:pPr>
            <w:r>
              <w:rPr>
                <w:rFonts w:ascii="Times New Roman" w:hAnsi="Times New Roman"/>
                <w:szCs w:val="21"/>
              </w:rPr>
              <w:t>0</w:t>
            </w:r>
          </w:p>
        </w:tc>
        <w:tc>
          <w:tcPr>
            <w:tcW w:w="666" w:type="dxa"/>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eastAsia="等线"/>
                <w:szCs w:val="21"/>
              </w:rPr>
            </w:pPr>
            <w:r>
              <w:rPr>
                <w:rFonts w:ascii="Times New Roman" w:hAnsi="Times New Roman" w:eastAsia="等线"/>
                <w:szCs w:val="21"/>
              </w:rPr>
              <w:t>0.253</w:t>
            </w:r>
          </w:p>
        </w:tc>
        <w:tc>
          <w:tcPr>
            <w:tcW w:w="1229" w:type="dxa"/>
            <w:vAlign w:val="center"/>
          </w:tcPr>
          <w:p>
            <w:pPr>
              <w:pStyle w:val="32"/>
              <w:spacing w:line="240" w:lineRule="atLeast"/>
              <w:jc w:val="center"/>
              <w:rPr>
                <w:rFonts w:ascii="Times New Roman" w:hAnsi="Times New Roman" w:eastAsia="等线"/>
                <w:szCs w:val="21"/>
              </w:rPr>
            </w:pPr>
            <w:r>
              <w:rPr>
                <w:rFonts w:ascii="Times New Roman" w:hAnsi="Times New Roman" w:eastAsia="等线"/>
                <w:szCs w:val="21"/>
              </w:rPr>
              <w:t>42.22</w:t>
            </w:r>
          </w:p>
        </w:tc>
        <w:tc>
          <w:tcPr>
            <w:tcW w:w="888" w:type="dxa"/>
            <w:vAlign w:val="center"/>
          </w:tcPr>
          <w:p>
            <w:pPr>
              <w:pStyle w:val="32"/>
              <w:spacing w:line="240" w:lineRule="atLeast"/>
              <w:jc w:val="center"/>
              <w:rPr>
                <w:rFonts w:ascii="Times New Roman" w:hAnsi="Times New Roman" w:eastAsia="等线"/>
                <w:szCs w:val="21"/>
              </w:rPr>
            </w:pPr>
            <w:r>
              <w:rPr>
                <w:rFonts w:ascii="Times New Roman" w:hAnsi="Times New Roman" w:eastAsia="等线"/>
                <w:szCs w:val="21"/>
              </w:rPr>
              <w:t>0.608</w:t>
            </w:r>
          </w:p>
        </w:tc>
        <w:tc>
          <w:tcPr>
            <w:tcW w:w="769" w:type="dxa"/>
            <w:vAlign w:val="center"/>
          </w:tcPr>
          <w:p>
            <w:pPr>
              <w:pStyle w:val="32"/>
              <w:spacing w:line="240" w:lineRule="atLeast"/>
              <w:jc w:val="center"/>
              <w:rPr>
                <w:rFonts w:ascii="Times New Roman" w:hAnsi="Times New Roman"/>
                <w:szCs w:val="21"/>
              </w:rPr>
            </w:pPr>
            <w:r>
              <w:rPr>
                <w:rFonts w:ascii="Times New Roman" w:hAnsi="Times New Roman"/>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869" w:type="dxa"/>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szCs w:val="21"/>
              </w:rPr>
              <w:t>抛丸</w:t>
            </w:r>
          </w:p>
        </w:tc>
        <w:tc>
          <w:tcPr>
            <w:tcW w:w="873" w:type="dxa"/>
            <w:vAlign w:val="center"/>
          </w:tcPr>
          <w:p>
            <w:pPr>
              <w:pStyle w:val="32"/>
              <w:spacing w:line="240" w:lineRule="atLeast"/>
              <w:jc w:val="center"/>
              <w:rPr>
                <w:rFonts w:ascii="Times New Roman" w:hAnsi="Times New Roman"/>
                <w:szCs w:val="21"/>
              </w:rPr>
            </w:pPr>
            <w:r>
              <w:rPr>
                <w:rFonts w:ascii="Times New Roman" w:hAnsi="Times New Roman"/>
                <w:szCs w:val="21"/>
              </w:rPr>
              <w:t>抛丸机</w:t>
            </w:r>
          </w:p>
        </w:tc>
        <w:tc>
          <w:tcPr>
            <w:tcW w:w="1171" w:type="dxa"/>
            <w:vAlign w:val="center"/>
          </w:tcPr>
          <w:p>
            <w:pPr>
              <w:pStyle w:val="32"/>
              <w:spacing w:line="240" w:lineRule="atLeast"/>
              <w:jc w:val="center"/>
              <w:rPr>
                <w:rFonts w:ascii="Times New Roman" w:hAnsi="Times New Roman"/>
                <w:szCs w:val="21"/>
              </w:rPr>
            </w:pPr>
            <w:r>
              <w:rPr>
                <w:rFonts w:ascii="Times New Roman" w:hAnsi="Times New Roman"/>
                <w:szCs w:val="21"/>
              </w:rPr>
              <w:t>抛丸粉尘</w:t>
            </w:r>
          </w:p>
        </w:tc>
        <w:tc>
          <w:tcPr>
            <w:tcW w:w="982" w:type="dxa"/>
            <w:vAlign w:val="center"/>
          </w:tcPr>
          <w:p>
            <w:pPr>
              <w:pStyle w:val="32"/>
              <w:spacing w:line="240" w:lineRule="atLeast"/>
              <w:jc w:val="center"/>
              <w:rPr>
                <w:rFonts w:ascii="Times New Roman" w:hAnsi="Times New Roman"/>
                <w:szCs w:val="21"/>
              </w:rPr>
            </w:pPr>
            <w:r>
              <w:rPr>
                <w:rFonts w:ascii="Times New Roman" w:hAnsi="Times New Roman"/>
                <w:szCs w:val="21"/>
              </w:rPr>
              <w:t>颗粒物</w:t>
            </w:r>
          </w:p>
        </w:tc>
        <w:tc>
          <w:tcPr>
            <w:tcW w:w="763" w:type="dxa"/>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1.167</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233.33</w:t>
            </w:r>
          </w:p>
        </w:tc>
        <w:tc>
          <w:tcPr>
            <w:tcW w:w="975"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1.05</w:t>
            </w:r>
          </w:p>
        </w:tc>
        <w:tc>
          <w:tcPr>
            <w:tcW w:w="787" w:type="dxa"/>
            <w:vAlign w:val="center"/>
          </w:tcPr>
          <w:p>
            <w:pPr>
              <w:pStyle w:val="32"/>
              <w:spacing w:line="240" w:lineRule="atLeast"/>
              <w:jc w:val="center"/>
              <w:rPr>
                <w:rFonts w:ascii="Times New Roman" w:hAnsi="Times New Roman"/>
                <w:szCs w:val="21"/>
              </w:rPr>
            </w:pPr>
            <w:r>
              <w:rPr>
                <w:rFonts w:ascii="Times New Roman" w:hAnsi="Times New Roman"/>
                <w:szCs w:val="21"/>
              </w:rPr>
              <w:t>自带除尘设施</w:t>
            </w:r>
          </w:p>
        </w:tc>
        <w:tc>
          <w:tcPr>
            <w:tcW w:w="833" w:type="dxa"/>
            <w:vAlign w:val="center"/>
          </w:tcPr>
          <w:p>
            <w:pPr>
              <w:pStyle w:val="32"/>
              <w:spacing w:line="240" w:lineRule="atLeast"/>
              <w:jc w:val="center"/>
              <w:rPr>
                <w:rFonts w:ascii="Times New Roman" w:hAnsi="Times New Roman"/>
                <w:szCs w:val="21"/>
              </w:rPr>
            </w:pPr>
            <w:r>
              <w:rPr>
                <w:rFonts w:ascii="Times New Roman" w:hAnsi="Times New Roman"/>
                <w:szCs w:val="21"/>
              </w:rPr>
              <w:t>95</w:t>
            </w:r>
          </w:p>
        </w:tc>
        <w:tc>
          <w:tcPr>
            <w:tcW w:w="666" w:type="dxa"/>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0.058</w:t>
            </w:r>
          </w:p>
        </w:tc>
        <w:tc>
          <w:tcPr>
            <w:tcW w:w="1229"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11.67</w:t>
            </w:r>
          </w:p>
        </w:tc>
        <w:tc>
          <w:tcPr>
            <w:tcW w:w="888" w:type="dxa"/>
            <w:vAlign w:val="center"/>
          </w:tcPr>
          <w:p>
            <w:pPr>
              <w:pStyle w:val="32"/>
              <w:spacing w:line="240" w:lineRule="atLeast"/>
              <w:jc w:val="center"/>
              <w:rPr>
                <w:rFonts w:ascii="Times New Roman" w:hAnsi="Times New Roman"/>
                <w:szCs w:val="21"/>
              </w:rPr>
            </w:pPr>
            <w:r>
              <w:rPr>
                <w:rFonts w:ascii="Times New Roman" w:hAnsi="Times New Roman" w:eastAsia="等线"/>
                <w:szCs w:val="21"/>
              </w:rPr>
              <w:t>0.053</w:t>
            </w:r>
          </w:p>
        </w:tc>
        <w:tc>
          <w:tcPr>
            <w:tcW w:w="769" w:type="dxa"/>
            <w:vAlign w:val="center"/>
          </w:tcPr>
          <w:p>
            <w:pPr>
              <w:pStyle w:val="32"/>
              <w:spacing w:line="240" w:lineRule="atLeast"/>
              <w:jc w:val="center"/>
              <w:rPr>
                <w:rFonts w:ascii="Times New Roman" w:hAnsi="Times New Roman"/>
                <w:szCs w:val="21"/>
              </w:rPr>
            </w:pPr>
            <w:r>
              <w:rPr>
                <w:rFonts w:ascii="Times New Roman" w:hAnsi="Times New Roman"/>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869" w:type="dxa"/>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打磨</w:t>
            </w:r>
          </w:p>
        </w:tc>
        <w:tc>
          <w:tcPr>
            <w:tcW w:w="873" w:type="dxa"/>
            <w:vAlign w:val="center"/>
          </w:tcPr>
          <w:p>
            <w:pPr>
              <w:pStyle w:val="32"/>
              <w:spacing w:line="240" w:lineRule="atLeast"/>
              <w:jc w:val="center"/>
              <w:rPr>
                <w:rFonts w:ascii="Times New Roman" w:hAnsi="Times New Roman"/>
                <w:szCs w:val="21"/>
              </w:rPr>
            </w:pPr>
            <w:r>
              <w:rPr>
                <w:rFonts w:ascii="Times New Roman" w:hAnsi="Times New Roman"/>
                <w:szCs w:val="21"/>
              </w:rPr>
              <w:t>打磨机</w:t>
            </w:r>
          </w:p>
        </w:tc>
        <w:tc>
          <w:tcPr>
            <w:tcW w:w="1171" w:type="dxa"/>
            <w:vAlign w:val="center"/>
          </w:tcPr>
          <w:p>
            <w:pPr>
              <w:pStyle w:val="32"/>
              <w:spacing w:line="240" w:lineRule="atLeast"/>
              <w:jc w:val="center"/>
              <w:rPr>
                <w:rFonts w:ascii="Times New Roman" w:hAnsi="Times New Roman"/>
                <w:szCs w:val="21"/>
              </w:rPr>
            </w:pPr>
            <w:r>
              <w:rPr>
                <w:rFonts w:ascii="Times New Roman" w:hAnsi="Times New Roman"/>
                <w:szCs w:val="21"/>
              </w:rPr>
              <w:t>打磨粉尘</w:t>
            </w:r>
          </w:p>
        </w:tc>
        <w:tc>
          <w:tcPr>
            <w:tcW w:w="982" w:type="dxa"/>
            <w:vAlign w:val="center"/>
          </w:tcPr>
          <w:p>
            <w:pPr>
              <w:pStyle w:val="32"/>
              <w:spacing w:line="240" w:lineRule="atLeast"/>
              <w:jc w:val="center"/>
              <w:rPr>
                <w:rFonts w:ascii="Times New Roman" w:hAnsi="Times New Roman"/>
                <w:szCs w:val="21"/>
              </w:rPr>
            </w:pPr>
            <w:r>
              <w:rPr>
                <w:rFonts w:ascii="Times New Roman" w:hAnsi="Times New Roman"/>
                <w:szCs w:val="21"/>
              </w:rPr>
              <w:t>颗粒物</w:t>
            </w:r>
          </w:p>
        </w:tc>
        <w:tc>
          <w:tcPr>
            <w:tcW w:w="763" w:type="dxa"/>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eastAsia="等线"/>
                <w:szCs w:val="21"/>
              </w:rPr>
            </w:pPr>
            <w:r>
              <w:rPr>
                <w:rFonts w:hint="eastAsia" w:ascii="Times New Roman" w:hAnsi="Times New Roman"/>
                <w:szCs w:val="21"/>
              </w:rPr>
              <w:t>0</w:t>
            </w:r>
            <w:r>
              <w:rPr>
                <w:rFonts w:ascii="Times New Roman" w:hAnsi="Times New Roman"/>
                <w:szCs w:val="21"/>
              </w:rPr>
              <w:t>.986</w:t>
            </w:r>
          </w:p>
        </w:tc>
        <w:tc>
          <w:tcPr>
            <w:tcW w:w="1229" w:type="dxa"/>
            <w:vAlign w:val="center"/>
          </w:tcPr>
          <w:p>
            <w:pPr>
              <w:pStyle w:val="32"/>
              <w:spacing w:line="240" w:lineRule="atLeast"/>
              <w:jc w:val="center"/>
              <w:rPr>
                <w:rFonts w:ascii="Times New Roman" w:hAnsi="Times New Roman" w:eastAsia="等线"/>
                <w:szCs w:val="21"/>
              </w:rPr>
            </w:pPr>
            <w:r>
              <w:rPr>
                <w:rFonts w:hint="eastAsia" w:ascii="Times New Roman" w:hAnsi="Times New Roman"/>
                <w:szCs w:val="21"/>
              </w:rPr>
              <w:t>2</w:t>
            </w:r>
            <w:r>
              <w:rPr>
                <w:rFonts w:ascii="Times New Roman" w:hAnsi="Times New Roman"/>
                <w:szCs w:val="21"/>
              </w:rPr>
              <w:t>46.4</w:t>
            </w:r>
          </w:p>
        </w:tc>
        <w:tc>
          <w:tcPr>
            <w:tcW w:w="975" w:type="dxa"/>
            <w:vAlign w:val="center"/>
          </w:tcPr>
          <w:p>
            <w:pPr>
              <w:pStyle w:val="32"/>
              <w:spacing w:line="240" w:lineRule="atLeast"/>
              <w:jc w:val="center"/>
              <w:rPr>
                <w:rFonts w:ascii="Times New Roman" w:hAnsi="Times New Roman" w:eastAsia="等线"/>
                <w:szCs w:val="21"/>
              </w:rPr>
            </w:pPr>
            <w:r>
              <w:rPr>
                <w:rFonts w:hint="eastAsia" w:ascii="Times New Roman" w:hAnsi="Times New Roman"/>
                <w:szCs w:val="21"/>
              </w:rPr>
              <w:t>2</w:t>
            </w:r>
            <w:r>
              <w:rPr>
                <w:rFonts w:ascii="Times New Roman" w:hAnsi="Times New Roman"/>
                <w:szCs w:val="21"/>
              </w:rPr>
              <w:t>.365</w:t>
            </w:r>
          </w:p>
        </w:tc>
        <w:tc>
          <w:tcPr>
            <w:tcW w:w="787" w:type="dxa"/>
            <w:vAlign w:val="center"/>
          </w:tcPr>
          <w:p>
            <w:pPr>
              <w:pStyle w:val="32"/>
              <w:spacing w:line="240" w:lineRule="atLeast"/>
              <w:jc w:val="center"/>
              <w:rPr>
                <w:rFonts w:ascii="Times New Roman" w:hAnsi="Times New Roman"/>
                <w:szCs w:val="21"/>
              </w:rPr>
            </w:pPr>
            <w:r>
              <w:rPr>
                <w:rFonts w:ascii="Times New Roman" w:hAnsi="Times New Roman"/>
                <w:szCs w:val="21"/>
              </w:rPr>
              <w:t>自带除尘设施</w:t>
            </w:r>
          </w:p>
        </w:tc>
        <w:tc>
          <w:tcPr>
            <w:tcW w:w="833" w:type="dxa"/>
            <w:vAlign w:val="center"/>
          </w:tcPr>
          <w:p>
            <w:pPr>
              <w:pStyle w:val="32"/>
              <w:spacing w:line="240" w:lineRule="atLeast"/>
              <w:jc w:val="center"/>
              <w:rPr>
                <w:rFonts w:ascii="Times New Roman" w:hAnsi="Times New Roman"/>
                <w:szCs w:val="21"/>
              </w:rPr>
            </w:pPr>
            <w:r>
              <w:rPr>
                <w:rFonts w:ascii="Times New Roman" w:hAnsi="Times New Roman"/>
                <w:szCs w:val="21"/>
              </w:rPr>
              <w:t>95</w:t>
            </w:r>
          </w:p>
        </w:tc>
        <w:tc>
          <w:tcPr>
            <w:tcW w:w="666" w:type="dxa"/>
            <w:vAlign w:val="center"/>
          </w:tcPr>
          <w:p>
            <w:pPr>
              <w:pStyle w:val="32"/>
              <w:spacing w:line="240" w:lineRule="atLeast"/>
              <w:jc w:val="center"/>
              <w:rPr>
                <w:rFonts w:ascii="Times New Roman" w:hAnsi="Times New Roman"/>
                <w:szCs w:val="21"/>
              </w:rPr>
            </w:pPr>
            <w:r>
              <w:rPr>
                <w:rFonts w:ascii="Times New Roman" w:hAnsi="Times New Roman"/>
                <w:szCs w:val="21"/>
              </w:rPr>
              <w:t>产污系数法</w:t>
            </w:r>
          </w:p>
        </w:tc>
        <w:tc>
          <w:tcPr>
            <w:tcW w:w="1061" w:type="dxa"/>
            <w:vAlign w:val="center"/>
          </w:tcPr>
          <w:p>
            <w:pPr>
              <w:pStyle w:val="32"/>
              <w:spacing w:line="240" w:lineRule="atLeast"/>
              <w:jc w:val="center"/>
              <w:rPr>
                <w:rFonts w:ascii="Times New Roman" w:hAnsi="Times New Roman" w:eastAsia="等线"/>
                <w:szCs w:val="21"/>
              </w:rPr>
            </w:pPr>
            <w:r>
              <w:rPr>
                <w:rFonts w:hint="eastAsia" w:ascii="Times New Roman" w:hAnsi="Times New Roman"/>
                <w:szCs w:val="21"/>
              </w:rPr>
              <w:t>0</w:t>
            </w:r>
            <w:r>
              <w:rPr>
                <w:rFonts w:ascii="Times New Roman" w:hAnsi="Times New Roman"/>
                <w:szCs w:val="21"/>
              </w:rPr>
              <w:t>.049</w:t>
            </w:r>
          </w:p>
        </w:tc>
        <w:tc>
          <w:tcPr>
            <w:tcW w:w="1229" w:type="dxa"/>
            <w:vAlign w:val="center"/>
          </w:tcPr>
          <w:p>
            <w:pPr>
              <w:pStyle w:val="32"/>
              <w:spacing w:line="240" w:lineRule="atLeast"/>
              <w:jc w:val="center"/>
              <w:rPr>
                <w:rFonts w:ascii="Times New Roman" w:hAnsi="Times New Roman" w:eastAsia="等线"/>
                <w:szCs w:val="21"/>
              </w:rPr>
            </w:pPr>
            <w:r>
              <w:rPr>
                <w:rFonts w:hint="eastAsia" w:ascii="Times New Roman" w:hAnsi="Times New Roman"/>
                <w:szCs w:val="21"/>
              </w:rPr>
              <w:t>1</w:t>
            </w:r>
            <w:r>
              <w:rPr>
                <w:rFonts w:ascii="Times New Roman" w:hAnsi="Times New Roman"/>
                <w:szCs w:val="21"/>
              </w:rPr>
              <w:t>2.32</w:t>
            </w:r>
          </w:p>
        </w:tc>
        <w:tc>
          <w:tcPr>
            <w:tcW w:w="888" w:type="dxa"/>
            <w:vAlign w:val="center"/>
          </w:tcPr>
          <w:p>
            <w:pPr>
              <w:pStyle w:val="32"/>
              <w:spacing w:line="240" w:lineRule="atLeast"/>
              <w:jc w:val="center"/>
              <w:rPr>
                <w:rFonts w:ascii="Times New Roman" w:hAnsi="Times New Roman" w:eastAsia="等线"/>
                <w:szCs w:val="21"/>
              </w:rPr>
            </w:pPr>
            <w:r>
              <w:rPr>
                <w:rFonts w:hint="eastAsia" w:ascii="Times New Roman" w:hAnsi="Times New Roman"/>
                <w:szCs w:val="21"/>
              </w:rPr>
              <w:t>0</w:t>
            </w:r>
            <w:r>
              <w:rPr>
                <w:rFonts w:ascii="Times New Roman" w:hAnsi="Times New Roman"/>
                <w:szCs w:val="21"/>
              </w:rPr>
              <w:t>.118</w:t>
            </w:r>
          </w:p>
        </w:tc>
        <w:tc>
          <w:tcPr>
            <w:tcW w:w="769" w:type="dxa"/>
            <w:vAlign w:val="center"/>
          </w:tcPr>
          <w:p>
            <w:pPr>
              <w:pStyle w:val="32"/>
              <w:spacing w:line="240" w:lineRule="atLeast"/>
              <w:jc w:val="center"/>
              <w:rPr>
                <w:rFonts w:ascii="Times New Roman" w:hAnsi="Times New Roman"/>
                <w:szCs w:val="21"/>
              </w:rPr>
            </w:pPr>
            <w:r>
              <w:rPr>
                <w:rFonts w:ascii="Times New Roman" w:hAnsi="Times New Roman"/>
                <w:szCs w:val="21"/>
              </w:rPr>
              <w:t>2400</w:t>
            </w:r>
          </w:p>
        </w:tc>
      </w:tr>
      <w:bookmarkEnd w:id="16"/>
    </w:tbl>
    <w:p>
      <w:pPr>
        <w:tabs>
          <w:tab w:val="left" w:pos="1385"/>
          <w:tab w:val="center" w:pos="6979"/>
        </w:tabs>
        <w:jc w:val="left"/>
        <w:rPr>
          <w:rFonts w:ascii="Times New Roman" w:hAnsi="Times New Roman" w:eastAsia="黑体" w:cs="Times New Roman"/>
          <w:sz w:val="30"/>
          <w:szCs w:val="30"/>
        </w:rPr>
      </w:pPr>
    </w:p>
    <w:p>
      <w:pPr>
        <w:tabs>
          <w:tab w:val="left" w:pos="1385"/>
          <w:tab w:val="center" w:pos="6979"/>
        </w:tabs>
        <w:jc w:val="left"/>
        <w:rPr>
          <w:rFonts w:ascii="Times New Roman" w:hAnsi="Times New Roman" w:eastAsia="黑体" w:cs="Times New Roman"/>
          <w:sz w:val="30"/>
          <w:szCs w:val="30"/>
        </w:rPr>
        <w:sectPr>
          <w:pgSz w:w="16838" w:h="11906" w:orient="landscape"/>
          <w:pgMar w:top="1800" w:right="1440" w:bottom="1800" w:left="1440" w:header="851" w:footer="992" w:gutter="0"/>
          <w:pgNumType w:fmt="numberInDash"/>
          <w:cols w:space="425" w:num="1"/>
          <w:docGrid w:type="lines" w:linePitch="312" w:charSpace="0"/>
        </w:sectPr>
      </w:pPr>
      <w:r>
        <w:rPr>
          <w:rFonts w:ascii="Times New Roman" w:hAnsi="Times New Roman" w:eastAsia="黑体" w:cs="Times New Roman"/>
          <w:sz w:val="30"/>
          <w:szCs w:val="30"/>
        </w:rPr>
        <w:tab/>
      </w:r>
    </w:p>
    <w:tbl>
      <w:tblPr>
        <w:tblStyle w:val="18"/>
        <w:tblW w:w="9062" w:type="dxa"/>
        <w:jc w:val="center"/>
        <w:tblInd w:w="0" w:type="dxa"/>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r>
              <w:rPr>
                <w:rFonts w:ascii="Times New Roman" w:hAnsi="Times New Roman" w:eastAsia="宋体" w:cs="Times New Roman"/>
                <w:kern w:val="0"/>
                <w:sz w:val="22"/>
              </w:rPr>
              <w:t>运营期环境影响和保护措施</w:t>
            </w:r>
          </w:p>
        </w:tc>
        <w:tc>
          <w:tcPr>
            <w:tcW w:w="8363" w:type="dxa"/>
            <w:vAlign w:val="center"/>
          </w:tcPr>
          <w:p>
            <w:pPr>
              <w:adjustRightInd w:val="0"/>
              <w:snapToGrid w:val="0"/>
              <w:spacing w:before="156" w:beforeLines="50"/>
              <w:jc w:val="center"/>
              <w:rPr>
                <w:rFonts w:ascii="Times New Roman" w:hAnsi="Times New Roman" w:eastAsia="宋体" w:cs="Times New Roman"/>
                <w:b/>
                <w:sz w:val="24"/>
                <w:szCs w:val="24"/>
              </w:rPr>
            </w:pPr>
            <w:r>
              <w:rPr>
                <w:rFonts w:ascii="Times New Roman" w:hAnsi="Times New Roman" w:eastAsia="宋体" w:cs="Times New Roman"/>
                <w:b/>
                <w:sz w:val="24"/>
                <w:szCs w:val="24"/>
              </w:rPr>
              <w:t>表4.2-8  大气排放口基本情况表</w:t>
            </w:r>
            <w:bookmarkStart w:id="17" w:name="BIAO6"/>
          </w:p>
          <w:tbl>
            <w:tblPr>
              <w:tblStyle w:val="18"/>
              <w:tblW w:w="7994"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343"/>
              <w:gridCol w:w="426"/>
              <w:gridCol w:w="567"/>
              <w:gridCol w:w="567"/>
              <w:gridCol w:w="1275"/>
              <w:gridCol w:w="567"/>
              <w:gridCol w:w="567"/>
              <w:gridCol w:w="567"/>
              <w:gridCol w:w="567"/>
              <w:gridCol w:w="602"/>
              <w:gridCol w:w="391"/>
              <w:gridCol w:w="567"/>
              <w:gridCol w:w="708"/>
              <w:gridCol w:w="28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43" w:hRule="atLeast"/>
                <w:tblHeader/>
                <w:jc w:val="center"/>
              </w:trPr>
              <w:tc>
                <w:tcPr>
                  <w:tcW w:w="34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426"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排放口编号</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排放口名称</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污染物种类</w:t>
                  </w:r>
                </w:p>
              </w:tc>
              <w:tc>
                <w:tcPr>
                  <w:tcW w:w="2409" w:type="dxa"/>
                  <w:gridSpan w:val="3"/>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国家或地方污染物排放标准</w:t>
                  </w:r>
                </w:p>
              </w:tc>
              <w:tc>
                <w:tcPr>
                  <w:tcW w:w="1134"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排放口地理坐标</w:t>
                  </w:r>
                </w:p>
              </w:tc>
              <w:tc>
                <w:tcPr>
                  <w:tcW w:w="60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排放量</w:t>
                  </w:r>
                  <w:r>
                    <w:rPr>
                      <w:rFonts w:ascii="Times New Roman" w:hAnsi="Times New Roman" w:eastAsia="宋体" w:cs="Times New Roman"/>
                      <w:spacing w:val="-20"/>
                      <w:szCs w:val="21"/>
                    </w:rPr>
                    <w:t>（t/a）</w:t>
                  </w:r>
                </w:p>
              </w:tc>
              <w:tc>
                <w:tcPr>
                  <w:tcW w:w="39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排气筒高度m</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排气筒出口内径</w:t>
                  </w:r>
                  <w:r>
                    <w:rPr>
                      <w:rFonts w:ascii="Times New Roman" w:hAnsi="Times New Roman" w:eastAsia="宋体" w:cs="Times New Roman"/>
                      <w:spacing w:val="-20"/>
                      <w:szCs w:val="21"/>
                    </w:rPr>
                    <w:t>（m）</w:t>
                  </w:r>
                </w:p>
              </w:tc>
              <w:tc>
                <w:tcPr>
                  <w:tcW w:w="70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排气</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温度（℃）</w:t>
                  </w:r>
                </w:p>
              </w:tc>
              <w:tc>
                <w:tcPr>
                  <w:tcW w:w="280"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tblHeader/>
                <w:jc w:val="center"/>
              </w:trPr>
              <w:tc>
                <w:tcPr>
                  <w:tcW w:w="343" w:type="dxa"/>
                  <w:vMerge w:val="continue"/>
                  <w:vAlign w:val="center"/>
                </w:tcPr>
                <w:p>
                  <w:pPr>
                    <w:pStyle w:val="33"/>
                    <w:adjustRightInd w:val="0"/>
                    <w:snapToGrid w:val="0"/>
                    <w:jc w:val="center"/>
                    <w:rPr>
                      <w:rFonts w:ascii="Times New Roman" w:hAnsi="Times New Roman"/>
                      <w:szCs w:val="21"/>
                    </w:rPr>
                  </w:pPr>
                </w:p>
              </w:tc>
              <w:tc>
                <w:tcPr>
                  <w:tcW w:w="426" w:type="dxa"/>
                  <w:vMerge w:val="continue"/>
                  <w:vAlign w:val="center"/>
                </w:tcPr>
                <w:p>
                  <w:pPr>
                    <w:pStyle w:val="33"/>
                    <w:adjustRightInd w:val="0"/>
                    <w:snapToGrid w:val="0"/>
                    <w:jc w:val="center"/>
                    <w:rPr>
                      <w:rFonts w:ascii="Times New Roman" w:hAnsi="Times New Roman"/>
                      <w:szCs w:val="21"/>
                    </w:rPr>
                  </w:pPr>
                </w:p>
              </w:tc>
              <w:tc>
                <w:tcPr>
                  <w:tcW w:w="567" w:type="dxa"/>
                  <w:vMerge w:val="continue"/>
                  <w:vAlign w:val="center"/>
                </w:tcPr>
                <w:p>
                  <w:pPr>
                    <w:pStyle w:val="33"/>
                    <w:adjustRightInd w:val="0"/>
                    <w:snapToGrid w:val="0"/>
                    <w:jc w:val="center"/>
                    <w:rPr>
                      <w:rFonts w:ascii="Times New Roman" w:hAnsi="Times New Roman"/>
                      <w:szCs w:val="21"/>
                    </w:rPr>
                  </w:pPr>
                </w:p>
              </w:tc>
              <w:tc>
                <w:tcPr>
                  <w:tcW w:w="567" w:type="dxa"/>
                  <w:vMerge w:val="continue"/>
                  <w:vAlign w:val="center"/>
                </w:tcPr>
                <w:p>
                  <w:pPr>
                    <w:pStyle w:val="33"/>
                    <w:adjustRightInd w:val="0"/>
                    <w:snapToGrid w:val="0"/>
                    <w:jc w:val="center"/>
                    <w:rPr>
                      <w:rFonts w:ascii="Times New Roman" w:hAnsi="Times New Roman"/>
                      <w:szCs w:val="21"/>
                    </w:rPr>
                  </w:pPr>
                </w:p>
              </w:tc>
              <w:tc>
                <w:tcPr>
                  <w:tcW w:w="127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浓度限值</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mg/Nm</w:t>
                  </w:r>
                  <w:r>
                    <w:rPr>
                      <w:rFonts w:ascii="Times New Roman" w:hAnsi="Times New Roman" w:eastAsia="宋体" w:cs="Times New Roman"/>
                      <w:szCs w:val="21"/>
                      <w:vertAlign w:val="superscript"/>
                    </w:rPr>
                    <w:t>3</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速率限值(kg/h)</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经度</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纬度</w:t>
                  </w:r>
                </w:p>
              </w:tc>
              <w:tc>
                <w:tcPr>
                  <w:tcW w:w="602" w:type="dxa"/>
                  <w:vMerge w:val="continue"/>
                  <w:vAlign w:val="center"/>
                </w:tcPr>
                <w:p>
                  <w:pPr>
                    <w:pStyle w:val="33"/>
                    <w:adjustRightInd w:val="0"/>
                    <w:snapToGrid w:val="0"/>
                    <w:jc w:val="center"/>
                    <w:rPr>
                      <w:rFonts w:ascii="Times New Roman" w:hAnsi="Times New Roman"/>
                      <w:szCs w:val="21"/>
                    </w:rPr>
                  </w:pPr>
                </w:p>
              </w:tc>
              <w:tc>
                <w:tcPr>
                  <w:tcW w:w="391" w:type="dxa"/>
                  <w:vMerge w:val="continue"/>
                  <w:vAlign w:val="center"/>
                </w:tcPr>
                <w:p>
                  <w:pPr>
                    <w:pStyle w:val="33"/>
                    <w:adjustRightInd w:val="0"/>
                    <w:snapToGrid w:val="0"/>
                    <w:jc w:val="center"/>
                    <w:rPr>
                      <w:rFonts w:ascii="Times New Roman" w:hAnsi="Times New Roman"/>
                      <w:szCs w:val="21"/>
                    </w:rPr>
                  </w:pPr>
                </w:p>
              </w:tc>
              <w:tc>
                <w:tcPr>
                  <w:tcW w:w="567" w:type="dxa"/>
                  <w:vMerge w:val="continue"/>
                  <w:vAlign w:val="center"/>
                </w:tcPr>
                <w:p>
                  <w:pPr>
                    <w:pStyle w:val="33"/>
                    <w:adjustRightInd w:val="0"/>
                    <w:snapToGrid w:val="0"/>
                    <w:jc w:val="center"/>
                    <w:rPr>
                      <w:rFonts w:ascii="Times New Roman" w:hAnsi="Times New Roman"/>
                      <w:szCs w:val="21"/>
                    </w:rPr>
                  </w:pPr>
                </w:p>
              </w:tc>
              <w:tc>
                <w:tcPr>
                  <w:tcW w:w="708" w:type="dxa"/>
                  <w:vMerge w:val="continue"/>
                  <w:vAlign w:val="center"/>
                </w:tcPr>
                <w:p>
                  <w:pPr>
                    <w:pStyle w:val="33"/>
                    <w:adjustRightInd w:val="0"/>
                    <w:snapToGrid w:val="0"/>
                    <w:jc w:val="center"/>
                    <w:rPr>
                      <w:rFonts w:ascii="Times New Roman" w:hAnsi="Times New Roman"/>
                      <w:szCs w:val="21"/>
                    </w:rPr>
                  </w:pPr>
                </w:p>
              </w:tc>
              <w:tc>
                <w:tcPr>
                  <w:tcW w:w="280" w:type="dxa"/>
                  <w:vMerge w:val="continue"/>
                  <w:vAlign w:val="center"/>
                </w:tcPr>
                <w:p>
                  <w:pPr>
                    <w:pStyle w:val="33"/>
                    <w:adjustRightInd w:val="0"/>
                    <w:snapToGrid w:val="0"/>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7" w:hRule="atLeast"/>
                <w:tblHeader/>
                <w:jc w:val="center"/>
              </w:trPr>
              <w:tc>
                <w:tcPr>
                  <w:tcW w:w="34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426"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DA</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001</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熔炼废气1#排气筒</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275"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《铸造工业大气污染物排放标准》（GB3976-2020）</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30</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106.127819</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29.730378</w:t>
                  </w:r>
                </w:p>
              </w:tc>
              <w:tc>
                <w:tcPr>
                  <w:tcW w:w="602" w:type="dxa"/>
                  <w:vAlign w:val="center"/>
                </w:tcPr>
                <w:p>
                  <w:pPr>
                    <w:widowControl/>
                    <w:jc w:val="center"/>
                    <w:rPr>
                      <w:rFonts w:ascii="Times New Roman" w:hAnsi="Times New Roman" w:eastAsia="等线" w:cs="Times New Roman"/>
                      <w:szCs w:val="21"/>
                    </w:rPr>
                  </w:pPr>
                  <w:r>
                    <w:rPr>
                      <w:rFonts w:hint="eastAsia" w:ascii="Times New Roman" w:hAnsi="Times New Roman" w:eastAsia="等线" w:cs="Times New Roman"/>
                      <w:szCs w:val="21"/>
                    </w:rPr>
                    <w:t>0</w:t>
                  </w:r>
                  <w:r>
                    <w:rPr>
                      <w:rFonts w:ascii="Times New Roman" w:hAnsi="Times New Roman" w:eastAsia="等线" w:cs="Times New Roman"/>
                      <w:szCs w:val="21"/>
                    </w:rPr>
                    <w:t>.047</w:t>
                  </w:r>
                </w:p>
              </w:tc>
              <w:tc>
                <w:tcPr>
                  <w:tcW w:w="39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56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0.5</w:t>
                  </w:r>
                </w:p>
              </w:tc>
              <w:tc>
                <w:tcPr>
                  <w:tcW w:w="708"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50</w:t>
                  </w:r>
                </w:p>
              </w:tc>
              <w:tc>
                <w:tcPr>
                  <w:tcW w:w="280"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7" w:hRule="atLeast"/>
                <w:tblHeader/>
                <w:jc w:val="center"/>
              </w:trPr>
              <w:tc>
                <w:tcPr>
                  <w:tcW w:w="343" w:type="dxa"/>
                  <w:vMerge w:val="continue"/>
                  <w:vAlign w:val="center"/>
                </w:tcPr>
                <w:p>
                  <w:pPr>
                    <w:adjustRightInd w:val="0"/>
                    <w:snapToGrid w:val="0"/>
                    <w:jc w:val="center"/>
                    <w:rPr>
                      <w:rFonts w:ascii="Times New Roman" w:hAnsi="Times New Roman" w:eastAsia="宋体" w:cs="Times New Roman"/>
                      <w:szCs w:val="21"/>
                    </w:rPr>
                  </w:pPr>
                </w:p>
              </w:tc>
              <w:tc>
                <w:tcPr>
                  <w:tcW w:w="426"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1275" w:type="dxa"/>
                  <w:vMerge w:val="continue"/>
                  <w:vAlign w:val="center"/>
                </w:tcPr>
                <w:p>
                  <w:pPr>
                    <w:adjustRightInd w:val="0"/>
                    <w:snapToGrid w:val="0"/>
                    <w:jc w:val="center"/>
                    <w:rPr>
                      <w:rFonts w:ascii="Times New Roman" w:hAnsi="Times New Roman" w:eastAsia="宋体" w:cs="Times New Roman"/>
                      <w:szCs w:val="21"/>
                    </w:rPr>
                  </w:pP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100</w:t>
                  </w: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60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.017</w:t>
                  </w:r>
                </w:p>
              </w:tc>
              <w:tc>
                <w:tcPr>
                  <w:tcW w:w="391"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708" w:type="dxa"/>
                  <w:vMerge w:val="continue"/>
                  <w:vAlign w:val="center"/>
                </w:tcPr>
                <w:p>
                  <w:pPr>
                    <w:adjustRightInd w:val="0"/>
                    <w:snapToGrid w:val="0"/>
                    <w:jc w:val="center"/>
                    <w:rPr>
                      <w:rFonts w:ascii="Times New Roman" w:hAnsi="Times New Roman" w:eastAsia="宋体" w:cs="Times New Roman"/>
                      <w:szCs w:val="21"/>
                    </w:rPr>
                  </w:pPr>
                </w:p>
              </w:tc>
              <w:tc>
                <w:tcPr>
                  <w:tcW w:w="280"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7" w:hRule="atLeast"/>
                <w:tblHeader/>
                <w:jc w:val="center"/>
              </w:trPr>
              <w:tc>
                <w:tcPr>
                  <w:tcW w:w="343" w:type="dxa"/>
                  <w:vMerge w:val="continue"/>
                  <w:vAlign w:val="center"/>
                </w:tcPr>
                <w:p>
                  <w:pPr>
                    <w:adjustRightInd w:val="0"/>
                    <w:snapToGrid w:val="0"/>
                    <w:jc w:val="center"/>
                    <w:rPr>
                      <w:rFonts w:ascii="Times New Roman" w:hAnsi="Times New Roman" w:eastAsia="宋体" w:cs="Times New Roman"/>
                      <w:szCs w:val="21"/>
                    </w:rPr>
                  </w:pPr>
                </w:p>
              </w:tc>
              <w:tc>
                <w:tcPr>
                  <w:tcW w:w="426"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1275" w:type="dxa"/>
                  <w:vMerge w:val="continue"/>
                  <w:vAlign w:val="center"/>
                </w:tcPr>
                <w:p>
                  <w:pPr>
                    <w:adjustRightInd w:val="0"/>
                    <w:snapToGrid w:val="0"/>
                    <w:jc w:val="center"/>
                    <w:rPr>
                      <w:rFonts w:ascii="Times New Roman" w:hAnsi="Times New Roman" w:eastAsia="宋体" w:cs="Times New Roman"/>
                      <w:szCs w:val="21"/>
                    </w:rPr>
                  </w:pP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400</w:t>
                  </w: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60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.163</w:t>
                  </w:r>
                </w:p>
              </w:tc>
              <w:tc>
                <w:tcPr>
                  <w:tcW w:w="391" w:type="dxa"/>
                  <w:vMerge w:val="continue"/>
                  <w:vAlign w:val="center"/>
                </w:tcPr>
                <w:p>
                  <w:pPr>
                    <w:adjustRightInd w:val="0"/>
                    <w:snapToGrid w:val="0"/>
                    <w:jc w:val="center"/>
                    <w:rPr>
                      <w:rFonts w:ascii="Times New Roman" w:hAnsi="Times New Roman" w:eastAsia="宋体" w:cs="Times New Roman"/>
                      <w:szCs w:val="21"/>
                    </w:rPr>
                  </w:pPr>
                </w:p>
              </w:tc>
              <w:tc>
                <w:tcPr>
                  <w:tcW w:w="567" w:type="dxa"/>
                  <w:vMerge w:val="continue"/>
                  <w:vAlign w:val="center"/>
                </w:tcPr>
                <w:p>
                  <w:pPr>
                    <w:adjustRightInd w:val="0"/>
                    <w:snapToGrid w:val="0"/>
                    <w:jc w:val="center"/>
                    <w:rPr>
                      <w:rFonts w:ascii="Times New Roman" w:hAnsi="Times New Roman" w:eastAsia="宋体" w:cs="Times New Roman"/>
                      <w:szCs w:val="21"/>
                    </w:rPr>
                  </w:pPr>
                </w:p>
              </w:tc>
              <w:tc>
                <w:tcPr>
                  <w:tcW w:w="708" w:type="dxa"/>
                  <w:vMerge w:val="continue"/>
                  <w:vAlign w:val="center"/>
                </w:tcPr>
                <w:p>
                  <w:pPr>
                    <w:adjustRightInd w:val="0"/>
                    <w:snapToGrid w:val="0"/>
                    <w:jc w:val="center"/>
                    <w:rPr>
                      <w:rFonts w:ascii="Times New Roman" w:hAnsi="Times New Roman" w:eastAsia="宋体" w:cs="Times New Roman"/>
                      <w:szCs w:val="21"/>
                    </w:rPr>
                  </w:pPr>
                </w:p>
              </w:tc>
              <w:tc>
                <w:tcPr>
                  <w:tcW w:w="280"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tblHeader/>
                <w:jc w:val="center"/>
              </w:trPr>
              <w:tc>
                <w:tcPr>
                  <w:tcW w:w="34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DA</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002</w:t>
                  </w:r>
                </w:p>
              </w:tc>
              <w:tc>
                <w:tcPr>
                  <w:tcW w:w="567" w:type="dxa"/>
                  <w:vAlign w:val="center"/>
                </w:tcPr>
                <w:p>
                  <w:pPr>
                    <w:pStyle w:val="32"/>
                    <w:adjustRightInd w:val="0"/>
                    <w:snapToGrid w:val="0"/>
                    <w:jc w:val="center"/>
                    <w:rPr>
                      <w:rFonts w:ascii="Times New Roman" w:hAnsi="Times New Roman"/>
                      <w:kern w:val="0"/>
                      <w:szCs w:val="21"/>
                    </w:rPr>
                  </w:pPr>
                  <w:r>
                    <w:rPr>
                      <w:rFonts w:hint="eastAsia" w:ascii="Times New Roman" w:hAnsi="Times New Roman"/>
                      <w:kern w:val="0"/>
                      <w:szCs w:val="21"/>
                    </w:rPr>
                    <w:t>压铸废气2#排气筒</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27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bCs/>
                      <w:szCs w:val="21"/>
                    </w:rPr>
                    <w:t>《大气污染物综合排放标准》(DB50/418-2016</w:t>
                  </w:r>
                  <w:r>
                    <w:rPr>
                      <w:rFonts w:hint="eastAsia" w:ascii="Times New Roman" w:hAnsi="Times New Roman" w:eastAsia="宋体" w:cs="Times New Roman"/>
                      <w:bCs/>
                      <w:szCs w:val="21"/>
                    </w:rPr>
                    <w:t>）</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120</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06.127835</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9.730411</w:t>
                  </w:r>
                </w:p>
              </w:tc>
              <w:tc>
                <w:tcPr>
                  <w:tcW w:w="602" w:type="dxa"/>
                  <w:vAlign w:val="center"/>
                </w:tcPr>
                <w:p>
                  <w:pPr>
                    <w:adjustRightInd w:val="0"/>
                    <w:snapToGrid w:val="0"/>
                    <w:jc w:val="center"/>
                    <w:rPr>
                      <w:rFonts w:ascii="Times New Roman" w:hAnsi="Times New Roman" w:eastAsia="等线" w:cs="Times New Roman"/>
                      <w:szCs w:val="21"/>
                    </w:rPr>
                  </w:pPr>
                  <w:r>
                    <w:rPr>
                      <w:rFonts w:hint="eastAsia" w:ascii="Times New Roman" w:hAnsi="Times New Roman" w:eastAsia="等线" w:cs="Times New Roman"/>
                      <w:szCs w:val="21"/>
                    </w:rPr>
                    <w:t>0</w:t>
                  </w:r>
                  <w:r>
                    <w:rPr>
                      <w:rFonts w:ascii="Times New Roman" w:hAnsi="Times New Roman" w:eastAsia="等线" w:cs="Times New Roman"/>
                      <w:szCs w:val="21"/>
                    </w:rPr>
                    <w:t>.608</w:t>
                  </w:r>
                </w:p>
              </w:tc>
              <w:tc>
                <w:tcPr>
                  <w:tcW w:w="39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.5</w:t>
                  </w:r>
                </w:p>
              </w:tc>
              <w:tc>
                <w:tcPr>
                  <w:tcW w:w="70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w:t>
                  </w:r>
                </w:p>
              </w:tc>
              <w:tc>
                <w:tcPr>
                  <w:tcW w:w="2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tblHeader/>
                <w:jc w:val="center"/>
              </w:trPr>
              <w:tc>
                <w:tcPr>
                  <w:tcW w:w="34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4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DA</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003</w:t>
                  </w:r>
                </w:p>
              </w:tc>
              <w:tc>
                <w:tcPr>
                  <w:tcW w:w="567" w:type="dxa"/>
                  <w:vAlign w:val="center"/>
                </w:tcPr>
                <w:p>
                  <w:pPr>
                    <w:pStyle w:val="32"/>
                    <w:adjustRightInd w:val="0"/>
                    <w:snapToGrid w:val="0"/>
                    <w:jc w:val="center"/>
                    <w:rPr>
                      <w:rFonts w:ascii="Times New Roman" w:hAnsi="Times New Roman"/>
                      <w:kern w:val="0"/>
                      <w:szCs w:val="21"/>
                    </w:rPr>
                  </w:pPr>
                  <w:r>
                    <w:rPr>
                      <w:rFonts w:ascii="Times New Roman" w:hAnsi="Times New Roman"/>
                      <w:kern w:val="0"/>
                      <w:szCs w:val="21"/>
                    </w:rPr>
                    <w:t>抛丸粉尘3#排气筒</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275"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《铸造工业大气污染物排放标准》（GB3976-2020）</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30</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106.127951</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29.730512</w:t>
                  </w:r>
                </w:p>
              </w:tc>
              <w:tc>
                <w:tcPr>
                  <w:tcW w:w="60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.053</w:t>
                  </w:r>
                </w:p>
              </w:tc>
              <w:tc>
                <w:tcPr>
                  <w:tcW w:w="39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w:t>
                  </w:r>
                </w:p>
              </w:tc>
              <w:tc>
                <w:tcPr>
                  <w:tcW w:w="56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0.4</w:t>
                  </w:r>
                </w:p>
              </w:tc>
              <w:tc>
                <w:tcPr>
                  <w:tcW w:w="70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常温</w:t>
                  </w:r>
                </w:p>
              </w:tc>
              <w:tc>
                <w:tcPr>
                  <w:tcW w:w="28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tblHeader/>
                <w:jc w:val="center"/>
              </w:trPr>
              <w:tc>
                <w:tcPr>
                  <w:tcW w:w="34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4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DA</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004</w:t>
                  </w:r>
                </w:p>
              </w:tc>
              <w:tc>
                <w:tcPr>
                  <w:tcW w:w="567" w:type="dxa"/>
                  <w:vAlign w:val="center"/>
                </w:tcPr>
                <w:p>
                  <w:pPr>
                    <w:pStyle w:val="32"/>
                    <w:adjustRightInd w:val="0"/>
                    <w:snapToGrid w:val="0"/>
                    <w:jc w:val="center"/>
                    <w:rPr>
                      <w:rFonts w:ascii="Times New Roman" w:hAnsi="Times New Roman"/>
                      <w:kern w:val="0"/>
                      <w:szCs w:val="21"/>
                    </w:rPr>
                  </w:pPr>
                  <w:r>
                    <w:rPr>
                      <w:rFonts w:hint="eastAsia" w:ascii="Times New Roman" w:hAnsi="Times New Roman"/>
                      <w:kern w:val="0"/>
                      <w:szCs w:val="21"/>
                    </w:rPr>
                    <w:t>打磨</w:t>
                  </w:r>
                  <w:r>
                    <w:rPr>
                      <w:rFonts w:ascii="Times New Roman" w:hAnsi="Times New Roman"/>
                      <w:kern w:val="0"/>
                      <w:szCs w:val="21"/>
                    </w:rPr>
                    <w:t>粉尘4#排气筒</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275" w:type="dxa"/>
                  <w:vMerge w:val="continue"/>
                  <w:vAlign w:val="center"/>
                </w:tcPr>
                <w:p>
                  <w:pPr>
                    <w:adjustRightInd w:val="0"/>
                    <w:snapToGrid w:val="0"/>
                    <w:jc w:val="center"/>
                    <w:rPr>
                      <w:rFonts w:ascii="Times New Roman" w:hAnsi="Times New Roman" w:eastAsia="宋体" w:cs="Times New Roman"/>
                      <w:szCs w:val="21"/>
                    </w:rPr>
                  </w:pP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06.127884</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7.730519</w:t>
                  </w:r>
                </w:p>
              </w:tc>
              <w:tc>
                <w:tcPr>
                  <w:tcW w:w="60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.118</w:t>
                  </w:r>
                </w:p>
              </w:tc>
              <w:tc>
                <w:tcPr>
                  <w:tcW w:w="39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c>
                <w:tcPr>
                  <w:tcW w:w="56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.4</w:t>
                  </w:r>
                </w:p>
              </w:tc>
              <w:tc>
                <w:tcPr>
                  <w:tcW w:w="70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常温</w:t>
                  </w:r>
                </w:p>
              </w:tc>
              <w:tc>
                <w:tcPr>
                  <w:tcW w:w="2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一般排放口</w:t>
                  </w:r>
                </w:p>
              </w:tc>
            </w:tr>
            <w:bookmarkEnd w:id="17"/>
          </w:tbl>
          <w:p>
            <w:pPr>
              <w:adjustRightInd w:val="0"/>
              <w:snapToGrid w:val="0"/>
              <w:spacing w:before="156" w:beforeLines="50"/>
              <w:jc w:val="center"/>
              <w:rPr>
                <w:rFonts w:ascii="Times New Roman" w:hAnsi="Times New Roman" w:eastAsia="宋体" w:cs="Times New Roman"/>
                <w:b/>
                <w:sz w:val="24"/>
                <w:szCs w:val="24"/>
              </w:rPr>
            </w:pPr>
            <w:r>
              <w:rPr>
                <w:rFonts w:ascii="Times New Roman" w:hAnsi="Times New Roman" w:eastAsia="宋体" w:cs="Times New Roman"/>
                <w:b/>
                <w:sz w:val="24"/>
                <w:szCs w:val="24"/>
              </w:rPr>
              <w:t>表4.2-9  大气污染物无组织排放表</w:t>
            </w:r>
            <w:bookmarkStart w:id="18" w:name="BIAO10NOGROUPPFK"/>
          </w:p>
          <w:tbl>
            <w:tblPr>
              <w:tblStyle w:val="18"/>
              <w:tblW w:w="7950"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567"/>
              <w:gridCol w:w="928"/>
              <w:gridCol w:w="851"/>
              <w:gridCol w:w="992"/>
              <w:gridCol w:w="1979"/>
              <w:gridCol w:w="1203"/>
              <w:gridCol w:w="709"/>
              <w:gridCol w:w="721"/>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44" w:hRule="atLeast"/>
                <w:tblHeader/>
                <w:jc w:val="center"/>
              </w:trPr>
              <w:tc>
                <w:tcPr>
                  <w:tcW w:w="567" w:type="dxa"/>
                  <w:vMerge w:val="restart"/>
                  <w:vAlign w:val="center"/>
                </w:tcPr>
                <w:p>
                  <w:pPr>
                    <w:pStyle w:val="34"/>
                    <w:adjustRightInd w:val="0"/>
                    <w:snapToGrid w:val="0"/>
                    <w:jc w:val="center"/>
                    <w:rPr>
                      <w:szCs w:val="21"/>
                    </w:rPr>
                  </w:pPr>
                  <w:r>
                    <w:rPr>
                      <w:szCs w:val="21"/>
                    </w:rPr>
                    <w:t>序号</w:t>
                  </w:r>
                </w:p>
              </w:tc>
              <w:tc>
                <w:tcPr>
                  <w:tcW w:w="928" w:type="dxa"/>
                  <w:vMerge w:val="restart"/>
                  <w:vAlign w:val="center"/>
                </w:tcPr>
                <w:p>
                  <w:pPr>
                    <w:pStyle w:val="34"/>
                    <w:adjustRightInd w:val="0"/>
                    <w:snapToGrid w:val="0"/>
                    <w:jc w:val="center"/>
                    <w:rPr>
                      <w:szCs w:val="21"/>
                    </w:rPr>
                  </w:pPr>
                  <w:r>
                    <w:rPr>
                      <w:szCs w:val="21"/>
                    </w:rPr>
                    <w:t>产污环节</w:t>
                  </w:r>
                </w:p>
              </w:tc>
              <w:tc>
                <w:tcPr>
                  <w:tcW w:w="851" w:type="dxa"/>
                  <w:vMerge w:val="restart"/>
                  <w:vAlign w:val="center"/>
                </w:tcPr>
                <w:p>
                  <w:pPr>
                    <w:pStyle w:val="34"/>
                    <w:adjustRightInd w:val="0"/>
                    <w:snapToGrid w:val="0"/>
                    <w:jc w:val="center"/>
                    <w:rPr>
                      <w:szCs w:val="21"/>
                    </w:rPr>
                  </w:pPr>
                  <w:r>
                    <w:rPr>
                      <w:szCs w:val="21"/>
                    </w:rPr>
                    <w:t>污染物种类</w:t>
                  </w:r>
                </w:p>
              </w:tc>
              <w:tc>
                <w:tcPr>
                  <w:tcW w:w="992" w:type="dxa"/>
                  <w:vMerge w:val="restart"/>
                  <w:vAlign w:val="center"/>
                </w:tcPr>
                <w:p>
                  <w:pPr>
                    <w:pStyle w:val="34"/>
                    <w:adjustRightInd w:val="0"/>
                    <w:snapToGrid w:val="0"/>
                    <w:jc w:val="center"/>
                    <w:rPr>
                      <w:szCs w:val="21"/>
                    </w:rPr>
                  </w:pPr>
                  <w:r>
                    <w:rPr>
                      <w:szCs w:val="21"/>
                    </w:rPr>
                    <w:t>主要污染防治措施</w:t>
                  </w:r>
                </w:p>
              </w:tc>
              <w:tc>
                <w:tcPr>
                  <w:tcW w:w="3182" w:type="dxa"/>
                  <w:gridSpan w:val="2"/>
                  <w:vAlign w:val="center"/>
                </w:tcPr>
                <w:p>
                  <w:pPr>
                    <w:pStyle w:val="34"/>
                    <w:adjustRightInd w:val="0"/>
                    <w:snapToGrid w:val="0"/>
                    <w:jc w:val="center"/>
                    <w:rPr>
                      <w:szCs w:val="21"/>
                    </w:rPr>
                  </w:pPr>
                  <w:r>
                    <w:rPr>
                      <w:szCs w:val="21"/>
                    </w:rPr>
                    <w:t>国家或地方污染物排放标准</w:t>
                  </w:r>
                </w:p>
              </w:tc>
              <w:tc>
                <w:tcPr>
                  <w:tcW w:w="709" w:type="dxa"/>
                  <w:vMerge w:val="restart"/>
                  <w:vAlign w:val="center"/>
                </w:tcPr>
                <w:p>
                  <w:pPr>
                    <w:pStyle w:val="34"/>
                    <w:adjustRightInd w:val="0"/>
                    <w:snapToGrid w:val="0"/>
                    <w:jc w:val="center"/>
                    <w:rPr>
                      <w:szCs w:val="21"/>
                    </w:rPr>
                  </w:pPr>
                  <w:r>
                    <w:rPr>
                      <w:szCs w:val="21"/>
                    </w:rPr>
                    <w:t>排放量（t/a）</w:t>
                  </w:r>
                </w:p>
              </w:tc>
              <w:tc>
                <w:tcPr>
                  <w:tcW w:w="721" w:type="dxa"/>
                  <w:vMerge w:val="restart"/>
                  <w:vAlign w:val="center"/>
                </w:tcPr>
                <w:p>
                  <w:pPr>
                    <w:pStyle w:val="34"/>
                    <w:adjustRightInd w:val="0"/>
                    <w:snapToGrid w:val="0"/>
                    <w:jc w:val="center"/>
                    <w:rPr>
                      <w:szCs w:val="21"/>
                    </w:rPr>
                  </w:pPr>
                  <w:r>
                    <w:rPr>
                      <w:szCs w:val="21"/>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121" w:hRule="atLeast"/>
                <w:tblHeader/>
                <w:jc w:val="center"/>
              </w:trPr>
              <w:tc>
                <w:tcPr>
                  <w:tcW w:w="567" w:type="dxa"/>
                  <w:vMerge w:val="continue"/>
                  <w:vAlign w:val="center"/>
                </w:tcPr>
                <w:p>
                  <w:pPr>
                    <w:pStyle w:val="34"/>
                    <w:adjustRightInd w:val="0"/>
                    <w:snapToGrid w:val="0"/>
                    <w:jc w:val="center"/>
                    <w:rPr>
                      <w:szCs w:val="21"/>
                    </w:rPr>
                  </w:pPr>
                </w:p>
              </w:tc>
              <w:tc>
                <w:tcPr>
                  <w:tcW w:w="928" w:type="dxa"/>
                  <w:vMerge w:val="continue"/>
                  <w:vAlign w:val="center"/>
                </w:tcPr>
                <w:p>
                  <w:pPr>
                    <w:pStyle w:val="34"/>
                    <w:adjustRightInd w:val="0"/>
                    <w:snapToGrid w:val="0"/>
                    <w:jc w:val="center"/>
                    <w:rPr>
                      <w:szCs w:val="21"/>
                    </w:rPr>
                  </w:pPr>
                </w:p>
              </w:tc>
              <w:tc>
                <w:tcPr>
                  <w:tcW w:w="851" w:type="dxa"/>
                  <w:vMerge w:val="continue"/>
                  <w:vAlign w:val="center"/>
                </w:tcPr>
                <w:p>
                  <w:pPr>
                    <w:pStyle w:val="34"/>
                    <w:adjustRightInd w:val="0"/>
                    <w:snapToGrid w:val="0"/>
                    <w:jc w:val="center"/>
                    <w:rPr>
                      <w:szCs w:val="21"/>
                    </w:rPr>
                  </w:pPr>
                </w:p>
              </w:tc>
              <w:tc>
                <w:tcPr>
                  <w:tcW w:w="992" w:type="dxa"/>
                  <w:vMerge w:val="continue"/>
                  <w:vAlign w:val="center"/>
                </w:tcPr>
                <w:p>
                  <w:pPr>
                    <w:pStyle w:val="34"/>
                    <w:adjustRightInd w:val="0"/>
                    <w:snapToGrid w:val="0"/>
                    <w:jc w:val="center"/>
                    <w:rPr>
                      <w:szCs w:val="21"/>
                    </w:rPr>
                  </w:pPr>
                </w:p>
              </w:tc>
              <w:tc>
                <w:tcPr>
                  <w:tcW w:w="1979" w:type="dxa"/>
                  <w:vAlign w:val="center"/>
                </w:tcPr>
                <w:p>
                  <w:pPr>
                    <w:pStyle w:val="34"/>
                    <w:adjustRightInd w:val="0"/>
                    <w:snapToGrid w:val="0"/>
                    <w:jc w:val="center"/>
                    <w:rPr>
                      <w:szCs w:val="21"/>
                    </w:rPr>
                  </w:pPr>
                  <w:r>
                    <w:rPr>
                      <w:szCs w:val="21"/>
                    </w:rPr>
                    <w:t>名称</w:t>
                  </w:r>
                </w:p>
              </w:tc>
              <w:tc>
                <w:tcPr>
                  <w:tcW w:w="1203" w:type="dxa"/>
                  <w:vAlign w:val="center"/>
                </w:tcPr>
                <w:p>
                  <w:pPr>
                    <w:pStyle w:val="34"/>
                    <w:adjustRightInd w:val="0"/>
                    <w:snapToGrid w:val="0"/>
                    <w:jc w:val="center"/>
                    <w:rPr>
                      <w:szCs w:val="21"/>
                    </w:rPr>
                  </w:pPr>
                  <w:r>
                    <w:rPr>
                      <w:szCs w:val="21"/>
                    </w:rPr>
                    <w:t>浓度限值</w:t>
                  </w:r>
                </w:p>
                <w:p>
                  <w:pPr>
                    <w:pStyle w:val="34"/>
                    <w:adjustRightInd w:val="0"/>
                    <w:snapToGrid w:val="0"/>
                    <w:jc w:val="center"/>
                    <w:rPr>
                      <w:szCs w:val="21"/>
                    </w:rPr>
                  </w:pPr>
                  <w:r>
                    <w:rPr>
                      <w:szCs w:val="21"/>
                    </w:rPr>
                    <w:t>（mg/</w:t>
                  </w:r>
                  <w:r>
                    <w:rPr>
                      <w:i/>
                      <w:szCs w:val="21"/>
                    </w:rPr>
                    <w:t>N</w:t>
                  </w:r>
                  <w:r>
                    <w:rPr>
                      <w:szCs w:val="21"/>
                    </w:rPr>
                    <w:t>m</w:t>
                  </w:r>
                  <w:r>
                    <w:rPr>
                      <w:szCs w:val="21"/>
                      <w:vertAlign w:val="superscript"/>
                    </w:rPr>
                    <w:t>3</w:t>
                  </w:r>
                  <w:r>
                    <w:rPr>
                      <w:szCs w:val="21"/>
                    </w:rPr>
                    <w:t>）</w:t>
                  </w:r>
                </w:p>
              </w:tc>
              <w:tc>
                <w:tcPr>
                  <w:tcW w:w="709" w:type="dxa"/>
                  <w:vMerge w:val="continue"/>
                  <w:vAlign w:val="center"/>
                </w:tcPr>
                <w:p>
                  <w:pPr>
                    <w:pStyle w:val="34"/>
                    <w:adjustRightInd w:val="0"/>
                    <w:snapToGrid w:val="0"/>
                    <w:jc w:val="center"/>
                    <w:rPr>
                      <w:szCs w:val="21"/>
                    </w:rPr>
                  </w:pPr>
                </w:p>
              </w:tc>
              <w:tc>
                <w:tcPr>
                  <w:tcW w:w="721" w:type="dxa"/>
                  <w:vMerge w:val="continue"/>
                  <w:vAlign w:val="center"/>
                </w:tcPr>
                <w:p>
                  <w:pPr>
                    <w:pStyle w:val="34"/>
                    <w:adjustRightInd w:val="0"/>
                    <w:snapToGrid w:val="0"/>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286" w:hRule="atLeast"/>
                <w:tblHeader/>
                <w:jc w:val="center"/>
              </w:trPr>
              <w:tc>
                <w:tcPr>
                  <w:tcW w:w="567" w:type="dxa"/>
                  <w:vAlign w:val="center"/>
                </w:tcPr>
                <w:p>
                  <w:pPr>
                    <w:pStyle w:val="34"/>
                    <w:adjustRightInd w:val="0"/>
                    <w:snapToGrid w:val="0"/>
                    <w:jc w:val="center"/>
                    <w:rPr>
                      <w:szCs w:val="21"/>
                    </w:rPr>
                  </w:pPr>
                  <w:r>
                    <w:rPr>
                      <w:szCs w:val="21"/>
                    </w:rPr>
                    <w:t>1</w:t>
                  </w:r>
                </w:p>
              </w:tc>
              <w:tc>
                <w:tcPr>
                  <w:tcW w:w="928" w:type="dxa"/>
                  <w:vAlign w:val="center"/>
                </w:tcPr>
                <w:p>
                  <w:pPr>
                    <w:pStyle w:val="34"/>
                    <w:adjustRightInd w:val="0"/>
                    <w:snapToGrid w:val="0"/>
                    <w:jc w:val="center"/>
                    <w:rPr>
                      <w:szCs w:val="21"/>
                    </w:rPr>
                  </w:pPr>
                  <w:r>
                    <w:rPr>
                      <w:kern w:val="0"/>
                      <w:szCs w:val="21"/>
                    </w:rPr>
                    <w:t>熔炼废气</w:t>
                  </w:r>
                </w:p>
              </w:tc>
              <w:tc>
                <w:tcPr>
                  <w:tcW w:w="851" w:type="dxa"/>
                  <w:vAlign w:val="center"/>
                </w:tcPr>
                <w:p>
                  <w:pPr>
                    <w:pStyle w:val="34"/>
                    <w:adjustRightInd w:val="0"/>
                    <w:snapToGrid w:val="0"/>
                    <w:jc w:val="center"/>
                    <w:rPr>
                      <w:szCs w:val="21"/>
                    </w:rPr>
                  </w:pPr>
                  <w:r>
                    <w:rPr>
                      <w:szCs w:val="21"/>
                    </w:rPr>
                    <w:t>颗粒物</w:t>
                  </w:r>
                </w:p>
              </w:tc>
              <w:tc>
                <w:tcPr>
                  <w:tcW w:w="992" w:type="dxa"/>
                  <w:vAlign w:val="center"/>
                </w:tcPr>
                <w:p>
                  <w:pPr>
                    <w:pStyle w:val="34"/>
                    <w:adjustRightInd w:val="0"/>
                    <w:snapToGrid w:val="0"/>
                    <w:jc w:val="center"/>
                    <w:rPr>
                      <w:szCs w:val="21"/>
                    </w:rPr>
                  </w:pPr>
                  <w:r>
                    <w:rPr>
                      <w:szCs w:val="21"/>
                    </w:rPr>
                    <w:t>布袋除尘</w:t>
                  </w:r>
                </w:p>
              </w:tc>
              <w:tc>
                <w:tcPr>
                  <w:tcW w:w="1979" w:type="dxa"/>
                  <w:vAlign w:val="center"/>
                </w:tcPr>
                <w:p>
                  <w:pPr>
                    <w:pStyle w:val="34"/>
                    <w:adjustRightInd w:val="0"/>
                    <w:snapToGrid w:val="0"/>
                    <w:jc w:val="center"/>
                    <w:rPr>
                      <w:szCs w:val="21"/>
                    </w:rPr>
                  </w:pPr>
                  <w:r>
                    <w:rPr>
                      <w:szCs w:val="21"/>
                    </w:rPr>
                    <w:t>《铸造工业大气污染物排放标准》（GB3976-2020）</w:t>
                  </w:r>
                </w:p>
              </w:tc>
              <w:tc>
                <w:tcPr>
                  <w:tcW w:w="1203" w:type="dxa"/>
                  <w:vAlign w:val="center"/>
                </w:tcPr>
                <w:p>
                  <w:pPr>
                    <w:pStyle w:val="34"/>
                    <w:adjustRightInd w:val="0"/>
                    <w:snapToGrid w:val="0"/>
                    <w:jc w:val="center"/>
                    <w:rPr>
                      <w:szCs w:val="21"/>
                    </w:rPr>
                  </w:pPr>
                  <w:r>
                    <w:rPr>
                      <w:szCs w:val="21"/>
                    </w:rPr>
                    <w:t>5</w:t>
                  </w:r>
                </w:p>
              </w:tc>
              <w:tc>
                <w:tcPr>
                  <w:tcW w:w="709" w:type="dxa"/>
                  <w:vAlign w:val="center"/>
                </w:tcPr>
                <w:p>
                  <w:pPr>
                    <w:widowControl/>
                    <w:jc w:val="center"/>
                    <w:rPr>
                      <w:rFonts w:ascii="Times New Roman" w:hAnsi="Times New Roman" w:eastAsia="等线" w:cs="Times New Roman"/>
                      <w:szCs w:val="21"/>
                    </w:rPr>
                  </w:pPr>
                  <w:r>
                    <w:rPr>
                      <w:rFonts w:hint="eastAsia" w:ascii="Times New Roman" w:hAnsi="Times New Roman" w:eastAsia="等线" w:cs="Times New Roman"/>
                      <w:szCs w:val="21"/>
                    </w:rPr>
                    <w:t>0.226</w:t>
                  </w:r>
                </w:p>
              </w:tc>
              <w:tc>
                <w:tcPr>
                  <w:tcW w:w="721" w:type="dxa"/>
                  <w:vAlign w:val="center"/>
                </w:tcPr>
                <w:p>
                  <w:pPr>
                    <w:pStyle w:val="34"/>
                    <w:adjustRightInd w:val="0"/>
                    <w:snapToGrid w:val="0"/>
                    <w:jc w:val="center"/>
                    <w:rPr>
                      <w:szCs w:val="21"/>
                    </w:rPr>
                  </w:pP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9" w:hRule="atLeast"/>
                <w:tblHeader/>
                <w:jc w:val="center"/>
              </w:trPr>
              <w:tc>
                <w:tcPr>
                  <w:tcW w:w="567" w:type="dxa"/>
                  <w:vAlign w:val="center"/>
                </w:tcPr>
                <w:p>
                  <w:pPr>
                    <w:pStyle w:val="34"/>
                    <w:adjustRightInd w:val="0"/>
                    <w:snapToGrid w:val="0"/>
                    <w:jc w:val="center"/>
                    <w:rPr>
                      <w:szCs w:val="21"/>
                    </w:rPr>
                  </w:pPr>
                  <w:r>
                    <w:rPr>
                      <w:szCs w:val="21"/>
                    </w:rPr>
                    <w:t>2</w:t>
                  </w:r>
                </w:p>
              </w:tc>
              <w:tc>
                <w:tcPr>
                  <w:tcW w:w="928" w:type="dxa"/>
                  <w:vAlign w:val="center"/>
                </w:tcPr>
                <w:p>
                  <w:pPr>
                    <w:pStyle w:val="34"/>
                    <w:adjustRightInd w:val="0"/>
                    <w:snapToGrid w:val="0"/>
                    <w:jc w:val="center"/>
                    <w:rPr>
                      <w:szCs w:val="21"/>
                    </w:rPr>
                  </w:pPr>
                  <w:r>
                    <w:rPr>
                      <w:kern w:val="0"/>
                      <w:szCs w:val="21"/>
                    </w:rPr>
                    <w:t>压铸废气</w:t>
                  </w:r>
                </w:p>
              </w:tc>
              <w:tc>
                <w:tcPr>
                  <w:tcW w:w="85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992" w:type="dxa"/>
                  <w:vAlign w:val="center"/>
                </w:tcPr>
                <w:p>
                  <w:pPr>
                    <w:pStyle w:val="34"/>
                    <w:adjustRightInd w:val="0"/>
                    <w:snapToGrid w:val="0"/>
                    <w:jc w:val="center"/>
                    <w:rPr>
                      <w:szCs w:val="21"/>
                    </w:rPr>
                  </w:pPr>
                  <w:r>
                    <w:rPr>
                      <w:rFonts w:hint="eastAsia"/>
                      <w:szCs w:val="21"/>
                    </w:rPr>
                    <w:t>/</w:t>
                  </w:r>
                </w:p>
              </w:tc>
              <w:tc>
                <w:tcPr>
                  <w:tcW w:w="1979" w:type="dxa"/>
                  <w:vAlign w:val="center"/>
                </w:tcPr>
                <w:p>
                  <w:pPr>
                    <w:pStyle w:val="34"/>
                    <w:adjustRightInd w:val="0"/>
                    <w:snapToGrid w:val="0"/>
                    <w:jc w:val="center"/>
                    <w:rPr>
                      <w:bCs/>
                      <w:szCs w:val="21"/>
                    </w:rPr>
                  </w:pPr>
                  <w:r>
                    <w:rPr>
                      <w:bCs/>
                      <w:szCs w:val="21"/>
                    </w:rPr>
                    <w:t>《大气污染物综合排放标准》(DB50/418-2016)</w:t>
                  </w:r>
                </w:p>
              </w:tc>
              <w:tc>
                <w:tcPr>
                  <w:tcW w:w="1203" w:type="dxa"/>
                  <w:vAlign w:val="center"/>
                </w:tcPr>
                <w:p>
                  <w:pPr>
                    <w:pStyle w:val="34"/>
                    <w:adjustRightInd w:val="0"/>
                    <w:snapToGrid w:val="0"/>
                    <w:jc w:val="center"/>
                    <w:rPr>
                      <w:szCs w:val="21"/>
                    </w:rPr>
                  </w:pPr>
                  <w:r>
                    <w:rPr>
                      <w:szCs w:val="21"/>
                    </w:rPr>
                    <w:t>4</w:t>
                  </w:r>
                </w:p>
              </w:tc>
              <w:tc>
                <w:tcPr>
                  <w:tcW w:w="709" w:type="dxa"/>
                  <w:vAlign w:val="center"/>
                </w:tcPr>
                <w:p>
                  <w:pPr>
                    <w:pStyle w:val="34"/>
                    <w:adjustRightInd w:val="0"/>
                    <w:snapToGrid w:val="0"/>
                    <w:jc w:val="center"/>
                    <w:rPr>
                      <w:rFonts w:eastAsia="等线"/>
                      <w:spacing w:val="-20"/>
                      <w:szCs w:val="21"/>
                    </w:rPr>
                  </w:pPr>
                  <w:r>
                    <w:rPr>
                      <w:rFonts w:hint="eastAsia" w:eastAsia="等线"/>
                      <w:spacing w:val="-20"/>
                      <w:szCs w:val="21"/>
                    </w:rPr>
                    <w:t>0</w:t>
                  </w:r>
                  <w:r>
                    <w:rPr>
                      <w:rFonts w:eastAsia="等线"/>
                      <w:spacing w:val="-20"/>
                      <w:szCs w:val="21"/>
                    </w:rPr>
                    <w:t>.152</w:t>
                  </w:r>
                </w:p>
              </w:tc>
              <w:tc>
                <w:tcPr>
                  <w:tcW w:w="721" w:type="dxa"/>
                  <w:vAlign w:val="center"/>
                </w:tcPr>
                <w:p>
                  <w:pPr>
                    <w:pStyle w:val="34"/>
                    <w:adjustRightInd w:val="0"/>
                    <w:snapToGrid w:val="0"/>
                    <w:jc w:val="center"/>
                    <w:rPr>
                      <w:szCs w:val="21"/>
                    </w:rPr>
                  </w:pP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9" w:hRule="atLeast"/>
                <w:tblHeader/>
                <w:jc w:val="center"/>
              </w:trPr>
              <w:tc>
                <w:tcPr>
                  <w:tcW w:w="567" w:type="dxa"/>
                  <w:vAlign w:val="center"/>
                </w:tcPr>
                <w:p>
                  <w:pPr>
                    <w:pStyle w:val="34"/>
                    <w:adjustRightInd w:val="0"/>
                    <w:snapToGrid w:val="0"/>
                    <w:jc w:val="center"/>
                    <w:rPr>
                      <w:szCs w:val="21"/>
                    </w:rPr>
                  </w:pPr>
                  <w:r>
                    <w:rPr>
                      <w:rFonts w:hint="eastAsia"/>
                      <w:szCs w:val="21"/>
                    </w:rPr>
                    <w:t>3</w:t>
                  </w:r>
                </w:p>
              </w:tc>
              <w:tc>
                <w:tcPr>
                  <w:tcW w:w="928" w:type="dxa"/>
                  <w:vAlign w:val="center"/>
                </w:tcPr>
                <w:p>
                  <w:pPr>
                    <w:pStyle w:val="34"/>
                    <w:adjustRightInd w:val="0"/>
                    <w:snapToGrid w:val="0"/>
                    <w:jc w:val="center"/>
                    <w:rPr>
                      <w:kern w:val="0"/>
                      <w:szCs w:val="21"/>
                    </w:rPr>
                  </w:pPr>
                  <w:r>
                    <w:rPr>
                      <w:rFonts w:hint="eastAsia"/>
                      <w:kern w:val="0"/>
                      <w:szCs w:val="21"/>
                    </w:rPr>
                    <w:t>打磨废气</w:t>
                  </w:r>
                </w:p>
              </w:tc>
              <w:tc>
                <w:tcPr>
                  <w:tcW w:w="85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992" w:type="dxa"/>
                  <w:vAlign w:val="center"/>
                </w:tcPr>
                <w:p>
                  <w:pPr>
                    <w:pStyle w:val="34"/>
                    <w:adjustRightInd w:val="0"/>
                    <w:snapToGrid w:val="0"/>
                    <w:jc w:val="center"/>
                    <w:rPr>
                      <w:szCs w:val="21"/>
                    </w:rPr>
                  </w:pPr>
                  <w:r>
                    <w:rPr>
                      <w:rFonts w:hint="eastAsia"/>
                      <w:szCs w:val="21"/>
                    </w:rPr>
                    <w:t>袋式除尘</w:t>
                  </w:r>
                </w:p>
              </w:tc>
              <w:tc>
                <w:tcPr>
                  <w:tcW w:w="1979" w:type="dxa"/>
                  <w:vAlign w:val="center"/>
                </w:tcPr>
                <w:p>
                  <w:pPr>
                    <w:pStyle w:val="34"/>
                    <w:adjustRightInd w:val="0"/>
                    <w:snapToGrid w:val="0"/>
                    <w:jc w:val="center"/>
                    <w:rPr>
                      <w:bCs/>
                      <w:szCs w:val="21"/>
                    </w:rPr>
                  </w:pPr>
                  <w:r>
                    <w:rPr>
                      <w:bCs/>
                      <w:szCs w:val="21"/>
                    </w:rPr>
                    <w:t>《铸造工业大气污染物排放标准》（GB3976-2020）</w:t>
                  </w:r>
                </w:p>
              </w:tc>
              <w:tc>
                <w:tcPr>
                  <w:tcW w:w="1203" w:type="dxa"/>
                  <w:vAlign w:val="center"/>
                </w:tcPr>
                <w:p>
                  <w:pPr>
                    <w:pStyle w:val="34"/>
                    <w:adjustRightInd w:val="0"/>
                    <w:snapToGrid w:val="0"/>
                    <w:jc w:val="center"/>
                    <w:rPr>
                      <w:szCs w:val="21"/>
                    </w:rPr>
                  </w:pPr>
                  <w:r>
                    <w:rPr>
                      <w:rFonts w:hint="eastAsia"/>
                      <w:szCs w:val="21"/>
                    </w:rPr>
                    <w:t>5</w:t>
                  </w:r>
                </w:p>
              </w:tc>
              <w:tc>
                <w:tcPr>
                  <w:tcW w:w="709" w:type="dxa"/>
                  <w:vAlign w:val="center"/>
                </w:tcPr>
                <w:p>
                  <w:pPr>
                    <w:pStyle w:val="34"/>
                    <w:adjustRightInd w:val="0"/>
                    <w:snapToGrid w:val="0"/>
                    <w:jc w:val="center"/>
                    <w:rPr>
                      <w:rFonts w:eastAsia="等线"/>
                      <w:spacing w:val="-20"/>
                      <w:szCs w:val="21"/>
                    </w:rPr>
                  </w:pPr>
                  <w:r>
                    <w:rPr>
                      <w:rFonts w:eastAsia="等线"/>
                      <w:spacing w:val="-20"/>
                      <w:szCs w:val="21"/>
                    </w:rPr>
                    <w:t>0.263</w:t>
                  </w:r>
                </w:p>
              </w:tc>
              <w:tc>
                <w:tcPr>
                  <w:tcW w:w="721" w:type="dxa"/>
                  <w:vAlign w:val="center"/>
                </w:tcPr>
                <w:p>
                  <w:pPr>
                    <w:pStyle w:val="34"/>
                    <w:adjustRightInd w:val="0"/>
                    <w:snapToGrid w:val="0"/>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05" w:hRule="atLeast"/>
                <w:jc w:val="center"/>
              </w:trPr>
              <w:tc>
                <w:tcPr>
                  <w:tcW w:w="7950" w:type="dxa"/>
                  <w:gridSpan w:val="8"/>
                  <w:vAlign w:val="center"/>
                </w:tcPr>
                <w:p>
                  <w:pPr>
                    <w:pStyle w:val="34"/>
                    <w:adjustRightInd w:val="0"/>
                    <w:snapToGrid w:val="0"/>
                    <w:jc w:val="center"/>
                    <w:rPr>
                      <w:szCs w:val="21"/>
                    </w:rPr>
                  </w:pPr>
                  <w:r>
                    <w:rPr>
                      <w:szCs w:val="21"/>
                    </w:rPr>
                    <w:t>全厂无组织排放总计</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05" w:hRule="atLeast"/>
                <w:jc w:val="center"/>
              </w:trPr>
              <w:tc>
                <w:tcPr>
                  <w:tcW w:w="1495" w:type="dxa"/>
                  <w:gridSpan w:val="2"/>
                  <w:vMerge w:val="restart"/>
                  <w:vAlign w:val="center"/>
                </w:tcPr>
                <w:p>
                  <w:pPr>
                    <w:pStyle w:val="34"/>
                    <w:adjustRightInd w:val="0"/>
                    <w:snapToGrid w:val="0"/>
                    <w:jc w:val="center"/>
                    <w:rPr>
                      <w:szCs w:val="21"/>
                    </w:rPr>
                  </w:pPr>
                  <w:r>
                    <w:rPr>
                      <w:szCs w:val="21"/>
                    </w:rPr>
                    <w:t>全厂无组织排放总计</w:t>
                  </w:r>
                </w:p>
              </w:tc>
              <w:tc>
                <w:tcPr>
                  <w:tcW w:w="5025" w:type="dxa"/>
                  <w:gridSpan w:val="4"/>
                  <w:vAlign w:val="center"/>
                </w:tcPr>
                <w:p>
                  <w:pPr>
                    <w:pStyle w:val="34"/>
                    <w:adjustRightInd w:val="0"/>
                    <w:snapToGrid w:val="0"/>
                    <w:jc w:val="center"/>
                    <w:rPr>
                      <w:szCs w:val="21"/>
                    </w:rPr>
                  </w:pPr>
                  <w:r>
                    <w:rPr>
                      <w:szCs w:val="21"/>
                    </w:rPr>
                    <w:t>非甲烷总烃</w:t>
                  </w:r>
                </w:p>
              </w:tc>
              <w:tc>
                <w:tcPr>
                  <w:tcW w:w="709" w:type="dxa"/>
                  <w:vAlign w:val="center"/>
                </w:tcPr>
                <w:p>
                  <w:pPr>
                    <w:pStyle w:val="34"/>
                    <w:adjustRightInd w:val="0"/>
                    <w:snapToGrid w:val="0"/>
                    <w:jc w:val="center"/>
                    <w:rPr>
                      <w:bCs/>
                      <w:szCs w:val="21"/>
                    </w:rPr>
                  </w:pPr>
                  <w:r>
                    <w:rPr>
                      <w:rFonts w:hint="eastAsia"/>
                      <w:bCs/>
                      <w:szCs w:val="21"/>
                    </w:rPr>
                    <w:t>0</w:t>
                  </w:r>
                  <w:r>
                    <w:rPr>
                      <w:bCs/>
                      <w:szCs w:val="21"/>
                    </w:rPr>
                    <w:t>.152</w:t>
                  </w:r>
                </w:p>
              </w:tc>
              <w:tc>
                <w:tcPr>
                  <w:tcW w:w="721" w:type="dxa"/>
                  <w:vAlign w:val="center"/>
                </w:tcPr>
                <w:p>
                  <w:pPr>
                    <w:pStyle w:val="34"/>
                    <w:adjustRightInd w:val="0"/>
                    <w:snapToGrid w:val="0"/>
                    <w:jc w:val="center"/>
                    <w:rPr>
                      <w:szCs w:val="21"/>
                    </w:rPr>
                  </w:pP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05" w:hRule="atLeast"/>
                <w:jc w:val="center"/>
              </w:trPr>
              <w:tc>
                <w:tcPr>
                  <w:tcW w:w="1495" w:type="dxa"/>
                  <w:gridSpan w:val="2"/>
                  <w:vMerge w:val="continue"/>
                  <w:vAlign w:val="center"/>
                </w:tcPr>
                <w:p>
                  <w:pPr>
                    <w:pStyle w:val="34"/>
                    <w:adjustRightInd w:val="0"/>
                    <w:snapToGrid w:val="0"/>
                    <w:jc w:val="center"/>
                    <w:rPr>
                      <w:szCs w:val="21"/>
                    </w:rPr>
                  </w:pPr>
                </w:p>
              </w:tc>
              <w:tc>
                <w:tcPr>
                  <w:tcW w:w="5025" w:type="dxa"/>
                  <w:gridSpan w:val="4"/>
                  <w:vAlign w:val="center"/>
                </w:tcPr>
                <w:p>
                  <w:pPr>
                    <w:pStyle w:val="34"/>
                    <w:adjustRightInd w:val="0"/>
                    <w:snapToGrid w:val="0"/>
                    <w:jc w:val="center"/>
                    <w:rPr>
                      <w:szCs w:val="21"/>
                    </w:rPr>
                  </w:pPr>
                  <w:r>
                    <w:rPr>
                      <w:szCs w:val="21"/>
                    </w:rPr>
                    <w:t>颗粒物</w:t>
                  </w:r>
                </w:p>
              </w:tc>
              <w:tc>
                <w:tcPr>
                  <w:tcW w:w="709" w:type="dxa"/>
                  <w:vAlign w:val="center"/>
                </w:tcPr>
                <w:p>
                  <w:pPr>
                    <w:pStyle w:val="34"/>
                    <w:adjustRightInd w:val="0"/>
                    <w:snapToGrid w:val="0"/>
                    <w:jc w:val="center"/>
                    <w:rPr>
                      <w:bCs/>
                      <w:szCs w:val="21"/>
                    </w:rPr>
                  </w:pPr>
                  <w:r>
                    <w:rPr>
                      <w:rFonts w:eastAsia="等线"/>
                      <w:szCs w:val="21"/>
                    </w:rPr>
                    <w:t>0.489</w:t>
                  </w:r>
                </w:p>
              </w:tc>
              <w:tc>
                <w:tcPr>
                  <w:tcW w:w="721" w:type="dxa"/>
                  <w:vAlign w:val="center"/>
                </w:tcPr>
                <w:p>
                  <w:pPr>
                    <w:pStyle w:val="34"/>
                    <w:adjustRightInd w:val="0"/>
                    <w:snapToGrid w:val="0"/>
                    <w:jc w:val="center"/>
                    <w:rPr>
                      <w:szCs w:val="21"/>
                    </w:rPr>
                  </w:pPr>
                  <w:r>
                    <w:rPr>
                      <w:szCs w:val="21"/>
                    </w:rPr>
                    <w:t>/</w:t>
                  </w:r>
                </w:p>
              </w:tc>
            </w:tr>
            <w:bookmarkEnd w:id="18"/>
          </w:tbl>
          <w:p>
            <w:pPr>
              <w:autoSpaceDE w:val="0"/>
              <w:autoSpaceDN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4.2.2 非正常工况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营运期发生非正常排放的情况主要为废气处理设施无法运行，主要为布袋除尘器全部损坏，无法正常运行，导致</w:t>
            </w:r>
            <w:r>
              <w:rPr>
                <w:rFonts w:ascii="Times New Roman" w:hAnsi="Times New Roman" w:eastAsia="宋体" w:cs="Times New Roman"/>
                <w:kern w:val="0"/>
                <w:sz w:val="24"/>
                <w:szCs w:val="24"/>
              </w:rPr>
              <w:t>熔炼废气、抛丸粉尘</w:t>
            </w:r>
            <w:r>
              <w:rPr>
                <w:rFonts w:ascii="Times New Roman" w:hAnsi="Times New Roman" w:eastAsia="宋体" w:cs="Times New Roman"/>
                <w:sz w:val="24"/>
                <w:szCs w:val="24"/>
              </w:rPr>
              <w:t>未经有效处理后排放。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废气非正常排放的源强按照最不利情况（考虑废气处理设施瘫痪，处理效率为零的情况）进行分析，非正常排放源强详见下表。</w:t>
            </w:r>
          </w:p>
          <w:p>
            <w:pPr>
              <w:pStyle w:val="10"/>
              <w:spacing w:line="360" w:lineRule="auto"/>
              <w:jc w:val="center"/>
              <w:rPr>
                <w:rFonts w:ascii="Times New Roman" w:hAnsi="Times New Roman"/>
                <w:b/>
                <w:bCs/>
                <w:sz w:val="24"/>
                <w:szCs w:val="24"/>
              </w:rPr>
            </w:pPr>
            <w:r>
              <w:rPr>
                <w:rFonts w:ascii="Times New Roman" w:hAnsi="Times New Roman"/>
                <w:b/>
                <w:bCs/>
                <w:sz w:val="24"/>
                <w:szCs w:val="24"/>
              </w:rPr>
              <w:t>表4.2-10  废气非正常工况排放源强</w:t>
            </w:r>
          </w:p>
          <w:tbl>
            <w:tblPr>
              <w:tblStyle w:val="18"/>
              <w:tblW w:w="78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275"/>
              <w:gridCol w:w="1371"/>
              <w:gridCol w:w="1138"/>
              <w:gridCol w:w="1645"/>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595" w:type="dxa"/>
                  <w:vMerge w:val="restart"/>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序号</w:t>
                  </w:r>
                </w:p>
              </w:tc>
              <w:tc>
                <w:tcPr>
                  <w:tcW w:w="1275" w:type="dxa"/>
                  <w:vMerge w:val="restart"/>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污染物</w:t>
                  </w:r>
                </w:p>
              </w:tc>
              <w:tc>
                <w:tcPr>
                  <w:tcW w:w="1371" w:type="dxa"/>
                  <w:vMerge w:val="restart"/>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污染因子</w:t>
                  </w:r>
                </w:p>
              </w:tc>
              <w:tc>
                <w:tcPr>
                  <w:tcW w:w="1138" w:type="dxa"/>
                  <w:vMerge w:val="restart"/>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废气量（m</w:t>
                  </w:r>
                  <w:r>
                    <w:rPr>
                      <w:rFonts w:ascii="Times New Roman" w:hAnsi="Times New Roman"/>
                      <w:szCs w:val="21"/>
                      <w:vertAlign w:val="superscript"/>
                    </w:rPr>
                    <w:t>3</w:t>
                  </w:r>
                  <w:r>
                    <w:rPr>
                      <w:rFonts w:ascii="Times New Roman" w:hAnsi="Times New Roman"/>
                      <w:szCs w:val="21"/>
                    </w:rPr>
                    <w:t>/h）</w:t>
                  </w:r>
                </w:p>
              </w:tc>
              <w:tc>
                <w:tcPr>
                  <w:tcW w:w="3462" w:type="dxa"/>
                  <w:gridSpan w:val="2"/>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非正常排放量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595" w:type="dxa"/>
                  <w:vMerge w:val="continue"/>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p>
              </w:tc>
              <w:tc>
                <w:tcPr>
                  <w:tcW w:w="1275" w:type="dxa"/>
                  <w:vMerge w:val="continue"/>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p>
              </w:tc>
              <w:tc>
                <w:tcPr>
                  <w:tcW w:w="1371" w:type="dxa"/>
                  <w:vMerge w:val="continue"/>
                  <w:shd w:val="clear" w:color="auto" w:fill="auto"/>
                  <w:vAlign w:val="center"/>
                </w:tcPr>
                <w:p>
                  <w:pPr>
                    <w:pStyle w:val="10"/>
                    <w:adjustRightInd w:val="0"/>
                    <w:snapToGrid w:val="0"/>
                    <w:jc w:val="center"/>
                    <w:rPr>
                      <w:rFonts w:ascii="Times New Roman" w:hAnsi="Times New Roman"/>
                      <w:szCs w:val="21"/>
                    </w:rPr>
                  </w:pPr>
                </w:p>
              </w:tc>
              <w:tc>
                <w:tcPr>
                  <w:tcW w:w="1138" w:type="dxa"/>
                  <w:vMerge w:val="continue"/>
                  <w:shd w:val="clear" w:color="auto" w:fill="auto"/>
                  <w:vAlign w:val="center"/>
                </w:tcPr>
                <w:p>
                  <w:pPr>
                    <w:pStyle w:val="10"/>
                    <w:adjustRightInd w:val="0"/>
                    <w:snapToGrid w:val="0"/>
                    <w:jc w:val="center"/>
                    <w:rPr>
                      <w:rFonts w:ascii="Times New Roman" w:hAnsi="Times New Roman"/>
                      <w:szCs w:val="21"/>
                    </w:rPr>
                  </w:pPr>
                </w:p>
              </w:tc>
              <w:tc>
                <w:tcPr>
                  <w:tcW w:w="1645"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排放速率（kg/h）</w:t>
                  </w:r>
                </w:p>
              </w:tc>
              <w:tc>
                <w:tcPr>
                  <w:tcW w:w="1817"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排放浓度(mg/m</w:t>
                  </w:r>
                  <w:r>
                    <w:rPr>
                      <w:rFonts w:ascii="Times New Roman" w:hAnsi="Times New Roman"/>
                      <w:szCs w:val="21"/>
                      <w:vertAlign w:val="superscript"/>
                    </w:rPr>
                    <w:t>3</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jc w:val="center"/>
              </w:trPr>
              <w:tc>
                <w:tcPr>
                  <w:tcW w:w="595" w:type="dxa"/>
                  <w:vMerge w:val="restart"/>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1</w:t>
                  </w:r>
                </w:p>
              </w:tc>
              <w:tc>
                <w:tcPr>
                  <w:tcW w:w="1275" w:type="dxa"/>
                  <w:vMerge w:val="restart"/>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熔炼废气</w:t>
                  </w:r>
                </w:p>
              </w:tc>
              <w:tc>
                <w:tcPr>
                  <w:tcW w:w="1371"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颗粒物</w:t>
                  </w:r>
                </w:p>
              </w:tc>
              <w:tc>
                <w:tcPr>
                  <w:tcW w:w="1138" w:type="dxa"/>
                  <w:vMerge w:val="restart"/>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6000</w:t>
                  </w:r>
                </w:p>
              </w:tc>
              <w:tc>
                <w:tcPr>
                  <w:tcW w:w="1645"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0.388</w:t>
                  </w:r>
                </w:p>
              </w:tc>
              <w:tc>
                <w:tcPr>
                  <w:tcW w:w="1817"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jc w:val="center"/>
              </w:trPr>
              <w:tc>
                <w:tcPr>
                  <w:tcW w:w="595" w:type="dxa"/>
                  <w:vMerge w:val="continue"/>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p>
              </w:tc>
              <w:tc>
                <w:tcPr>
                  <w:tcW w:w="1275" w:type="dxa"/>
                  <w:vMerge w:val="continue"/>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p>
              </w:tc>
              <w:tc>
                <w:tcPr>
                  <w:tcW w:w="1371"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138" w:type="dxa"/>
                  <w:vMerge w:val="continue"/>
                  <w:shd w:val="clear" w:color="auto" w:fill="auto"/>
                  <w:vAlign w:val="center"/>
                </w:tcPr>
                <w:p>
                  <w:pPr>
                    <w:pStyle w:val="10"/>
                    <w:adjustRightInd w:val="0"/>
                    <w:snapToGrid w:val="0"/>
                    <w:jc w:val="center"/>
                    <w:rPr>
                      <w:rFonts w:ascii="Times New Roman" w:hAnsi="Times New Roman"/>
                      <w:szCs w:val="21"/>
                    </w:rPr>
                  </w:pPr>
                </w:p>
              </w:tc>
              <w:tc>
                <w:tcPr>
                  <w:tcW w:w="1645"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0.007</w:t>
                  </w:r>
                </w:p>
              </w:tc>
              <w:tc>
                <w:tcPr>
                  <w:tcW w:w="1817"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jc w:val="center"/>
              </w:trPr>
              <w:tc>
                <w:tcPr>
                  <w:tcW w:w="595" w:type="dxa"/>
                  <w:vMerge w:val="continue"/>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p>
              </w:tc>
              <w:tc>
                <w:tcPr>
                  <w:tcW w:w="1275" w:type="dxa"/>
                  <w:vMerge w:val="continue"/>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p>
              </w:tc>
              <w:tc>
                <w:tcPr>
                  <w:tcW w:w="1371"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NOx</w:t>
                  </w:r>
                </w:p>
              </w:tc>
              <w:tc>
                <w:tcPr>
                  <w:tcW w:w="1138" w:type="dxa"/>
                  <w:vMerge w:val="continue"/>
                  <w:shd w:val="clear" w:color="auto" w:fill="auto"/>
                  <w:vAlign w:val="center"/>
                </w:tcPr>
                <w:p>
                  <w:pPr>
                    <w:pStyle w:val="10"/>
                    <w:adjustRightInd w:val="0"/>
                    <w:snapToGrid w:val="0"/>
                    <w:jc w:val="center"/>
                    <w:rPr>
                      <w:rFonts w:ascii="Times New Roman" w:hAnsi="Times New Roman"/>
                      <w:szCs w:val="21"/>
                    </w:rPr>
                  </w:pPr>
                </w:p>
              </w:tc>
              <w:tc>
                <w:tcPr>
                  <w:tcW w:w="1645"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0.068</w:t>
                  </w:r>
                </w:p>
              </w:tc>
              <w:tc>
                <w:tcPr>
                  <w:tcW w:w="1817"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595" w:type="dxa"/>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2</w:t>
                  </w:r>
                </w:p>
              </w:tc>
              <w:tc>
                <w:tcPr>
                  <w:tcW w:w="1275" w:type="dxa"/>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压铸废气</w:t>
                  </w:r>
                </w:p>
              </w:tc>
              <w:tc>
                <w:tcPr>
                  <w:tcW w:w="1371" w:type="dxa"/>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非甲烷总烃</w:t>
                  </w:r>
                </w:p>
              </w:tc>
              <w:tc>
                <w:tcPr>
                  <w:tcW w:w="1138" w:type="dxa"/>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6</w:t>
                  </w:r>
                  <w:r>
                    <w:rPr>
                      <w:rFonts w:ascii="Times New Roman" w:hAnsi="Times New Roman"/>
                      <w:szCs w:val="21"/>
                    </w:rPr>
                    <w:t>000</w:t>
                  </w:r>
                </w:p>
              </w:tc>
              <w:tc>
                <w:tcPr>
                  <w:tcW w:w="1645" w:type="dxa"/>
                  <w:shd w:val="clear" w:color="auto" w:fill="auto"/>
                  <w:vAlign w:val="center"/>
                </w:tcPr>
                <w:p>
                  <w:pPr>
                    <w:pStyle w:val="10"/>
                    <w:adjustRightInd w:val="0"/>
                    <w:snapToGrid w:val="0"/>
                    <w:jc w:val="center"/>
                    <w:rPr>
                      <w:rFonts w:ascii="Times New Roman" w:hAnsi="Times New Roman" w:eastAsia="等线"/>
                      <w:szCs w:val="21"/>
                    </w:rPr>
                  </w:pPr>
                  <w:r>
                    <w:rPr>
                      <w:rFonts w:ascii="Times New Roman" w:hAnsi="Times New Roman" w:eastAsia="等线"/>
                      <w:szCs w:val="21"/>
                    </w:rPr>
                    <w:t>0.253</w:t>
                  </w:r>
                </w:p>
              </w:tc>
              <w:tc>
                <w:tcPr>
                  <w:tcW w:w="1817" w:type="dxa"/>
                  <w:shd w:val="clear" w:color="auto" w:fill="auto"/>
                  <w:vAlign w:val="center"/>
                </w:tcPr>
                <w:p>
                  <w:pPr>
                    <w:pStyle w:val="10"/>
                    <w:adjustRightInd w:val="0"/>
                    <w:snapToGrid w:val="0"/>
                    <w:jc w:val="center"/>
                    <w:rPr>
                      <w:rFonts w:ascii="Times New Roman" w:hAnsi="Times New Roman" w:eastAsia="等线"/>
                      <w:szCs w:val="21"/>
                    </w:rPr>
                  </w:pPr>
                  <w:r>
                    <w:rPr>
                      <w:rFonts w:ascii="Times New Roman" w:hAnsi="Times New Roman" w:eastAsia="等线"/>
                      <w:szCs w:val="21"/>
                    </w:rPr>
                    <w:t>42.22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595" w:type="dxa"/>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3</w:t>
                  </w:r>
                </w:p>
              </w:tc>
              <w:tc>
                <w:tcPr>
                  <w:tcW w:w="1275" w:type="dxa"/>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抛丸粉尘</w:t>
                  </w:r>
                </w:p>
              </w:tc>
              <w:tc>
                <w:tcPr>
                  <w:tcW w:w="1371"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颗粒物</w:t>
                  </w:r>
                </w:p>
              </w:tc>
              <w:tc>
                <w:tcPr>
                  <w:tcW w:w="1138"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5000</w:t>
                  </w:r>
                </w:p>
              </w:tc>
              <w:tc>
                <w:tcPr>
                  <w:tcW w:w="1645"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1.167</w:t>
                  </w:r>
                </w:p>
              </w:tc>
              <w:tc>
                <w:tcPr>
                  <w:tcW w:w="1817"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eastAsia="等线"/>
                      <w:szCs w:val="21"/>
                    </w:rPr>
                    <w:t>233.33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595" w:type="dxa"/>
                  <w:tcBorders>
                    <w:righ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4</w:t>
                  </w:r>
                </w:p>
              </w:tc>
              <w:tc>
                <w:tcPr>
                  <w:tcW w:w="1275" w:type="dxa"/>
                  <w:tcBorders>
                    <w:left w:val="single" w:color="000000" w:sz="4" w:space="0"/>
                  </w:tcBorders>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打磨粉尘</w:t>
                  </w:r>
                </w:p>
              </w:tc>
              <w:tc>
                <w:tcPr>
                  <w:tcW w:w="1371" w:type="dxa"/>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颗粒物</w:t>
                  </w:r>
                </w:p>
              </w:tc>
              <w:tc>
                <w:tcPr>
                  <w:tcW w:w="1138" w:type="dxa"/>
                  <w:shd w:val="clear" w:color="auto" w:fill="auto"/>
                  <w:vAlign w:val="center"/>
                </w:tcPr>
                <w:p>
                  <w:pPr>
                    <w:pStyle w:val="10"/>
                    <w:adjustRightInd w:val="0"/>
                    <w:snapToGrid w:val="0"/>
                    <w:jc w:val="center"/>
                    <w:rPr>
                      <w:rFonts w:ascii="Times New Roman" w:hAnsi="Times New Roman"/>
                      <w:szCs w:val="21"/>
                    </w:rPr>
                  </w:pPr>
                  <w:r>
                    <w:rPr>
                      <w:rFonts w:hint="eastAsia" w:ascii="Times New Roman" w:hAnsi="Times New Roman"/>
                      <w:szCs w:val="21"/>
                    </w:rPr>
                    <w:t>4</w:t>
                  </w:r>
                  <w:r>
                    <w:rPr>
                      <w:rFonts w:ascii="Times New Roman" w:hAnsi="Times New Roman"/>
                      <w:szCs w:val="21"/>
                    </w:rPr>
                    <w:t>000</w:t>
                  </w:r>
                </w:p>
              </w:tc>
              <w:tc>
                <w:tcPr>
                  <w:tcW w:w="1645"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0.986</w:t>
                  </w:r>
                </w:p>
              </w:tc>
              <w:tc>
                <w:tcPr>
                  <w:tcW w:w="1817" w:type="dxa"/>
                  <w:shd w:val="clear" w:color="auto" w:fill="auto"/>
                  <w:vAlign w:val="center"/>
                </w:tcPr>
                <w:p>
                  <w:pPr>
                    <w:pStyle w:val="10"/>
                    <w:adjustRightInd w:val="0"/>
                    <w:snapToGrid w:val="0"/>
                    <w:jc w:val="center"/>
                    <w:rPr>
                      <w:rFonts w:ascii="Times New Roman" w:hAnsi="Times New Roman"/>
                      <w:szCs w:val="21"/>
                    </w:rPr>
                  </w:pPr>
                  <w:r>
                    <w:rPr>
                      <w:rFonts w:ascii="Times New Roman" w:hAnsi="Times New Roman"/>
                      <w:szCs w:val="21"/>
                    </w:rPr>
                    <w:t>246.38</w:t>
                  </w:r>
                </w:p>
              </w:tc>
            </w:tr>
          </w:tbl>
          <w:p>
            <w:pPr>
              <w:autoSpaceDE w:val="0"/>
              <w:autoSpaceDN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4.2.3 大气污染防治措施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（1）熔炼废气</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熔炼废气经集气罩收集后，由1套耐高温的袋式除尘系统处理后通过1根15m高排气筒（1#）排放。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w:t>
            </w:r>
            <w:r>
              <w:rPr>
                <w:rFonts w:hint="eastAsia" w:ascii="Times New Roman" w:hAnsi="Times New Roman" w:eastAsia="宋体" w:cs="Times New Roman"/>
                <w:sz w:val="24"/>
              </w:rPr>
              <w:t>铸造工业大气污染物防治可行技术指南</w:t>
            </w:r>
            <w:r>
              <w:rPr>
                <w:rFonts w:ascii="Times New Roman" w:hAnsi="Times New Roman" w:eastAsia="宋体" w:cs="Times New Roman"/>
                <w:sz w:val="24"/>
              </w:rPr>
              <w:t>》（HJ1292-2023）可知，</w:t>
            </w:r>
            <w:r>
              <w:rPr>
                <w:rFonts w:hint="eastAsia" w:ascii="Times New Roman" w:hAnsi="Times New Roman" w:eastAsia="宋体" w:cs="Times New Roman"/>
                <w:sz w:val="24"/>
              </w:rPr>
              <w:t>金属熔炼（化）工序大气污染防治可行技术</w:t>
            </w:r>
            <w:r>
              <w:rPr>
                <w:rFonts w:ascii="Times New Roman" w:hAnsi="Times New Roman" w:eastAsia="宋体" w:cs="Times New Roman"/>
                <w:sz w:val="24"/>
              </w:rPr>
              <w:t>有“</w:t>
            </w:r>
            <w:r>
              <w:rPr>
                <w:rFonts w:hint="eastAsia" w:ascii="Times New Roman" w:hAnsi="Times New Roman" w:eastAsia="宋体" w:cs="Times New Roman"/>
                <w:sz w:val="24"/>
              </w:rPr>
              <w:t>旋风</w:t>
            </w:r>
            <w:r>
              <w:rPr>
                <w:rFonts w:ascii="Times New Roman" w:hAnsi="Times New Roman" w:eastAsia="宋体" w:cs="Times New Roman"/>
                <w:sz w:val="24"/>
              </w:rPr>
              <w:t>除尘</w:t>
            </w:r>
            <w:r>
              <w:rPr>
                <w:rFonts w:hint="eastAsia" w:ascii="Times New Roman" w:hAnsi="Times New Roman" w:eastAsia="宋体" w:cs="Times New Roman"/>
                <w:sz w:val="24"/>
              </w:rPr>
              <w:t>（可选）</w:t>
            </w:r>
            <w:r>
              <w:rPr>
                <w:rFonts w:ascii="Times New Roman" w:hAnsi="Times New Roman" w:eastAsia="宋体" w:cs="Times New Roman"/>
                <w:sz w:val="24"/>
              </w:rPr>
              <w:t>、袋式除尘</w:t>
            </w:r>
            <w:r>
              <w:rPr>
                <w:rFonts w:hint="eastAsia" w:ascii="Times New Roman" w:hAnsi="Times New Roman" w:eastAsia="宋体" w:cs="Times New Roman"/>
                <w:sz w:val="24"/>
              </w:rPr>
              <w:t>/</w:t>
            </w:r>
            <w:r>
              <w:rPr>
                <w:rFonts w:ascii="Times New Roman" w:hAnsi="Times New Roman" w:eastAsia="宋体" w:cs="Times New Roman"/>
                <w:sz w:val="24"/>
              </w:rPr>
              <w:t>滤筒除尘</w:t>
            </w:r>
            <w:r>
              <w:rPr>
                <w:rFonts w:hint="eastAsia" w:ascii="Times New Roman" w:hAnsi="Times New Roman" w:eastAsia="宋体" w:cs="Times New Roman"/>
                <w:sz w:val="24"/>
              </w:rPr>
              <w:t>技术</w:t>
            </w:r>
            <w:r>
              <w:rPr>
                <w:rFonts w:ascii="Times New Roman" w:hAnsi="Times New Roman" w:eastAsia="宋体" w:cs="Times New Roman"/>
                <w:sz w:val="24"/>
              </w:rPr>
              <w:t>”。本项目废气末端治理技术选取“袋式除尘”工艺，该治理工艺为可行性技术。</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废气处理工艺流程见图4.2-1。</w:t>
            </w:r>
          </w:p>
          <w:p>
            <w:pPr>
              <w:adjustRightInd w:val="0"/>
              <w:snapToGrid w:val="0"/>
              <w:jc w:val="center"/>
              <w:rPr>
                <w:rFonts w:ascii="Times New Roman" w:hAnsi="Times New Roman" w:cs="Times New Roman"/>
                <w:kern w:val="0"/>
                <w:sz w:val="24"/>
              </w:rPr>
            </w:pPr>
            <w:r>
              <w:rPr>
                <w:rFonts w:ascii="Times New Roman" w:hAnsi="Times New Roman" w:cs="Times New Roman"/>
              </w:rPr>
              <w:object>
                <v:shape id="_x0000_i1027" o:spt="75" type="#_x0000_t75" style="height:30pt;width:407.25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spacing w:line="360" w:lineRule="auto"/>
              <w:ind w:firstLine="482" w:firstLineChars="200"/>
              <w:jc w:val="center"/>
              <w:rPr>
                <w:rFonts w:ascii="Times New Roman" w:hAnsi="Times New Roman" w:eastAsia="宋体" w:cs="Times New Roman"/>
                <w:b/>
                <w:bCs/>
                <w:sz w:val="24"/>
              </w:rPr>
            </w:pPr>
            <w:r>
              <w:rPr>
                <w:rFonts w:ascii="Times New Roman" w:hAnsi="Times New Roman" w:eastAsia="宋体" w:cs="Times New Roman"/>
                <w:b/>
                <w:bCs/>
                <w:sz w:val="24"/>
              </w:rPr>
              <w:t>图4.2-1  熔炼废气处理工艺流程图</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（2）压铸废气</w:t>
            </w:r>
          </w:p>
          <w:p>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压铸废气经</w:t>
            </w:r>
            <w:r>
              <w:rPr>
                <w:rFonts w:ascii="Times New Roman" w:hAnsi="Times New Roman" w:eastAsia="宋体" w:cs="Times New Roman"/>
                <w:kern w:val="0"/>
                <w:sz w:val="24"/>
                <w:szCs w:val="24"/>
              </w:rPr>
              <w:t>集气罩收集后，由1套</w:t>
            </w:r>
            <w:r>
              <w:rPr>
                <w:rFonts w:hint="eastAsia" w:ascii="Times New Roman" w:hAnsi="Times New Roman" w:eastAsia="宋体" w:cs="Times New Roman"/>
                <w:kern w:val="0"/>
                <w:sz w:val="24"/>
                <w:szCs w:val="24"/>
              </w:rPr>
              <w:t>静电净化设备</w:t>
            </w:r>
            <w:r>
              <w:rPr>
                <w:rFonts w:ascii="Times New Roman" w:hAnsi="Times New Roman" w:eastAsia="宋体" w:cs="Times New Roman"/>
                <w:kern w:val="0"/>
                <w:sz w:val="24"/>
                <w:szCs w:val="24"/>
              </w:rPr>
              <w:t>处理后通过1根15m高排气筒（2#）排放。</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w:t>
            </w:r>
            <w:r>
              <w:rPr>
                <w:rFonts w:hint="eastAsia" w:ascii="Times New Roman" w:hAnsi="Times New Roman" w:eastAsia="宋体" w:cs="Times New Roman"/>
                <w:kern w:val="0"/>
                <w:sz w:val="24"/>
                <w:szCs w:val="24"/>
              </w:rPr>
              <w:t>铸造工业大气污染物防治可行技术指南</w:t>
            </w:r>
            <w:r>
              <w:rPr>
                <w:rFonts w:ascii="Times New Roman" w:hAnsi="Times New Roman" w:eastAsia="宋体" w:cs="Times New Roman"/>
                <w:kern w:val="0"/>
                <w:sz w:val="24"/>
                <w:szCs w:val="24"/>
              </w:rPr>
              <w:t>》（HJ1292-2023）可知，</w:t>
            </w:r>
            <w:r>
              <w:rPr>
                <w:rFonts w:hint="eastAsia" w:ascii="Times New Roman" w:hAnsi="Times New Roman" w:eastAsia="宋体" w:cs="Times New Roman"/>
                <w:kern w:val="0"/>
                <w:sz w:val="24"/>
                <w:szCs w:val="24"/>
              </w:rPr>
              <w:t>油雾治理技术包括“机械过滤技术和静电净化技术”，本项目拟采取“静电净化技术”，该治理工艺为可行性技术。</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废气处理工艺流程见图4.2-2。</w:t>
            </w:r>
          </w:p>
          <w:p>
            <w:pPr>
              <w:adjustRightInd w:val="0"/>
              <w:snapToGrid w:val="0"/>
              <w:jc w:val="center"/>
              <w:rPr>
                <w:rFonts w:ascii="Times New Roman" w:hAnsi="Times New Roman" w:cs="Times New Roman"/>
                <w:kern w:val="0"/>
                <w:sz w:val="24"/>
              </w:rPr>
            </w:pPr>
            <w:r>
              <w:rPr>
                <w:rFonts w:ascii="Times New Roman" w:hAnsi="Times New Roman" w:cs="Times New Roman"/>
              </w:rPr>
              <w:object>
                <v:shape id="_x0000_i1028" o:spt="75" type="#_x0000_t75" style="height:30pt;width:407.25pt;" o:ole="t" filled="f" o:preferrelative="t" stroked="f" coordsize="21600,21600">
                  <v:path/>
                  <v:fill on="f" focussize="0,0"/>
                  <v:stroke on="f" joinstyle="miter"/>
                  <v:imagedata r:id="rId19" o:title=""/>
                  <o:lock v:ext="edit" aspectratio="t"/>
                  <w10:wrap type="none"/>
                  <w10:anchorlock/>
                </v:shape>
                <o:OLEObject Type="Embed" ProgID="Visio.Drawing.15" ShapeID="_x0000_i1028" DrawAspect="Content" ObjectID="_1468075728" r:id="rId18">
                  <o:LockedField>false</o:LockedField>
                </o:OLEObject>
              </w:object>
            </w:r>
          </w:p>
          <w:p>
            <w:pPr>
              <w:spacing w:line="360" w:lineRule="auto"/>
              <w:ind w:firstLine="482" w:firstLineChars="200"/>
              <w:jc w:val="center"/>
              <w:rPr>
                <w:rFonts w:ascii="Times New Roman" w:hAnsi="Times New Roman" w:eastAsia="宋体" w:cs="Times New Roman"/>
                <w:b/>
                <w:bCs/>
                <w:sz w:val="24"/>
              </w:rPr>
            </w:pPr>
            <w:r>
              <w:rPr>
                <w:rFonts w:ascii="Times New Roman" w:hAnsi="Times New Roman" w:eastAsia="宋体" w:cs="Times New Roman"/>
                <w:b/>
                <w:bCs/>
                <w:sz w:val="24"/>
              </w:rPr>
              <w:t>图4.2-2  熔炼废气处理工艺流程图</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（3）抛丸粉尘</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抛丸粉尘经抛丸机自带的</w:t>
            </w:r>
            <w:r>
              <w:rPr>
                <w:rFonts w:hint="eastAsia" w:ascii="Times New Roman" w:hAnsi="Times New Roman" w:eastAsia="宋体" w:cs="Times New Roman"/>
                <w:kern w:val="0"/>
                <w:sz w:val="24"/>
                <w:szCs w:val="24"/>
              </w:rPr>
              <w:t>布袋除尘</w:t>
            </w:r>
            <w:r>
              <w:rPr>
                <w:rFonts w:ascii="Times New Roman" w:hAnsi="Times New Roman" w:eastAsia="宋体" w:cs="Times New Roman"/>
                <w:kern w:val="0"/>
                <w:sz w:val="24"/>
                <w:szCs w:val="24"/>
              </w:rPr>
              <w:t>装置进行收集处理，通过1根15m高排气筒（3#）排放。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根据《排污许可证申请与核发技术规范 汽车制造业》（HJ971-2018）可知，预处理过程中产生的颗粒物末端治理可行性技术有“袋式除尘和湿式除尘”。本项目废气末端治理技术选取“袋式除尘”工艺，该治理工艺为可行性技术。</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废气处理工艺流程见图4.2-3。</w:t>
            </w:r>
          </w:p>
          <w:p>
            <w:pPr>
              <w:spacing w:line="360" w:lineRule="auto"/>
              <w:jc w:val="center"/>
              <w:rPr>
                <w:rFonts w:ascii="Times New Roman" w:hAnsi="Times New Roman" w:cs="Times New Roman"/>
              </w:rPr>
            </w:pPr>
            <w:r>
              <w:rPr>
                <w:rFonts w:ascii="Times New Roman" w:hAnsi="Times New Roman" w:cs="Times New Roman"/>
              </w:rPr>
              <w:object>
                <v:shape id="_x0000_i1029" o:spt="75" type="#_x0000_t75" style="height:30.75pt;width:399pt;" o:ole="t" filled="f" o:preferrelative="t" stroked="f" coordsize="21600,21600">
                  <v:path/>
                  <v:fill on="f" focussize="0,0"/>
                  <v:stroke on="f" joinstyle="miter"/>
                  <v:imagedata r:id="rId21" o:title=""/>
                  <o:lock v:ext="edit" aspectratio="t"/>
                  <w10:wrap type="none"/>
                  <w10:anchorlock/>
                </v:shape>
                <o:OLEObject Type="Embed" ProgID="Visio.Drawing.15" ShapeID="_x0000_i1029" DrawAspect="Content" ObjectID="_1468075729" r:id="rId20">
                  <o:LockedField>false</o:LockedField>
                </o:OLEObject>
              </w:object>
            </w:r>
          </w:p>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图4.2-3  抛丸粉尘处理工艺流程图</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（4）打磨粉尘</w:t>
            </w:r>
          </w:p>
          <w:p>
            <w:pPr>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打磨粉尘经打磨机自带的</w:t>
            </w:r>
            <w:r>
              <w:rPr>
                <w:rFonts w:hint="eastAsia" w:ascii="Times New Roman" w:hAnsi="Times New Roman" w:eastAsia="宋体" w:cs="Times New Roman"/>
                <w:kern w:val="0"/>
                <w:sz w:val="24"/>
                <w:szCs w:val="24"/>
              </w:rPr>
              <w:t>布袋除尘</w:t>
            </w:r>
            <w:r>
              <w:rPr>
                <w:rFonts w:ascii="Times New Roman" w:hAnsi="Times New Roman" w:eastAsia="宋体" w:cs="Times New Roman"/>
                <w:kern w:val="0"/>
                <w:sz w:val="24"/>
                <w:szCs w:val="24"/>
              </w:rPr>
              <w:t>装置进行收集处理，通过1根15m高排气筒（4#）排放。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根据《排污许可证申请与核发技术规范 汽车制造业》（HJ971-2018）可知，预处理过程中产生的颗粒物末端治理可行性技术有“袋式除尘和湿式除尘”。本项目废气末端治理技术选取“袋式除尘”工艺，该治理工艺为可行性技术。</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废气处理工艺流程见图4.2-4。</w:t>
            </w:r>
          </w:p>
          <w:p>
            <w:pPr>
              <w:spacing w:line="360" w:lineRule="auto"/>
              <w:jc w:val="center"/>
              <w:rPr>
                <w:rFonts w:ascii="Times New Roman" w:hAnsi="Times New Roman" w:cs="Times New Roman"/>
              </w:rPr>
            </w:pPr>
            <w:r>
              <w:rPr>
                <w:rFonts w:ascii="Times New Roman" w:hAnsi="Times New Roman" w:cs="Times New Roman"/>
              </w:rPr>
              <w:object>
                <v:shape id="_x0000_i1030" o:spt="75" type="#_x0000_t75" style="height:30.75pt;width:399pt;" o:ole="t" filled="f" o:preferrelative="t" stroked="f" coordsize="21600,21600">
                  <v:path/>
                  <v:fill on="f" focussize="0,0"/>
                  <v:stroke on="f" joinstyle="miter"/>
                  <v:imagedata r:id="rId23" o:title=""/>
                  <o:lock v:ext="edit" aspectratio="t"/>
                  <w10:wrap type="none"/>
                  <w10:anchorlock/>
                </v:shape>
                <o:OLEObject Type="Embed" ProgID="Visio.Drawing.15" ShapeID="_x0000_i1030" DrawAspect="Content" ObjectID="_1468075730" r:id="rId22">
                  <o:LockedField>false</o:LockedField>
                </o:OLEObject>
              </w:object>
            </w:r>
          </w:p>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图4.2-4  打磨粉尘处理工艺流程图</w:t>
            </w:r>
          </w:p>
          <w:p>
            <w:pPr>
              <w:autoSpaceDE w:val="0"/>
              <w:autoSpaceDN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4.2.4 大气环境影响分析</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sz w:val="24"/>
              </w:rPr>
              <w:t>本项目所在地区二氧化硫（SO</w:t>
            </w:r>
            <w:r>
              <w:rPr>
                <w:rFonts w:ascii="Times New Roman" w:hAnsi="Times New Roman" w:eastAsia="宋体" w:cs="Times New Roman"/>
                <w:sz w:val="24"/>
                <w:vertAlign w:val="subscript"/>
              </w:rPr>
              <w:t>2</w:t>
            </w:r>
            <w:r>
              <w:rPr>
                <w:rFonts w:ascii="Times New Roman" w:hAnsi="Times New Roman" w:eastAsia="宋体" w:cs="Times New Roman"/>
                <w:sz w:val="24"/>
              </w:rPr>
              <w:t>）、一氧化碳（CO）、二氧化氮（NO</w:t>
            </w:r>
            <w:r>
              <w:rPr>
                <w:rFonts w:ascii="Times New Roman" w:hAnsi="Times New Roman" w:eastAsia="宋体" w:cs="Times New Roman"/>
                <w:sz w:val="24"/>
                <w:vertAlign w:val="subscript"/>
              </w:rPr>
              <w:t>2</w:t>
            </w:r>
            <w:r>
              <w:rPr>
                <w:rFonts w:ascii="Times New Roman" w:hAnsi="Times New Roman" w:eastAsia="宋体" w:cs="Times New Roman"/>
                <w:sz w:val="24"/>
              </w:rPr>
              <w:t>）、臭氧（O</w:t>
            </w:r>
            <w:r>
              <w:rPr>
                <w:rFonts w:ascii="Times New Roman" w:hAnsi="Times New Roman" w:eastAsia="宋体" w:cs="Times New Roman"/>
                <w:sz w:val="24"/>
                <w:vertAlign w:val="subscript"/>
              </w:rPr>
              <w:t>3</w:t>
            </w:r>
            <w:r>
              <w:rPr>
                <w:rFonts w:ascii="Times New Roman" w:hAnsi="Times New Roman" w:eastAsia="宋体" w:cs="Times New Roman"/>
                <w:sz w:val="24"/>
              </w:rPr>
              <w:t>）、可吸入颗粒物（PM</w:t>
            </w:r>
            <w:r>
              <w:rPr>
                <w:rFonts w:ascii="Times New Roman" w:hAnsi="Times New Roman" w:eastAsia="宋体" w:cs="Times New Roman"/>
                <w:sz w:val="24"/>
                <w:vertAlign w:val="subscript"/>
              </w:rPr>
              <w:t>2.5</w:t>
            </w:r>
            <w:r>
              <w:rPr>
                <w:rFonts w:ascii="Times New Roman" w:hAnsi="Times New Roman" w:eastAsia="宋体" w:cs="Times New Roman"/>
                <w:sz w:val="24"/>
              </w:rPr>
              <w:t>）、可吸入颗粒物（PM</w:t>
            </w:r>
            <w:r>
              <w:rPr>
                <w:rFonts w:ascii="Times New Roman" w:hAnsi="Times New Roman" w:eastAsia="宋体" w:cs="Times New Roman"/>
                <w:sz w:val="24"/>
                <w:vertAlign w:val="subscript"/>
              </w:rPr>
              <w:t>10</w:t>
            </w:r>
            <w:r>
              <w:rPr>
                <w:rFonts w:ascii="Times New Roman" w:hAnsi="Times New Roman" w:eastAsia="宋体" w:cs="Times New Roman"/>
                <w:sz w:val="24"/>
              </w:rPr>
              <w:t>）浓度均达到国家环境空气质量二级标准，区域属于达标区；项目所在区域非甲烷总烃小时浓度值满足河北省地方标准《环境空气质量 非甲烷总烃限值》(DB13/1577-2012)中二级标准的要求。</w:t>
            </w:r>
            <w:r>
              <w:rPr>
                <w:rFonts w:ascii="Times New Roman" w:hAnsi="Times New Roman" w:eastAsia="宋体" w:cs="Times New Roman"/>
                <w:bCs/>
                <w:sz w:val="24"/>
              </w:rPr>
              <w:t>本项目位于重庆市铜梁区虎峰镇石岭村5社12号，周边无自然保护区、风景名胜区和文物古迹等需要特殊保护的环境敏感目标</w:t>
            </w:r>
            <w:r>
              <w:rPr>
                <w:rFonts w:ascii="Times New Roman" w:hAnsi="Times New Roman" w:eastAsia="宋体" w:cs="Times New Roman"/>
                <w:sz w:val="24"/>
              </w:rPr>
              <w:t>。本项目生产过程中产生的废气经可行技术措施治理后排放，排放浓度（速率）能够满足排放标准要求。因此，本项目运营期的废气排放对环境影响小。</w:t>
            </w:r>
          </w:p>
          <w:p>
            <w:pPr>
              <w:autoSpaceDE w:val="0"/>
              <w:autoSpaceDN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4.2.5 监测要求</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本项目为铸造及其他金属制品制造项目，根据《排污单位自行监测技术指南</w:t>
            </w:r>
            <w:r>
              <w:rPr>
                <w:rFonts w:hint="eastAsia" w:ascii="Times New Roman" w:hAnsi="Times New Roman" w:eastAsia="宋体" w:cs="Times New Roman"/>
                <w:kern w:val="0"/>
                <w:sz w:val="24"/>
                <w:szCs w:val="24"/>
              </w:rPr>
              <w:t xml:space="preserve"> </w:t>
            </w:r>
            <w:r>
              <w:rPr>
                <w:rFonts w:ascii="Times New Roman" w:hAnsi="Times New Roman" w:eastAsia="宋体" w:cs="Times New Roman"/>
                <w:kern w:val="0"/>
                <w:sz w:val="24"/>
                <w:szCs w:val="24"/>
              </w:rPr>
              <w:t>总则》（HJ819-2017）</w:t>
            </w:r>
            <w:r>
              <w:rPr>
                <w:rFonts w:ascii="Times New Roman" w:hAnsi="Times New Roman" w:eastAsia="宋体" w:cs="Times New Roman"/>
                <w:sz w:val="24"/>
              </w:rPr>
              <w:t>及</w:t>
            </w:r>
            <w:r>
              <w:rPr>
                <w:rFonts w:ascii="Times New Roman" w:hAnsi="Times New Roman" w:eastAsia="宋体" w:cs="Times New Roman"/>
                <w:kern w:val="0"/>
                <w:sz w:val="24"/>
                <w:szCs w:val="24"/>
              </w:rPr>
              <w:t>《排污单位自行监测技术指南</w:t>
            </w:r>
            <w:r>
              <w:rPr>
                <w:rFonts w:hint="eastAsia" w:ascii="Times New Roman" w:hAnsi="Times New Roman" w:eastAsia="宋体" w:cs="Times New Roman"/>
                <w:kern w:val="0"/>
                <w:sz w:val="24"/>
                <w:szCs w:val="24"/>
              </w:rPr>
              <w:t xml:space="preserve"> </w:t>
            </w:r>
            <w:r>
              <w:rPr>
                <w:rFonts w:ascii="Times New Roman" w:hAnsi="Times New Roman" w:eastAsia="宋体" w:cs="Times New Roman"/>
                <w:sz w:val="24"/>
              </w:rPr>
              <w:t>金属铸造工业》（HJ1251-2021）</w:t>
            </w:r>
            <w:r>
              <w:rPr>
                <w:rFonts w:ascii="Times New Roman" w:hAnsi="Times New Roman" w:eastAsia="宋体" w:cs="Times New Roman"/>
                <w:kern w:val="0"/>
                <w:sz w:val="24"/>
                <w:szCs w:val="24"/>
              </w:rPr>
              <w:t>，确定本项目的废气日常监测要求，见下表所示。</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表4.2-11  废气监测要求一览表</w:t>
            </w:r>
          </w:p>
          <w:tbl>
            <w:tblPr>
              <w:tblStyle w:val="18"/>
              <w:tblW w:w="7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68"/>
              <w:gridCol w:w="2087"/>
              <w:gridCol w:w="2591"/>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8"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类别</w:t>
                  </w:r>
                </w:p>
              </w:tc>
              <w:tc>
                <w:tcPr>
                  <w:tcW w:w="1368"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监测点位</w:t>
                  </w:r>
                </w:p>
              </w:tc>
              <w:tc>
                <w:tcPr>
                  <w:tcW w:w="208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监测项目</w:t>
                  </w:r>
                </w:p>
              </w:tc>
              <w:tc>
                <w:tcPr>
                  <w:tcW w:w="2591"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执行标准</w:t>
                  </w:r>
                </w:p>
              </w:tc>
              <w:tc>
                <w:tcPr>
                  <w:tcW w:w="122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708" w:type="dxa"/>
                  <w:vMerge w:val="restart"/>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废气</w:t>
                  </w:r>
                </w:p>
              </w:tc>
              <w:tc>
                <w:tcPr>
                  <w:tcW w:w="1368"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熔炼废气</w:t>
                  </w:r>
                  <w:r>
                    <w:rPr>
                      <w:rFonts w:hint="eastAsia" w:ascii="Times New Roman" w:hAnsi="Times New Roman" w:eastAsia="宋体" w:cs="Times New Roman"/>
                      <w:bCs/>
                      <w:color w:val="auto"/>
                    </w:rPr>
                    <w:t>D</w:t>
                  </w:r>
                  <w:r>
                    <w:rPr>
                      <w:rFonts w:ascii="Times New Roman" w:hAnsi="Times New Roman" w:eastAsia="宋体" w:cs="Times New Roman"/>
                      <w:bCs/>
                      <w:color w:val="auto"/>
                    </w:rPr>
                    <w:t>A001</w:t>
                  </w:r>
                </w:p>
              </w:tc>
              <w:tc>
                <w:tcPr>
                  <w:tcW w:w="208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颗粒物、SO</w:t>
                  </w:r>
                  <w:r>
                    <w:rPr>
                      <w:rFonts w:ascii="Times New Roman" w:hAnsi="Times New Roman" w:eastAsia="宋体" w:cs="Times New Roman"/>
                      <w:bCs/>
                      <w:color w:val="auto"/>
                      <w:vertAlign w:val="subscript"/>
                    </w:rPr>
                    <w:t>2</w:t>
                  </w:r>
                  <w:r>
                    <w:rPr>
                      <w:rFonts w:ascii="Times New Roman" w:hAnsi="Times New Roman" w:eastAsia="宋体" w:cs="Times New Roman"/>
                      <w:bCs/>
                      <w:color w:val="auto"/>
                    </w:rPr>
                    <w:t>、NOx</w:t>
                  </w:r>
                </w:p>
              </w:tc>
              <w:tc>
                <w:tcPr>
                  <w:tcW w:w="2591"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《铸造工业大气污染物排放标准》（GB3976-2020）</w:t>
                  </w:r>
                </w:p>
              </w:tc>
              <w:tc>
                <w:tcPr>
                  <w:tcW w:w="122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8" w:type="dxa"/>
                  <w:vMerge w:val="continue"/>
                  <w:vAlign w:val="center"/>
                </w:tcPr>
                <w:p>
                  <w:pPr>
                    <w:pStyle w:val="36"/>
                    <w:adjustRightInd w:val="0"/>
                    <w:snapToGrid w:val="0"/>
                    <w:jc w:val="center"/>
                    <w:rPr>
                      <w:rFonts w:ascii="Times New Roman" w:hAnsi="Times New Roman" w:eastAsia="宋体" w:cs="Times New Roman"/>
                      <w:bCs/>
                      <w:color w:val="auto"/>
                    </w:rPr>
                  </w:pPr>
                </w:p>
              </w:tc>
              <w:tc>
                <w:tcPr>
                  <w:tcW w:w="1368" w:type="dxa"/>
                  <w:vAlign w:val="center"/>
                </w:tcPr>
                <w:p>
                  <w:pPr>
                    <w:pStyle w:val="36"/>
                    <w:adjustRightInd w:val="0"/>
                    <w:snapToGrid w:val="0"/>
                    <w:jc w:val="center"/>
                    <w:rPr>
                      <w:rFonts w:ascii="Times New Roman" w:hAnsi="Times New Roman" w:eastAsia="宋体" w:cs="Times New Roman"/>
                      <w:bCs/>
                      <w:color w:val="auto"/>
                    </w:rPr>
                  </w:pPr>
                  <w:r>
                    <w:rPr>
                      <w:rFonts w:hint="eastAsia" w:ascii="Times New Roman" w:hAnsi="Times New Roman" w:eastAsia="宋体" w:cs="Times New Roman"/>
                      <w:bCs/>
                      <w:color w:val="auto"/>
                    </w:rPr>
                    <w:t>铸造废气D</w:t>
                  </w:r>
                  <w:r>
                    <w:rPr>
                      <w:rFonts w:ascii="Times New Roman" w:hAnsi="Times New Roman" w:eastAsia="宋体" w:cs="Times New Roman"/>
                      <w:bCs/>
                      <w:color w:val="auto"/>
                    </w:rPr>
                    <w:t>A002</w:t>
                  </w:r>
                </w:p>
              </w:tc>
              <w:tc>
                <w:tcPr>
                  <w:tcW w:w="2087" w:type="dxa"/>
                  <w:vAlign w:val="center"/>
                </w:tcPr>
                <w:p>
                  <w:pPr>
                    <w:pStyle w:val="36"/>
                    <w:adjustRightInd w:val="0"/>
                    <w:snapToGrid w:val="0"/>
                    <w:jc w:val="center"/>
                    <w:rPr>
                      <w:rFonts w:ascii="Times New Roman" w:hAnsi="Times New Roman" w:eastAsia="宋体" w:cs="Times New Roman"/>
                      <w:bCs/>
                      <w:color w:val="auto"/>
                    </w:rPr>
                  </w:pPr>
                  <w:r>
                    <w:rPr>
                      <w:rFonts w:hint="eastAsia" w:ascii="Times New Roman" w:hAnsi="Times New Roman" w:eastAsia="宋体" w:cs="Times New Roman"/>
                      <w:bCs/>
                      <w:color w:val="auto"/>
                    </w:rPr>
                    <w:t>非甲烷总烃</w:t>
                  </w:r>
                </w:p>
              </w:tc>
              <w:tc>
                <w:tcPr>
                  <w:tcW w:w="2591"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《大气污染物综合排放标准》(DB50/418-2016)</w:t>
                  </w:r>
                </w:p>
              </w:tc>
              <w:tc>
                <w:tcPr>
                  <w:tcW w:w="122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8" w:type="dxa"/>
                  <w:vMerge w:val="continue"/>
                  <w:vAlign w:val="center"/>
                </w:tcPr>
                <w:p>
                  <w:pPr>
                    <w:pStyle w:val="36"/>
                    <w:adjustRightInd w:val="0"/>
                    <w:snapToGrid w:val="0"/>
                    <w:jc w:val="center"/>
                    <w:rPr>
                      <w:rFonts w:ascii="Times New Roman" w:hAnsi="Times New Roman" w:eastAsia="宋体" w:cs="Times New Roman"/>
                      <w:bCs/>
                      <w:color w:val="auto"/>
                    </w:rPr>
                  </w:pPr>
                </w:p>
              </w:tc>
              <w:tc>
                <w:tcPr>
                  <w:tcW w:w="1368"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抛丸粉尘</w:t>
                  </w:r>
                  <w:r>
                    <w:rPr>
                      <w:rFonts w:hint="eastAsia" w:ascii="Times New Roman" w:hAnsi="Times New Roman" w:eastAsia="宋体" w:cs="Times New Roman"/>
                      <w:bCs/>
                      <w:color w:val="auto"/>
                    </w:rPr>
                    <w:t>D</w:t>
                  </w:r>
                  <w:r>
                    <w:rPr>
                      <w:rFonts w:ascii="Times New Roman" w:hAnsi="Times New Roman" w:eastAsia="宋体" w:cs="Times New Roman"/>
                      <w:bCs/>
                      <w:color w:val="auto"/>
                    </w:rPr>
                    <w:t>A003</w:t>
                  </w:r>
                </w:p>
              </w:tc>
              <w:tc>
                <w:tcPr>
                  <w:tcW w:w="208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颗粒物</w:t>
                  </w:r>
                </w:p>
              </w:tc>
              <w:tc>
                <w:tcPr>
                  <w:tcW w:w="2591"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《铸造工业大气污染物排放标准》（GB3976-2020）</w:t>
                  </w:r>
                </w:p>
              </w:tc>
              <w:tc>
                <w:tcPr>
                  <w:tcW w:w="122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8" w:type="dxa"/>
                  <w:vMerge w:val="continue"/>
                  <w:vAlign w:val="center"/>
                </w:tcPr>
                <w:p>
                  <w:pPr>
                    <w:pStyle w:val="36"/>
                    <w:adjustRightInd w:val="0"/>
                    <w:snapToGrid w:val="0"/>
                    <w:jc w:val="center"/>
                    <w:rPr>
                      <w:rFonts w:ascii="Times New Roman" w:hAnsi="Times New Roman" w:eastAsia="宋体" w:cs="Times New Roman"/>
                      <w:bCs/>
                      <w:color w:val="auto"/>
                    </w:rPr>
                  </w:pPr>
                </w:p>
              </w:tc>
              <w:tc>
                <w:tcPr>
                  <w:tcW w:w="1368" w:type="dxa"/>
                  <w:vAlign w:val="center"/>
                </w:tcPr>
                <w:p>
                  <w:pPr>
                    <w:pStyle w:val="36"/>
                    <w:adjustRightInd w:val="0"/>
                    <w:snapToGrid w:val="0"/>
                    <w:jc w:val="center"/>
                    <w:rPr>
                      <w:rFonts w:ascii="Times New Roman" w:hAnsi="Times New Roman" w:eastAsia="宋体" w:cs="Times New Roman"/>
                      <w:bCs/>
                      <w:color w:val="auto"/>
                    </w:rPr>
                  </w:pPr>
                  <w:r>
                    <w:rPr>
                      <w:rFonts w:hint="eastAsia" w:ascii="Times New Roman" w:hAnsi="Times New Roman" w:eastAsia="宋体" w:cs="Times New Roman"/>
                      <w:bCs/>
                      <w:color w:val="auto"/>
                    </w:rPr>
                    <w:t>打磨粉尘D</w:t>
                  </w:r>
                  <w:r>
                    <w:rPr>
                      <w:rFonts w:ascii="Times New Roman" w:hAnsi="Times New Roman" w:eastAsia="宋体" w:cs="Times New Roman"/>
                      <w:bCs/>
                      <w:color w:val="auto"/>
                    </w:rPr>
                    <w:t>A004</w:t>
                  </w:r>
                </w:p>
              </w:tc>
              <w:tc>
                <w:tcPr>
                  <w:tcW w:w="2087" w:type="dxa"/>
                  <w:vAlign w:val="center"/>
                </w:tcPr>
                <w:p>
                  <w:pPr>
                    <w:pStyle w:val="36"/>
                    <w:adjustRightInd w:val="0"/>
                    <w:snapToGrid w:val="0"/>
                    <w:jc w:val="center"/>
                    <w:rPr>
                      <w:rFonts w:ascii="Times New Roman" w:hAnsi="Times New Roman" w:eastAsia="宋体" w:cs="Times New Roman"/>
                      <w:bCs/>
                      <w:color w:val="auto"/>
                    </w:rPr>
                  </w:pPr>
                  <w:r>
                    <w:rPr>
                      <w:rFonts w:hint="eastAsia" w:ascii="Times New Roman" w:hAnsi="Times New Roman" w:eastAsia="宋体" w:cs="Times New Roman"/>
                      <w:bCs/>
                      <w:color w:val="auto"/>
                    </w:rPr>
                    <w:t>颗粒物</w:t>
                  </w:r>
                </w:p>
              </w:tc>
              <w:tc>
                <w:tcPr>
                  <w:tcW w:w="2591"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《铸造工业大气污染物排放标准》（GB3976-2020）</w:t>
                  </w:r>
                </w:p>
              </w:tc>
              <w:tc>
                <w:tcPr>
                  <w:tcW w:w="122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08" w:type="dxa"/>
                  <w:vMerge w:val="continue"/>
                  <w:vAlign w:val="center"/>
                </w:tcPr>
                <w:p>
                  <w:pPr>
                    <w:pStyle w:val="36"/>
                    <w:adjustRightInd w:val="0"/>
                    <w:snapToGrid w:val="0"/>
                    <w:jc w:val="center"/>
                    <w:rPr>
                      <w:rFonts w:ascii="Times New Roman" w:hAnsi="Times New Roman" w:eastAsia="宋体" w:cs="Times New Roman"/>
                      <w:bCs/>
                      <w:color w:val="auto"/>
                    </w:rPr>
                  </w:pPr>
                </w:p>
              </w:tc>
              <w:tc>
                <w:tcPr>
                  <w:tcW w:w="1368" w:type="dxa"/>
                  <w:vMerge w:val="restart"/>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厂</w:t>
                  </w:r>
                  <w:r>
                    <w:rPr>
                      <w:rFonts w:hint="eastAsia" w:ascii="Times New Roman" w:hAnsi="Times New Roman" w:eastAsia="宋体" w:cs="Times New Roman"/>
                      <w:bCs/>
                      <w:color w:val="auto"/>
                    </w:rPr>
                    <w:t>房外</w:t>
                  </w:r>
                  <w:r>
                    <w:rPr>
                      <w:rFonts w:ascii="Times New Roman" w:hAnsi="Times New Roman" w:eastAsia="宋体" w:cs="Times New Roman"/>
                      <w:bCs/>
                      <w:color w:val="auto"/>
                    </w:rPr>
                    <w:t>无组织监控点</w:t>
                  </w:r>
                </w:p>
              </w:tc>
              <w:tc>
                <w:tcPr>
                  <w:tcW w:w="208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非甲烷总烃</w:t>
                  </w:r>
                </w:p>
              </w:tc>
              <w:tc>
                <w:tcPr>
                  <w:tcW w:w="2591"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《大气污染物综合排放标准》(DB50/418-2016)</w:t>
                  </w:r>
                </w:p>
              </w:tc>
              <w:tc>
                <w:tcPr>
                  <w:tcW w:w="122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08" w:type="dxa"/>
                  <w:vMerge w:val="continue"/>
                  <w:vAlign w:val="center"/>
                </w:tcPr>
                <w:p>
                  <w:pPr>
                    <w:pStyle w:val="36"/>
                    <w:adjustRightInd w:val="0"/>
                    <w:snapToGrid w:val="0"/>
                    <w:jc w:val="center"/>
                    <w:rPr>
                      <w:rFonts w:ascii="Times New Roman" w:hAnsi="Times New Roman" w:eastAsia="宋体" w:cs="Times New Roman"/>
                      <w:bCs/>
                      <w:color w:val="auto"/>
                    </w:rPr>
                  </w:pPr>
                </w:p>
              </w:tc>
              <w:tc>
                <w:tcPr>
                  <w:tcW w:w="1368" w:type="dxa"/>
                  <w:vMerge w:val="continue"/>
                  <w:vAlign w:val="center"/>
                </w:tcPr>
                <w:p>
                  <w:pPr>
                    <w:pStyle w:val="36"/>
                    <w:adjustRightInd w:val="0"/>
                    <w:snapToGrid w:val="0"/>
                    <w:jc w:val="center"/>
                    <w:rPr>
                      <w:rFonts w:ascii="Times New Roman" w:hAnsi="Times New Roman" w:eastAsia="宋体" w:cs="Times New Roman"/>
                      <w:bCs/>
                      <w:color w:val="auto"/>
                    </w:rPr>
                  </w:pPr>
                </w:p>
              </w:tc>
              <w:tc>
                <w:tcPr>
                  <w:tcW w:w="208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颗粒物</w:t>
                  </w:r>
                </w:p>
              </w:tc>
              <w:tc>
                <w:tcPr>
                  <w:tcW w:w="2591"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《铸造工业大气污染物排放标准》（GB3976-2020）</w:t>
                  </w:r>
                </w:p>
              </w:tc>
              <w:tc>
                <w:tcPr>
                  <w:tcW w:w="122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1次/年</w:t>
                  </w:r>
                </w:p>
              </w:tc>
            </w:tr>
          </w:tbl>
          <w:p>
            <w:pPr>
              <w:autoSpaceDE w:val="0"/>
              <w:autoSpaceDN w:val="0"/>
              <w:adjustRightInd w:val="0"/>
              <w:snapToGrid w:val="0"/>
              <w:spacing w:line="360" w:lineRule="auto"/>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4.3 废水</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4.3.1 废水产生情况</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本项目产生的废水主要为办公生活污水。</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4.3.2废水治理设施情况</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生活污水产生量为</w:t>
            </w:r>
            <w:r>
              <w:rPr>
                <w:rFonts w:ascii="Times New Roman" w:hAnsi="Times New Roman" w:eastAsia="宋体" w:cs="Times New Roman"/>
                <w:bCs/>
                <w:sz w:val="24"/>
                <w:szCs w:val="24"/>
              </w:rPr>
              <w:t>0.675</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/d（202.5t/a），</w:t>
            </w:r>
            <w:r>
              <w:rPr>
                <w:rFonts w:ascii="Times New Roman" w:hAnsi="Times New Roman" w:eastAsia="宋体" w:cs="Times New Roman"/>
                <w:bCs/>
                <w:sz w:val="24"/>
                <w:szCs w:val="24"/>
              </w:rPr>
              <w:t>废水中污染物主要为COD、BOD</w:t>
            </w:r>
            <w:r>
              <w:rPr>
                <w:rFonts w:ascii="Times New Roman" w:hAnsi="Times New Roman" w:eastAsia="宋体" w:cs="Times New Roman"/>
                <w:bCs/>
                <w:sz w:val="24"/>
                <w:szCs w:val="24"/>
                <w:vertAlign w:val="subscript"/>
              </w:rPr>
              <w:t>5</w:t>
            </w:r>
            <w:r>
              <w:rPr>
                <w:rFonts w:ascii="Times New Roman" w:hAnsi="Times New Roman" w:eastAsia="宋体" w:cs="Times New Roman"/>
                <w:bCs/>
                <w:sz w:val="24"/>
                <w:szCs w:val="24"/>
              </w:rPr>
              <w:t>、SS、NH</w:t>
            </w:r>
            <w:r>
              <w:rPr>
                <w:rFonts w:ascii="Times New Roman" w:hAnsi="Times New Roman" w:eastAsia="宋体" w:cs="Times New Roman"/>
                <w:bCs/>
                <w:sz w:val="24"/>
                <w:szCs w:val="24"/>
                <w:vertAlign w:val="subscript"/>
              </w:rPr>
              <w:t>3</w:t>
            </w:r>
            <w:r>
              <w:rPr>
                <w:rFonts w:ascii="Times New Roman" w:hAnsi="Times New Roman" w:eastAsia="宋体" w:cs="Times New Roman"/>
                <w:bCs/>
                <w:sz w:val="24"/>
                <w:szCs w:val="24"/>
              </w:rPr>
              <w:t>-N，初始浓度分别为：COD500mg/L、BOD</w:t>
            </w:r>
            <w:r>
              <w:rPr>
                <w:rFonts w:ascii="Times New Roman" w:hAnsi="Times New Roman" w:eastAsia="宋体" w:cs="Times New Roman"/>
                <w:bCs/>
                <w:sz w:val="24"/>
                <w:szCs w:val="24"/>
                <w:vertAlign w:val="subscript"/>
              </w:rPr>
              <w:t>5</w:t>
            </w:r>
            <w:r>
              <w:rPr>
                <w:rFonts w:ascii="Times New Roman" w:hAnsi="Times New Roman" w:eastAsia="宋体" w:cs="Times New Roman"/>
                <w:bCs/>
                <w:sz w:val="24"/>
                <w:szCs w:val="24"/>
              </w:rPr>
              <w:t>350mg/L、SS400mg/L、NH</w:t>
            </w:r>
            <w:r>
              <w:rPr>
                <w:rFonts w:ascii="Times New Roman" w:hAnsi="Times New Roman" w:eastAsia="宋体" w:cs="Times New Roman"/>
                <w:bCs/>
                <w:sz w:val="24"/>
                <w:szCs w:val="24"/>
                <w:vertAlign w:val="subscript"/>
              </w:rPr>
              <w:t>3</w:t>
            </w:r>
            <w:r>
              <w:rPr>
                <w:rFonts w:ascii="Times New Roman" w:hAnsi="Times New Roman" w:eastAsia="宋体" w:cs="Times New Roman"/>
                <w:bCs/>
                <w:sz w:val="24"/>
                <w:szCs w:val="24"/>
              </w:rPr>
              <w:t>-N45mg/L。</w:t>
            </w:r>
            <w:r>
              <w:rPr>
                <w:rFonts w:ascii="Times New Roman" w:hAnsi="Times New Roman" w:eastAsia="宋体" w:cs="Times New Roman"/>
                <w:sz w:val="24"/>
                <w:szCs w:val="24"/>
              </w:rPr>
              <w:t>经生化池</w:t>
            </w:r>
            <w:r>
              <w:rPr>
                <w:rFonts w:ascii="Times New Roman" w:hAnsi="Times New Roman" w:eastAsia="宋体" w:cs="Times New Roman"/>
                <w:bCs/>
                <w:sz w:val="24"/>
                <w:szCs w:val="21"/>
              </w:rPr>
              <w:t>处理后作为农肥使用，不外排。</w:t>
            </w:r>
          </w:p>
          <w:p>
            <w:pPr>
              <w:adjustRightInd w:val="0"/>
              <w:snapToGrid w:val="0"/>
              <w:spacing w:line="360" w:lineRule="auto"/>
              <w:rPr>
                <w:rFonts w:ascii="Times New Roman" w:hAnsi="Times New Roman" w:eastAsia="宋体" w:cs="Times New Roman"/>
                <w:b/>
                <w:sz w:val="24"/>
              </w:rPr>
            </w:pPr>
            <w:r>
              <w:rPr>
                <w:rFonts w:ascii="Times New Roman" w:hAnsi="Times New Roman" w:eastAsia="宋体" w:cs="Times New Roman"/>
                <w:b/>
                <w:sz w:val="24"/>
              </w:rPr>
              <w:t>4.3.3废水处理措施及达标分析</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生活污水排放量为0.675m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/d，经生化池处理后</w:t>
            </w:r>
            <w:r>
              <w:rPr>
                <w:rFonts w:ascii="Times New Roman" w:hAnsi="Times New Roman" w:eastAsia="宋体" w:cs="Times New Roman"/>
                <w:bCs/>
                <w:sz w:val="24"/>
                <w:szCs w:val="21"/>
              </w:rPr>
              <w:t>作为农肥使用，不外排</w:t>
            </w:r>
            <w:r>
              <w:rPr>
                <w:rFonts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生活污水处理工艺流程详见图4.3-1。</w:t>
            </w:r>
          </w:p>
          <w:p>
            <w:pPr>
              <w:adjustRightInd w:val="0"/>
              <w:snapToGrid w:val="0"/>
              <w:spacing w:line="360" w:lineRule="auto"/>
              <w:ind w:firstLine="420" w:firstLineChars="200"/>
              <w:jc w:val="center"/>
              <w:rPr>
                <w:rFonts w:ascii="Times New Roman" w:hAnsi="Times New Roman" w:eastAsia="宋体" w:cs="Times New Roman"/>
                <w:bCs/>
                <w:sz w:val="24"/>
                <w:szCs w:val="24"/>
              </w:rPr>
            </w:pPr>
            <w:r>
              <w:rPr>
                <w:rFonts w:ascii="Times New Roman" w:hAnsi="Times New Roman" w:cs="Times New Roman"/>
              </w:rPr>
              <w:object>
                <v:shape id="_x0000_i1031" o:spt="75" type="#_x0000_t75" style="height:41.25pt;width:332.25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图4.3-1  生活污水处理工艺流程图</w:t>
            </w:r>
          </w:p>
          <w:p>
            <w:pPr>
              <w:autoSpaceDE w:val="0"/>
              <w:autoSpaceDN w:val="0"/>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4.3.4 监测要求</w:t>
            </w:r>
          </w:p>
          <w:p>
            <w:pPr>
              <w:spacing w:line="360" w:lineRule="auto"/>
              <w:ind w:firstLine="480" w:firstLineChars="200"/>
              <w:rPr>
                <w:rFonts w:ascii="Times New Roman" w:hAnsi="Times New Roman" w:eastAsia="宋体" w:cs="Times New Roman"/>
                <w:b/>
                <w:sz w:val="24"/>
                <w:szCs w:val="24"/>
              </w:rPr>
            </w:pPr>
            <w:r>
              <w:rPr>
                <w:rFonts w:ascii="Times New Roman" w:hAnsi="Times New Roman" w:eastAsia="宋体" w:cs="Times New Roman"/>
                <w:sz w:val="24"/>
                <w:szCs w:val="24"/>
              </w:rPr>
              <w:t>项目废水监测计划参考《排污单位自行监测技术指南</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总则》（HJ819-2017）。本项目主要废水为生活污水，经生化池处理后用作农肥，不外排，不对其进行监测。</w:t>
            </w:r>
          </w:p>
          <w:p>
            <w:pPr>
              <w:autoSpaceDE w:val="0"/>
              <w:autoSpaceDN w:val="0"/>
              <w:spacing w:before="156" w:beforeLines="50" w:line="360" w:lineRule="auto"/>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4.4 噪声</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4.4.1 预测模型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根据项目建设内容及《环境影响评价技术导则—声环境》（HJ2.4-2021）的要求，项目环评采用的模型为《环境影响评价技术导则 声环境》(HJ2.4.2021)附录A（规范性附录）户外声传播的衰减和附录B（规范性附录）中“B.1工业噪声预测计算模型”。</w:t>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tc>
      </w:tr>
    </w:tbl>
    <w:p>
      <w:pPr>
        <w:jc w:val="center"/>
        <w:rPr>
          <w:rFonts w:ascii="Times New Roman" w:hAnsi="Times New Roman" w:eastAsia="黑体" w:cs="Times New Roman"/>
          <w:sz w:val="30"/>
          <w:szCs w:val="30"/>
        </w:rPr>
        <w:sectPr>
          <w:pgSz w:w="11906" w:h="16838"/>
          <w:pgMar w:top="1440" w:right="1800" w:bottom="1440" w:left="1800" w:header="851" w:footer="992" w:gutter="0"/>
          <w:pgNumType w:fmt="numberInDash"/>
          <w:cols w:space="425" w:num="1"/>
          <w:docGrid w:type="lines" w:linePitch="312" w:charSpace="0"/>
        </w:sectPr>
      </w:pPr>
    </w:p>
    <w:tbl>
      <w:tblPr>
        <w:tblStyle w:val="19"/>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jc w:val="center"/>
              <w:rPr>
                <w:rFonts w:ascii="Times New Roman" w:hAnsi="Times New Roman" w:eastAsia="黑体" w:cs="Times New Roman"/>
                <w:sz w:val="30"/>
                <w:szCs w:val="30"/>
              </w:rPr>
            </w:pPr>
          </w:p>
        </w:tc>
        <w:tc>
          <w:tcPr>
            <w:tcW w:w="13244" w:type="dxa"/>
          </w:tcPr>
          <w:p>
            <w:pPr>
              <w:rPr>
                <w:rFonts w:ascii="Times New Roman" w:hAnsi="Times New Roman" w:eastAsia="宋体" w:cs="Times New Roman"/>
                <w:b/>
                <w:sz w:val="24"/>
              </w:rPr>
            </w:pPr>
            <w:r>
              <w:rPr>
                <w:rFonts w:ascii="Times New Roman" w:hAnsi="Times New Roman" w:eastAsia="宋体" w:cs="Times New Roman"/>
                <w:b/>
                <w:sz w:val="24"/>
              </w:rPr>
              <w:t>4.4.2预测参数</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项目在生产过程中产生的噪声主要源自压铸机、抛丸机、加工中心、空压机、废气处理风机等，</w:t>
            </w:r>
            <w:r>
              <w:rPr>
                <w:rFonts w:hint="eastAsia" w:ascii="Times New Roman" w:hAnsi="Times New Roman" w:eastAsia="宋体" w:cs="Times New Roman"/>
                <w:sz w:val="24"/>
                <w:szCs w:val="24"/>
              </w:rPr>
              <w:t>以上</w:t>
            </w:r>
            <w:r>
              <w:rPr>
                <w:rFonts w:ascii="Times New Roman" w:hAnsi="Times New Roman" w:eastAsia="宋体" w:cs="Times New Roman"/>
                <w:sz w:val="24"/>
                <w:szCs w:val="24"/>
              </w:rPr>
              <w:t>设备产生的噪声声级一般在75dB以上。项目产生噪声的噪声源强调查清单见表4.4-1、表4.4-2。</w:t>
            </w:r>
          </w:p>
          <w:p>
            <w:pPr>
              <w:adjustRightInd w:val="0"/>
              <w:snapToGrid w:val="0"/>
              <w:spacing w:before="156" w:beforeLines="50"/>
              <w:jc w:val="center"/>
              <w:rPr>
                <w:rFonts w:ascii="Times New Roman" w:hAnsi="Times New Roman" w:cs="Times New Roman"/>
                <w:szCs w:val="21"/>
              </w:rPr>
            </w:pPr>
            <w:r>
              <w:rPr>
                <w:rFonts w:ascii="Times New Roman" w:hAnsi="Times New Roman" w:eastAsia="宋体" w:cs="Times New Roman"/>
                <w:b/>
                <w:sz w:val="24"/>
              </w:rPr>
              <w:t>表4.4-1  工业企业噪声源强调查清单（室外声源）</w:t>
            </w:r>
            <w:bookmarkStart w:id="19" w:name="PT_5"/>
          </w:p>
          <w:bookmarkEnd w:id="19"/>
          <w:tbl>
            <w:tblPr>
              <w:tblStyle w:val="19"/>
              <w:tblW w:w="102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320"/>
              <w:gridCol w:w="1320"/>
              <w:gridCol w:w="1320"/>
              <w:gridCol w:w="1322"/>
              <w:gridCol w:w="1925"/>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320" w:type="dxa"/>
                  <w:vMerge w:val="restart"/>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序号</w:t>
                  </w:r>
                </w:p>
              </w:tc>
              <w:tc>
                <w:tcPr>
                  <w:tcW w:w="1320" w:type="dxa"/>
                  <w:vMerge w:val="restart"/>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声源名称</w:t>
                  </w:r>
                </w:p>
              </w:tc>
              <w:tc>
                <w:tcPr>
                  <w:tcW w:w="3962" w:type="dxa"/>
                  <w:gridSpan w:val="3"/>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空间相对位置/m</w:t>
                  </w:r>
                </w:p>
              </w:tc>
              <w:tc>
                <w:tcPr>
                  <w:tcW w:w="3625" w:type="dxa"/>
                  <w:gridSpan w:val="2"/>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声源源强（任选一种）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1320" w:type="dxa"/>
                  <w:vMerge w:val="continue"/>
                  <w:vAlign w:val="center"/>
                </w:tcPr>
                <w:p>
                  <w:pPr>
                    <w:jc w:val="center"/>
                    <w:rPr>
                      <w:rFonts w:ascii="Times New Roman" w:hAnsi="Times New Roman" w:eastAsia="宋体" w:cs="Times New Roman"/>
                      <w:bCs/>
                      <w:szCs w:val="21"/>
                    </w:rPr>
                  </w:pPr>
                </w:p>
              </w:tc>
              <w:tc>
                <w:tcPr>
                  <w:tcW w:w="1320" w:type="dxa"/>
                  <w:vMerge w:val="continue"/>
                  <w:vAlign w:val="center"/>
                </w:tcPr>
                <w:p>
                  <w:pPr>
                    <w:jc w:val="center"/>
                    <w:rPr>
                      <w:rFonts w:ascii="Times New Roman" w:hAnsi="Times New Roman" w:eastAsia="宋体" w:cs="Times New Roman"/>
                      <w:bCs/>
                      <w:szCs w:val="21"/>
                    </w:rPr>
                  </w:pP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X</w:t>
                  </w: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Y</w:t>
                  </w:r>
                </w:p>
              </w:tc>
              <w:tc>
                <w:tcPr>
                  <w:tcW w:w="1322"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Z</w:t>
                  </w:r>
                </w:p>
              </w:tc>
              <w:tc>
                <w:tcPr>
                  <w:tcW w:w="1925"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（声压级/距声源距离）/（dB(A)/m）</w:t>
                  </w:r>
                </w:p>
              </w:tc>
              <w:tc>
                <w:tcPr>
                  <w:tcW w:w="170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声功率级/dB(A)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w:t>
                  </w: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风机1</w:t>
                  </w: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-4.9</w:t>
                  </w: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-16.6</w:t>
                  </w:r>
                </w:p>
              </w:tc>
              <w:tc>
                <w:tcPr>
                  <w:tcW w:w="1322"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1.2</w:t>
                  </w:r>
                </w:p>
              </w:tc>
              <w:tc>
                <w:tcPr>
                  <w:tcW w:w="192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70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2</w:t>
                  </w: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风机2</w:t>
                  </w: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10.1</w:t>
                  </w:r>
                </w:p>
              </w:tc>
              <w:tc>
                <w:tcPr>
                  <w:tcW w:w="132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14</w:t>
                  </w:r>
                </w:p>
              </w:tc>
              <w:tc>
                <w:tcPr>
                  <w:tcW w:w="1322"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1.2</w:t>
                  </w:r>
                </w:p>
              </w:tc>
              <w:tc>
                <w:tcPr>
                  <w:tcW w:w="192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700" w:type="dxa"/>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32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32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风机3</w:t>
                  </w:r>
                </w:p>
              </w:tc>
              <w:tc>
                <w:tcPr>
                  <w:tcW w:w="132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2.3</w:t>
                  </w:r>
                </w:p>
              </w:tc>
              <w:tc>
                <w:tcPr>
                  <w:tcW w:w="132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8</w:t>
                  </w:r>
                </w:p>
              </w:tc>
              <w:tc>
                <w:tcPr>
                  <w:tcW w:w="132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c>
                <w:tcPr>
                  <w:tcW w:w="192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70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5</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表中坐标以厂界中心（</w:t>
            </w:r>
            <w:bookmarkStart w:id="20" w:name="PO_6"/>
            <w:r>
              <w:rPr>
                <w:rFonts w:ascii="Times New Roman" w:hAnsi="Times New Roman" w:eastAsia="宋体" w:cs="Times New Roman"/>
                <w:sz w:val="24"/>
                <w:szCs w:val="24"/>
              </w:rPr>
              <w:t>106.123779,29.732759</w:t>
            </w:r>
            <w:bookmarkEnd w:id="20"/>
            <w:r>
              <w:rPr>
                <w:rFonts w:ascii="Times New Roman" w:hAnsi="Times New Roman" w:eastAsia="宋体" w:cs="Times New Roman"/>
                <w:sz w:val="24"/>
                <w:szCs w:val="24"/>
              </w:rPr>
              <w:t>）为坐标原点，正东向为X轴正方向，正北向为Y轴正方向。</w:t>
            </w:r>
          </w:p>
          <w:p>
            <w:pPr>
              <w:adjustRightInd w:val="0"/>
              <w:snapToGrid w:val="0"/>
              <w:spacing w:before="156" w:beforeLines="50"/>
              <w:jc w:val="center"/>
              <w:rPr>
                <w:rFonts w:ascii="Times New Roman" w:hAnsi="Times New Roman" w:cs="Times New Roman"/>
                <w:szCs w:val="21"/>
              </w:rPr>
            </w:pPr>
            <w:r>
              <w:rPr>
                <w:rFonts w:ascii="Times New Roman" w:hAnsi="Times New Roman" w:eastAsia="宋体" w:cs="Times New Roman"/>
                <w:b/>
                <w:sz w:val="24"/>
              </w:rPr>
              <w:t>表4.4-2  工业企业噪声源强调查清单（室内声源）</w:t>
            </w:r>
          </w:p>
          <w:tbl>
            <w:tblPr>
              <w:tblStyle w:val="18"/>
              <w:tblW w:w="126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73"/>
              <w:gridCol w:w="1155"/>
              <w:gridCol w:w="769"/>
              <w:gridCol w:w="769"/>
              <w:gridCol w:w="772"/>
              <w:gridCol w:w="639"/>
              <w:gridCol w:w="639"/>
              <w:gridCol w:w="639"/>
              <w:gridCol w:w="641"/>
              <w:gridCol w:w="631"/>
              <w:gridCol w:w="631"/>
              <w:gridCol w:w="631"/>
              <w:gridCol w:w="633"/>
              <w:gridCol w:w="609"/>
              <w:gridCol w:w="609"/>
              <w:gridCol w:w="609"/>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27" w:type="dxa"/>
                  <w:vMerge w:val="restart"/>
                  <w:vAlign w:val="center"/>
                </w:tcPr>
                <w:p>
                  <w:pPr>
                    <w:jc w:val="center"/>
                    <w:rPr>
                      <w:rFonts w:ascii="Times New Roman" w:hAnsi="Times New Roman" w:eastAsia="宋体" w:cs="Times New Roman"/>
                      <w:szCs w:val="21"/>
                    </w:rPr>
                  </w:pPr>
                  <w:bookmarkStart w:id="21" w:name="PT_6"/>
                  <w:r>
                    <w:rPr>
                      <w:rFonts w:ascii="Times New Roman" w:hAnsi="Times New Roman" w:eastAsia="宋体" w:cs="Times New Roman"/>
                      <w:b/>
                      <w:szCs w:val="21"/>
                    </w:rPr>
                    <w:t>序号</w:t>
                  </w:r>
                </w:p>
              </w:tc>
              <w:tc>
                <w:tcPr>
                  <w:tcW w:w="1273"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声源名称</w:t>
                  </w:r>
                </w:p>
              </w:tc>
              <w:tc>
                <w:tcPr>
                  <w:tcW w:w="1155" w:type="dxa"/>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声源源强</w:t>
                  </w:r>
                </w:p>
              </w:tc>
              <w:tc>
                <w:tcPr>
                  <w:tcW w:w="2310"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空间相对位置/m</w:t>
                  </w:r>
                </w:p>
              </w:tc>
              <w:tc>
                <w:tcPr>
                  <w:tcW w:w="2558" w:type="dxa"/>
                  <w:gridSpan w:val="4"/>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距室内边界距离/m</w:t>
                  </w:r>
                </w:p>
              </w:tc>
              <w:tc>
                <w:tcPr>
                  <w:tcW w:w="2526" w:type="dxa"/>
                  <w:gridSpan w:val="4"/>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室内边界声级/dB(A)</w:t>
                  </w:r>
                </w:p>
              </w:tc>
              <w:tc>
                <w:tcPr>
                  <w:tcW w:w="2436" w:type="dxa"/>
                  <w:gridSpan w:val="4"/>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建筑物插入损失 / dB(A)</w:t>
                  </w:r>
                  <w:bookmarkStart w:id="22" w:name="PT_10"/>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143" w:hRule="atLeast"/>
                <w:jc w:val="center"/>
              </w:trPr>
              <w:tc>
                <w:tcPr>
                  <w:tcW w:w="427" w:type="dxa"/>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p>
              </w:tc>
              <w:tc>
                <w:tcPr>
                  <w:tcW w:w="1273" w:type="dxa"/>
                  <w:vMerge w:val="continue"/>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声功率级/dB(A)</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X</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Y</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南</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南</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南</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压铸机1</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-8.8</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4.7</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4.1</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23.3</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65.1</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65.2</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64.9</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64.5</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压铸机2</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-10.4</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-9.1</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5.3</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9.6</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23.2</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65.0</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65.2</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64.7</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压铸机3</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-9.3</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5.8</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13.5</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22.9</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64.9</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65.2</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64.1</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压铸机4</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-9.9</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4.1</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14.3</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22.9</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64.9</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65.2</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w:t>
                  </w:r>
                  <w:r>
                    <w:rPr>
                      <w:rFonts w:hint="eastAsia" w:ascii="Times New Roman" w:hAnsi="Times New Roman" w:eastAsia="宋体" w:cs="Times New Roman"/>
                      <w:szCs w:val="21"/>
                    </w:rPr>
                    <w:t>4</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压铸机5</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-10.4</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5.4</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13.9</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22.9</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65.0</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65.3</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64.3</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64.3</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压铸机6</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6.7</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-10.6</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4.6</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13.2</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22.5</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65.1</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65.2</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压铸机7</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.7</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12</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.8</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3.9</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3.4</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4.7</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5.1</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4.7</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4.9</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空压机</w:t>
                  </w:r>
                  <w:r>
                    <w:rPr>
                      <w:rFonts w:hint="eastAsia" w:ascii="Times New Roman" w:hAnsi="Times New Roman" w:eastAsia="宋体" w:cs="Times New Roman"/>
                      <w:szCs w:val="21"/>
                    </w:rPr>
                    <w:t>1</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22.6</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-9.9</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9.4</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19.8</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79.2</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74.9</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74.7</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74.6</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空压机2</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3.1</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10.5</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.9</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0.2</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9.4</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9.4</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3.8</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3.4</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4.9</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空压机3</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3.4</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10.8</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.4</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.5</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9.4</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9.6</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2.9</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4.1</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4.2</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抛丸机1</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85</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8.6</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11.1</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23.3</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5.6</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3.6</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69.7</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69.6</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69.9</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70.4</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抛丸机2</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85</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12.2</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7.8</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23.0</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3.6</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70.0</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69.6</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69.9</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70.4</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加工中心1</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16.9</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2.6</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18.3</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8.1</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68.4</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67.3</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64.8</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4</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加工中心2</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16.3</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-3.4</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12.3</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14.1</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67.5</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64.7</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65.2</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61"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加工中心3</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16.1</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-7.3</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3.4</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8.4</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8.1</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18.0</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65.5</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64.7</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64.8</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273" w:hRule="atLeast"/>
                <w:jc w:val="center"/>
              </w:trPr>
              <w:tc>
                <w:tcPr>
                  <w:tcW w:w="427"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6</w:t>
                  </w:r>
                </w:p>
              </w:tc>
              <w:tc>
                <w:tcPr>
                  <w:tcW w:w="127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加工中心4</w:t>
                  </w:r>
                </w:p>
              </w:tc>
              <w:tc>
                <w:tcPr>
                  <w:tcW w:w="1155"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16.1</w:t>
                  </w:r>
                </w:p>
              </w:tc>
              <w:tc>
                <w:tcPr>
                  <w:tcW w:w="76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-10.9</w:t>
                  </w:r>
                </w:p>
              </w:tc>
              <w:tc>
                <w:tcPr>
                  <w:tcW w:w="772"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3.1</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4.8</w:t>
                  </w:r>
                </w:p>
              </w:tc>
              <w:tc>
                <w:tcPr>
                  <w:tcW w:w="63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11.7</w:t>
                  </w:r>
                </w:p>
              </w:tc>
              <w:tc>
                <w:tcPr>
                  <w:tcW w:w="64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21.6</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65.7</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65.1</w:t>
                  </w:r>
                </w:p>
              </w:tc>
              <w:tc>
                <w:tcPr>
                  <w:tcW w:w="631"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64.7</w:t>
                  </w:r>
                </w:p>
              </w:tc>
              <w:tc>
                <w:tcPr>
                  <w:tcW w:w="633"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64.6</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c>
                <w:tcPr>
                  <w:tcW w:w="609" w:type="dxa"/>
                  <w:shd w:val="clear" w:color="auto" w:fill="FFFFFF"/>
                  <w:tcMar>
                    <w:top w:w="0" w:type="dxa"/>
                    <w:left w:w="0" w:type="dxa"/>
                    <w:bottom w:w="0" w:type="dxa"/>
                    <w:right w:w="0"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w:t>
                  </w:r>
                </w:p>
              </w:tc>
            </w:tr>
            <w:bookmarkEnd w:id="21"/>
          </w:tbl>
          <w:p>
            <w:pPr>
              <w:spacing w:line="360" w:lineRule="auto"/>
              <w:ind w:firstLine="440" w:firstLineChars="200"/>
              <w:rPr>
                <w:rFonts w:ascii="Times New Roman" w:hAnsi="Times New Roman" w:eastAsia="宋体" w:cs="Times New Roman"/>
                <w:sz w:val="22"/>
              </w:rPr>
            </w:pPr>
            <w:r>
              <w:rPr>
                <w:rFonts w:ascii="Times New Roman" w:hAnsi="Times New Roman" w:eastAsia="宋体" w:cs="Times New Roman"/>
                <w:sz w:val="22"/>
              </w:rPr>
              <w:t>表中坐标以厂界中心（106.123779,29.732759）为坐标原点，正东向为X轴正方向，正北向为Y轴正方向。</w:t>
            </w:r>
          </w:p>
          <w:p>
            <w:pPr>
              <w:rPr>
                <w:rFonts w:ascii="Times New Roman" w:hAnsi="Times New Roman" w:eastAsia="宋体" w:cs="Times New Roman"/>
                <w:b/>
                <w:sz w:val="24"/>
              </w:rPr>
            </w:pPr>
            <w:r>
              <w:rPr>
                <w:rFonts w:ascii="Times New Roman" w:hAnsi="Times New Roman" w:eastAsia="宋体" w:cs="Times New Roman"/>
                <w:b/>
                <w:sz w:val="24"/>
              </w:rPr>
              <w:t>4.4.3预测结果</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通过预测模型计算，项目厂界噪声预测结果与达标分析见表4.4-3，声环境保护目标噪声预测结果与达标分析见表4.4-4。</w:t>
            </w:r>
          </w:p>
          <w:p>
            <w:pPr>
              <w:adjustRightInd w:val="0"/>
              <w:snapToGrid w:val="0"/>
              <w:spacing w:before="156" w:beforeLines="50"/>
              <w:jc w:val="center"/>
              <w:rPr>
                <w:rFonts w:ascii="Times New Roman" w:hAnsi="Times New Roman" w:eastAsia="宋体" w:cs="Times New Roman"/>
                <w:b/>
                <w:sz w:val="24"/>
              </w:rPr>
            </w:pPr>
            <w:r>
              <w:rPr>
                <w:rFonts w:ascii="Times New Roman" w:hAnsi="Times New Roman" w:eastAsia="宋体" w:cs="Times New Roman"/>
                <w:b/>
                <w:sz w:val="24"/>
              </w:rPr>
              <w:t>表4.4-3  厂界噪声预测结果与达标分析表</w:t>
            </w:r>
            <w:bookmarkStart w:id="23" w:name="PT_7"/>
          </w:p>
          <w:tbl>
            <w:tblPr>
              <w:tblStyle w:val="18"/>
              <w:tblW w:w="123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502"/>
              <w:gridCol w:w="1314"/>
              <w:gridCol w:w="1348"/>
              <w:gridCol w:w="1315"/>
              <w:gridCol w:w="1878"/>
              <w:gridCol w:w="1879"/>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exact"/>
                <w:jc w:val="center"/>
              </w:trPr>
              <w:tc>
                <w:tcPr>
                  <w:tcW w:w="154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预测方位</w:t>
                  </w:r>
                </w:p>
              </w:tc>
              <w:tc>
                <w:tcPr>
                  <w:tcW w:w="4164"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最大值点空间相对位置/m</w:t>
                  </w:r>
                </w:p>
              </w:tc>
              <w:tc>
                <w:tcPr>
                  <w:tcW w:w="131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时段</w:t>
                  </w:r>
                </w:p>
              </w:tc>
              <w:tc>
                <w:tcPr>
                  <w:tcW w:w="18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贡献值（dB(A)）</w:t>
                  </w:r>
                </w:p>
              </w:tc>
              <w:tc>
                <w:tcPr>
                  <w:tcW w:w="187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标准限值（dB(A)）</w:t>
                  </w:r>
                </w:p>
              </w:tc>
              <w:tc>
                <w:tcPr>
                  <w:tcW w:w="1587"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541" w:type="dxa"/>
                  <w:vMerge w:val="continue"/>
                  <w:shd w:val="clear" w:color="auto" w:fill="FFFFFF"/>
                  <w:vAlign w:val="center"/>
                </w:tcPr>
                <w:p>
                  <w:pPr>
                    <w:jc w:val="center"/>
                    <w:rPr>
                      <w:rFonts w:ascii="Times New Roman" w:hAnsi="Times New Roman" w:eastAsia="宋体" w:cs="Times New Roman"/>
                      <w:szCs w:val="21"/>
                    </w:rPr>
                  </w:pPr>
                </w:p>
              </w:tc>
              <w:tc>
                <w:tcPr>
                  <w:tcW w:w="1502"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X</w:t>
                  </w:r>
                </w:p>
              </w:tc>
              <w:tc>
                <w:tcPr>
                  <w:tcW w:w="1314"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Y</w:t>
                  </w:r>
                </w:p>
              </w:tc>
              <w:tc>
                <w:tcPr>
                  <w:tcW w:w="134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w:t>
                  </w:r>
                </w:p>
              </w:tc>
              <w:tc>
                <w:tcPr>
                  <w:tcW w:w="1315" w:type="dxa"/>
                  <w:vMerge w:val="continue"/>
                  <w:shd w:val="clear" w:color="auto" w:fill="FFFFFF"/>
                  <w:vAlign w:val="center"/>
                </w:tcPr>
                <w:p>
                  <w:pPr>
                    <w:jc w:val="center"/>
                    <w:rPr>
                      <w:rFonts w:ascii="Times New Roman" w:hAnsi="Times New Roman" w:eastAsia="宋体" w:cs="Times New Roman"/>
                      <w:szCs w:val="21"/>
                    </w:rPr>
                  </w:pPr>
                </w:p>
              </w:tc>
              <w:tc>
                <w:tcPr>
                  <w:tcW w:w="1878" w:type="dxa"/>
                  <w:vMerge w:val="continue"/>
                  <w:shd w:val="clear" w:color="auto" w:fill="FFFFFF"/>
                  <w:vAlign w:val="center"/>
                </w:tcPr>
                <w:p>
                  <w:pPr>
                    <w:jc w:val="center"/>
                    <w:rPr>
                      <w:rFonts w:ascii="Times New Roman" w:hAnsi="Times New Roman" w:eastAsia="宋体" w:cs="Times New Roman"/>
                      <w:szCs w:val="21"/>
                    </w:rPr>
                  </w:pPr>
                </w:p>
              </w:tc>
              <w:tc>
                <w:tcPr>
                  <w:tcW w:w="1879" w:type="dxa"/>
                  <w:vMerge w:val="continue"/>
                  <w:shd w:val="clear" w:color="auto" w:fill="FFFFFF"/>
                  <w:vAlign w:val="center"/>
                </w:tcPr>
                <w:p>
                  <w:pPr>
                    <w:jc w:val="center"/>
                    <w:rPr>
                      <w:rFonts w:ascii="Times New Roman" w:hAnsi="Times New Roman" w:eastAsia="宋体" w:cs="Times New Roman"/>
                      <w:szCs w:val="21"/>
                    </w:rPr>
                  </w:pPr>
                </w:p>
                <w:bookmarkEnd w:id="23"/>
              </w:tc>
              <w:tc>
                <w:tcPr>
                  <w:tcW w:w="1587" w:type="dxa"/>
                  <w:vMerge w:val="continue"/>
                  <w:shd w:val="clear" w:color="auto" w:fill="FFFFFF"/>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0" w:hRule="exact"/>
                <w:jc w:val="center"/>
              </w:trPr>
              <w:tc>
                <w:tcPr>
                  <w:tcW w:w="1541"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东侧</w:t>
                  </w:r>
                </w:p>
              </w:tc>
              <w:tc>
                <w:tcPr>
                  <w:tcW w:w="1502"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23.6</w:t>
                  </w:r>
                </w:p>
              </w:tc>
              <w:tc>
                <w:tcPr>
                  <w:tcW w:w="1314"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-9.1</w:t>
                  </w:r>
                </w:p>
              </w:tc>
              <w:tc>
                <w:tcPr>
                  <w:tcW w:w="134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315"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87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57.9</w:t>
                  </w:r>
                </w:p>
              </w:tc>
              <w:tc>
                <w:tcPr>
                  <w:tcW w:w="187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58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0" w:hRule="exact"/>
                <w:jc w:val="center"/>
              </w:trPr>
              <w:tc>
                <w:tcPr>
                  <w:tcW w:w="1541"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南侧</w:t>
                  </w:r>
                </w:p>
              </w:tc>
              <w:tc>
                <w:tcPr>
                  <w:tcW w:w="1502"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13.3</w:t>
                  </w:r>
                </w:p>
              </w:tc>
              <w:tc>
                <w:tcPr>
                  <w:tcW w:w="1314"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-14.4</w:t>
                  </w:r>
                </w:p>
              </w:tc>
              <w:tc>
                <w:tcPr>
                  <w:tcW w:w="134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315"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87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58.2</w:t>
                  </w:r>
                </w:p>
              </w:tc>
              <w:tc>
                <w:tcPr>
                  <w:tcW w:w="187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58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0" w:hRule="exact"/>
                <w:jc w:val="center"/>
              </w:trPr>
              <w:tc>
                <w:tcPr>
                  <w:tcW w:w="1541"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西侧</w:t>
                  </w:r>
                </w:p>
              </w:tc>
              <w:tc>
                <w:tcPr>
                  <w:tcW w:w="1502"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-14.8</w:t>
                  </w:r>
                </w:p>
              </w:tc>
              <w:tc>
                <w:tcPr>
                  <w:tcW w:w="1314"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13.6</w:t>
                  </w:r>
                </w:p>
              </w:tc>
              <w:tc>
                <w:tcPr>
                  <w:tcW w:w="134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315"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87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55.5</w:t>
                  </w:r>
                </w:p>
              </w:tc>
              <w:tc>
                <w:tcPr>
                  <w:tcW w:w="187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58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0" w:hRule="exact"/>
                <w:jc w:val="center"/>
              </w:trPr>
              <w:tc>
                <w:tcPr>
                  <w:tcW w:w="1541"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北侧</w:t>
                  </w:r>
                </w:p>
              </w:tc>
              <w:tc>
                <w:tcPr>
                  <w:tcW w:w="1502"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314"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10.9</w:t>
                  </w:r>
                </w:p>
              </w:tc>
              <w:tc>
                <w:tcPr>
                  <w:tcW w:w="134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315"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87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58.3</w:t>
                  </w:r>
                </w:p>
              </w:tc>
              <w:tc>
                <w:tcPr>
                  <w:tcW w:w="187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58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70" w:hRule="exact"/>
                <w:jc w:val="center"/>
              </w:trPr>
              <w:tc>
                <w:tcPr>
                  <w:tcW w:w="12364" w:type="dxa"/>
                  <w:gridSpan w:val="8"/>
                  <w:shd w:val="clear" w:color="auto" w:fill="FFFFFF"/>
                  <w:vAlign w:val="center"/>
                </w:tcPr>
                <w:p>
                  <w:pPr>
                    <w:rPr>
                      <w:rFonts w:ascii="Times New Roman" w:hAnsi="Times New Roman" w:eastAsia="宋体" w:cs="Times New Roman"/>
                      <w:szCs w:val="21"/>
                    </w:rPr>
                  </w:pPr>
                  <w:r>
                    <w:rPr>
                      <w:rFonts w:ascii="Times New Roman" w:hAnsi="Times New Roman" w:eastAsia="宋体" w:cs="Times New Roman"/>
                      <w:szCs w:val="21"/>
                    </w:rPr>
                    <w:t>表中坐标以厂界中心（</w:t>
                  </w:r>
                  <w:bookmarkStart w:id="24" w:name="PO_8"/>
                  <w:r>
                    <w:rPr>
                      <w:rFonts w:ascii="Times New Roman" w:hAnsi="Times New Roman" w:eastAsia="宋体" w:cs="Times New Roman"/>
                      <w:szCs w:val="21"/>
                    </w:rPr>
                    <w:t>106.123779,29.732759</w:t>
                  </w:r>
                  <w:bookmarkEnd w:id="24"/>
                  <w:r>
                    <w:rPr>
                      <w:rFonts w:ascii="Times New Roman" w:hAnsi="Times New Roman" w:eastAsia="宋体" w:cs="Times New Roman"/>
                      <w:szCs w:val="21"/>
                    </w:rPr>
                    <w:t>）为坐标原点，正东向为X轴正方向，正北向为Y轴正方向</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由上表可知，正常工况下，项目厂界噪声满足《工业企业厂界环境噪声排放标准》(GB12348.2008) </w:t>
            </w:r>
            <w:bookmarkStart w:id="25" w:name="PO_3"/>
            <w:r>
              <w:rPr>
                <w:rFonts w:ascii="Times New Roman" w:hAnsi="Times New Roman" w:eastAsia="宋体" w:cs="Times New Roman"/>
                <w:sz w:val="24"/>
                <w:szCs w:val="24"/>
              </w:rPr>
              <w:t>2</w:t>
            </w:r>
            <w:bookmarkEnd w:id="25"/>
            <w:r>
              <w:rPr>
                <w:rFonts w:ascii="Times New Roman" w:hAnsi="Times New Roman" w:eastAsia="宋体" w:cs="Times New Roman"/>
                <w:sz w:val="24"/>
                <w:szCs w:val="24"/>
              </w:rPr>
              <w:t>类标准。</w:t>
            </w:r>
          </w:p>
        </w:tc>
      </w:tr>
    </w:tbl>
    <w:p>
      <w:pPr>
        <w:jc w:val="center"/>
        <w:rPr>
          <w:rFonts w:ascii="Times New Roman" w:hAnsi="Times New Roman" w:eastAsia="黑体" w:cs="Times New Roman"/>
          <w:sz w:val="30"/>
          <w:szCs w:val="30"/>
        </w:rPr>
        <w:sectPr>
          <w:pgSz w:w="16838" w:h="11906" w:orient="landscape"/>
          <w:pgMar w:top="1800" w:right="1440" w:bottom="1800" w:left="1440" w:header="851" w:footer="992" w:gutter="0"/>
          <w:pgNumType w:fmt="numberInDash"/>
          <w:cols w:space="425" w:num="1"/>
          <w:docGrid w:type="lines" w:linePitch="312" w:charSpace="0"/>
        </w:sectPr>
      </w:pPr>
    </w:p>
    <w:tbl>
      <w:tblPr>
        <w:tblStyle w:val="18"/>
        <w:tblW w:w="9062" w:type="dxa"/>
        <w:jc w:val="center"/>
        <w:tblInd w:w="0" w:type="dxa"/>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36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699" w:type="dxa"/>
            <w:vAlign w:val="center"/>
          </w:tcPr>
          <w:p>
            <w:pPr>
              <w:autoSpaceDE w:val="0"/>
              <w:autoSpaceDN w:val="0"/>
              <w:adjustRightInd w:val="0"/>
              <w:snapToGrid w:val="0"/>
              <w:jc w:val="center"/>
              <w:rPr>
                <w:rFonts w:ascii="Times New Roman" w:hAnsi="Times New Roman" w:eastAsia="宋体" w:cs="Times New Roman"/>
                <w:kern w:val="0"/>
                <w:sz w:val="22"/>
              </w:rPr>
            </w:pPr>
          </w:p>
        </w:tc>
        <w:tc>
          <w:tcPr>
            <w:tcW w:w="8363" w:type="dxa"/>
            <w:vAlign w:val="center"/>
          </w:tcPr>
          <w:p>
            <w:pPr>
              <w:adjustRightInd w:val="0"/>
              <w:snapToGrid w:val="0"/>
              <w:spacing w:before="156" w:beforeLines="50"/>
              <w:jc w:val="center"/>
              <w:rPr>
                <w:rFonts w:ascii="Times New Roman" w:hAnsi="Times New Roman" w:eastAsia="宋体" w:cs="Times New Roman"/>
                <w:b/>
                <w:sz w:val="24"/>
              </w:rPr>
            </w:pPr>
            <w:r>
              <w:rPr>
                <w:rFonts w:ascii="Times New Roman" w:hAnsi="Times New Roman" w:eastAsia="宋体" w:cs="Times New Roman"/>
                <w:b/>
                <w:sz w:val="24"/>
              </w:rPr>
              <w:t>表4.4-4  工业企业声环境保护目标噪声预测结果与达标分析表</w:t>
            </w:r>
          </w:p>
          <w:tbl>
            <w:tblPr>
              <w:tblStyle w:val="18"/>
              <w:tblW w:w="76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1674"/>
              <w:gridCol w:w="1369"/>
              <w:gridCol w:w="1417"/>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exact"/>
                <w:jc w:val="center"/>
              </w:trPr>
              <w:tc>
                <w:tcPr>
                  <w:tcW w:w="35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序号</w:t>
                  </w:r>
                </w:p>
              </w:tc>
              <w:tc>
                <w:tcPr>
                  <w:tcW w:w="167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声环境保护目标名称</w:t>
                  </w:r>
                </w:p>
              </w:tc>
              <w:tc>
                <w:tcPr>
                  <w:tcW w:w="1369" w:type="dxa"/>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噪声背景值/dB(A)</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噪声标准/dB(A)</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噪声预测值/dB(A)</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b/>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shd w:val="clear" w:color="auto" w:fill="FFFFFF"/>
                  <w:vAlign w:val="center"/>
                </w:tcPr>
                <w:p>
                  <w:pPr>
                    <w:jc w:val="center"/>
                    <w:rPr>
                      <w:rFonts w:ascii="Times New Roman" w:hAnsi="Times New Roman" w:eastAsia="宋体" w:cs="Times New Roman"/>
                      <w:szCs w:val="21"/>
                    </w:rPr>
                  </w:pPr>
                </w:p>
              </w:tc>
              <w:tc>
                <w:tcPr>
                  <w:tcW w:w="1674" w:type="dxa"/>
                  <w:vMerge w:val="continue"/>
                  <w:shd w:val="clear" w:color="auto" w:fill="FFFFFF"/>
                  <w:vAlign w:val="center"/>
                </w:tcPr>
                <w:p>
                  <w:pPr>
                    <w:jc w:val="center"/>
                    <w:rPr>
                      <w:rFonts w:ascii="Times New Roman" w:hAnsi="Times New Roman" w:eastAsia="宋体" w:cs="Times New Roman"/>
                      <w:szCs w:val="21"/>
                    </w:rPr>
                  </w:pPr>
                </w:p>
              </w:tc>
              <w:tc>
                <w:tcPr>
                  <w:tcW w:w="136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41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418"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41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jc w:val="center"/>
              </w:trPr>
              <w:tc>
                <w:tcPr>
                  <w:tcW w:w="35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74"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1#散户居民点</w:t>
                  </w:r>
                </w:p>
              </w:tc>
              <w:tc>
                <w:tcPr>
                  <w:tcW w:w="136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54</w:t>
                  </w:r>
                </w:p>
              </w:tc>
              <w:tc>
                <w:tcPr>
                  <w:tcW w:w="141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418" w:type="dxa"/>
                  <w:shd w:val="clear" w:color="auto" w:fill="FFFFFF"/>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7.8</w:t>
                  </w:r>
                </w:p>
              </w:tc>
              <w:tc>
                <w:tcPr>
                  <w:tcW w:w="141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jc w:val="center"/>
              </w:trPr>
              <w:tc>
                <w:tcPr>
                  <w:tcW w:w="35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74"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2#散户居民点</w:t>
                  </w:r>
                </w:p>
              </w:tc>
              <w:tc>
                <w:tcPr>
                  <w:tcW w:w="1369"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55</w:t>
                  </w:r>
                </w:p>
              </w:tc>
              <w:tc>
                <w:tcPr>
                  <w:tcW w:w="141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418" w:type="dxa"/>
                  <w:shd w:val="clear" w:color="auto" w:fill="FFFFFF"/>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9.3</w:t>
                  </w:r>
                </w:p>
              </w:tc>
              <w:tc>
                <w:tcPr>
                  <w:tcW w:w="1417" w:type="dxa"/>
                  <w:shd w:val="clear" w:color="auto" w:fill="FFFFFF"/>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达标</w:t>
                  </w:r>
                </w:p>
              </w:tc>
            </w:tr>
          </w:tbl>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由上表可知，正常工况下，项目声环境保护目标噪声满足《声环境质量标准》(GB3096-2008) 2类标准。</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4.4.4监测要求</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根据《排污单位自行监测技术指南</w:t>
            </w:r>
            <w:r>
              <w:rPr>
                <w:rFonts w:hint="eastAsia" w:ascii="Times New Roman" w:hAnsi="Times New Roman" w:eastAsia="宋体" w:cs="Times New Roman"/>
                <w:kern w:val="0"/>
                <w:sz w:val="24"/>
                <w:szCs w:val="24"/>
              </w:rPr>
              <w:t xml:space="preserve"> </w:t>
            </w:r>
            <w:r>
              <w:rPr>
                <w:rFonts w:ascii="Times New Roman" w:hAnsi="Times New Roman" w:eastAsia="宋体" w:cs="Times New Roman"/>
                <w:kern w:val="0"/>
                <w:sz w:val="24"/>
                <w:szCs w:val="24"/>
              </w:rPr>
              <w:t>总则》（HJ819-2017）和本项目情况，确定本项目噪声的日常监测要求，见下表所示。</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表4.4-5  噪声监测要求一览表</w:t>
            </w:r>
          </w:p>
          <w:tbl>
            <w:tblPr>
              <w:tblStyle w:val="18"/>
              <w:tblW w:w="7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22"/>
              <w:gridCol w:w="1847"/>
              <w:gridCol w:w="2654"/>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8"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类别</w:t>
                  </w:r>
                </w:p>
              </w:tc>
              <w:tc>
                <w:tcPr>
                  <w:tcW w:w="1222"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监测点位</w:t>
                  </w:r>
                </w:p>
              </w:tc>
              <w:tc>
                <w:tcPr>
                  <w:tcW w:w="184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监测项目</w:t>
                  </w:r>
                </w:p>
              </w:tc>
              <w:tc>
                <w:tcPr>
                  <w:tcW w:w="265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执行标准</w:t>
                  </w:r>
                </w:p>
              </w:tc>
              <w:tc>
                <w:tcPr>
                  <w:tcW w:w="154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8"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噪声</w:t>
                  </w:r>
                </w:p>
              </w:tc>
              <w:tc>
                <w:tcPr>
                  <w:tcW w:w="1222"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厂界外1m</w:t>
                  </w:r>
                </w:p>
              </w:tc>
              <w:tc>
                <w:tcPr>
                  <w:tcW w:w="184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昼间等效连续A声级</w:t>
                  </w:r>
                </w:p>
              </w:tc>
              <w:tc>
                <w:tcPr>
                  <w:tcW w:w="2654"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《工业企业厂界环境噪声排放标准》（GB12348-2008）2类</w:t>
                  </w:r>
                </w:p>
              </w:tc>
              <w:tc>
                <w:tcPr>
                  <w:tcW w:w="1547" w:type="dxa"/>
                  <w:vAlign w:val="center"/>
                </w:tcPr>
                <w:p>
                  <w:pPr>
                    <w:pStyle w:val="36"/>
                    <w:adjustRightInd w:val="0"/>
                    <w:snapToGrid w:val="0"/>
                    <w:jc w:val="center"/>
                    <w:rPr>
                      <w:rFonts w:ascii="Times New Roman" w:hAnsi="Times New Roman" w:eastAsia="宋体" w:cs="Times New Roman"/>
                      <w:bCs/>
                      <w:color w:val="auto"/>
                    </w:rPr>
                  </w:pPr>
                  <w:r>
                    <w:rPr>
                      <w:rFonts w:ascii="Times New Roman" w:hAnsi="Times New Roman" w:eastAsia="宋体" w:cs="Times New Roman"/>
                      <w:bCs/>
                      <w:color w:val="auto"/>
                    </w:rPr>
                    <w:t>每季度监测一次。</w:t>
                  </w:r>
                </w:p>
              </w:tc>
            </w:tr>
          </w:tbl>
          <w:p>
            <w:pPr>
              <w:autoSpaceDE w:val="0"/>
              <w:autoSpaceDN w:val="0"/>
              <w:spacing w:before="156" w:beforeLines="50" w:line="360" w:lineRule="auto"/>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4.5 固体废物</w:t>
            </w:r>
          </w:p>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4.5.1 固体废物产生环节、产生量及处置方式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固体废物主要包括：一般工业固体废物（废边角料、不合格产品、废包装材料等）；危险废物（铝渣/铝灰、废液压油、废铝屑、废切削液、废机油、废包装桶、废含油棉纱手套、浮油/渣、污泥等）；生活垃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（1）一般工业固废</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废边角料</w:t>
            </w:r>
            <w:r>
              <w:rPr>
                <w:rFonts w:hint="eastAsia" w:ascii="Times New Roman" w:hAnsi="Times New Roman" w:eastAsia="宋体" w:cs="Times New Roman"/>
                <w:sz w:val="24"/>
                <w:szCs w:val="24"/>
              </w:rPr>
              <w:t>（含加工铝屑、除尘灰等）</w:t>
            </w:r>
            <w:r>
              <w:rPr>
                <w:rFonts w:ascii="Times New Roman" w:hAnsi="Times New Roman" w:eastAsia="宋体" w:cs="Times New Roman"/>
                <w:sz w:val="24"/>
                <w:szCs w:val="24"/>
              </w:rPr>
              <w:t>：</w:t>
            </w:r>
            <w:r>
              <w:rPr>
                <w:rFonts w:hint="eastAsia" w:ascii="Times New Roman" w:hAnsi="Times New Roman" w:eastAsia="宋体" w:cs="Times New Roman"/>
                <w:sz w:val="24"/>
                <w:szCs w:val="24"/>
              </w:rPr>
              <w:t>机加工过程会产生一定</w:t>
            </w:r>
            <w:r>
              <w:rPr>
                <w:rFonts w:ascii="Times New Roman" w:hAnsi="Times New Roman" w:eastAsia="宋体" w:cs="Times New Roman"/>
                <w:sz w:val="24"/>
                <w:szCs w:val="24"/>
              </w:rPr>
              <w:t>量的废弃边角料，废边角料产生量约为15t/a，统一收集后回用于生产。</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不合格产品：根据建设单位提供资料，</w:t>
            </w:r>
            <w:r>
              <w:rPr>
                <w:rFonts w:hint="eastAsia" w:ascii="Times New Roman" w:hAnsi="Times New Roman" w:eastAsia="宋体" w:cs="Times New Roman"/>
                <w:sz w:val="24"/>
                <w:szCs w:val="24"/>
              </w:rPr>
              <w:t>项目压铸成品率约为9</w:t>
            </w:r>
            <w:r>
              <w:rPr>
                <w:rFonts w:ascii="Times New Roman" w:hAnsi="Times New Roman" w:eastAsia="宋体" w:cs="Times New Roman"/>
                <w:sz w:val="24"/>
                <w:szCs w:val="24"/>
              </w:rPr>
              <w:t>5</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不合格产品产生量约60t/a，统一收集后</w:t>
            </w:r>
            <w:r>
              <w:rPr>
                <w:rFonts w:hint="eastAsia" w:ascii="Times New Roman" w:hAnsi="Times New Roman" w:eastAsia="宋体" w:cs="Times New Roman"/>
                <w:sz w:val="24"/>
                <w:szCs w:val="24"/>
              </w:rPr>
              <w:t>回用于生产</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废包装材料：本项目包装入库的时候将会产生废包装材料，废包装材料产生量</w:t>
            </w:r>
            <w:r>
              <w:rPr>
                <w:rFonts w:hint="eastAsia" w:ascii="Times New Roman" w:hAnsi="Times New Roman" w:eastAsia="宋体" w:cs="Times New Roman"/>
                <w:sz w:val="24"/>
                <w:szCs w:val="24"/>
              </w:rPr>
              <w:t>约</w:t>
            </w:r>
            <w:r>
              <w:rPr>
                <w:rFonts w:ascii="Times New Roman" w:hAnsi="Times New Roman" w:eastAsia="宋体" w:cs="Times New Roman"/>
                <w:sz w:val="24"/>
                <w:szCs w:val="24"/>
              </w:rPr>
              <w:t>为1t/a，统一收集后再外销综合利用。</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废钢丸：</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（2）危险废物</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废铝渣/铝灰：拟建项目熔炼和压铸工序不使用除渣剂、</w:t>
            </w:r>
            <w:r>
              <w:rPr>
                <w:rFonts w:hint="eastAsia" w:ascii="Times New Roman" w:hAnsi="Times New Roman" w:eastAsia="宋体" w:cs="Times New Roman"/>
                <w:kern w:val="0"/>
                <w:sz w:val="24"/>
                <w:szCs w:val="24"/>
              </w:rPr>
              <w:t>精炼剂等，根据建设单位提供经验参数，铝渣产生量约为</w:t>
            </w:r>
            <w:r>
              <w:rPr>
                <w:rFonts w:ascii="Times New Roman" w:hAnsi="Times New Roman" w:eastAsia="宋体" w:cs="Times New Roman"/>
                <w:kern w:val="0"/>
                <w:sz w:val="24"/>
                <w:szCs w:val="24"/>
              </w:rPr>
              <w:t>130</w:t>
            </w:r>
            <w:r>
              <w:rPr>
                <w:rFonts w:hint="eastAsia" w:ascii="Times New Roman" w:hAnsi="Times New Roman" w:eastAsia="宋体" w:cs="Times New Roman"/>
                <w:kern w:val="0"/>
                <w:sz w:val="24"/>
                <w:szCs w:val="24"/>
              </w:rPr>
              <w:t>t/a；</w:t>
            </w:r>
            <w:r>
              <w:rPr>
                <w:rFonts w:ascii="Times New Roman" w:hAnsi="Times New Roman" w:eastAsia="宋体" w:cs="Times New Roman"/>
                <w:kern w:val="0"/>
                <w:sz w:val="24"/>
                <w:szCs w:val="24"/>
              </w:rPr>
              <w:t>熔炼烟尘经布袋除尘器处理后，将会产生废铝灰，铝灰产生为0.88t/a。废铝渣/铝灰总产生量为130.88t/a，收集后暂存于危废暂存间内，定期交危废资质单位处理。</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sz w:val="24"/>
                <w:szCs w:val="24"/>
              </w:rPr>
              <w:t>废铝屑：本项目机加工过程中将会产生废弃的铝屑，该铝屑由于沾染了切削液，沾染了切削液的铝屑被列入《国家危险废物名录》（2021年版），故该铝屑作为危废处理，产生量约0.5t/a，</w:t>
            </w:r>
            <w:r>
              <w:rPr>
                <w:rFonts w:ascii="Times New Roman" w:hAnsi="Times New Roman" w:eastAsia="宋体" w:cs="Times New Roman"/>
                <w:kern w:val="0"/>
                <w:sz w:val="24"/>
                <w:szCs w:val="24"/>
              </w:rPr>
              <w:t>收集后存于危废暂存间，定期送危废资质单位处理。</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废切削液：根据建设单位提供资料，机加工切削液需定期更换，切削液反复循环使用，水分蒸发大，废切削液产生量约为0.15t/a，收集后暂存于危废暂存间，定期送由危废资质单位处理。</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废液压油：拟建项目压铸机工作过程中需使用液压油，约每年更换一次，产生的废液压油量约为液压油用量的80%，本项目液压油用量为2t/a，则废液压油产生量约1.6t/a。</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废机油：根据业主提供资料，本项目定期检修设备、更换机油，年产生废机油量约为0.1t/a，设置危废暂存间收集后交由资质单位进行处理。</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废包装桶：主要包括废切削液桶、废液压油桶和废机油桶，拟建项目切削液用量为</w:t>
            </w:r>
            <w:r>
              <w:rPr>
                <w:rFonts w:hint="eastAsia" w:ascii="Times New Roman" w:hAnsi="Times New Roman" w:eastAsia="宋体" w:cs="Times New Roman"/>
                <w:kern w:val="0"/>
                <w:sz w:val="24"/>
                <w:szCs w:val="24"/>
              </w:rPr>
              <w:t>0</w:t>
            </w:r>
            <w:r>
              <w:rPr>
                <w:rFonts w:ascii="Times New Roman" w:hAnsi="Times New Roman" w:eastAsia="宋体" w:cs="Times New Roman"/>
                <w:kern w:val="0"/>
                <w:sz w:val="24"/>
                <w:szCs w:val="24"/>
              </w:rPr>
              <w:t>.3t/a、液压油用量为2t/a、机油用量为0.2t/a，桶的包装规格为25kg/桶，则废切削液桶、废液压油桶、废机油桶产生量分别为</w:t>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2个、80个和8个，每个包装桶按1kg计，则废包装桶产生量约为0.1t/a，定期交危废资质单位处理。</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sz w:val="24"/>
                <w:szCs w:val="24"/>
              </w:rPr>
              <w:t>废棉纱/手套：废含油棉纱、手套主要来源于机修和设备维护时产生的，废含油棉纱、手套的危险废物代码（HW49[900-041-49]有或沾染毒性、感染性危险废物的废弃包装物、容器、过滤吸附介质），项目产生废棉纱及手套量为0.01t/a</w:t>
            </w:r>
            <w:r>
              <w:rPr>
                <w:rFonts w:ascii="Times New Roman" w:hAnsi="Times New Roman" w:eastAsia="宋体" w:cs="Times New Roman"/>
                <w:kern w:val="0"/>
                <w:sz w:val="24"/>
                <w:szCs w:val="24"/>
              </w:rPr>
              <w:t>，收集后存于危废暂存间，定期送由危废资质单位处理。</w:t>
            </w:r>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浮油/渣：</w:t>
            </w:r>
            <w:r>
              <w:rPr>
                <w:rFonts w:ascii="Times New Roman" w:hAnsi="Times New Roman" w:eastAsia="宋体" w:cs="Times New Roman"/>
                <w:sz w:val="24"/>
                <w:szCs w:val="24"/>
              </w:rPr>
              <w:t>脱模废水处理过程中</w:t>
            </w:r>
            <w:r>
              <w:rPr>
                <w:rFonts w:ascii="Times New Roman" w:hAnsi="Times New Roman" w:eastAsia="宋体" w:cs="Times New Roman"/>
                <w:kern w:val="0"/>
                <w:sz w:val="24"/>
                <w:szCs w:val="24"/>
              </w:rPr>
              <w:t>会产生少量的浮油和浮渣，产生量约为1.5t/a，收集后存于危废暂存间，定期送由危废资质单位处理。</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表4.5-1  危险废物汇总表</w:t>
            </w:r>
          </w:p>
          <w:tbl>
            <w:tblPr>
              <w:tblStyle w:val="18"/>
              <w:tblW w:w="8070" w:type="dxa"/>
              <w:jc w:val="center"/>
              <w:tblInd w:w="0" w:type="dxa"/>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2"/>
              <w:gridCol w:w="712"/>
              <w:gridCol w:w="801"/>
              <w:gridCol w:w="851"/>
              <w:gridCol w:w="851"/>
              <w:gridCol w:w="710"/>
              <w:gridCol w:w="523"/>
              <w:gridCol w:w="563"/>
              <w:gridCol w:w="563"/>
              <w:gridCol w:w="620"/>
              <w:gridCol w:w="710"/>
              <w:gridCol w:w="834"/>
            </w:tblGrid>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危险废物名称</w:t>
                  </w:r>
                </w:p>
              </w:tc>
              <w:tc>
                <w:tcPr>
                  <w:tcW w:w="801"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危险废物类别</w:t>
                  </w:r>
                </w:p>
              </w:tc>
              <w:tc>
                <w:tcPr>
                  <w:tcW w:w="851"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危险废物代码</w:t>
                  </w:r>
                </w:p>
              </w:tc>
              <w:tc>
                <w:tcPr>
                  <w:tcW w:w="851"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产生量（t/a）</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产生工序及装置</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形态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主要成分</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有害成分</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产废周期</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危险</w:t>
                  </w:r>
                </w:p>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特性</w:t>
                  </w:r>
                </w:p>
              </w:tc>
              <w:tc>
                <w:tcPr>
                  <w:tcW w:w="834"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污染防治措施</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废铝渣/铝灰</w:t>
                  </w:r>
                </w:p>
              </w:tc>
              <w:tc>
                <w:tcPr>
                  <w:tcW w:w="801" w:type="dxa"/>
                  <w:vAlign w:val="center"/>
                </w:tcPr>
                <w:p>
                  <w:pPr>
                    <w:pStyle w:val="32"/>
                    <w:jc w:val="center"/>
                    <w:rPr>
                      <w:rFonts w:ascii="Times New Roman" w:hAnsi="Times New Roman"/>
                      <w:szCs w:val="21"/>
                    </w:rPr>
                  </w:pPr>
                  <w:r>
                    <w:rPr>
                      <w:rFonts w:ascii="Times New Roman" w:hAnsi="Times New Roman"/>
                      <w:szCs w:val="21"/>
                    </w:rPr>
                    <w:t>HW48</w:t>
                  </w:r>
                </w:p>
              </w:tc>
              <w:tc>
                <w:tcPr>
                  <w:tcW w:w="851" w:type="dxa"/>
                  <w:vAlign w:val="center"/>
                </w:tcPr>
                <w:p>
                  <w:pPr>
                    <w:pStyle w:val="32"/>
                    <w:jc w:val="center"/>
                    <w:rPr>
                      <w:rFonts w:ascii="Times New Roman" w:hAnsi="Times New Roman"/>
                      <w:szCs w:val="21"/>
                    </w:rPr>
                  </w:pPr>
                  <w:r>
                    <w:rPr>
                      <w:rFonts w:ascii="Times New Roman" w:hAnsi="Times New Roman"/>
                      <w:szCs w:val="21"/>
                    </w:rPr>
                    <w:t>321-026-48</w:t>
                  </w:r>
                </w:p>
              </w:tc>
              <w:tc>
                <w:tcPr>
                  <w:tcW w:w="851" w:type="dxa"/>
                  <w:vAlign w:val="center"/>
                </w:tcPr>
                <w:p>
                  <w:pPr>
                    <w:pStyle w:val="32"/>
                    <w:ind w:left="-105" w:leftChars="-50" w:right="-105" w:rightChars="-50"/>
                    <w:jc w:val="center"/>
                    <w:rPr>
                      <w:rFonts w:ascii="Times New Roman" w:hAnsi="Times New Roman"/>
                      <w:szCs w:val="21"/>
                    </w:rPr>
                  </w:pPr>
                  <w:r>
                    <w:rPr>
                      <w:rFonts w:ascii="Times New Roman" w:hAnsi="Times New Roman"/>
                      <w:szCs w:val="21"/>
                    </w:rPr>
                    <w:t>130.88</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熔炼</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固态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铝灰</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铝灰</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每天</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szCs w:val="21"/>
                    </w:rPr>
                    <w:t>R</w:t>
                  </w:r>
                </w:p>
              </w:tc>
              <w:tc>
                <w:tcPr>
                  <w:tcW w:w="834" w:type="dxa"/>
                  <w:vMerge w:val="restart"/>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暂存于危废暂存间，收集后交危废资质单位处置</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废铝屑</w:t>
                  </w:r>
                </w:p>
              </w:tc>
              <w:tc>
                <w:tcPr>
                  <w:tcW w:w="801" w:type="dxa"/>
                  <w:vAlign w:val="center"/>
                </w:tcPr>
                <w:p>
                  <w:pPr>
                    <w:pStyle w:val="32"/>
                    <w:jc w:val="center"/>
                    <w:rPr>
                      <w:rFonts w:ascii="Times New Roman" w:hAnsi="Times New Roman"/>
                      <w:szCs w:val="21"/>
                    </w:rPr>
                  </w:pPr>
                  <w:r>
                    <w:rPr>
                      <w:rFonts w:ascii="Times New Roman" w:hAnsi="Times New Roman"/>
                      <w:szCs w:val="21"/>
                    </w:rPr>
                    <w:t>HW09</w:t>
                  </w:r>
                </w:p>
              </w:tc>
              <w:tc>
                <w:tcPr>
                  <w:tcW w:w="851" w:type="dxa"/>
                  <w:vAlign w:val="center"/>
                </w:tcPr>
                <w:p>
                  <w:pPr>
                    <w:pStyle w:val="32"/>
                    <w:jc w:val="center"/>
                    <w:rPr>
                      <w:rFonts w:ascii="Times New Roman" w:hAnsi="Times New Roman"/>
                      <w:szCs w:val="21"/>
                    </w:rPr>
                  </w:pPr>
                  <w:r>
                    <w:rPr>
                      <w:rFonts w:ascii="Times New Roman" w:hAnsi="Times New Roman"/>
                      <w:szCs w:val="21"/>
                    </w:rPr>
                    <w:t>900-006-09</w:t>
                  </w:r>
                </w:p>
              </w:tc>
              <w:tc>
                <w:tcPr>
                  <w:tcW w:w="851" w:type="dxa"/>
                  <w:vAlign w:val="center"/>
                </w:tcPr>
                <w:p>
                  <w:pPr>
                    <w:pStyle w:val="32"/>
                    <w:jc w:val="center"/>
                    <w:rPr>
                      <w:rFonts w:ascii="Times New Roman" w:hAnsi="Times New Roman"/>
                      <w:szCs w:val="21"/>
                    </w:rPr>
                  </w:pPr>
                  <w:r>
                    <w:rPr>
                      <w:rFonts w:ascii="Times New Roman" w:hAnsi="Times New Roman"/>
                      <w:szCs w:val="21"/>
                    </w:rPr>
                    <w:t>0.5</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机加工</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固态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铝渣</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矿物油</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每天</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szCs w:val="21"/>
                    </w:rPr>
                    <w:t>T</w:t>
                  </w:r>
                </w:p>
              </w:tc>
              <w:tc>
                <w:tcPr>
                  <w:tcW w:w="834"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废切削液</w:t>
                  </w:r>
                </w:p>
              </w:tc>
              <w:tc>
                <w:tcPr>
                  <w:tcW w:w="801" w:type="dxa"/>
                  <w:vAlign w:val="center"/>
                </w:tcPr>
                <w:p>
                  <w:pPr>
                    <w:pStyle w:val="32"/>
                    <w:jc w:val="center"/>
                    <w:rPr>
                      <w:rFonts w:ascii="Times New Roman" w:hAnsi="Times New Roman"/>
                      <w:szCs w:val="21"/>
                    </w:rPr>
                  </w:pPr>
                  <w:r>
                    <w:rPr>
                      <w:rFonts w:ascii="Times New Roman" w:hAnsi="Times New Roman"/>
                      <w:szCs w:val="21"/>
                    </w:rPr>
                    <w:t>HW09</w:t>
                  </w:r>
                </w:p>
              </w:tc>
              <w:tc>
                <w:tcPr>
                  <w:tcW w:w="851" w:type="dxa"/>
                  <w:vAlign w:val="center"/>
                </w:tcPr>
                <w:p>
                  <w:pPr>
                    <w:pStyle w:val="32"/>
                    <w:jc w:val="center"/>
                    <w:rPr>
                      <w:rFonts w:ascii="Times New Roman" w:hAnsi="Times New Roman"/>
                      <w:szCs w:val="21"/>
                    </w:rPr>
                  </w:pPr>
                  <w:r>
                    <w:rPr>
                      <w:rFonts w:ascii="Times New Roman" w:hAnsi="Times New Roman"/>
                      <w:szCs w:val="21"/>
                    </w:rPr>
                    <w:t>900-006-09</w:t>
                  </w:r>
                </w:p>
              </w:tc>
              <w:tc>
                <w:tcPr>
                  <w:tcW w:w="851" w:type="dxa"/>
                  <w:vAlign w:val="center"/>
                </w:tcPr>
                <w:p>
                  <w:pPr>
                    <w:pStyle w:val="32"/>
                    <w:jc w:val="center"/>
                    <w:rPr>
                      <w:rFonts w:ascii="Times New Roman" w:hAnsi="Times New Roman"/>
                      <w:szCs w:val="21"/>
                    </w:rPr>
                  </w:pPr>
                  <w:r>
                    <w:rPr>
                      <w:rFonts w:ascii="Times New Roman" w:hAnsi="Times New Roman"/>
                      <w:szCs w:val="21"/>
                    </w:rPr>
                    <w:t>0.15</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机加工</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szCs w:val="21"/>
                    </w:rPr>
                    <w:t>液态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矿物油</w:t>
                  </w:r>
                </w:p>
              </w:tc>
              <w:tc>
                <w:tcPr>
                  <w:tcW w:w="563" w:type="dxa"/>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矿物油</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T</w:t>
                  </w:r>
                </w:p>
              </w:tc>
              <w:tc>
                <w:tcPr>
                  <w:tcW w:w="834"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废液压油</w:t>
                  </w:r>
                </w:p>
              </w:tc>
              <w:tc>
                <w:tcPr>
                  <w:tcW w:w="801" w:type="dxa"/>
                  <w:vAlign w:val="center"/>
                </w:tcPr>
                <w:p>
                  <w:pPr>
                    <w:pStyle w:val="32"/>
                    <w:jc w:val="center"/>
                    <w:rPr>
                      <w:rFonts w:ascii="Times New Roman" w:hAnsi="Times New Roman"/>
                      <w:szCs w:val="21"/>
                    </w:rPr>
                  </w:pPr>
                  <w:r>
                    <w:rPr>
                      <w:rFonts w:ascii="Times New Roman" w:hAnsi="Times New Roman"/>
                      <w:szCs w:val="21"/>
                    </w:rPr>
                    <w:t>HW08</w:t>
                  </w:r>
                </w:p>
              </w:tc>
              <w:tc>
                <w:tcPr>
                  <w:tcW w:w="851" w:type="dxa"/>
                  <w:vAlign w:val="center"/>
                </w:tcPr>
                <w:p>
                  <w:pPr>
                    <w:pStyle w:val="32"/>
                    <w:jc w:val="center"/>
                    <w:rPr>
                      <w:rFonts w:ascii="Times New Roman" w:hAnsi="Times New Roman"/>
                      <w:szCs w:val="21"/>
                    </w:rPr>
                  </w:pPr>
                  <w:r>
                    <w:rPr>
                      <w:rFonts w:ascii="Times New Roman" w:hAnsi="Times New Roman"/>
                      <w:szCs w:val="21"/>
                    </w:rPr>
                    <w:t>900-218-08</w:t>
                  </w:r>
                </w:p>
              </w:tc>
              <w:tc>
                <w:tcPr>
                  <w:tcW w:w="851" w:type="dxa"/>
                  <w:vAlign w:val="center"/>
                </w:tcPr>
                <w:p>
                  <w:pPr>
                    <w:pStyle w:val="32"/>
                    <w:jc w:val="center"/>
                    <w:rPr>
                      <w:rFonts w:ascii="Times New Roman" w:hAnsi="Times New Roman"/>
                      <w:szCs w:val="21"/>
                    </w:rPr>
                  </w:pPr>
                  <w:r>
                    <w:rPr>
                      <w:rFonts w:ascii="Times New Roman" w:hAnsi="Times New Roman"/>
                      <w:szCs w:val="21"/>
                    </w:rPr>
                    <w:t>1.6</w:t>
                  </w:r>
                </w:p>
              </w:tc>
              <w:tc>
                <w:tcPr>
                  <w:tcW w:w="710" w:type="dxa"/>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压铸</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液态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矿物油</w:t>
                  </w:r>
                </w:p>
              </w:tc>
              <w:tc>
                <w:tcPr>
                  <w:tcW w:w="563" w:type="dxa"/>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矿物油</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半年</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T，I</w:t>
                  </w:r>
                </w:p>
              </w:tc>
              <w:tc>
                <w:tcPr>
                  <w:tcW w:w="834"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废机油</w:t>
                  </w:r>
                </w:p>
              </w:tc>
              <w:tc>
                <w:tcPr>
                  <w:tcW w:w="801" w:type="dxa"/>
                  <w:vAlign w:val="center"/>
                </w:tcPr>
                <w:p>
                  <w:pPr>
                    <w:pStyle w:val="32"/>
                    <w:jc w:val="center"/>
                    <w:rPr>
                      <w:rFonts w:ascii="Times New Roman" w:hAnsi="Times New Roman"/>
                      <w:szCs w:val="21"/>
                    </w:rPr>
                  </w:pPr>
                  <w:r>
                    <w:rPr>
                      <w:rFonts w:ascii="Times New Roman" w:hAnsi="Times New Roman"/>
                      <w:szCs w:val="21"/>
                    </w:rPr>
                    <w:t>HW08</w:t>
                  </w:r>
                </w:p>
              </w:tc>
              <w:tc>
                <w:tcPr>
                  <w:tcW w:w="851" w:type="dxa"/>
                  <w:vAlign w:val="center"/>
                </w:tcPr>
                <w:p>
                  <w:pPr>
                    <w:pStyle w:val="32"/>
                    <w:jc w:val="center"/>
                    <w:rPr>
                      <w:rFonts w:ascii="Times New Roman" w:hAnsi="Times New Roman"/>
                      <w:szCs w:val="21"/>
                    </w:rPr>
                  </w:pPr>
                  <w:r>
                    <w:rPr>
                      <w:rFonts w:ascii="Times New Roman" w:hAnsi="Times New Roman"/>
                      <w:szCs w:val="21"/>
                    </w:rPr>
                    <w:t>900-218-08</w:t>
                  </w:r>
                </w:p>
              </w:tc>
              <w:tc>
                <w:tcPr>
                  <w:tcW w:w="851" w:type="dxa"/>
                  <w:vAlign w:val="center"/>
                </w:tcPr>
                <w:p>
                  <w:pPr>
                    <w:pStyle w:val="32"/>
                    <w:jc w:val="center"/>
                    <w:rPr>
                      <w:rFonts w:ascii="Times New Roman" w:hAnsi="Times New Roman"/>
                      <w:szCs w:val="21"/>
                    </w:rPr>
                  </w:pPr>
                  <w:r>
                    <w:rPr>
                      <w:rFonts w:ascii="Times New Roman" w:hAnsi="Times New Roman"/>
                      <w:szCs w:val="21"/>
                    </w:rPr>
                    <w:t>0.1</w:t>
                  </w:r>
                </w:p>
              </w:tc>
              <w:tc>
                <w:tcPr>
                  <w:tcW w:w="710" w:type="dxa"/>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设备维护</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液态</w:t>
                  </w:r>
                </w:p>
              </w:tc>
              <w:tc>
                <w:tcPr>
                  <w:tcW w:w="563" w:type="dxa"/>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矿物油</w:t>
                  </w:r>
                </w:p>
              </w:tc>
              <w:tc>
                <w:tcPr>
                  <w:tcW w:w="563" w:type="dxa"/>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矿物油</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一年</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T，I</w:t>
                  </w:r>
                </w:p>
              </w:tc>
              <w:tc>
                <w:tcPr>
                  <w:tcW w:w="834"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废包装桶</w:t>
                  </w:r>
                </w:p>
              </w:tc>
              <w:tc>
                <w:tcPr>
                  <w:tcW w:w="801" w:type="dxa"/>
                  <w:vAlign w:val="center"/>
                </w:tcPr>
                <w:p>
                  <w:pPr>
                    <w:pStyle w:val="32"/>
                    <w:jc w:val="center"/>
                    <w:rPr>
                      <w:rFonts w:ascii="Times New Roman" w:hAnsi="Times New Roman"/>
                      <w:szCs w:val="21"/>
                    </w:rPr>
                  </w:pPr>
                  <w:r>
                    <w:rPr>
                      <w:rFonts w:ascii="Times New Roman" w:hAnsi="Times New Roman"/>
                      <w:szCs w:val="21"/>
                    </w:rPr>
                    <w:t>HW08</w:t>
                  </w:r>
                </w:p>
              </w:tc>
              <w:tc>
                <w:tcPr>
                  <w:tcW w:w="851" w:type="dxa"/>
                  <w:vAlign w:val="center"/>
                </w:tcPr>
                <w:p>
                  <w:pPr>
                    <w:pStyle w:val="32"/>
                    <w:jc w:val="center"/>
                    <w:rPr>
                      <w:rFonts w:ascii="Times New Roman" w:hAnsi="Times New Roman"/>
                      <w:szCs w:val="21"/>
                    </w:rPr>
                  </w:pPr>
                  <w:r>
                    <w:rPr>
                      <w:rFonts w:ascii="Times New Roman" w:hAnsi="Times New Roman"/>
                      <w:szCs w:val="21"/>
                    </w:rPr>
                    <w:t>900-249-08</w:t>
                  </w:r>
                </w:p>
              </w:tc>
              <w:tc>
                <w:tcPr>
                  <w:tcW w:w="851" w:type="dxa"/>
                  <w:vAlign w:val="center"/>
                </w:tcPr>
                <w:p>
                  <w:pPr>
                    <w:pStyle w:val="32"/>
                    <w:jc w:val="center"/>
                    <w:rPr>
                      <w:rFonts w:ascii="Times New Roman" w:hAnsi="Times New Roman"/>
                      <w:szCs w:val="21"/>
                    </w:rPr>
                  </w:pPr>
                  <w:r>
                    <w:rPr>
                      <w:rFonts w:ascii="Times New Roman" w:hAnsi="Times New Roman"/>
                      <w:szCs w:val="21"/>
                    </w:rPr>
                    <w:t>0.1</w:t>
                  </w:r>
                </w:p>
              </w:tc>
              <w:tc>
                <w:tcPr>
                  <w:tcW w:w="710" w:type="dxa"/>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物料使用后</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固态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塑料</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矿物油</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每季度</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T，I</w:t>
                  </w:r>
                </w:p>
              </w:tc>
              <w:tc>
                <w:tcPr>
                  <w:tcW w:w="834"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废棉纱/手套</w:t>
                  </w:r>
                </w:p>
              </w:tc>
              <w:tc>
                <w:tcPr>
                  <w:tcW w:w="801" w:type="dxa"/>
                  <w:vAlign w:val="center"/>
                </w:tcPr>
                <w:p>
                  <w:pPr>
                    <w:pStyle w:val="32"/>
                    <w:jc w:val="center"/>
                    <w:rPr>
                      <w:rFonts w:ascii="Times New Roman" w:hAnsi="Times New Roman"/>
                      <w:szCs w:val="21"/>
                    </w:rPr>
                  </w:pPr>
                  <w:r>
                    <w:rPr>
                      <w:rFonts w:ascii="Times New Roman" w:hAnsi="Times New Roman"/>
                      <w:szCs w:val="21"/>
                    </w:rPr>
                    <w:t>HW49</w:t>
                  </w:r>
                </w:p>
              </w:tc>
              <w:tc>
                <w:tcPr>
                  <w:tcW w:w="851" w:type="dxa"/>
                  <w:vAlign w:val="center"/>
                </w:tcPr>
                <w:p>
                  <w:pPr>
                    <w:pStyle w:val="32"/>
                    <w:jc w:val="center"/>
                    <w:rPr>
                      <w:rFonts w:ascii="Times New Roman" w:hAnsi="Times New Roman"/>
                      <w:szCs w:val="21"/>
                    </w:rPr>
                  </w:pPr>
                  <w:r>
                    <w:rPr>
                      <w:rFonts w:ascii="Times New Roman" w:hAnsi="Times New Roman"/>
                      <w:szCs w:val="21"/>
                    </w:rPr>
                    <w:t>900-041-49</w:t>
                  </w:r>
                </w:p>
              </w:tc>
              <w:tc>
                <w:tcPr>
                  <w:tcW w:w="851" w:type="dxa"/>
                  <w:vAlign w:val="center"/>
                </w:tcPr>
                <w:p>
                  <w:pPr>
                    <w:pStyle w:val="32"/>
                    <w:jc w:val="center"/>
                    <w:rPr>
                      <w:rFonts w:ascii="Times New Roman" w:hAnsi="Times New Roman"/>
                      <w:szCs w:val="21"/>
                    </w:rPr>
                  </w:pPr>
                  <w:r>
                    <w:rPr>
                      <w:rFonts w:ascii="Times New Roman" w:hAnsi="Times New Roman"/>
                      <w:szCs w:val="21"/>
                    </w:rPr>
                    <w:t>0.01</w:t>
                  </w:r>
                </w:p>
              </w:tc>
              <w:tc>
                <w:tcPr>
                  <w:tcW w:w="710" w:type="dxa"/>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设备维护</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固态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棉纱</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矿物油</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一年</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T/In</w:t>
                  </w:r>
                </w:p>
              </w:tc>
              <w:tc>
                <w:tcPr>
                  <w:tcW w:w="834"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332" w:type="dxa"/>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712"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浮油/浮渣</w:t>
                  </w:r>
                </w:p>
              </w:tc>
              <w:tc>
                <w:tcPr>
                  <w:tcW w:w="801" w:type="dxa"/>
                  <w:vAlign w:val="center"/>
                </w:tcPr>
                <w:p>
                  <w:pPr>
                    <w:pStyle w:val="32"/>
                    <w:jc w:val="center"/>
                    <w:rPr>
                      <w:rFonts w:ascii="Times New Roman" w:hAnsi="Times New Roman"/>
                      <w:szCs w:val="21"/>
                    </w:rPr>
                  </w:pPr>
                  <w:r>
                    <w:rPr>
                      <w:rFonts w:ascii="Times New Roman" w:hAnsi="Times New Roman"/>
                      <w:szCs w:val="21"/>
                    </w:rPr>
                    <w:t>HW08</w:t>
                  </w:r>
                </w:p>
              </w:tc>
              <w:tc>
                <w:tcPr>
                  <w:tcW w:w="851" w:type="dxa"/>
                  <w:vAlign w:val="center"/>
                </w:tcPr>
                <w:p>
                  <w:pPr>
                    <w:pStyle w:val="32"/>
                    <w:jc w:val="center"/>
                    <w:rPr>
                      <w:rFonts w:ascii="Times New Roman" w:hAnsi="Times New Roman"/>
                      <w:szCs w:val="21"/>
                    </w:rPr>
                  </w:pPr>
                  <w:r>
                    <w:rPr>
                      <w:rFonts w:ascii="Times New Roman" w:hAnsi="Times New Roman"/>
                      <w:szCs w:val="21"/>
                    </w:rPr>
                    <w:t>900-210-08</w:t>
                  </w:r>
                </w:p>
              </w:tc>
              <w:tc>
                <w:tcPr>
                  <w:tcW w:w="851" w:type="dxa"/>
                  <w:vAlign w:val="center"/>
                </w:tcPr>
                <w:p>
                  <w:pPr>
                    <w:pStyle w:val="32"/>
                    <w:jc w:val="center"/>
                    <w:rPr>
                      <w:rFonts w:ascii="Times New Roman" w:hAnsi="Times New Roman"/>
                      <w:szCs w:val="21"/>
                    </w:rPr>
                  </w:pPr>
                  <w:r>
                    <w:rPr>
                      <w:rFonts w:ascii="Times New Roman" w:hAnsi="Times New Roman"/>
                      <w:szCs w:val="21"/>
                    </w:rPr>
                    <w:t>1.5</w:t>
                  </w:r>
                </w:p>
              </w:tc>
              <w:tc>
                <w:tcPr>
                  <w:tcW w:w="710" w:type="dxa"/>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脱模废水处理</w:t>
                  </w:r>
                </w:p>
              </w:tc>
              <w:tc>
                <w:tcPr>
                  <w:tcW w:w="52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固液态</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矿物油</w:t>
                  </w:r>
                </w:p>
              </w:tc>
              <w:tc>
                <w:tcPr>
                  <w:tcW w:w="563"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矿物油</w:t>
                  </w:r>
                </w:p>
              </w:tc>
              <w:tc>
                <w:tcPr>
                  <w:tcW w:w="62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每季度</w:t>
                  </w:r>
                </w:p>
              </w:tc>
              <w:tc>
                <w:tcPr>
                  <w:tcW w:w="710"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T，I</w:t>
                  </w:r>
                </w:p>
              </w:tc>
              <w:tc>
                <w:tcPr>
                  <w:tcW w:w="834"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kern w:val="0"/>
                      <w:szCs w:val="21"/>
                    </w:rPr>
                  </w:pP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（3）生活垃圾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本项目劳动定员15人，生活垃圾按0.5kg/人•d计，生活垃圾产生量为2.25t/a，收集后交由当地环卫部门统一清运。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本项目固废产生及处置、利用情况见下表。</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表4.5-2  固体废物产生及处理情况一览表</w:t>
            </w:r>
          </w:p>
          <w:tbl>
            <w:tblPr>
              <w:tblStyle w:val="18"/>
              <w:tblW w:w="7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519"/>
              <w:gridCol w:w="2025"/>
              <w:gridCol w:w="1095"/>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序号</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固废名称</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性质/代码</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产生量</w:t>
                  </w:r>
                </w:p>
                <w:p>
                  <w:pPr>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t/a</w:t>
                  </w:r>
                </w:p>
              </w:tc>
              <w:tc>
                <w:tcPr>
                  <w:tcW w:w="2656"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处理、利用措施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1</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废边角料</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320-001-10</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15</w:t>
                  </w:r>
                </w:p>
              </w:tc>
              <w:tc>
                <w:tcPr>
                  <w:tcW w:w="2656" w:type="dxa"/>
                  <w:vMerge w:val="restart"/>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2</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不合格产品</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320-001-10</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60</w:t>
                  </w:r>
                </w:p>
              </w:tc>
              <w:tc>
                <w:tcPr>
                  <w:tcW w:w="2656" w:type="dxa"/>
                  <w:vMerge w:val="continue"/>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3</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废包装材料</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220-001-04</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1</w:t>
                  </w:r>
                </w:p>
              </w:tc>
              <w:tc>
                <w:tcPr>
                  <w:tcW w:w="2656"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外销综合利用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4</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废铝渣/铝灰</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HW48/321-026-48</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cs="Times New Roman"/>
                      <w:szCs w:val="21"/>
                    </w:rPr>
                    <w:t>130.88</w:t>
                  </w:r>
                </w:p>
              </w:tc>
              <w:tc>
                <w:tcPr>
                  <w:tcW w:w="2656" w:type="dxa"/>
                  <w:vMerge w:val="restart"/>
                  <w:vAlign w:val="center"/>
                </w:tcPr>
                <w:p>
                  <w:pPr>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分类暂存于危废暂存间，定期交危废资质单位处置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5</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废铝屑</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HW09/900-006-09</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cs="Times New Roman"/>
                      <w:szCs w:val="21"/>
                    </w:rPr>
                    <w:t>0.5</w:t>
                  </w:r>
                </w:p>
              </w:tc>
              <w:tc>
                <w:tcPr>
                  <w:tcW w:w="2656"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6</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废切削液</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HW09/900-006-09</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cs="Times New Roman"/>
                      <w:szCs w:val="21"/>
                    </w:rPr>
                    <w:t>0.15</w:t>
                  </w:r>
                </w:p>
              </w:tc>
              <w:tc>
                <w:tcPr>
                  <w:tcW w:w="2656"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7</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废液压油</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HW08/900-218-08</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cs="Times New Roman"/>
                      <w:szCs w:val="21"/>
                    </w:rPr>
                    <w:t>1.6</w:t>
                  </w:r>
                </w:p>
              </w:tc>
              <w:tc>
                <w:tcPr>
                  <w:tcW w:w="2656" w:type="dxa"/>
                  <w:vMerge w:val="continue"/>
                  <w:vAlign w:val="center"/>
                </w:tcPr>
                <w:p>
                  <w:pPr>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8</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废机油</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HW08/900-218-08</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cs="Times New Roman"/>
                      <w:szCs w:val="21"/>
                    </w:rPr>
                    <w:t>0.1</w:t>
                  </w:r>
                </w:p>
              </w:tc>
              <w:tc>
                <w:tcPr>
                  <w:tcW w:w="2656" w:type="dxa"/>
                  <w:vMerge w:val="continue"/>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9</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废包装桶</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HW08/900-249-08</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cs="Times New Roman"/>
                      <w:szCs w:val="21"/>
                    </w:rPr>
                    <w:t>0.1</w:t>
                  </w:r>
                </w:p>
              </w:tc>
              <w:tc>
                <w:tcPr>
                  <w:tcW w:w="2656" w:type="dxa"/>
                  <w:vMerge w:val="continue"/>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10</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废棉纱/手套</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HW49/900-041-49</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cs="Times New Roman"/>
                      <w:szCs w:val="21"/>
                    </w:rPr>
                    <w:t>0.01</w:t>
                  </w:r>
                </w:p>
              </w:tc>
              <w:tc>
                <w:tcPr>
                  <w:tcW w:w="2656" w:type="dxa"/>
                  <w:vMerge w:val="continue"/>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11</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浮油/渣</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HW08/900-210-08</w:t>
                  </w:r>
                </w:p>
              </w:tc>
              <w:tc>
                <w:tcPr>
                  <w:tcW w:w="1095" w:type="dxa"/>
                  <w:vAlign w:val="center"/>
                </w:tcPr>
                <w:p>
                  <w:pPr>
                    <w:widowControl/>
                    <w:spacing w:line="240" w:lineRule="atLeast"/>
                    <w:ind w:left="-105" w:leftChars="-50" w:right="-105" w:rightChars="-50"/>
                    <w:jc w:val="center"/>
                    <w:textAlignment w:val="center"/>
                    <w:rPr>
                      <w:rFonts w:ascii="Times New Roman" w:hAnsi="Times New Roman" w:cs="Times New Roman"/>
                      <w:szCs w:val="21"/>
                    </w:rPr>
                  </w:pPr>
                  <w:r>
                    <w:rPr>
                      <w:rFonts w:ascii="Times New Roman" w:hAnsi="Times New Roman" w:cs="Times New Roman"/>
                      <w:szCs w:val="21"/>
                    </w:rPr>
                    <w:t>1.5</w:t>
                  </w:r>
                </w:p>
              </w:tc>
              <w:tc>
                <w:tcPr>
                  <w:tcW w:w="2656" w:type="dxa"/>
                  <w:vMerge w:val="continue"/>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21"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1519"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202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1095"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2.25</w:t>
                  </w:r>
                </w:p>
              </w:tc>
              <w:tc>
                <w:tcPr>
                  <w:tcW w:w="2656" w:type="dxa"/>
                  <w:vAlign w:val="center"/>
                </w:tcPr>
                <w:p>
                  <w:pPr>
                    <w:widowControl/>
                    <w:spacing w:line="240" w:lineRule="atLeast"/>
                    <w:ind w:left="-105" w:leftChars="-50" w:right="-105" w:rightChars="-50"/>
                    <w:jc w:val="center"/>
                    <w:textAlignment w:val="center"/>
                    <w:rPr>
                      <w:rFonts w:ascii="Times New Roman" w:hAnsi="Times New Roman" w:eastAsia="宋体" w:cs="Times New Roman"/>
                      <w:szCs w:val="21"/>
                    </w:rPr>
                  </w:pPr>
                  <w:r>
                    <w:rPr>
                      <w:rFonts w:ascii="Times New Roman" w:hAnsi="Times New Roman" w:eastAsia="宋体" w:cs="Times New Roman"/>
                      <w:szCs w:val="21"/>
                    </w:rPr>
                    <w:t>环卫部门收集处理</w:t>
                  </w:r>
                </w:p>
              </w:tc>
            </w:tr>
          </w:tbl>
          <w:p>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4.5.2 固体废物防治措施及环境管理要求</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（1）一般工业固废</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本项目一般固废主要包括废边角料、不合格产品和废包装材料等，经分类收集后暂存于原料堆场，定期</w:t>
            </w:r>
            <w:r>
              <w:rPr>
                <w:rFonts w:hint="eastAsia" w:ascii="Times New Roman" w:hAnsi="Times New Roman" w:eastAsia="宋体" w:cs="Times New Roman"/>
                <w:sz w:val="24"/>
                <w:szCs w:val="24"/>
              </w:rPr>
              <w:t>回用于生产或</w:t>
            </w:r>
            <w:r>
              <w:rPr>
                <w:rFonts w:ascii="Times New Roman" w:hAnsi="Times New Roman" w:eastAsia="宋体" w:cs="Times New Roman"/>
                <w:sz w:val="24"/>
                <w:szCs w:val="24"/>
              </w:rPr>
              <w:t>外销综合利用；生活垃圾交由当地环卫部门统一处理。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（2）危险废物</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据《国家危险废物名录》（2021版），铝渣/铝灰、废液压油、废铝屑、废切削液、废机油、废包装桶、废含油棉纱手套、浮油/渣等均属于危废。危废收集后，转移危废暂存间分类暂存，面积约8m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，定期送危废资质单位处理。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危险废物存放场所的设置必须按照《危险废物贮存污染控制标准》（GB18597-2023）要求设置，严禁露天堆放，利用专门的防渗漏容器收集，满足</w:t>
            </w:r>
            <w:r>
              <w:rPr>
                <w:rFonts w:hint="eastAsia" w:ascii="Times New Roman" w:hAnsi="Times New Roman" w:eastAsia="宋体" w:cs="Times New Roman"/>
                <w:sz w:val="24"/>
                <w:szCs w:val="24"/>
              </w:rPr>
              <w:t>相关防护要求</w:t>
            </w:r>
            <w:r>
              <w:rPr>
                <w:rFonts w:ascii="Times New Roman" w:hAnsi="Times New Roman" w:eastAsia="宋体" w:cs="Times New Roman"/>
                <w:sz w:val="24"/>
                <w:szCs w:val="24"/>
              </w:rPr>
              <w:t>。危险废物收集后，交由资质单位处理。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项目危险废物贮存场所（设施）基本情况表见下表。</w:t>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表4.5-2   项目危险废物贮存场所（设施）基本情况表</w:t>
            </w:r>
          </w:p>
          <w:tbl>
            <w:tblPr>
              <w:tblStyle w:val="18"/>
              <w:tblW w:w="8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92"/>
              <w:gridCol w:w="1134"/>
              <w:gridCol w:w="851"/>
              <w:gridCol w:w="1275"/>
              <w:gridCol w:w="426"/>
              <w:gridCol w:w="850"/>
              <w:gridCol w:w="709"/>
              <w:gridCol w:w="709"/>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42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992"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贮存场所（设施）名称</w:t>
                  </w: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危险废</w:t>
                  </w:r>
                </w:p>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物名称</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危险</w:t>
                  </w:r>
                </w:p>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废物</w:t>
                  </w:r>
                </w:p>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类别</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危险废物代码</w:t>
                  </w:r>
                </w:p>
              </w:tc>
              <w:tc>
                <w:tcPr>
                  <w:tcW w:w="426"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位置</w:t>
                  </w:r>
                </w:p>
              </w:tc>
              <w:tc>
                <w:tcPr>
                  <w:tcW w:w="850"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占地</w:t>
                  </w:r>
                </w:p>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面积 （m2）</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贮存方式</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贮存能力</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424" w:type="dxa"/>
                  <w:vMerge w:val="restart"/>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992" w:type="dxa"/>
                  <w:vMerge w:val="restart"/>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危废暂存间</w:t>
                  </w: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废铝渣/铝灰</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HW48</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321-026-48</w:t>
                  </w:r>
                </w:p>
              </w:tc>
              <w:tc>
                <w:tcPr>
                  <w:tcW w:w="426" w:type="dxa"/>
                  <w:vMerge w:val="restart"/>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危废暂存间</w:t>
                  </w:r>
                </w:p>
              </w:tc>
              <w:tc>
                <w:tcPr>
                  <w:tcW w:w="850" w:type="dxa"/>
                  <w:vMerge w:val="restart"/>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150</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424"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992"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废铝屑</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HW09</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900-006-09</w:t>
                  </w:r>
                </w:p>
              </w:tc>
              <w:tc>
                <w:tcPr>
                  <w:tcW w:w="426"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850"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0.5</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424"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992"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废切削液</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HW09</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900-006-09</w:t>
                  </w:r>
                </w:p>
              </w:tc>
              <w:tc>
                <w:tcPr>
                  <w:tcW w:w="426"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850"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0.5</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424"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992"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废液压油</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HW08</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900-218-08</w:t>
                  </w:r>
                </w:p>
              </w:tc>
              <w:tc>
                <w:tcPr>
                  <w:tcW w:w="426"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850"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2</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424"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992"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废机油</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HW08</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900-218-08</w:t>
                  </w:r>
                </w:p>
              </w:tc>
              <w:tc>
                <w:tcPr>
                  <w:tcW w:w="426"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850"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0.2</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424"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992"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废包装桶</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HW08</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900-249-08</w:t>
                  </w:r>
                </w:p>
              </w:tc>
              <w:tc>
                <w:tcPr>
                  <w:tcW w:w="426"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850"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0.1</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424"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992"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废棉纱/手套</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HW49</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900-041-49</w:t>
                  </w:r>
                </w:p>
              </w:tc>
              <w:tc>
                <w:tcPr>
                  <w:tcW w:w="426"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850"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0.1</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424"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992"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113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浮油/渣</w:t>
                  </w:r>
                </w:p>
              </w:tc>
              <w:tc>
                <w:tcPr>
                  <w:tcW w:w="851"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HW08</w:t>
                  </w:r>
                </w:p>
              </w:tc>
              <w:tc>
                <w:tcPr>
                  <w:tcW w:w="1275"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900-210-08</w:t>
                  </w:r>
                </w:p>
              </w:tc>
              <w:tc>
                <w:tcPr>
                  <w:tcW w:w="426"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850" w:type="dxa"/>
                  <w:vMerge w:val="continue"/>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桶装</w:t>
                  </w:r>
                </w:p>
              </w:tc>
              <w:tc>
                <w:tcPr>
                  <w:tcW w:w="709"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cs="Times New Roman"/>
                      <w:szCs w:val="21"/>
                    </w:rPr>
                    <w:t>2</w:t>
                  </w:r>
                </w:p>
              </w:tc>
              <w:tc>
                <w:tcPr>
                  <w:tcW w:w="674" w:type="dxa"/>
                  <w:shd w:val="clear" w:color="auto" w:fill="auto"/>
                  <w:vAlign w:val="center"/>
                </w:tcPr>
                <w:p>
                  <w:pPr>
                    <w:widowControl/>
                    <w:spacing w:line="240" w:lineRule="atLeast"/>
                    <w:ind w:left="-105" w:leftChars="-50" w:right="-105" w:rightChars="-50"/>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一年</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1）危险废物收集装于密闭的包装容器，包装容器选用与装盛物相容的材料制成，容器表面应粘贴危险废物标识，禁止将一般工业固体废物和生活垃圾与之混合。</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2）贮存点地面与裙角要用坚固、防渗的材料制造，建筑材料必须与危险废物相容，基础层必须防渗，防渗层至少为1m厚黏土层（防渗系数≤10</w:t>
            </w:r>
            <w:r>
              <w:rPr>
                <w:rFonts w:ascii="Times New Roman" w:hAnsi="Times New Roman" w:eastAsia="宋体" w:cs="Times New Roman"/>
                <w:sz w:val="24"/>
                <w:vertAlign w:val="superscript"/>
              </w:rPr>
              <w:t>-7</w:t>
            </w:r>
            <w:r>
              <w:rPr>
                <w:rFonts w:ascii="Times New Roman" w:hAnsi="Times New Roman" w:eastAsia="宋体" w:cs="Times New Roman"/>
                <w:sz w:val="24"/>
              </w:rPr>
              <w:t>cm/s），或2mm厚高密度聚乙烯，或至少2mm厚的其他人工材料（防渗系数≤10</w:t>
            </w:r>
            <w:r>
              <w:rPr>
                <w:rFonts w:ascii="Times New Roman" w:hAnsi="Times New Roman" w:eastAsia="宋体" w:cs="Times New Roman"/>
                <w:sz w:val="24"/>
                <w:vertAlign w:val="superscript"/>
              </w:rPr>
              <w:t>-10</w:t>
            </w:r>
            <w:r>
              <w:rPr>
                <w:rFonts w:ascii="Times New Roman" w:hAnsi="Times New Roman" w:eastAsia="宋体" w:cs="Times New Roman"/>
                <w:sz w:val="24"/>
              </w:rPr>
              <w:t xml:space="preserve"> cm/s）。</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3）不相容的危险废物必须分开存放，并设有隔离间隔断。</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4）危险废物贮存设施必须按照GB15562.2的规定设置警示标志。</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5）企业内部需建立危险废物台账管理，危险废物转移应按照转移联单登记制度转移，必须交有危险废物处理资质且具备该类危废收纳资格方位的单位。</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6）根据企业生产情况定期转移危险废物，贮存期限一般不超过1年，超过1年需补办延期转移批复。</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（3）生活垃圾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根据前述分析，项目生活垃圾产生量约2.25t/a，由当地环卫部门统一清理外运。生活垃圾收集后，应做到垃圾袋装化、存放封闭化，做到日产日清；垃圾收集点应做好隔离措施，及时清运、消毒。</w:t>
            </w:r>
          </w:p>
          <w:p>
            <w:pPr>
              <w:pStyle w:val="39"/>
              <w:rPr>
                <w:rFonts w:ascii="Times New Roman" w:hAnsi="Times New Roman"/>
                <w:snapToGrid/>
                <w:kern w:val="2"/>
              </w:rPr>
            </w:pPr>
            <w:r>
              <w:rPr>
                <w:rFonts w:ascii="Times New Roman" w:hAnsi="Times New Roman"/>
              </w:rPr>
              <w:t>通过上述方法妥善处置后，本项目产生的固废对周围环境影响较小。</w:t>
            </w:r>
          </w:p>
          <w:p>
            <w:pPr>
              <w:autoSpaceDE w:val="0"/>
              <w:autoSpaceDN w:val="0"/>
              <w:spacing w:before="156" w:beforeLines="50" w:line="360" w:lineRule="auto"/>
              <w:jc w:val="left"/>
              <w:rPr>
                <w:rFonts w:ascii="Times New Roman" w:hAnsi="Times New Roman" w:eastAsia="宋体" w:cs="Times New Roman"/>
                <w:b/>
                <w:bCs/>
                <w:kern w:val="0"/>
                <w:sz w:val="28"/>
                <w:szCs w:val="28"/>
              </w:rPr>
            </w:pPr>
            <w:bookmarkStart w:id="26" w:name="_Hlk66642073"/>
            <w:r>
              <w:rPr>
                <w:rFonts w:ascii="Times New Roman" w:hAnsi="Times New Roman" w:eastAsia="宋体" w:cs="Times New Roman"/>
                <w:b/>
                <w:bCs/>
                <w:kern w:val="0"/>
                <w:sz w:val="28"/>
                <w:szCs w:val="28"/>
              </w:rPr>
              <w:t>4.6 环境风险</w:t>
            </w:r>
          </w:p>
          <w:p>
            <w:pPr>
              <w:autoSpaceDE w:val="0"/>
              <w:autoSpaceDN w:val="0"/>
              <w:spacing w:line="360" w:lineRule="auto"/>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4.6.1 环境风险识别</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按照《建设项目环境风险评价技术导则》（HJ169-2018）附录中附录B及《企业突发环境事件风险分级方法》（HJ941-2018）中“附录A突发环境事件风险物质及临界量清单”，本项目涉及的风险物质为：切削液、液压油、机油和脱模剂等。本项目环境风险物质情况详见下表。</w:t>
            </w:r>
          </w:p>
          <w:p>
            <w:pPr>
              <w:autoSpaceDE w:val="0"/>
              <w:autoSpaceDN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表4.6-1  环境风险物质情况表</w:t>
            </w:r>
          </w:p>
          <w:tbl>
            <w:tblPr>
              <w:tblStyle w:val="18"/>
              <w:tblW w:w="8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51"/>
              <w:gridCol w:w="1134"/>
              <w:gridCol w:w="905"/>
              <w:gridCol w:w="735"/>
              <w:gridCol w:w="1108"/>
              <w:gridCol w:w="709"/>
              <w:gridCol w:w="1275"/>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42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851"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1134"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最大储存量（t）</w:t>
                  </w:r>
                </w:p>
              </w:tc>
              <w:tc>
                <w:tcPr>
                  <w:tcW w:w="90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临界量（t）</w:t>
                  </w:r>
                </w:p>
              </w:tc>
              <w:tc>
                <w:tcPr>
                  <w:tcW w:w="73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包装方式</w:t>
                  </w:r>
                </w:p>
              </w:tc>
              <w:tc>
                <w:tcPr>
                  <w:tcW w:w="1108"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储存规格</w:t>
                  </w:r>
                </w:p>
              </w:tc>
              <w:tc>
                <w:tcPr>
                  <w:tcW w:w="709"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相态</w:t>
                  </w:r>
                </w:p>
              </w:tc>
              <w:tc>
                <w:tcPr>
                  <w:tcW w:w="127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储存位置</w:t>
                  </w:r>
                </w:p>
              </w:tc>
              <w:tc>
                <w:tcPr>
                  <w:tcW w:w="1100"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851"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切削液</w:t>
                  </w:r>
                </w:p>
              </w:tc>
              <w:tc>
                <w:tcPr>
                  <w:tcW w:w="1134"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w:t>
                  </w:r>
                </w:p>
              </w:tc>
              <w:tc>
                <w:tcPr>
                  <w:tcW w:w="90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3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桶装</w:t>
                  </w:r>
                </w:p>
              </w:tc>
              <w:tc>
                <w:tcPr>
                  <w:tcW w:w="1108"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25kg/桶</w:t>
                  </w:r>
                </w:p>
              </w:tc>
              <w:tc>
                <w:tcPr>
                  <w:tcW w:w="709"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液态</w:t>
                  </w:r>
                </w:p>
              </w:tc>
              <w:tc>
                <w:tcPr>
                  <w:tcW w:w="1275" w:type="dxa"/>
                  <w:vMerge w:val="restar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原料库房</w:t>
                  </w:r>
                </w:p>
              </w:tc>
              <w:tc>
                <w:tcPr>
                  <w:tcW w:w="1100"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有毒液体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液压油</w:t>
                  </w:r>
                </w:p>
              </w:tc>
              <w:tc>
                <w:tcPr>
                  <w:tcW w:w="1134"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w:t>
                  </w:r>
                </w:p>
              </w:tc>
              <w:tc>
                <w:tcPr>
                  <w:tcW w:w="90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73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桶装</w:t>
                  </w:r>
                </w:p>
              </w:tc>
              <w:tc>
                <w:tcPr>
                  <w:tcW w:w="1108" w:type="dxa"/>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25kg/桶</w:t>
                  </w:r>
                </w:p>
              </w:tc>
              <w:tc>
                <w:tcPr>
                  <w:tcW w:w="709"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液态</w:t>
                  </w:r>
                </w:p>
              </w:tc>
              <w:tc>
                <w:tcPr>
                  <w:tcW w:w="1275" w:type="dxa"/>
                  <w:vMerge w:val="continue"/>
                  <w:shd w:val="clear" w:color="auto" w:fill="auto"/>
                  <w:vAlign w:val="center"/>
                </w:tcPr>
                <w:p>
                  <w:pPr>
                    <w:jc w:val="center"/>
                    <w:rPr>
                      <w:rFonts w:ascii="Times New Roman" w:hAnsi="Times New Roman" w:eastAsia="宋体" w:cs="Times New Roman"/>
                      <w:szCs w:val="21"/>
                    </w:rPr>
                  </w:pPr>
                </w:p>
              </w:tc>
              <w:tc>
                <w:tcPr>
                  <w:tcW w:w="1100" w:type="dxa"/>
                  <w:shd w:val="clear" w:color="auto" w:fill="auto"/>
                </w:tcPr>
                <w:p>
                  <w:pPr>
                    <w:jc w:val="center"/>
                    <w:rPr>
                      <w:rFonts w:ascii="Times New Roman" w:hAnsi="Times New Roman" w:eastAsia="宋体" w:cs="Times New Roman"/>
                      <w:szCs w:val="21"/>
                    </w:rPr>
                  </w:pPr>
                  <w:r>
                    <w:rPr>
                      <w:rFonts w:ascii="Times New Roman" w:hAnsi="Times New Roman" w:eastAsia="宋体" w:cs="Times New Roman"/>
                      <w:szCs w:val="21"/>
                    </w:rPr>
                    <w:t>可燃液体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3</w:t>
                  </w:r>
                </w:p>
              </w:tc>
              <w:tc>
                <w:tcPr>
                  <w:tcW w:w="851"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机油</w:t>
                  </w:r>
                </w:p>
              </w:tc>
              <w:tc>
                <w:tcPr>
                  <w:tcW w:w="1134"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w:t>
                  </w:r>
                </w:p>
              </w:tc>
              <w:tc>
                <w:tcPr>
                  <w:tcW w:w="90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73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桶装</w:t>
                  </w:r>
                </w:p>
              </w:tc>
              <w:tc>
                <w:tcPr>
                  <w:tcW w:w="1108" w:type="dxa"/>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25kg/桶</w:t>
                  </w:r>
                </w:p>
              </w:tc>
              <w:tc>
                <w:tcPr>
                  <w:tcW w:w="709"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液态</w:t>
                  </w:r>
                </w:p>
              </w:tc>
              <w:tc>
                <w:tcPr>
                  <w:tcW w:w="1275" w:type="dxa"/>
                  <w:vMerge w:val="continue"/>
                  <w:shd w:val="clear" w:color="auto" w:fill="auto"/>
                  <w:vAlign w:val="center"/>
                </w:tcPr>
                <w:p>
                  <w:pPr>
                    <w:jc w:val="center"/>
                    <w:rPr>
                      <w:rFonts w:ascii="Times New Roman" w:hAnsi="Times New Roman" w:eastAsia="宋体" w:cs="Times New Roman"/>
                      <w:szCs w:val="21"/>
                    </w:rPr>
                  </w:pPr>
                </w:p>
              </w:tc>
              <w:tc>
                <w:tcPr>
                  <w:tcW w:w="1100" w:type="dxa"/>
                  <w:shd w:val="clear" w:color="auto" w:fill="auto"/>
                </w:tcPr>
                <w:p>
                  <w:pPr>
                    <w:jc w:val="center"/>
                    <w:rPr>
                      <w:rFonts w:ascii="Times New Roman" w:hAnsi="Times New Roman" w:eastAsia="宋体" w:cs="Times New Roman"/>
                      <w:szCs w:val="21"/>
                    </w:rPr>
                  </w:pPr>
                  <w:r>
                    <w:rPr>
                      <w:rFonts w:ascii="Times New Roman" w:hAnsi="Times New Roman" w:eastAsia="宋体" w:cs="Times New Roman"/>
                      <w:szCs w:val="21"/>
                    </w:rPr>
                    <w:t>可燃液体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脱模剂</w:t>
                  </w:r>
                </w:p>
              </w:tc>
              <w:tc>
                <w:tcPr>
                  <w:tcW w:w="1134"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w:t>
                  </w:r>
                </w:p>
              </w:tc>
              <w:tc>
                <w:tcPr>
                  <w:tcW w:w="90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735"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桶装</w:t>
                  </w:r>
                </w:p>
              </w:tc>
              <w:tc>
                <w:tcPr>
                  <w:tcW w:w="1108" w:type="dxa"/>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25kg/桶</w:t>
                  </w:r>
                </w:p>
              </w:tc>
              <w:tc>
                <w:tcPr>
                  <w:tcW w:w="709"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液态</w:t>
                  </w:r>
                </w:p>
              </w:tc>
              <w:tc>
                <w:tcPr>
                  <w:tcW w:w="1275" w:type="dxa"/>
                  <w:vMerge w:val="continue"/>
                  <w:shd w:val="clear" w:color="auto" w:fill="auto"/>
                  <w:vAlign w:val="center"/>
                </w:tcPr>
                <w:p>
                  <w:pPr>
                    <w:jc w:val="center"/>
                    <w:rPr>
                      <w:rFonts w:ascii="Times New Roman" w:hAnsi="Times New Roman" w:eastAsia="宋体" w:cs="Times New Roman"/>
                      <w:szCs w:val="21"/>
                    </w:rPr>
                  </w:pPr>
                </w:p>
              </w:tc>
              <w:tc>
                <w:tcPr>
                  <w:tcW w:w="1100" w:type="dxa"/>
                  <w:shd w:val="clear" w:color="auto" w:fill="auto"/>
                </w:tcPr>
                <w:p>
                  <w:pPr>
                    <w:jc w:val="center"/>
                    <w:rPr>
                      <w:rFonts w:ascii="Times New Roman" w:hAnsi="Times New Roman" w:eastAsia="宋体" w:cs="Times New Roman"/>
                      <w:szCs w:val="21"/>
                    </w:rPr>
                  </w:pPr>
                  <w:r>
                    <w:rPr>
                      <w:rFonts w:ascii="Times New Roman" w:hAnsi="Times New Roman" w:eastAsia="宋体" w:cs="Times New Roman"/>
                      <w:szCs w:val="21"/>
                    </w:rPr>
                    <w:t>可燃液体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42" w:type="dxa"/>
                  <w:gridSpan w:val="9"/>
                  <w:shd w:val="clear" w:color="auto" w:fill="auto"/>
                  <w:vAlign w:val="center"/>
                </w:tcPr>
                <w:p>
                  <w:pPr>
                    <w:rPr>
                      <w:rFonts w:ascii="Times New Roman" w:hAnsi="Times New Roman" w:eastAsia="宋体" w:cs="Times New Roman"/>
                      <w:szCs w:val="21"/>
                    </w:rPr>
                  </w:pPr>
                  <w:r>
                    <w:rPr>
                      <w:rFonts w:ascii="Times New Roman" w:hAnsi="Times New Roman" w:eastAsia="宋体" w:cs="Times New Roman"/>
                      <w:szCs w:val="21"/>
                    </w:rPr>
                    <w:t>注：</w:t>
                  </w:r>
                  <w:r>
                    <w:rPr>
                      <w:rFonts w:hint="eastAsia" w:ascii="Times New Roman" w:hAnsi="Times New Roman" w:eastAsia="宋体" w:cs="Times New Roman"/>
                      <w:szCs w:val="21"/>
                    </w:rPr>
                    <w:t>切削液参照</w:t>
                  </w:r>
                  <w:r>
                    <w:rPr>
                      <w:rFonts w:ascii="Times New Roman" w:hAnsi="Times New Roman" w:eastAsia="宋体" w:cs="Times New Roman"/>
                      <w:szCs w:val="21"/>
                    </w:rPr>
                    <w:t>“危害水环境物质（慢性毒性类别：慢性2）”， 临界量为200。</w:t>
                  </w:r>
                </w:p>
              </w:tc>
            </w:tr>
          </w:tbl>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按附录 C 对危险物质及工艺系统危险性（P）等级进行判断：</w:t>
            </w:r>
          </w:p>
          <w:p>
            <w:pPr>
              <w:autoSpaceDE w:val="0"/>
              <w:autoSpaceDN w:val="0"/>
              <w:spacing w:line="360"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Q=q1 /Q1+ q2/Q2……+ qn/Qn</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式中：q1、q2……qn—每种危险物质最大存在量，t；</w:t>
            </w:r>
          </w:p>
          <w:p>
            <w:pPr>
              <w:autoSpaceDE w:val="0"/>
              <w:autoSpaceDN w:val="0"/>
              <w:spacing w:line="360" w:lineRule="auto"/>
              <w:ind w:firstLine="1200" w:firstLineChars="5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Q1、Q2……Qn—每种危险物质临界量，t。</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本项目的主要风险物质为切削液、液压油、机油和脱模剂等，Q值确定见下表。</w:t>
            </w:r>
          </w:p>
          <w:p>
            <w:pPr>
              <w:autoSpaceDE w:val="0"/>
              <w:autoSpaceDN w:val="0"/>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表4.6-2  风险物质Q值确定表</w:t>
            </w:r>
          </w:p>
          <w:tbl>
            <w:tblPr>
              <w:tblStyle w:val="18"/>
              <w:tblW w:w="80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746"/>
              <w:gridCol w:w="1843"/>
              <w:gridCol w:w="1983"/>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2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746"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物质名称</w:t>
                  </w:r>
                </w:p>
              </w:tc>
              <w:tc>
                <w:tcPr>
                  <w:tcW w:w="184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临界量Q（t）</w:t>
                  </w:r>
                </w:p>
              </w:tc>
              <w:tc>
                <w:tcPr>
                  <w:tcW w:w="198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最大暂存量q（t）</w:t>
                  </w:r>
                </w:p>
              </w:tc>
              <w:tc>
                <w:tcPr>
                  <w:tcW w:w="120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2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1746"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切削液</w:t>
                  </w:r>
                </w:p>
              </w:tc>
              <w:tc>
                <w:tcPr>
                  <w:tcW w:w="184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200</w:t>
                  </w:r>
                </w:p>
              </w:tc>
              <w:tc>
                <w:tcPr>
                  <w:tcW w:w="198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20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等线" w:cs="Times New Roman"/>
                      <w:szCs w:val="21"/>
                    </w:rPr>
                    <w:t>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2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746"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液压油</w:t>
                  </w:r>
                </w:p>
              </w:tc>
              <w:tc>
                <w:tcPr>
                  <w:tcW w:w="1843" w:type="dxa"/>
                  <w:shd w:val="clear" w:color="auto" w:fill="auto"/>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198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0.1</w:t>
                  </w:r>
                </w:p>
              </w:tc>
              <w:tc>
                <w:tcPr>
                  <w:tcW w:w="120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等线" w:cs="Times New Roman"/>
                      <w:szCs w:val="21"/>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2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1746"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机油</w:t>
                  </w:r>
                </w:p>
              </w:tc>
              <w:tc>
                <w:tcPr>
                  <w:tcW w:w="1843" w:type="dxa"/>
                  <w:shd w:val="clear" w:color="auto" w:fill="auto"/>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198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20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等线" w:cs="Times New Roman"/>
                      <w:szCs w:val="21"/>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23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1746"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脱模剂</w:t>
                  </w:r>
                </w:p>
              </w:tc>
              <w:tc>
                <w:tcPr>
                  <w:tcW w:w="1843" w:type="dxa"/>
                  <w:shd w:val="clear" w:color="auto" w:fill="auto"/>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2500</w:t>
                  </w:r>
                </w:p>
              </w:tc>
              <w:tc>
                <w:tcPr>
                  <w:tcW w:w="198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0.2</w:t>
                  </w:r>
                </w:p>
              </w:tc>
              <w:tc>
                <w:tcPr>
                  <w:tcW w:w="120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等线" w:cs="Times New Roman"/>
                      <w:szCs w:val="21"/>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2978"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184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983"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20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0.00039</w:t>
                  </w:r>
                </w:p>
              </w:tc>
            </w:tr>
          </w:tbl>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根据上式计算本项目Q为0.00039，当Q＜1时，该项目环境风险潜势为Ⅰ。</w:t>
            </w:r>
          </w:p>
          <w:p>
            <w:pPr>
              <w:adjustRightInd w:val="0"/>
              <w:snapToGrid w:val="0"/>
              <w:spacing w:line="460" w:lineRule="exact"/>
              <w:rPr>
                <w:rFonts w:ascii="Times New Roman" w:hAnsi="Times New Roman" w:eastAsia="宋体" w:cs="Times New Roman"/>
                <w:b/>
                <w:sz w:val="26"/>
                <w:szCs w:val="26"/>
              </w:rPr>
            </w:pPr>
            <w:r>
              <w:rPr>
                <w:rFonts w:ascii="Times New Roman" w:hAnsi="Times New Roman" w:eastAsia="宋体" w:cs="Times New Roman"/>
                <w:b/>
                <w:sz w:val="24"/>
              </w:rPr>
              <w:t>4.6.2 环境风险影响途径</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本项目主要考虑切削液、液压油、机油和脱模剂的环境风险影响。</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（1）大气环境风险分析</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液压油、机油和脱模剂等遇明火、高热会燃烧爆炸，</w:t>
            </w:r>
            <w:r>
              <w:rPr>
                <w:rFonts w:ascii="Times New Roman" w:hAnsi="Times New Roman" w:eastAsia="宋体" w:cs="Times New Roman"/>
                <w:sz w:val="24"/>
                <w:szCs w:val="24"/>
                <w:shd w:val="clear" w:color="auto" w:fill="FFFFFF"/>
              </w:rPr>
              <w:t>发生火灾、爆炸事故时，</w:t>
            </w:r>
            <w:r>
              <w:rPr>
                <w:rFonts w:ascii="Times New Roman" w:hAnsi="Times New Roman" w:eastAsia="宋体" w:cs="Times New Roman"/>
                <w:sz w:val="24"/>
                <w:szCs w:val="24"/>
              </w:rPr>
              <w:t>生成一氧化碳等有毒有害物质，会影响环境空气。</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（2）地表水环境风险分析</w:t>
            </w:r>
          </w:p>
          <w:p>
            <w:pPr>
              <w:adjustRightInd w:val="0"/>
              <w:snapToGrid w:val="0"/>
              <w:spacing w:line="460" w:lineRule="exact"/>
              <w:ind w:firstLine="480" w:firstLineChars="200"/>
              <w:rPr>
                <w:rFonts w:ascii="Times New Roman" w:hAnsi="Times New Roman" w:eastAsia="宋体" w:cs="Times New Roman"/>
                <w:sz w:val="24"/>
                <w:szCs w:val="24"/>
                <w:shd w:val="clear" w:color="auto" w:fill="FFFFFF"/>
              </w:rPr>
            </w:pPr>
            <w:r>
              <w:rPr>
                <w:rFonts w:ascii="Times New Roman" w:hAnsi="Times New Roman" w:eastAsia="宋体" w:cs="Times New Roman"/>
                <w:sz w:val="24"/>
                <w:szCs w:val="24"/>
              </w:rPr>
              <w:t>切削液、液压油、机油和脱模剂等泄漏后可能会溢流进入周边排水沟，会污染地表水体</w:t>
            </w:r>
            <w:r>
              <w:rPr>
                <w:rFonts w:ascii="Times New Roman" w:hAnsi="Times New Roman" w:eastAsia="宋体" w:cs="Times New Roman"/>
                <w:sz w:val="24"/>
                <w:szCs w:val="24"/>
                <w:shd w:val="clear" w:color="auto" w:fill="FFFFFF"/>
              </w:rPr>
              <w:t>。</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（3）地下水环境影响分析</w:t>
            </w:r>
          </w:p>
          <w:p>
            <w:pPr>
              <w:autoSpaceDE w:val="0"/>
              <w:autoSpaceDN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sz w:val="24"/>
                <w:szCs w:val="24"/>
              </w:rPr>
              <w:t>切削液、液压油、机油和脱模剂等泄漏可能通过地面下渗影响地下水。</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4.6.3 环境风险防范措施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（1）环境风险防范措施</w:t>
            </w:r>
          </w:p>
          <w:p>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①</w:t>
            </w:r>
            <w:r>
              <w:rPr>
                <w:rFonts w:ascii="Times New Roman" w:hAnsi="Times New Roman" w:eastAsia="宋体" w:cs="Times New Roman"/>
                <w:sz w:val="24"/>
              </w:rPr>
              <w:t>切削液、液压油、机油和脱模剂存放区应设置托盘，保持托盘有一定的接纳容量，防止风险物质流失。同时做好暂存区“防渗漏、防扬散、防流失”三防措施。</w:t>
            </w:r>
          </w:p>
          <w:p>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②</w:t>
            </w:r>
            <w:r>
              <w:rPr>
                <w:rFonts w:ascii="Times New Roman" w:hAnsi="Times New Roman" w:eastAsia="宋体" w:cs="Times New Roman"/>
                <w:sz w:val="24"/>
              </w:rPr>
              <w:t>切削液、液压油、机油和脱模剂等应储存于阴凉、通风良好的专用库房内，远离火种、热源，并保持容器密封，库房地面应采用耐腐蚀硬化地面。</w:t>
            </w:r>
          </w:p>
          <w:p>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③</w:t>
            </w:r>
            <w:r>
              <w:rPr>
                <w:rFonts w:ascii="Times New Roman" w:hAnsi="Times New Roman" w:eastAsia="宋体" w:cs="Times New Roman"/>
                <w:sz w:val="24"/>
              </w:rPr>
              <w:t>消防措施要齐全、完好。在辅料存放区、危废暂存间等场所等适当区域设置一定数量的手提式干粉灭火器，并定期检查，保持有效状态。</w:t>
            </w:r>
          </w:p>
          <w:p>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④</w:t>
            </w:r>
            <w:r>
              <w:rPr>
                <w:rFonts w:ascii="Times New Roman" w:hAnsi="Times New Roman" w:eastAsia="宋体" w:cs="Times New Roman"/>
                <w:sz w:val="24"/>
              </w:rPr>
              <w:t>生产区分区防渗控制措施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对机械设备和油类桶装容器加强管理与维护，对厂区做好分区防渗，杜绝出现跑、冒、滴、漏现象。根据项目各生产功能单元可能泄漏至地面区域的污染物性质和生产单元的构筑方式，将项目区域划分为重点防渗区、一般防渗区和简单防渗区。</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重点防渗区：危废暂存间、原料库房等为重点防渗区，防渗性能不低于6.0m厚渗透系数为1.0×10</w:t>
            </w:r>
            <w:r>
              <w:rPr>
                <w:rFonts w:ascii="Times New Roman" w:hAnsi="Times New Roman" w:eastAsia="宋体" w:cs="Times New Roman"/>
                <w:sz w:val="24"/>
                <w:vertAlign w:val="superscript"/>
              </w:rPr>
              <w:t>-7</w:t>
            </w:r>
            <w:r>
              <w:rPr>
                <w:rFonts w:ascii="Times New Roman" w:hAnsi="Times New Roman" w:eastAsia="宋体" w:cs="Times New Roman"/>
                <w:sz w:val="24"/>
              </w:rPr>
              <w:t>cm/s的黏土层防渗性能。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一般防渗区：除重点防渗区以外的其他生产区域（一般固废暂存间、机加工区域、压铸区等）为一般防渗区，防渗性能不低于1.5m厚渗透系数为1.0×10</w:t>
            </w:r>
            <w:r>
              <w:rPr>
                <w:rFonts w:ascii="Times New Roman" w:hAnsi="Times New Roman" w:eastAsia="宋体" w:cs="Times New Roman"/>
                <w:sz w:val="24"/>
                <w:vertAlign w:val="superscript"/>
              </w:rPr>
              <w:t>-7</w:t>
            </w:r>
            <w:r>
              <w:rPr>
                <w:rFonts w:ascii="Times New Roman" w:hAnsi="Times New Roman" w:eastAsia="宋体" w:cs="Times New Roman"/>
                <w:sz w:val="24"/>
              </w:rPr>
              <w:t>cm/s的黏土层防渗性能。</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简单防渗区：厂区道路及空地，做一般地面硬化。</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（2）应急处理措施</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1 \* GB3 </w:instrText>
            </w:r>
            <w:r>
              <w:rPr>
                <w:rFonts w:ascii="Times New Roman" w:hAnsi="Times New Roman" w:eastAsia="宋体" w:cs="Times New Roman"/>
                <w:sz w:val="24"/>
                <w:szCs w:val="24"/>
              </w:rPr>
              <w:fldChar w:fldCharType="separate"/>
            </w:r>
            <w:r>
              <w:rPr>
                <w:rFonts w:hint="eastAsia" w:ascii="宋体" w:hAnsi="宋体" w:eastAsia="宋体" w:cs="宋体"/>
                <w:sz w:val="24"/>
                <w:szCs w:val="24"/>
              </w:rPr>
              <w:t>①</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火灾事故环境风险应急处理措施</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A、消防措施要齐全、完好。在生产车间、原料堆放等场所等适当区域设置一定数量的手提式干粉灭火器，并定期检查，保持有效状态，消防设备及器材不得借故移作他用。</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B、配备必要的消防器材，熟练掌握消防器材使用方法，加强考核。</w:t>
            </w:r>
          </w:p>
          <w:p>
            <w:pPr>
              <w:adjustRightInd w:val="0"/>
              <w:snapToGrid w:val="0"/>
              <w:spacing w:line="460" w:lineRule="exact"/>
              <w:ind w:firstLine="480" w:firstLineChars="200"/>
              <w:rPr>
                <w:rFonts w:ascii="Times New Roman" w:hAnsi="Times New Roman" w:eastAsia="宋体" w:cs="Times New Roman"/>
                <w:sz w:val="24"/>
                <w:szCs w:val="24"/>
              </w:rPr>
            </w:pPr>
            <w:r>
              <w:rPr>
                <w:rFonts w:hint="eastAsia" w:ascii="宋体" w:hAnsi="宋体" w:eastAsia="宋体" w:cs="宋体"/>
                <w:sz w:val="24"/>
                <w:szCs w:val="24"/>
              </w:rPr>
              <w:t>②</w:t>
            </w:r>
            <w:r>
              <w:rPr>
                <w:rFonts w:ascii="Times New Roman" w:hAnsi="Times New Roman" w:eastAsia="宋体" w:cs="Times New Roman"/>
                <w:sz w:val="24"/>
                <w:szCs w:val="24"/>
              </w:rPr>
              <w:t>泄漏风险应急处理措施</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A、尽可能切断泄漏源；</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B、迅速撤离泄漏污染区人员至安全区，并进行隔离，严格限制出入；切断一切明火或电火花，抢险处理人员在确保安全的情况下堵漏。</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C、设置隔离区，防止进入其他生产操作区，物料堆放区等；</w:t>
            </w:r>
          </w:p>
          <w:p>
            <w:pPr>
              <w:adjustRightInd w:val="0"/>
              <w:snapToGrid w:val="0"/>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D、用砂土或其它不燃材料吸附或吸收泄漏的风险物质，收集于密闭容器中作好标记，等待处理。</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4.6.4分析结论</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综上所述，本项目采取环境风险管理和防范措施后，环境风险可防可控，事故状态下不会对周围环境及人群造成大的环境危害，风险水平可接受。</w:t>
            </w:r>
            <w:bookmarkEnd w:id="26"/>
          </w:p>
        </w:tc>
      </w:tr>
    </w:tbl>
    <w:p>
      <w:pPr>
        <w:widowControl/>
        <w:jc w:val="left"/>
        <w:rPr>
          <w:rFonts w:ascii="Times New Roman" w:hAnsi="Times New Roman" w:eastAsia="黑体" w:cs="Times New Roman"/>
          <w:sz w:val="30"/>
          <w:szCs w:val="30"/>
        </w:rPr>
      </w:pPr>
      <w:r>
        <w:rPr>
          <w:rFonts w:ascii="Times New Roman" w:hAnsi="Times New Roman" w:eastAsia="黑体" w:cs="Times New Roman"/>
          <w:sz w:val="30"/>
          <w:szCs w:val="30"/>
        </w:rPr>
        <w:br w:type="page"/>
      </w:r>
    </w:p>
    <w:p>
      <w:pPr>
        <w:jc w:val="center"/>
        <w:rPr>
          <w:rFonts w:ascii="Times New Roman" w:hAnsi="Times New Roman" w:eastAsia="黑体" w:cs="Times New Roman"/>
          <w:sz w:val="30"/>
          <w:szCs w:val="30"/>
        </w:rPr>
      </w:pPr>
      <w:r>
        <w:rPr>
          <w:rFonts w:ascii="Times New Roman" w:hAnsi="Times New Roman" w:eastAsia="黑体" w:cs="Times New Roman"/>
          <w:sz w:val="30"/>
          <w:szCs w:val="30"/>
        </w:rPr>
        <w:t>五、环境保护措施监督检查清单</w:t>
      </w:r>
    </w:p>
    <w:tbl>
      <w:tblPr>
        <w:tblStyle w:val="18"/>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692"/>
        <w:gridCol w:w="7"/>
        <w:gridCol w:w="1279"/>
        <w:gridCol w:w="2410"/>
        <w:gridCol w:w="24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1" w:type="dxa"/>
            <w:tcBorders>
              <w:tl2br w:val="single" w:color="auto" w:sz="4" w:space="0"/>
            </w:tcBorders>
            <w:vAlign w:val="center"/>
          </w:tcPr>
          <w:p>
            <w:pPr>
              <w:jc w:val="right"/>
              <w:rPr>
                <w:rFonts w:ascii="Times New Roman" w:hAnsi="Times New Roman" w:eastAsia="宋体" w:cs="Times New Roman"/>
              </w:rPr>
            </w:pPr>
            <w:r>
              <w:rPr>
                <w:rFonts w:ascii="Times New Roman" w:hAnsi="Times New Roman" w:eastAsia="宋体" w:cs="Times New Roman"/>
              </w:rPr>
              <w:t>内容</w:t>
            </w:r>
          </w:p>
          <w:p>
            <w:pPr>
              <w:jc w:val="left"/>
              <w:rPr>
                <w:rFonts w:ascii="Times New Roman" w:hAnsi="Times New Roman" w:eastAsia="宋体" w:cs="Times New Roman"/>
              </w:rPr>
            </w:pPr>
            <w:r>
              <w:rPr>
                <w:rFonts w:ascii="Times New Roman" w:hAnsi="Times New Roman" w:eastAsia="宋体" w:cs="Times New Roman"/>
              </w:rPr>
              <w:t>要素</w:t>
            </w:r>
          </w:p>
        </w:tc>
        <w:tc>
          <w:tcPr>
            <w:tcW w:w="1699" w:type="dxa"/>
            <w:gridSpan w:val="2"/>
            <w:vAlign w:val="center"/>
          </w:tcPr>
          <w:p>
            <w:pPr>
              <w:jc w:val="center"/>
              <w:rPr>
                <w:rFonts w:ascii="Times New Roman" w:hAnsi="Times New Roman" w:eastAsia="宋体" w:cs="Times New Roman"/>
              </w:rPr>
            </w:pPr>
            <w:r>
              <w:rPr>
                <w:rFonts w:ascii="Times New Roman" w:hAnsi="Times New Roman" w:eastAsia="宋体" w:cs="Times New Roman"/>
              </w:rPr>
              <w:t>排放口(编号、</w:t>
            </w:r>
          </w:p>
          <w:p>
            <w:pPr>
              <w:jc w:val="center"/>
              <w:rPr>
                <w:rFonts w:ascii="Times New Roman" w:hAnsi="Times New Roman" w:eastAsia="宋体" w:cs="Times New Roman"/>
              </w:rPr>
            </w:pPr>
            <w:r>
              <w:rPr>
                <w:rFonts w:ascii="Times New Roman" w:hAnsi="Times New Roman" w:eastAsia="宋体" w:cs="Times New Roman"/>
              </w:rPr>
              <w:t>名称)/污染源</w:t>
            </w:r>
          </w:p>
        </w:tc>
        <w:tc>
          <w:tcPr>
            <w:tcW w:w="1279" w:type="dxa"/>
            <w:vAlign w:val="center"/>
          </w:tcPr>
          <w:p>
            <w:pPr>
              <w:jc w:val="center"/>
              <w:rPr>
                <w:rFonts w:ascii="Times New Roman" w:hAnsi="Times New Roman" w:eastAsia="宋体" w:cs="Times New Roman"/>
              </w:rPr>
            </w:pPr>
            <w:r>
              <w:rPr>
                <w:rFonts w:ascii="Times New Roman" w:hAnsi="Times New Roman" w:eastAsia="宋体" w:cs="Times New Roman"/>
              </w:rPr>
              <w:t>污染物项目</w:t>
            </w:r>
          </w:p>
        </w:tc>
        <w:tc>
          <w:tcPr>
            <w:tcW w:w="2410" w:type="dxa"/>
            <w:vAlign w:val="center"/>
          </w:tcPr>
          <w:p>
            <w:pPr>
              <w:jc w:val="center"/>
              <w:rPr>
                <w:rFonts w:ascii="Times New Roman" w:hAnsi="Times New Roman" w:eastAsia="宋体" w:cs="Times New Roman"/>
              </w:rPr>
            </w:pPr>
            <w:r>
              <w:rPr>
                <w:rFonts w:ascii="Times New Roman" w:hAnsi="Times New Roman" w:eastAsia="宋体" w:cs="Times New Roman"/>
              </w:rPr>
              <w:t>环境保护措施</w:t>
            </w:r>
          </w:p>
        </w:tc>
        <w:tc>
          <w:tcPr>
            <w:tcW w:w="2431" w:type="dxa"/>
            <w:vAlign w:val="center"/>
          </w:tcPr>
          <w:p>
            <w:pPr>
              <w:jc w:val="center"/>
              <w:rPr>
                <w:rFonts w:ascii="Times New Roman" w:hAnsi="Times New Roman" w:eastAsia="宋体" w:cs="Times New Roman"/>
              </w:rPr>
            </w:pPr>
            <w:r>
              <w:rPr>
                <w:rFonts w:ascii="Times New Roman" w:hAnsi="Times New Roman" w:eastAsia="宋体" w:cs="Times New Roman"/>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大气</w:t>
            </w:r>
          </w:p>
          <w:p>
            <w:pPr>
              <w:jc w:val="center"/>
              <w:rPr>
                <w:rFonts w:ascii="Times New Roman" w:hAnsi="Times New Roman" w:eastAsia="宋体" w:cs="Times New Roman"/>
              </w:rPr>
            </w:pPr>
            <w:r>
              <w:rPr>
                <w:rFonts w:ascii="Times New Roman" w:hAnsi="Times New Roman" w:eastAsia="宋体" w:cs="Times New Roman"/>
              </w:rPr>
              <w:t>环境</w:t>
            </w:r>
          </w:p>
        </w:tc>
        <w:tc>
          <w:tcPr>
            <w:tcW w:w="1699"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熔炼废气1#排气筒（编号DA001）</w:t>
            </w:r>
          </w:p>
        </w:tc>
        <w:tc>
          <w:tcPr>
            <w:tcW w:w="127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颗粒物、SO</w:t>
            </w:r>
            <w:r>
              <w:rPr>
                <w:rFonts w:ascii="Times New Roman" w:hAnsi="Times New Roman" w:eastAsia="宋体" w:cs="Times New Roman"/>
                <w:szCs w:val="21"/>
                <w:vertAlign w:val="subscript"/>
              </w:rPr>
              <w:t>2</w:t>
            </w: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241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熔炼废气（含）</w:t>
            </w:r>
            <w:r>
              <w:rPr>
                <w:rFonts w:ascii="Times New Roman" w:hAnsi="Times New Roman" w:eastAsia="宋体" w:cs="Times New Roman"/>
                <w:bCs/>
                <w:szCs w:val="21"/>
              </w:rPr>
              <w:t>通过集气罩收集后，经高温布袋除尘器处理达标后，再经15m高排气筒（1#）排放。</w:t>
            </w:r>
          </w:p>
        </w:tc>
        <w:tc>
          <w:tcPr>
            <w:tcW w:w="243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《铸造工业大气污染物排放标准》（GB39726-2020）</w:t>
            </w:r>
          </w:p>
          <w:p>
            <w:pPr>
              <w:jc w:val="center"/>
              <w:rPr>
                <w:rFonts w:ascii="Times New Roman" w:hAnsi="Times New Roman" w:eastAsia="宋体" w:cs="Times New Roman"/>
                <w:szCs w:val="21"/>
              </w:rPr>
            </w:pPr>
            <w:r>
              <w:rPr>
                <w:rFonts w:ascii="Times New Roman" w:hAnsi="Times New Roman" w:eastAsia="宋体" w:cs="Times New Roman"/>
                <w:szCs w:val="21"/>
              </w:rPr>
              <w:t>颗粒物≤30mg/m</w:t>
            </w:r>
            <w:r>
              <w:rPr>
                <w:rFonts w:ascii="Times New Roman" w:hAnsi="Times New Roman" w:eastAsia="宋体" w:cs="Times New Roman"/>
                <w:szCs w:val="21"/>
                <w:vertAlign w:val="superscript"/>
              </w:rPr>
              <w:t>3</w:t>
            </w:r>
          </w:p>
          <w:p>
            <w:pPr>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≤100mg/m</w:t>
            </w:r>
            <w:r>
              <w:rPr>
                <w:rFonts w:ascii="Times New Roman" w:hAnsi="Times New Roman" w:eastAsia="宋体" w:cs="Times New Roman"/>
                <w:szCs w:val="21"/>
                <w:vertAlign w:val="superscript"/>
              </w:rPr>
              <w:t>3</w:t>
            </w:r>
          </w:p>
          <w:p>
            <w:pPr>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r>
              <w:rPr>
                <w:rFonts w:ascii="Times New Roman" w:hAnsi="Times New Roman" w:eastAsia="宋体" w:cs="Times New Roman"/>
                <w:szCs w:val="21"/>
              </w:rPr>
              <w:t>≤400mg/m</w:t>
            </w:r>
            <w:r>
              <w:rPr>
                <w:rFonts w:ascii="Times New Roman" w:hAnsi="Times New Roman" w:eastAsia="宋体" w:cs="Times New Roman"/>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1" w:type="dxa"/>
            <w:vMerge w:val="continue"/>
            <w:vAlign w:val="center"/>
          </w:tcPr>
          <w:p>
            <w:pPr>
              <w:jc w:val="center"/>
              <w:rPr>
                <w:rFonts w:ascii="Times New Roman" w:hAnsi="Times New Roman" w:eastAsia="宋体" w:cs="Times New Roman"/>
              </w:rPr>
            </w:pPr>
          </w:p>
        </w:tc>
        <w:tc>
          <w:tcPr>
            <w:tcW w:w="1699" w:type="dxa"/>
            <w:gridSpan w:val="2"/>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压铸废气</w:t>
            </w:r>
            <w:r>
              <w:rPr>
                <w:rFonts w:ascii="Times New Roman" w:hAnsi="Times New Roman" w:eastAsia="宋体" w:cs="Times New Roman"/>
                <w:szCs w:val="21"/>
              </w:rPr>
              <w:t>2#排气筒（编号DA002）</w:t>
            </w:r>
          </w:p>
        </w:tc>
        <w:tc>
          <w:tcPr>
            <w:tcW w:w="127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241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通过集气罩收集后，经</w:t>
            </w:r>
            <w:r>
              <w:rPr>
                <w:rFonts w:hint="eastAsia" w:ascii="Times New Roman" w:hAnsi="Times New Roman" w:eastAsia="宋体" w:cs="Times New Roman"/>
                <w:bCs/>
                <w:szCs w:val="21"/>
              </w:rPr>
              <w:t>静电净化设备</w:t>
            </w:r>
            <w:r>
              <w:rPr>
                <w:rFonts w:ascii="Times New Roman" w:hAnsi="Times New Roman" w:eastAsia="宋体" w:cs="Times New Roman"/>
                <w:bCs/>
                <w:szCs w:val="21"/>
              </w:rPr>
              <w:t>处理达标后，再经15m高排气筒（2#）排放。</w:t>
            </w:r>
          </w:p>
        </w:tc>
        <w:tc>
          <w:tcPr>
            <w:tcW w:w="2431"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《大气污染物综合排放标准》(DB50/418-2016)</w:t>
            </w:r>
          </w:p>
          <w:p>
            <w:pPr>
              <w:jc w:val="center"/>
              <w:rPr>
                <w:rFonts w:ascii="Times New Roman" w:hAnsi="Times New Roman" w:eastAsia="宋体" w:cs="Times New Roman"/>
                <w:bCs/>
                <w:szCs w:val="21"/>
              </w:rPr>
            </w:pPr>
            <w:r>
              <w:rPr>
                <w:rFonts w:ascii="Times New Roman" w:hAnsi="Times New Roman" w:eastAsia="宋体" w:cs="Times New Roman"/>
                <w:bCs/>
                <w:szCs w:val="21"/>
              </w:rPr>
              <w:t>非甲烷总烃</w:t>
            </w:r>
          </w:p>
          <w:p>
            <w:pPr>
              <w:jc w:val="center"/>
              <w:rPr>
                <w:rFonts w:ascii="Times New Roman" w:hAnsi="Times New Roman" w:eastAsia="宋体" w:cs="Times New Roman"/>
                <w:bCs/>
                <w:szCs w:val="21"/>
              </w:rPr>
            </w:pPr>
            <w:r>
              <w:rPr>
                <w:rFonts w:hint="eastAsia" w:ascii="Times New Roman" w:hAnsi="Times New Roman" w:eastAsia="宋体" w:cs="Times New Roman"/>
                <w:bCs/>
                <w:szCs w:val="21"/>
              </w:rPr>
              <w:t>速率</w:t>
            </w:r>
            <w:r>
              <w:rPr>
                <w:rFonts w:ascii="Times New Roman" w:hAnsi="Times New Roman" w:eastAsia="宋体" w:cs="Times New Roman"/>
                <w:bCs/>
                <w:szCs w:val="21"/>
              </w:rPr>
              <w:t>≤10</w:t>
            </w:r>
            <w:r>
              <w:rPr>
                <w:rFonts w:hint="eastAsia" w:ascii="Times New Roman" w:hAnsi="Times New Roman" w:eastAsia="宋体" w:cs="Times New Roman"/>
                <w:bCs/>
                <w:szCs w:val="21"/>
              </w:rPr>
              <w:t>kg/h</w:t>
            </w:r>
          </w:p>
          <w:p>
            <w:pPr>
              <w:jc w:val="center"/>
              <w:rPr>
                <w:rFonts w:ascii="Times New Roman" w:hAnsi="Times New Roman" w:eastAsia="宋体" w:cs="Times New Roman"/>
                <w:szCs w:val="21"/>
              </w:rPr>
            </w:pPr>
            <w:r>
              <w:rPr>
                <w:rFonts w:hint="eastAsia" w:ascii="Times New Roman" w:hAnsi="Times New Roman" w:eastAsia="宋体" w:cs="Times New Roman"/>
                <w:bCs/>
                <w:szCs w:val="21"/>
              </w:rPr>
              <w:t>浓度</w:t>
            </w:r>
            <w:r>
              <w:rPr>
                <w:rFonts w:ascii="Times New Roman" w:hAnsi="Times New Roman" w:eastAsia="宋体" w:cs="Times New Roman"/>
                <w:bCs/>
                <w:szCs w:val="21"/>
              </w:rPr>
              <w:t>≤120mg/m</w:t>
            </w:r>
            <w:r>
              <w:rPr>
                <w:rFonts w:ascii="Times New Roman" w:hAnsi="Times New Roman" w:eastAsia="宋体" w:cs="Times New Roman"/>
                <w:bCs/>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1" w:type="dxa"/>
            <w:vMerge w:val="continue"/>
            <w:vAlign w:val="center"/>
          </w:tcPr>
          <w:p>
            <w:pPr>
              <w:jc w:val="center"/>
              <w:rPr>
                <w:rFonts w:ascii="Times New Roman" w:hAnsi="Times New Roman" w:eastAsia="宋体" w:cs="Times New Roman"/>
              </w:rPr>
            </w:pPr>
          </w:p>
        </w:tc>
        <w:tc>
          <w:tcPr>
            <w:tcW w:w="1699"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抛丸粉尘3#排气筒（编号DA003）</w:t>
            </w:r>
          </w:p>
        </w:tc>
        <w:tc>
          <w:tcPr>
            <w:tcW w:w="127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410" w:type="dxa"/>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经抛丸机自带的收集装置收集，由1套布袋除尘器处理，再通过15m高排气筒（3#）排放。</w:t>
            </w:r>
          </w:p>
        </w:tc>
        <w:tc>
          <w:tcPr>
            <w:tcW w:w="243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《铸造工业大气污染物排放标准》（GB39726-2020）</w:t>
            </w:r>
          </w:p>
          <w:p>
            <w:pPr>
              <w:jc w:val="center"/>
              <w:rPr>
                <w:rFonts w:ascii="Times New Roman" w:hAnsi="Times New Roman" w:eastAsia="宋体" w:cs="Times New Roman"/>
                <w:szCs w:val="21"/>
              </w:rPr>
            </w:pPr>
            <w:r>
              <w:rPr>
                <w:rFonts w:ascii="Times New Roman" w:hAnsi="Times New Roman" w:eastAsia="宋体" w:cs="Times New Roman"/>
                <w:szCs w:val="21"/>
              </w:rPr>
              <w:t>颗粒物≤30mg/m</w:t>
            </w:r>
            <w:r>
              <w:rPr>
                <w:rFonts w:ascii="Times New Roman" w:hAnsi="Times New Roman" w:eastAsia="宋体" w:cs="Times New Roman"/>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1" w:type="dxa"/>
            <w:vMerge w:val="continue"/>
            <w:vAlign w:val="center"/>
          </w:tcPr>
          <w:p>
            <w:pPr>
              <w:jc w:val="center"/>
              <w:rPr>
                <w:rFonts w:ascii="Times New Roman" w:hAnsi="Times New Roman" w:eastAsia="宋体" w:cs="Times New Roman"/>
              </w:rPr>
            </w:pPr>
          </w:p>
        </w:tc>
        <w:tc>
          <w:tcPr>
            <w:tcW w:w="1699" w:type="dxa"/>
            <w:gridSpan w:val="2"/>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打磨</w:t>
            </w:r>
            <w:r>
              <w:rPr>
                <w:rFonts w:ascii="Times New Roman" w:hAnsi="Times New Roman" w:eastAsia="宋体" w:cs="Times New Roman"/>
                <w:szCs w:val="21"/>
              </w:rPr>
              <w:t>粉尘4#排气筒（编号DA004）</w:t>
            </w:r>
          </w:p>
        </w:tc>
        <w:tc>
          <w:tcPr>
            <w:tcW w:w="127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41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经</w:t>
            </w:r>
            <w:r>
              <w:rPr>
                <w:rFonts w:hint="eastAsia" w:ascii="Times New Roman" w:hAnsi="Times New Roman" w:eastAsia="宋体" w:cs="Times New Roman"/>
                <w:bCs/>
                <w:szCs w:val="21"/>
              </w:rPr>
              <w:t>打磨工位</w:t>
            </w:r>
            <w:r>
              <w:rPr>
                <w:rFonts w:ascii="Times New Roman" w:hAnsi="Times New Roman" w:eastAsia="宋体" w:cs="Times New Roman"/>
                <w:bCs/>
                <w:szCs w:val="21"/>
              </w:rPr>
              <w:t>收集</w:t>
            </w:r>
            <w:r>
              <w:rPr>
                <w:rFonts w:hint="eastAsia" w:ascii="Times New Roman" w:hAnsi="Times New Roman" w:eastAsia="宋体" w:cs="Times New Roman"/>
                <w:bCs/>
                <w:szCs w:val="21"/>
              </w:rPr>
              <w:t>处置</w:t>
            </w:r>
            <w:r>
              <w:rPr>
                <w:rFonts w:ascii="Times New Roman" w:hAnsi="Times New Roman" w:eastAsia="宋体" w:cs="Times New Roman"/>
                <w:bCs/>
                <w:szCs w:val="21"/>
              </w:rPr>
              <w:t>装置</w:t>
            </w:r>
            <w:r>
              <w:rPr>
                <w:rFonts w:hint="eastAsia" w:ascii="Times New Roman" w:hAnsi="Times New Roman" w:eastAsia="宋体" w:cs="Times New Roman"/>
                <w:bCs/>
                <w:szCs w:val="21"/>
              </w:rPr>
              <w:t>处理后</w:t>
            </w:r>
            <w:r>
              <w:rPr>
                <w:rFonts w:ascii="Times New Roman" w:hAnsi="Times New Roman" w:eastAsia="宋体" w:cs="Times New Roman"/>
                <w:bCs/>
                <w:szCs w:val="21"/>
              </w:rPr>
              <w:t>，再通过15m高排气筒（4#）排放。</w:t>
            </w:r>
          </w:p>
        </w:tc>
        <w:tc>
          <w:tcPr>
            <w:tcW w:w="243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《铸造工业大气污染物排放标准》（GB39726-2020）</w:t>
            </w:r>
          </w:p>
          <w:p>
            <w:pPr>
              <w:jc w:val="center"/>
              <w:rPr>
                <w:rFonts w:ascii="Times New Roman" w:hAnsi="Times New Roman" w:eastAsia="宋体" w:cs="Times New Roman"/>
                <w:szCs w:val="21"/>
              </w:rPr>
            </w:pPr>
            <w:r>
              <w:rPr>
                <w:rFonts w:ascii="Times New Roman" w:hAnsi="Times New Roman" w:eastAsia="宋体" w:cs="Times New Roman"/>
                <w:szCs w:val="21"/>
              </w:rPr>
              <w:t>颗粒物≤30mg/m</w:t>
            </w:r>
            <w:r>
              <w:rPr>
                <w:rFonts w:ascii="Times New Roman" w:hAnsi="Times New Roman" w:eastAsia="宋体" w:cs="Times New Roman"/>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981" w:type="dxa"/>
            <w:vMerge w:val="continue"/>
            <w:vAlign w:val="center"/>
          </w:tcPr>
          <w:p>
            <w:pPr>
              <w:jc w:val="center"/>
              <w:rPr>
                <w:rFonts w:ascii="Times New Roman" w:hAnsi="Times New Roman" w:eastAsia="宋体" w:cs="Times New Roman"/>
              </w:rPr>
            </w:pPr>
          </w:p>
        </w:tc>
        <w:tc>
          <w:tcPr>
            <w:tcW w:w="1699"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w:t>
            </w:r>
            <w:r>
              <w:rPr>
                <w:rFonts w:hint="eastAsia" w:ascii="Times New Roman" w:hAnsi="Times New Roman" w:eastAsia="宋体" w:cs="Times New Roman"/>
                <w:szCs w:val="21"/>
              </w:rPr>
              <w:t>房外</w:t>
            </w:r>
            <w:r>
              <w:rPr>
                <w:rFonts w:ascii="Times New Roman" w:hAnsi="Times New Roman" w:eastAsia="宋体" w:cs="Times New Roman"/>
                <w:szCs w:val="21"/>
              </w:rPr>
              <w:t>无组织</w:t>
            </w:r>
          </w:p>
        </w:tc>
        <w:tc>
          <w:tcPr>
            <w:tcW w:w="127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41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加强车间通风</w:t>
            </w:r>
          </w:p>
        </w:tc>
        <w:tc>
          <w:tcPr>
            <w:tcW w:w="2431"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《铸造工业大气污染物排放标准》（GB39726-2020）</w:t>
            </w:r>
          </w:p>
          <w:p>
            <w:pPr>
              <w:jc w:val="center"/>
              <w:rPr>
                <w:rFonts w:ascii="Times New Roman" w:hAnsi="Times New Roman" w:eastAsia="宋体" w:cs="Times New Roman"/>
                <w:bCs/>
                <w:szCs w:val="21"/>
                <w:vertAlign w:val="superscript"/>
              </w:rPr>
            </w:pPr>
            <w:r>
              <w:rPr>
                <w:rFonts w:ascii="Times New Roman" w:hAnsi="Times New Roman" w:eastAsia="宋体" w:cs="Times New Roman"/>
                <w:bCs/>
                <w:szCs w:val="21"/>
              </w:rPr>
              <w:t>颗粒物≤5mg/m</w:t>
            </w:r>
            <w:r>
              <w:rPr>
                <w:rFonts w:ascii="Times New Roman" w:hAnsi="Times New Roman" w:eastAsia="宋体" w:cs="Times New Roman"/>
                <w:bCs/>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981" w:type="dxa"/>
            <w:vMerge w:val="continue"/>
            <w:vAlign w:val="center"/>
          </w:tcPr>
          <w:p>
            <w:pPr>
              <w:jc w:val="center"/>
              <w:rPr>
                <w:rFonts w:ascii="Times New Roman" w:hAnsi="Times New Roman" w:eastAsia="宋体" w:cs="Times New Roman"/>
              </w:rPr>
            </w:pPr>
          </w:p>
        </w:tc>
        <w:tc>
          <w:tcPr>
            <w:tcW w:w="1699" w:type="dxa"/>
            <w:gridSpan w:val="2"/>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厂界无组织</w:t>
            </w:r>
          </w:p>
        </w:tc>
        <w:tc>
          <w:tcPr>
            <w:tcW w:w="127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2410" w:type="dxa"/>
            <w:vMerge w:val="continue"/>
            <w:vAlign w:val="center"/>
          </w:tcPr>
          <w:p>
            <w:pPr>
              <w:jc w:val="center"/>
              <w:rPr>
                <w:rFonts w:ascii="Times New Roman" w:hAnsi="Times New Roman" w:eastAsia="宋体" w:cs="Times New Roman"/>
                <w:szCs w:val="21"/>
              </w:rPr>
            </w:pPr>
          </w:p>
        </w:tc>
        <w:tc>
          <w:tcPr>
            <w:tcW w:w="2431"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《大气污染物综合排放标准》(DB50/418-2016)</w:t>
            </w:r>
          </w:p>
          <w:p>
            <w:pPr>
              <w:jc w:val="center"/>
              <w:rPr>
                <w:rFonts w:ascii="Times New Roman" w:hAnsi="Times New Roman" w:eastAsia="宋体" w:cs="Times New Roman"/>
                <w:bCs/>
                <w:szCs w:val="21"/>
              </w:rPr>
            </w:pPr>
            <w:r>
              <w:rPr>
                <w:rFonts w:ascii="Times New Roman" w:hAnsi="Times New Roman" w:eastAsia="宋体" w:cs="Times New Roman"/>
                <w:bCs/>
                <w:szCs w:val="21"/>
              </w:rPr>
              <w:t>非甲烷总烃≤4mg/m</w:t>
            </w:r>
            <w:r>
              <w:rPr>
                <w:rFonts w:ascii="Times New Roman" w:hAnsi="Times New Roman" w:eastAsia="宋体" w:cs="Times New Roman"/>
                <w:bCs/>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32"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声环境</w:t>
            </w:r>
          </w:p>
        </w:tc>
        <w:tc>
          <w:tcPr>
            <w:tcW w:w="1699" w:type="dxa"/>
            <w:gridSpan w:val="2"/>
            <w:vAlign w:val="center"/>
          </w:tcPr>
          <w:p>
            <w:pPr>
              <w:jc w:val="center"/>
              <w:rPr>
                <w:rFonts w:ascii="Times New Roman" w:hAnsi="Times New Roman" w:eastAsia="宋体" w:cs="Times New Roman"/>
              </w:rPr>
            </w:pPr>
            <w:r>
              <w:rPr>
                <w:rFonts w:ascii="Times New Roman" w:hAnsi="Times New Roman" w:eastAsia="宋体" w:cs="Times New Roman"/>
              </w:rPr>
              <w:t>设备噪声</w:t>
            </w:r>
          </w:p>
        </w:tc>
        <w:tc>
          <w:tcPr>
            <w:tcW w:w="1279" w:type="dxa"/>
            <w:vAlign w:val="center"/>
          </w:tcPr>
          <w:p>
            <w:pPr>
              <w:jc w:val="center"/>
              <w:rPr>
                <w:rFonts w:ascii="Times New Roman" w:hAnsi="Times New Roman" w:eastAsia="宋体" w:cs="Times New Roman"/>
              </w:rPr>
            </w:pPr>
            <w:r>
              <w:rPr>
                <w:rFonts w:ascii="Times New Roman" w:hAnsi="Times New Roman" w:eastAsia="宋体" w:cs="Times New Roman"/>
              </w:rPr>
              <w:t>连续等效A声级</w:t>
            </w:r>
          </w:p>
        </w:tc>
        <w:tc>
          <w:tcPr>
            <w:tcW w:w="2410" w:type="dxa"/>
            <w:vAlign w:val="center"/>
          </w:tcPr>
          <w:p>
            <w:pPr>
              <w:jc w:val="center"/>
              <w:rPr>
                <w:rFonts w:ascii="Times New Roman" w:hAnsi="Times New Roman" w:eastAsia="宋体" w:cs="Times New Roman"/>
              </w:rPr>
            </w:pPr>
            <w:r>
              <w:rPr>
                <w:rFonts w:ascii="Times New Roman" w:hAnsi="Times New Roman" w:eastAsia="宋体" w:cs="Times New Roman"/>
              </w:rPr>
              <w:t xml:space="preserve">加强设备的维修保养，防止设备老化等产生噪声；设备基座与基础之间应设橡胶隔振垫降噪；合理布局，噪声较大的设备尽量布置在厂区中部；空压机等高噪声设备设置独立房间降噪等措施 </w:t>
            </w:r>
          </w:p>
        </w:tc>
        <w:tc>
          <w:tcPr>
            <w:tcW w:w="2431" w:type="dxa"/>
            <w:vAlign w:val="center"/>
          </w:tcPr>
          <w:p>
            <w:pPr>
              <w:jc w:val="center"/>
              <w:rPr>
                <w:rFonts w:ascii="Times New Roman" w:hAnsi="Times New Roman" w:eastAsia="宋体" w:cs="Times New Roman"/>
              </w:rPr>
            </w:pPr>
            <w:r>
              <w:rPr>
                <w:rFonts w:ascii="Times New Roman" w:hAnsi="Times New Roman" w:eastAsia="宋体" w:cs="Times New Roman"/>
              </w:rPr>
              <w:t>《工业企业厂界环境噪声排放标准》(GB12348-2008)</w:t>
            </w:r>
          </w:p>
          <w:p>
            <w:pPr>
              <w:jc w:val="center"/>
              <w:rPr>
                <w:rFonts w:ascii="Times New Roman" w:hAnsi="Times New Roman" w:eastAsia="宋体" w:cs="Times New Roman"/>
              </w:rPr>
            </w:pPr>
            <w:r>
              <w:rPr>
                <w:rFonts w:ascii="Times New Roman" w:hAnsi="Times New Roman" w:eastAsia="宋体" w:cs="Times New Roman"/>
              </w:rPr>
              <w:t>2类标准</w:t>
            </w:r>
          </w:p>
          <w:p>
            <w:pPr>
              <w:jc w:val="center"/>
              <w:rPr>
                <w:rFonts w:ascii="Times New Roman" w:hAnsi="Times New Roman" w:eastAsia="宋体" w:cs="Times New Roman"/>
              </w:rPr>
            </w:pPr>
            <w:r>
              <w:rPr>
                <w:rFonts w:ascii="Times New Roman" w:hAnsi="Times New Roman" w:eastAsia="宋体" w:cs="Times New Roman"/>
              </w:rPr>
              <w:t>昼间≤60dB(A)</w:t>
            </w:r>
          </w:p>
          <w:p>
            <w:pPr>
              <w:jc w:val="center"/>
              <w:rPr>
                <w:rFonts w:ascii="Times New Roman" w:hAnsi="Times New Roman" w:eastAsia="宋体" w:cs="Times New Roman"/>
              </w:rPr>
            </w:pPr>
            <w:r>
              <w:rPr>
                <w:rFonts w:ascii="Times New Roman" w:hAnsi="Times New Roman" w:eastAsia="宋体" w:cs="Times New Roman"/>
              </w:rPr>
              <w:t>夜间不生产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电磁</w:t>
            </w:r>
          </w:p>
          <w:p>
            <w:pPr>
              <w:jc w:val="center"/>
              <w:rPr>
                <w:rFonts w:ascii="Times New Roman" w:hAnsi="Times New Roman" w:eastAsia="宋体" w:cs="Times New Roman"/>
              </w:rPr>
            </w:pPr>
            <w:r>
              <w:rPr>
                <w:rFonts w:ascii="Times New Roman" w:hAnsi="Times New Roman" w:eastAsia="宋体" w:cs="Times New Roman"/>
              </w:rPr>
              <w:t>辐射</w:t>
            </w:r>
          </w:p>
        </w:tc>
        <w:tc>
          <w:tcPr>
            <w:tcW w:w="7819" w:type="dxa"/>
            <w:gridSpan w:val="5"/>
            <w:vAlign w:val="center"/>
          </w:tcPr>
          <w:p>
            <w:pPr>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98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固体</w:t>
            </w:r>
          </w:p>
          <w:p>
            <w:pPr>
              <w:jc w:val="center"/>
              <w:rPr>
                <w:rFonts w:ascii="Times New Roman" w:hAnsi="Times New Roman" w:eastAsia="宋体" w:cs="Times New Roman"/>
              </w:rPr>
            </w:pPr>
            <w:r>
              <w:rPr>
                <w:rFonts w:ascii="Times New Roman" w:hAnsi="Times New Roman" w:eastAsia="宋体" w:cs="Times New Roman"/>
              </w:rPr>
              <w:t>废物</w:t>
            </w:r>
          </w:p>
        </w:tc>
        <w:tc>
          <w:tcPr>
            <w:tcW w:w="1692" w:type="dxa"/>
            <w:vAlign w:val="center"/>
          </w:tcPr>
          <w:p>
            <w:pPr>
              <w:jc w:val="center"/>
              <w:rPr>
                <w:rFonts w:ascii="Times New Roman" w:hAnsi="Times New Roman" w:eastAsia="宋体" w:cs="Times New Roman"/>
              </w:rPr>
            </w:pPr>
            <w:r>
              <w:rPr>
                <w:rFonts w:ascii="Times New Roman" w:hAnsi="Times New Roman" w:eastAsia="宋体" w:cs="Times New Roman"/>
              </w:rPr>
              <w:t>废边角料、不合格产品、废包装材料等</w:t>
            </w:r>
          </w:p>
        </w:tc>
        <w:tc>
          <w:tcPr>
            <w:tcW w:w="3696" w:type="dxa"/>
            <w:gridSpan w:val="3"/>
            <w:vAlign w:val="center"/>
          </w:tcPr>
          <w:p>
            <w:pPr>
              <w:jc w:val="center"/>
              <w:rPr>
                <w:rFonts w:ascii="Times New Roman" w:hAnsi="Times New Roman" w:eastAsia="宋体" w:cs="Times New Roman"/>
              </w:rPr>
            </w:pPr>
            <w:r>
              <w:rPr>
                <w:rFonts w:ascii="Times New Roman" w:hAnsi="Times New Roman" w:eastAsia="宋体" w:cs="Times New Roman"/>
                <w:bCs/>
              </w:rPr>
              <w:t>设置1个一般固废暂存间，分类收集，定期综合外销。</w:t>
            </w:r>
          </w:p>
        </w:tc>
        <w:tc>
          <w:tcPr>
            <w:tcW w:w="2431" w:type="dxa"/>
            <w:vAlign w:val="center"/>
          </w:tcPr>
          <w:p>
            <w:pPr>
              <w:jc w:val="center"/>
              <w:rPr>
                <w:rFonts w:ascii="Times New Roman" w:hAnsi="Times New Roman" w:eastAsia="宋体" w:cs="Times New Roman"/>
              </w:rPr>
            </w:pPr>
            <w:r>
              <w:rPr>
                <w:rFonts w:ascii="Times New Roman" w:hAnsi="Times New Roman" w:eastAsia="宋体" w:cs="Times New Roman"/>
              </w:rPr>
              <w:t>符合处置规范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981" w:type="dxa"/>
            <w:vMerge w:val="continue"/>
            <w:vAlign w:val="center"/>
          </w:tcPr>
          <w:p>
            <w:pPr>
              <w:jc w:val="center"/>
              <w:rPr>
                <w:rFonts w:ascii="Times New Roman" w:hAnsi="Times New Roman" w:eastAsia="宋体" w:cs="Times New Roman"/>
              </w:rPr>
            </w:pPr>
          </w:p>
        </w:tc>
        <w:tc>
          <w:tcPr>
            <w:tcW w:w="1692" w:type="dxa"/>
            <w:vAlign w:val="center"/>
          </w:tcPr>
          <w:p>
            <w:pPr>
              <w:jc w:val="center"/>
              <w:rPr>
                <w:rFonts w:ascii="Times New Roman" w:hAnsi="Times New Roman" w:eastAsia="宋体" w:cs="Times New Roman"/>
              </w:rPr>
            </w:pPr>
            <w:r>
              <w:rPr>
                <w:rFonts w:ascii="Times New Roman" w:hAnsi="Times New Roman" w:eastAsia="宋体" w:cs="Times New Roman"/>
              </w:rPr>
              <w:t>铝渣/铝灰、废液压油、废铝屑、废切削液、废机油、废包装桶、废含油棉纱手套、浮油/渣等</w:t>
            </w:r>
          </w:p>
        </w:tc>
        <w:tc>
          <w:tcPr>
            <w:tcW w:w="3696" w:type="dxa"/>
            <w:gridSpan w:val="3"/>
            <w:vAlign w:val="center"/>
          </w:tcPr>
          <w:p>
            <w:pPr>
              <w:jc w:val="center"/>
              <w:rPr>
                <w:rFonts w:ascii="Times New Roman" w:hAnsi="Times New Roman" w:eastAsia="宋体" w:cs="Times New Roman"/>
              </w:rPr>
            </w:pPr>
            <w:r>
              <w:rPr>
                <w:rFonts w:ascii="Times New Roman" w:hAnsi="Times New Roman" w:eastAsia="宋体" w:cs="Times New Roman"/>
              </w:rPr>
              <w:t>设置1个危废暂存间，危险废物收集后，在危废暂存间内分开存放，定期交危废资质单位处理。危废暂存间应按要求采取</w:t>
            </w:r>
            <w:r>
              <w:rPr>
                <w:rFonts w:hint="eastAsia" w:ascii="Times New Roman" w:hAnsi="Times New Roman" w:eastAsia="宋体" w:cs="Times New Roman"/>
              </w:rPr>
              <w:t>防护</w:t>
            </w:r>
            <w:r>
              <w:rPr>
                <w:rFonts w:ascii="Times New Roman" w:hAnsi="Times New Roman" w:eastAsia="宋体" w:cs="Times New Roman"/>
              </w:rPr>
              <w:t>措施。</w:t>
            </w:r>
          </w:p>
        </w:tc>
        <w:tc>
          <w:tcPr>
            <w:tcW w:w="2431" w:type="dxa"/>
            <w:vAlign w:val="center"/>
          </w:tcPr>
          <w:p>
            <w:pPr>
              <w:jc w:val="center"/>
              <w:rPr>
                <w:rFonts w:ascii="Times New Roman" w:hAnsi="Times New Roman" w:eastAsia="宋体" w:cs="Times New Roman"/>
              </w:rPr>
            </w:pPr>
            <w:r>
              <w:rPr>
                <w:rFonts w:ascii="Times New Roman" w:hAnsi="Times New Roman" w:eastAsia="宋体" w:cs="Times New Roman"/>
              </w:rPr>
              <w:t>满足《危险废物贮存污染控制标准》（GB 18597-2023），检查统计表（详细记录台账）及危废转移联单记录，实现厂区危险废物100%交由有资质的单位进行处理。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981" w:type="dxa"/>
            <w:vMerge w:val="continue"/>
            <w:vAlign w:val="center"/>
          </w:tcPr>
          <w:p>
            <w:pPr>
              <w:jc w:val="center"/>
              <w:rPr>
                <w:rFonts w:ascii="Times New Roman" w:hAnsi="Times New Roman" w:eastAsia="宋体" w:cs="Times New Roman"/>
              </w:rPr>
            </w:pPr>
          </w:p>
        </w:tc>
        <w:tc>
          <w:tcPr>
            <w:tcW w:w="1692" w:type="dxa"/>
            <w:vAlign w:val="center"/>
          </w:tcPr>
          <w:p>
            <w:pPr>
              <w:jc w:val="center"/>
              <w:rPr>
                <w:rFonts w:ascii="Times New Roman" w:hAnsi="Times New Roman" w:eastAsia="宋体" w:cs="Times New Roman"/>
              </w:rPr>
            </w:pPr>
            <w:r>
              <w:rPr>
                <w:rFonts w:ascii="Times New Roman" w:hAnsi="Times New Roman" w:eastAsia="宋体" w:cs="Times New Roman"/>
              </w:rPr>
              <w:t>生活垃圾</w:t>
            </w:r>
          </w:p>
        </w:tc>
        <w:tc>
          <w:tcPr>
            <w:tcW w:w="3696" w:type="dxa"/>
            <w:gridSpan w:val="3"/>
            <w:vAlign w:val="center"/>
          </w:tcPr>
          <w:p>
            <w:pPr>
              <w:jc w:val="center"/>
              <w:rPr>
                <w:rFonts w:ascii="Times New Roman" w:hAnsi="Times New Roman" w:eastAsia="宋体" w:cs="Times New Roman"/>
              </w:rPr>
            </w:pPr>
            <w:r>
              <w:rPr>
                <w:rFonts w:ascii="Times New Roman" w:hAnsi="Times New Roman" w:eastAsia="宋体" w:cs="Times New Roman"/>
              </w:rPr>
              <w:t>经垃圾桶收集后交环卫部门统一清运。</w:t>
            </w:r>
          </w:p>
        </w:tc>
        <w:tc>
          <w:tcPr>
            <w:tcW w:w="2431" w:type="dxa"/>
            <w:vAlign w:val="center"/>
          </w:tcPr>
          <w:p>
            <w:pPr>
              <w:jc w:val="center"/>
              <w:rPr>
                <w:rFonts w:ascii="Times New Roman" w:hAnsi="Times New Roman" w:eastAsia="宋体" w:cs="Times New Roman"/>
              </w:rPr>
            </w:pPr>
            <w:r>
              <w:rPr>
                <w:rFonts w:ascii="Times New Roman" w:hAnsi="Times New Roman" w:eastAsia="宋体" w:cs="Times New Roman"/>
              </w:rPr>
              <w:t>符合处置规范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21"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土壤及地下水</w:t>
            </w:r>
          </w:p>
          <w:p>
            <w:pPr>
              <w:jc w:val="center"/>
              <w:rPr>
                <w:rFonts w:ascii="Times New Roman" w:hAnsi="Times New Roman" w:eastAsia="宋体" w:cs="Times New Roman"/>
              </w:rPr>
            </w:pPr>
            <w:r>
              <w:rPr>
                <w:rFonts w:ascii="Times New Roman" w:hAnsi="Times New Roman" w:eastAsia="宋体" w:cs="Times New Roman"/>
              </w:rPr>
              <w:t>污染防治措施</w:t>
            </w:r>
          </w:p>
        </w:tc>
        <w:tc>
          <w:tcPr>
            <w:tcW w:w="7819" w:type="dxa"/>
            <w:gridSpan w:val="5"/>
            <w:vAlign w:val="center"/>
          </w:tcPr>
          <w:p>
            <w:pPr>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生态保护措施</w:t>
            </w:r>
          </w:p>
        </w:tc>
        <w:tc>
          <w:tcPr>
            <w:tcW w:w="7819" w:type="dxa"/>
            <w:gridSpan w:val="5"/>
            <w:vAlign w:val="center"/>
          </w:tcPr>
          <w:p>
            <w:pPr>
              <w:jc w:val="center"/>
              <w:rPr>
                <w:rFonts w:ascii="Times New Roman" w:hAnsi="Times New Roman" w:eastAsia="宋体" w:cs="Times New Roman"/>
              </w:rPr>
            </w:pPr>
            <w:r>
              <w:rPr>
                <w:rFonts w:ascii="Times New Roman" w:hAnsi="Times New Roman" w:eastAsia="宋体" w:cs="Times New Roma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03"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环境风险防范措施</w:t>
            </w:r>
          </w:p>
        </w:tc>
        <w:tc>
          <w:tcPr>
            <w:tcW w:w="1692" w:type="dxa"/>
            <w:vAlign w:val="center"/>
          </w:tcPr>
          <w:p>
            <w:pPr>
              <w:jc w:val="center"/>
              <w:rPr>
                <w:rFonts w:ascii="Times New Roman" w:hAnsi="Times New Roman" w:eastAsia="宋体" w:cs="Times New Roman"/>
              </w:rPr>
            </w:pPr>
            <w:r>
              <w:rPr>
                <w:rFonts w:ascii="Times New Roman" w:hAnsi="Times New Roman" w:eastAsia="宋体" w:cs="Times New Roman"/>
              </w:rPr>
              <w:t>辅料存放区、危废暂存间</w:t>
            </w:r>
          </w:p>
        </w:tc>
        <w:tc>
          <w:tcPr>
            <w:tcW w:w="3696" w:type="dxa"/>
            <w:gridSpan w:val="3"/>
            <w:vAlign w:val="center"/>
          </w:tcPr>
          <w:p>
            <w:pPr>
              <w:rPr>
                <w:rFonts w:ascii="Times New Roman" w:hAnsi="Times New Roman" w:eastAsia="宋体" w:cs="Times New Roman"/>
              </w:rPr>
            </w:pPr>
            <w:r>
              <w:rPr>
                <w:rFonts w:ascii="Times New Roman" w:hAnsi="Times New Roman" w:eastAsia="宋体" w:cs="Times New Roman"/>
              </w:rPr>
              <w:t>机油、切削液、液压油和脱模剂等辅料应分开存放。液体物料储存区域</w:t>
            </w:r>
            <w:r>
              <w:rPr>
                <w:rFonts w:hint="eastAsia" w:ascii="Times New Roman" w:hAnsi="Times New Roman" w:eastAsia="宋体" w:cs="Times New Roman"/>
              </w:rPr>
              <w:t>及危废暂存间</w:t>
            </w:r>
            <w:r>
              <w:rPr>
                <w:rFonts w:ascii="Times New Roman" w:hAnsi="Times New Roman" w:eastAsia="宋体" w:cs="Times New Roman"/>
              </w:rPr>
              <w:t>应设置托盘，并</w:t>
            </w:r>
            <w:r>
              <w:rPr>
                <w:rFonts w:hint="eastAsia" w:ascii="Times New Roman" w:hAnsi="Times New Roman" w:eastAsia="宋体" w:cs="Times New Roman"/>
              </w:rPr>
              <w:t>将原料和危废分类</w:t>
            </w:r>
            <w:r>
              <w:rPr>
                <w:rFonts w:ascii="Times New Roman" w:hAnsi="Times New Roman" w:eastAsia="宋体" w:cs="Times New Roman"/>
              </w:rPr>
              <w:t>置于托盘上，防止泄漏，并按要求采取防腐防渗措施。</w:t>
            </w:r>
          </w:p>
        </w:tc>
        <w:tc>
          <w:tcPr>
            <w:tcW w:w="2431" w:type="dxa"/>
            <w:vAlign w:val="center"/>
          </w:tcPr>
          <w:p>
            <w:pPr>
              <w:jc w:val="center"/>
              <w:rPr>
                <w:rFonts w:ascii="Times New Roman" w:hAnsi="Times New Roman" w:eastAsia="宋体" w:cs="Times New Roman"/>
              </w:rPr>
            </w:pPr>
            <w:r>
              <w:rPr>
                <w:rFonts w:ascii="Times New Roman" w:hAnsi="Times New Roman" w:eastAsia="宋体" w:cs="Times New Roman"/>
              </w:rPr>
              <w:t>符合环保要求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981" w:type="dxa"/>
            <w:vAlign w:val="center"/>
          </w:tcPr>
          <w:p>
            <w:pPr>
              <w:jc w:val="center"/>
              <w:rPr>
                <w:rFonts w:ascii="Times New Roman" w:hAnsi="Times New Roman" w:eastAsia="宋体" w:cs="Times New Roman"/>
              </w:rPr>
            </w:pPr>
            <w:r>
              <w:rPr>
                <w:rFonts w:ascii="Times New Roman" w:hAnsi="Times New Roman" w:eastAsia="宋体" w:cs="Times New Roman"/>
              </w:rPr>
              <w:t>其他环境管理要求</w:t>
            </w:r>
          </w:p>
        </w:tc>
        <w:tc>
          <w:tcPr>
            <w:tcW w:w="7819" w:type="dxa"/>
            <w:gridSpan w:val="5"/>
            <w:vAlign w:val="center"/>
          </w:tcPr>
          <w:p>
            <w:pPr>
              <w:rPr>
                <w:rFonts w:ascii="Times New Roman" w:hAnsi="Times New Roman" w:eastAsia="宋体" w:cs="Times New Roman"/>
              </w:rPr>
            </w:pPr>
          </w:p>
          <w:p>
            <w:pPr>
              <w:rPr>
                <w:rFonts w:ascii="Times New Roman" w:hAnsi="Times New Roman" w:eastAsia="宋体" w:cs="Times New Roman"/>
              </w:rPr>
            </w:pPr>
            <w:r>
              <w:rPr>
                <w:rFonts w:hint="eastAsia" w:ascii="Times New Roman" w:hAnsi="Times New Roman" w:eastAsia="宋体" w:cs="Times New Roman"/>
              </w:rPr>
              <w:t>无</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tc>
      </w:tr>
    </w:tbl>
    <w:p>
      <w:pPr>
        <w:widowControl/>
        <w:jc w:val="left"/>
        <w:rPr>
          <w:rFonts w:ascii="Times New Roman" w:hAnsi="Times New Roman" w:cs="Times New Roman"/>
        </w:rPr>
      </w:pPr>
      <w:r>
        <w:rPr>
          <w:rFonts w:ascii="Times New Roman" w:hAnsi="Times New Roman" w:cs="Times New Roman"/>
        </w:rPr>
        <w:br w:type="page"/>
      </w:r>
    </w:p>
    <w:p>
      <w:pPr>
        <w:jc w:val="center"/>
        <w:rPr>
          <w:rFonts w:ascii="Times New Roman" w:hAnsi="Times New Roman" w:eastAsia="黑体" w:cs="Times New Roman"/>
          <w:sz w:val="30"/>
          <w:szCs w:val="30"/>
        </w:rPr>
      </w:pPr>
      <w:r>
        <w:rPr>
          <w:rFonts w:ascii="Times New Roman" w:hAnsi="Times New Roman" w:eastAsia="黑体" w:cs="Times New Roman"/>
          <w:sz w:val="30"/>
          <w:szCs w:val="30"/>
        </w:rPr>
        <w:t>六、结论</w:t>
      </w:r>
    </w:p>
    <w:tbl>
      <w:tblPr>
        <w:tblStyle w:val="19"/>
        <w:tblW w:w="9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3" w:type="dxa"/>
          </w:tcPr>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w:t>
            </w:r>
            <w:r>
              <w:rPr>
                <w:rFonts w:hint="eastAsia" w:ascii="Times New Roman" w:hAnsi="Times New Roman" w:eastAsia="宋体" w:cs="Times New Roman"/>
                <w:kern w:val="0"/>
                <w:sz w:val="24"/>
                <w:szCs w:val="24"/>
              </w:rPr>
              <w:t>涉及</w:t>
            </w:r>
            <w:r>
              <w:rPr>
                <w:rFonts w:ascii="Times New Roman" w:hAnsi="Times New Roman" w:eastAsia="宋体" w:cs="Times New Roman"/>
                <w:kern w:val="0"/>
                <w:sz w:val="24"/>
                <w:szCs w:val="24"/>
              </w:rPr>
              <w:t>铸造及其他金属制品制造</w:t>
            </w:r>
            <w:r>
              <w:rPr>
                <w:rFonts w:hint="eastAsia" w:ascii="Times New Roman" w:hAnsi="Times New Roman" w:eastAsia="宋体" w:cs="Times New Roman"/>
                <w:kern w:val="0"/>
                <w:sz w:val="24"/>
                <w:szCs w:val="24"/>
              </w:rPr>
              <w:t>行业</w:t>
            </w:r>
            <w:r>
              <w:rPr>
                <w:rFonts w:ascii="Times New Roman" w:hAnsi="Times New Roman" w:eastAsia="宋体" w:cs="Times New Roman"/>
                <w:kern w:val="0"/>
                <w:sz w:val="24"/>
                <w:szCs w:val="24"/>
              </w:rPr>
              <w:t>，根据《固定污染源排污许可分类管理名录》（2019版）可知，</w:t>
            </w:r>
            <w:r>
              <w:rPr>
                <w:rFonts w:hint="eastAsia" w:ascii="Times New Roman" w:hAnsi="Times New Roman" w:eastAsia="宋体" w:cs="Times New Roman"/>
                <w:kern w:val="0"/>
                <w:sz w:val="24"/>
                <w:szCs w:val="24"/>
              </w:rPr>
              <w:t>“黑色金属铸造</w:t>
            </w:r>
            <w:r>
              <w:rPr>
                <w:rFonts w:ascii="Times New Roman" w:hAnsi="Times New Roman" w:eastAsia="宋体" w:cs="Times New Roman"/>
                <w:kern w:val="0"/>
                <w:sz w:val="24"/>
                <w:szCs w:val="24"/>
              </w:rPr>
              <w:t>3391（使用冲天炉的），有色金属铸造3392（生产铅基及铅青铜铸件的）”为“重点管理”项目，除重点管理以外的黑色金属铸造3391、有色金属铸造3392为“简化管理”，本项目为</w:t>
            </w:r>
            <w:r>
              <w:rPr>
                <w:rFonts w:hint="eastAsia" w:ascii="Times New Roman" w:hAnsi="Times New Roman" w:eastAsia="宋体" w:cs="Times New Roman"/>
                <w:kern w:val="0"/>
                <w:sz w:val="24"/>
                <w:szCs w:val="24"/>
              </w:rPr>
              <w:t>有色</w:t>
            </w:r>
            <w:r>
              <w:rPr>
                <w:rFonts w:ascii="Times New Roman" w:hAnsi="Times New Roman" w:eastAsia="宋体" w:cs="Times New Roman"/>
                <w:kern w:val="0"/>
                <w:sz w:val="24"/>
                <w:szCs w:val="24"/>
              </w:rPr>
              <w:t>金属铸造项目，故为“简化管理”。</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汽车零部件产品</w:t>
            </w:r>
            <w:r>
              <w:rPr>
                <w:rFonts w:hint="eastAsia" w:ascii="Times New Roman" w:hAnsi="Times New Roman" w:eastAsia="宋体" w:cs="Times New Roman"/>
                <w:kern w:val="0"/>
                <w:sz w:val="24"/>
                <w:szCs w:val="24"/>
              </w:rPr>
              <w:t>涉及</w:t>
            </w:r>
            <w:r>
              <w:rPr>
                <w:rFonts w:ascii="Times New Roman" w:hAnsi="Times New Roman" w:eastAsia="宋体" w:cs="Times New Roman"/>
                <w:kern w:val="0"/>
                <w:sz w:val="24"/>
                <w:szCs w:val="24"/>
              </w:rPr>
              <w:t>汽车零部件及配件制行业，根据《固定污染源排污许可分类管理名录》（2019版）可知，纳入重点排污单位名录的为“重点管理”项目，除重点管理以外的“年使用10吨及以上溶剂型涂料或者胶粘剂（含稀释剂、固化剂、清洗溶剂）”的汽车零部件及配件制造项目为“简化管理”项目，除此之外“其他”均为“登记管理”，本项目不属于重点排污单位，且不使用溶剂型涂料和胶粘剂，故为“登记管理”。</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通用机械零部件产品为通用零部件制行业，根据《固定污染源排污许可分类管理名录》（2019版）可知，涉及通用工序重点管理的其他通用零部件制造项目为“重点管理”项目，涉及通用工序简化管理的其他通用零部件制造项目为“简化管理”，除此之外“其他”均为“登记管理”，本项目不涉及通用工序，故为“登记管理”。</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综上，本项目排污许可类型为“</w:t>
            </w:r>
            <w:r>
              <w:rPr>
                <w:rFonts w:hint="eastAsia" w:ascii="Times New Roman" w:hAnsi="Times New Roman" w:eastAsia="宋体" w:cs="Times New Roman"/>
                <w:kern w:val="0"/>
                <w:sz w:val="24"/>
                <w:szCs w:val="24"/>
              </w:rPr>
              <w:t>简化</w:t>
            </w:r>
            <w:r>
              <w:rPr>
                <w:rFonts w:ascii="Times New Roman" w:hAnsi="Times New Roman" w:eastAsia="宋体" w:cs="Times New Roman"/>
                <w:kern w:val="0"/>
                <w:sz w:val="24"/>
                <w:szCs w:val="24"/>
              </w:rPr>
              <w:t>管理”。</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重庆鑫淳科技有限公司年生产500万件汽摩配件及通用零部件建设项目符合国家及地方相关政策要求，工程选址合理，其建设过程和营运期产生的各类污染物在采取污染防治措施后可得到有效的控制，外排污染物对环境影响小。从环境保护角度分析，本项目环境影响可行。</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szCs w:val="24"/>
              </w:rPr>
            </w:pPr>
          </w:p>
          <w:p>
            <w:pPr>
              <w:autoSpaceDE w:val="0"/>
              <w:autoSpaceDN w:val="0"/>
              <w:adjustRightInd w:val="0"/>
              <w:snapToGrid w:val="0"/>
              <w:spacing w:line="360" w:lineRule="auto"/>
              <w:jc w:val="left"/>
              <w:rPr>
                <w:rFonts w:ascii="Times New Roman" w:hAnsi="Times New Roman" w:eastAsia="宋体" w:cs="Times New Roman"/>
                <w:kern w:val="0"/>
                <w:sz w:val="24"/>
                <w:szCs w:val="24"/>
              </w:rPr>
            </w:pPr>
          </w:p>
        </w:tc>
      </w:tr>
    </w:tbl>
    <w:p>
      <w:pPr>
        <w:widowControl/>
        <w:adjustRightInd w:val="0"/>
        <w:snapToGrid w:val="0"/>
        <w:jc w:val="left"/>
        <w:outlineLvl w:val="0"/>
        <w:rPr>
          <w:rFonts w:ascii="Times New Roman" w:hAnsi="Times New Roman" w:eastAsia="黑体" w:cs="Times New Roman"/>
          <w:snapToGrid w:val="0"/>
          <w:sz w:val="32"/>
          <w:szCs w:val="32"/>
        </w:rPr>
        <w:sectPr>
          <w:pgSz w:w="11906" w:h="16838"/>
          <w:pgMar w:top="1440" w:right="1800" w:bottom="1440" w:left="1800" w:header="851" w:footer="992" w:gutter="0"/>
          <w:pgNumType w:fmt="numberInDash"/>
          <w:cols w:space="425" w:num="1"/>
          <w:docGrid w:type="lines" w:linePitch="312" w:charSpace="0"/>
        </w:sectPr>
      </w:pPr>
    </w:p>
    <w:p>
      <w:pPr>
        <w:pStyle w:val="14"/>
        <w:adjustRightInd w:val="0"/>
        <w:snapToGrid w:val="0"/>
        <w:spacing w:before="0" w:beforeAutospacing="0" w:after="0" w:afterAutospacing="0" w:line="440" w:lineRule="exact"/>
        <w:ind w:firstLine="640"/>
        <w:outlineLvl w:val="0"/>
        <w:rPr>
          <w:rFonts w:ascii="Times New Roman" w:hAnsi="Times New Roman" w:eastAsia="黑体" w:cs="Times New Roman"/>
          <w:snapToGrid w:val="0"/>
          <w:sz w:val="32"/>
          <w:szCs w:val="32"/>
        </w:rPr>
      </w:pPr>
      <w:r>
        <w:rPr>
          <w:rFonts w:ascii="Times New Roman" w:hAnsi="Times New Roman" w:eastAsia="黑体" w:cs="Times New Roman"/>
          <w:snapToGrid w:val="0"/>
          <w:sz w:val="32"/>
          <w:szCs w:val="32"/>
        </w:rPr>
        <w:t>附表</w:t>
      </w:r>
    </w:p>
    <w:p>
      <w:pPr>
        <w:pStyle w:val="14"/>
        <w:adjustRightInd w:val="0"/>
        <w:snapToGrid w:val="0"/>
        <w:spacing w:before="0" w:beforeAutospacing="0" w:after="0" w:afterAutospacing="0" w:line="440" w:lineRule="exact"/>
        <w:ind w:firstLine="760"/>
        <w:jc w:val="center"/>
        <w:outlineLvl w:val="0"/>
        <w:rPr>
          <w:rFonts w:ascii="Times New Roman" w:hAnsi="Times New Roman" w:eastAsia="方正小标宋_GBK" w:cs="Times New Roman"/>
          <w:snapToGrid w:val="0"/>
          <w:sz w:val="38"/>
          <w:szCs w:val="38"/>
        </w:rPr>
      </w:pPr>
      <w:r>
        <w:rPr>
          <w:rFonts w:ascii="Times New Roman" w:hAnsi="Times New Roman" w:eastAsia="方正小标宋_GBK" w:cs="Times New Roman"/>
          <w:snapToGrid w:val="0"/>
          <w:sz w:val="38"/>
          <w:szCs w:val="38"/>
        </w:rPr>
        <w:t>建设项目污染物排放量汇总表    单位：t/a</w:t>
      </w:r>
    </w:p>
    <w:tbl>
      <w:tblPr>
        <w:tblStyle w:val="18"/>
        <w:tblW w:w="140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10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13" w:hRule="exact"/>
          <w:jc w:val="center"/>
        </w:trPr>
        <w:tc>
          <w:tcPr>
            <w:tcW w:w="1588" w:type="dxa"/>
            <w:tcBorders>
              <w:tl2br w:val="single" w:color="auto" w:sz="4" w:space="0"/>
            </w:tcBorders>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 xml:space="preserve">      项目</w:t>
            </w:r>
          </w:p>
          <w:p>
            <w:pPr>
              <w:pStyle w:val="62"/>
              <w:spacing w:beforeLines="0" w:afterLines="0" w:line="240" w:lineRule="auto"/>
              <w:jc w:val="both"/>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417"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701"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黑体" w:cs="Times New Roman"/>
                <w:snapToGrid w:val="0"/>
                <w:spacing w:val="-6"/>
                <w:kern w:val="21"/>
                <w:szCs w:val="21"/>
              </w:rPr>
              <w:fldChar w:fldCharType="end"/>
            </w:r>
          </w:p>
        </w:tc>
        <w:tc>
          <w:tcPr>
            <w:tcW w:w="1276"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701"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黑体" w:cs="Times New Roman"/>
                <w:snapToGrid w:val="0"/>
                <w:spacing w:val="-6"/>
                <w:kern w:val="21"/>
                <w:szCs w:val="21"/>
              </w:rPr>
              <w:fldChar w:fldCharType="end"/>
            </w:r>
          </w:p>
        </w:tc>
        <w:tc>
          <w:tcPr>
            <w:tcW w:w="1559"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黑体" w:cs="Times New Roman"/>
                <w:snapToGrid w:val="0"/>
                <w:spacing w:val="-6"/>
                <w:kern w:val="21"/>
                <w:szCs w:val="21"/>
              </w:rPr>
              <w:fldChar w:fldCharType="end"/>
            </w:r>
          </w:p>
        </w:tc>
        <w:tc>
          <w:tcPr>
            <w:tcW w:w="1761"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pPr>
              <w:pStyle w:val="6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黑体" w:cs="Times New Roman"/>
                <w:snapToGrid w:val="0"/>
                <w:spacing w:val="-16"/>
                <w:kern w:val="21"/>
                <w:szCs w:val="21"/>
              </w:rPr>
              <w:fldChar w:fldCharType="end"/>
            </w:r>
          </w:p>
        </w:tc>
        <w:tc>
          <w:tcPr>
            <w:tcW w:w="1959"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pPr>
              <w:pStyle w:val="6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黑体" w:cs="Times New Roman"/>
                <w:snapToGrid w:val="0"/>
                <w:spacing w:val="-16"/>
                <w:kern w:val="21"/>
                <w:szCs w:val="21"/>
              </w:rPr>
              <w:fldChar w:fldCharType="end"/>
            </w:r>
          </w:p>
        </w:tc>
        <w:tc>
          <w:tcPr>
            <w:tcW w:w="1062" w:type="dxa"/>
            <w:tcMar>
              <w:left w:w="28" w:type="dxa"/>
              <w:right w:w="28" w:type="dxa"/>
            </w:tcMar>
            <w:vAlign w:val="center"/>
          </w:tcPr>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pPr>
              <w:pStyle w:val="6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588" w:type="dxa"/>
            <w:vMerge w:val="restart"/>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废气</w:t>
            </w: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颗粒物</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0.218</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0.218</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+0.218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等线" w:cs="Times New Roman"/>
                <w:szCs w:val="21"/>
              </w:rPr>
            </w:pPr>
            <w:r>
              <w:rPr>
                <w:rFonts w:hint="eastAsia" w:ascii="Times New Roman" w:hAnsi="Times New Roman" w:eastAsia="等线" w:cs="Times New Roman"/>
                <w:szCs w:val="21"/>
              </w:rPr>
              <w:t>0</w:t>
            </w:r>
            <w:r>
              <w:rPr>
                <w:rFonts w:ascii="Times New Roman" w:hAnsi="Times New Roman" w:eastAsia="等线" w:cs="Times New Roman"/>
                <w:szCs w:val="21"/>
              </w:rPr>
              <w:t>.608</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等线" w:cs="Times New Roman"/>
                <w:szCs w:val="21"/>
              </w:rPr>
            </w:pPr>
            <w:r>
              <w:rPr>
                <w:rFonts w:hint="eastAsia" w:ascii="Times New Roman" w:hAnsi="Times New Roman" w:eastAsia="等线" w:cs="Times New Roman"/>
                <w:szCs w:val="21"/>
              </w:rPr>
              <w:t>0</w:t>
            </w:r>
            <w:r>
              <w:rPr>
                <w:rFonts w:ascii="Times New Roman" w:hAnsi="Times New Roman" w:eastAsia="等线" w:cs="Times New Roman"/>
                <w:szCs w:val="21"/>
              </w:rPr>
              <w:t>.608</w:t>
            </w:r>
          </w:p>
        </w:tc>
        <w:tc>
          <w:tcPr>
            <w:tcW w:w="1062" w:type="dxa"/>
            <w:vAlign w:val="center"/>
          </w:tcPr>
          <w:p>
            <w:pPr>
              <w:pStyle w:val="62"/>
              <w:spacing w:beforeLines="0" w:afterLines="0" w:line="240" w:lineRule="auto"/>
              <w:rPr>
                <w:rFonts w:ascii="Times New Roman" w:hAnsi="Times New Roman" w:eastAsia="等线" w:cs="Times New Roman"/>
                <w:szCs w:val="21"/>
              </w:rPr>
            </w:pPr>
            <w:r>
              <w:rPr>
                <w:rFonts w:hint="eastAsia" w:ascii="Times New Roman" w:hAnsi="Times New Roman" w:eastAsia="等线" w:cs="Times New Roman"/>
                <w:szCs w:val="21"/>
              </w:rPr>
              <w:t>+</w:t>
            </w:r>
            <w:r>
              <w:rPr>
                <w:rFonts w:ascii="Times New Roman" w:hAnsi="Times New Roman" w:eastAsia="等线" w:cs="Times New Roman"/>
                <w:szCs w:val="21"/>
              </w:rPr>
              <w:t>0.608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等线" w:cs="Times New Roman"/>
                <w:szCs w:val="21"/>
              </w:rPr>
              <w:t>0.017</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等线" w:cs="Times New Roman"/>
                <w:szCs w:val="21"/>
              </w:rPr>
              <w:t>0.017</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等线" w:cs="Times New Roman"/>
                <w:szCs w:val="21"/>
              </w:rPr>
              <w:t>+0.017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等线" w:cs="Times New Roman"/>
                <w:szCs w:val="21"/>
              </w:rPr>
              <w:t>0.163</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等线" w:cs="Times New Roman"/>
                <w:szCs w:val="21"/>
              </w:rPr>
              <w:t>0.163</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等线" w:cs="Times New Roman"/>
                <w:szCs w:val="21"/>
              </w:rPr>
              <w:t>+0.163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588" w:type="dxa"/>
            <w:vMerge w:val="restart"/>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一般工业</w:t>
            </w:r>
          </w:p>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固体废物</w:t>
            </w: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废边角料</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15</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15</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不合格产品</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60</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60</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废包装材料</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1</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1</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588" w:type="dxa"/>
            <w:vMerge w:val="restart"/>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危险废物</w:t>
            </w: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kern w:val="0"/>
                <w:szCs w:val="21"/>
              </w:rPr>
              <w:t>废铝渣/铝灰</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130.88</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130.88</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+130.88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kern w:val="0"/>
                <w:szCs w:val="21"/>
              </w:rPr>
              <w:t>废铝屑</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0.5</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0.5</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kern w:val="0"/>
                <w:szCs w:val="21"/>
              </w:rPr>
              <w:t>废切削液</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0.15</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0.15</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zCs w:val="21"/>
              </w:rPr>
              <w:t>废液压油</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1.6</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1.6</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zCs w:val="21"/>
              </w:rPr>
              <w:t>废机油</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zCs w:val="21"/>
              </w:rPr>
              <w:t>废包装桶</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eastAsia="宋体" w:cs="Times New Roman"/>
                <w:szCs w:val="21"/>
              </w:rPr>
              <w:t>废棉纱/手套</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0.01</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0.01</w:t>
            </w:r>
          </w:p>
        </w:tc>
        <w:tc>
          <w:tcPr>
            <w:tcW w:w="1062"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ascii="Times New Roman" w:hAnsi="Times New Roman" w:cs="Times New Roman"/>
                <w:szCs w:val="21"/>
              </w:rPr>
              <w:t>+0.01</w:t>
            </w:r>
          </w:p>
        </w:tc>
      </w:tr>
      <w:tr>
        <w:tblPrEx>
          <w:tblLayout w:type="fixed"/>
          <w:tblCellMar>
            <w:top w:w="0" w:type="dxa"/>
            <w:left w:w="108" w:type="dxa"/>
            <w:bottom w:w="0" w:type="dxa"/>
            <w:right w:w="108" w:type="dxa"/>
          </w:tblCellMar>
        </w:tblPrEx>
        <w:trPr>
          <w:trHeight w:val="428" w:hRule="atLeast"/>
          <w:jc w:val="center"/>
        </w:trPr>
        <w:tc>
          <w:tcPr>
            <w:tcW w:w="1588" w:type="dxa"/>
            <w:vMerge w:val="continue"/>
            <w:vAlign w:val="center"/>
          </w:tcPr>
          <w:p>
            <w:pPr>
              <w:pStyle w:val="62"/>
              <w:spacing w:beforeLines="0" w:afterLines="0" w:line="240" w:lineRule="auto"/>
              <w:rPr>
                <w:rFonts w:ascii="Times New Roman" w:hAnsi="Times New Roman" w:eastAsia="宋体" w:cs="Times New Roman"/>
                <w:snapToGrid w:val="0"/>
                <w:kern w:val="21"/>
                <w:szCs w:val="21"/>
              </w:rPr>
            </w:pPr>
          </w:p>
        </w:tc>
        <w:tc>
          <w:tcPr>
            <w:tcW w:w="1417" w:type="dxa"/>
            <w:vAlign w:val="center"/>
          </w:tcPr>
          <w:p>
            <w:pPr>
              <w:pStyle w:val="62"/>
              <w:spacing w:beforeLines="0" w:afterLines="0" w:line="240" w:lineRule="auto"/>
              <w:rPr>
                <w:rFonts w:ascii="Times New Roman" w:hAnsi="Times New Roman" w:eastAsia="宋体" w:cs="Times New Roman"/>
                <w:szCs w:val="21"/>
              </w:rPr>
            </w:pPr>
            <w:r>
              <w:rPr>
                <w:rFonts w:ascii="Times New Roman" w:hAnsi="Times New Roman" w:eastAsia="宋体" w:cs="Times New Roman"/>
                <w:szCs w:val="21"/>
              </w:rPr>
              <w:t>浮油/渣</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276"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70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559" w:type="dxa"/>
            <w:vAlign w:val="center"/>
          </w:tcPr>
          <w:p>
            <w:pPr>
              <w:pStyle w:val="62"/>
              <w:spacing w:beforeLines="0" w:afterLines="0" w:line="240" w:lineRule="auto"/>
              <w:rPr>
                <w:rFonts w:ascii="Times New Roman" w:hAnsi="Times New Roman" w:eastAsia="宋体" w:cs="Times New Roman"/>
                <w:szCs w:val="21"/>
              </w:rPr>
            </w:pPr>
            <w:r>
              <w:rPr>
                <w:rFonts w:ascii="Times New Roman" w:hAnsi="Times New Roman" w:cs="Times New Roman"/>
                <w:szCs w:val="21"/>
              </w:rPr>
              <w:t>1.5</w:t>
            </w:r>
          </w:p>
        </w:tc>
        <w:tc>
          <w:tcPr>
            <w:tcW w:w="1761" w:type="dxa"/>
            <w:vAlign w:val="center"/>
          </w:tcPr>
          <w:p>
            <w:pPr>
              <w:pStyle w:val="62"/>
              <w:spacing w:beforeLines="0" w:afterLines="0" w:line="240" w:lineRule="auto"/>
              <w:rPr>
                <w:rFonts w:ascii="Times New Roman" w:hAnsi="Times New Roman" w:eastAsia="宋体" w:cs="Times New Roman"/>
                <w:snapToGrid w:val="0"/>
                <w:kern w:val="21"/>
                <w:szCs w:val="21"/>
              </w:rPr>
            </w:pPr>
            <w:r>
              <w:rPr>
                <w:rFonts w:hint="eastAsia" w:ascii="Times New Roman" w:hAnsi="Times New Roman" w:eastAsia="宋体" w:cs="Times New Roman"/>
                <w:snapToGrid w:val="0"/>
                <w:kern w:val="21"/>
                <w:szCs w:val="21"/>
              </w:rPr>
              <w:t>/</w:t>
            </w:r>
          </w:p>
        </w:tc>
        <w:tc>
          <w:tcPr>
            <w:tcW w:w="1959" w:type="dxa"/>
            <w:vAlign w:val="center"/>
          </w:tcPr>
          <w:p>
            <w:pPr>
              <w:pStyle w:val="62"/>
              <w:spacing w:beforeLines="0" w:afterLines="0" w:line="240" w:lineRule="auto"/>
              <w:rPr>
                <w:rFonts w:ascii="Times New Roman" w:hAnsi="Times New Roman" w:eastAsia="宋体" w:cs="Times New Roman"/>
                <w:szCs w:val="21"/>
              </w:rPr>
            </w:pPr>
            <w:r>
              <w:rPr>
                <w:rFonts w:ascii="Times New Roman" w:hAnsi="Times New Roman" w:cs="Times New Roman"/>
                <w:szCs w:val="21"/>
              </w:rPr>
              <w:t>1.5</w:t>
            </w:r>
          </w:p>
        </w:tc>
        <w:tc>
          <w:tcPr>
            <w:tcW w:w="1062" w:type="dxa"/>
            <w:vAlign w:val="center"/>
          </w:tcPr>
          <w:p>
            <w:pPr>
              <w:pStyle w:val="62"/>
              <w:spacing w:beforeLines="0" w:afterLines="0" w:line="240" w:lineRule="auto"/>
              <w:rPr>
                <w:rFonts w:ascii="Times New Roman" w:hAnsi="Times New Roman" w:eastAsia="宋体" w:cs="Times New Roman"/>
                <w:szCs w:val="21"/>
              </w:rPr>
            </w:pPr>
            <w:r>
              <w:rPr>
                <w:rFonts w:ascii="Times New Roman" w:hAnsi="Times New Roman" w:cs="Times New Roman"/>
                <w:szCs w:val="21"/>
              </w:rPr>
              <w:t>+1.5</w:t>
            </w:r>
          </w:p>
        </w:tc>
      </w:tr>
    </w:tbl>
    <w:p>
      <w:pPr>
        <w:pStyle w:val="62"/>
        <w:spacing w:before="192" w:beforeLines="80" w:after="24"/>
        <w:ind w:firstLine="480"/>
        <w:jc w:val="left"/>
        <w:rPr>
          <w:rFonts w:ascii="Times New Roman" w:hAnsi="Times New Roman" w:eastAsia="黑体" w:cs="Times New Roman"/>
        </w:rPr>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①</w:t>
      </w:r>
      <w:r>
        <w:rPr>
          <w:rFonts w:ascii="Times New Roman" w:hAnsi="Times New Roman" w:cs="Times New Roman"/>
          <w:snapToGrid w:val="0"/>
          <w:spacing w:val="-6"/>
          <w:kern w:val="21"/>
          <w:szCs w:val="21"/>
        </w:rPr>
        <w:fldChar w:fldCharType="end"/>
      </w:r>
    </w:p>
    <w:sectPr>
      <w:footerReference r:id="rId5"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宋体..惡猀.">
    <w:altName w:val="宋体"/>
    <w:panose1 w:val="00000000000000000000"/>
    <w:charset w:val="86"/>
    <w:family w:val="roman"/>
    <w:pitch w:val="default"/>
    <w:sig w:usb0="00000000" w:usb1="00000000" w:usb2="0000001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楷体_GB2312">
    <w:altName w:val="楷体"/>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1811222"/>
      <w:docPartObj>
        <w:docPartGallery w:val="autotext"/>
      </w:docPartObj>
    </w:sdtPr>
    <w:sdtContent>
      <w:p>
        <w:pPr>
          <w:pStyle w:val="12"/>
          <w:jc w:val="center"/>
        </w:pPr>
        <w:r>
          <w:rPr>
            <w:rFonts w:ascii="宋体" w:hAnsi="宋体" w:eastAsia="宋体"/>
            <w:sz w:val="22"/>
            <w:szCs w:val="22"/>
          </w:rPr>
          <w:fldChar w:fldCharType="begin"/>
        </w:r>
        <w:r>
          <w:rPr>
            <w:rFonts w:ascii="宋体" w:hAnsi="宋体" w:eastAsia="宋体"/>
            <w:sz w:val="22"/>
            <w:szCs w:val="22"/>
          </w:rPr>
          <w:instrText xml:space="preserve">PAGE   \* MERGEFORMAT</w:instrText>
        </w:r>
        <w:r>
          <w:rPr>
            <w:rFonts w:ascii="宋体" w:hAnsi="宋体" w:eastAsia="宋体"/>
            <w:sz w:val="22"/>
            <w:szCs w:val="22"/>
          </w:rPr>
          <w:fldChar w:fldCharType="separate"/>
        </w:r>
        <w:r>
          <w:rPr>
            <w:rFonts w:ascii="宋体" w:hAnsi="宋体" w:eastAsia="宋体"/>
            <w:sz w:val="22"/>
            <w:szCs w:val="22"/>
            <w:lang w:val="zh-CN"/>
          </w:rPr>
          <w:t>-</w:t>
        </w:r>
        <w:r>
          <w:rPr>
            <w:rFonts w:ascii="宋体" w:hAnsi="宋体" w:eastAsia="宋体"/>
            <w:sz w:val="22"/>
            <w:szCs w:val="22"/>
          </w:rPr>
          <w:t xml:space="preserve"> 61 -</w:t>
        </w:r>
        <w:r>
          <w:rPr>
            <w:rFonts w:ascii="宋体" w:hAnsi="宋体" w:eastAsia="宋体"/>
            <w:sz w:val="22"/>
            <w:szCs w:val="22"/>
          </w:rP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t>63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F680B"/>
    <w:multiLevelType w:val="multilevel"/>
    <w:tmpl w:val="600F680B"/>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iMzBjMzcyYTc0ZTQ5ZDg5MDU4ZDU5MjkyNGRjNGQifQ=="/>
  </w:docVars>
  <w:rsids>
    <w:rsidRoot w:val="00DB0DEA"/>
    <w:rsid w:val="00000BE0"/>
    <w:rsid w:val="00001CBE"/>
    <w:rsid w:val="0000227B"/>
    <w:rsid w:val="00002600"/>
    <w:rsid w:val="0000344F"/>
    <w:rsid w:val="000034D0"/>
    <w:rsid w:val="00005624"/>
    <w:rsid w:val="000059F1"/>
    <w:rsid w:val="00006F09"/>
    <w:rsid w:val="000078F8"/>
    <w:rsid w:val="00007934"/>
    <w:rsid w:val="00007FAC"/>
    <w:rsid w:val="0001015E"/>
    <w:rsid w:val="000101BF"/>
    <w:rsid w:val="00010652"/>
    <w:rsid w:val="00010DDC"/>
    <w:rsid w:val="00011AE5"/>
    <w:rsid w:val="00011EBA"/>
    <w:rsid w:val="00011EC1"/>
    <w:rsid w:val="0001230E"/>
    <w:rsid w:val="00013620"/>
    <w:rsid w:val="00013E5D"/>
    <w:rsid w:val="00013EA8"/>
    <w:rsid w:val="00014F9F"/>
    <w:rsid w:val="0001681D"/>
    <w:rsid w:val="00017F16"/>
    <w:rsid w:val="0002049A"/>
    <w:rsid w:val="00020A1D"/>
    <w:rsid w:val="00020C64"/>
    <w:rsid w:val="00021769"/>
    <w:rsid w:val="0002304E"/>
    <w:rsid w:val="00023F52"/>
    <w:rsid w:val="00024AD1"/>
    <w:rsid w:val="00025329"/>
    <w:rsid w:val="00025403"/>
    <w:rsid w:val="00025710"/>
    <w:rsid w:val="00025EB4"/>
    <w:rsid w:val="00026A72"/>
    <w:rsid w:val="00026FC6"/>
    <w:rsid w:val="00027A87"/>
    <w:rsid w:val="000303E6"/>
    <w:rsid w:val="000309B6"/>
    <w:rsid w:val="000316FE"/>
    <w:rsid w:val="000317F3"/>
    <w:rsid w:val="00031A0B"/>
    <w:rsid w:val="00031A72"/>
    <w:rsid w:val="00031B5A"/>
    <w:rsid w:val="00031F04"/>
    <w:rsid w:val="00032164"/>
    <w:rsid w:val="0003252C"/>
    <w:rsid w:val="00032832"/>
    <w:rsid w:val="000328BF"/>
    <w:rsid w:val="00032DD9"/>
    <w:rsid w:val="00033801"/>
    <w:rsid w:val="00033969"/>
    <w:rsid w:val="0003466C"/>
    <w:rsid w:val="0003502D"/>
    <w:rsid w:val="00035066"/>
    <w:rsid w:val="000350BC"/>
    <w:rsid w:val="000352BF"/>
    <w:rsid w:val="00035DC7"/>
    <w:rsid w:val="0003649A"/>
    <w:rsid w:val="00037992"/>
    <w:rsid w:val="00040901"/>
    <w:rsid w:val="00040D11"/>
    <w:rsid w:val="00041E0C"/>
    <w:rsid w:val="00042338"/>
    <w:rsid w:val="0004290C"/>
    <w:rsid w:val="00042FF2"/>
    <w:rsid w:val="00043369"/>
    <w:rsid w:val="00043DFA"/>
    <w:rsid w:val="00044C96"/>
    <w:rsid w:val="00044DD4"/>
    <w:rsid w:val="0004510B"/>
    <w:rsid w:val="000451FE"/>
    <w:rsid w:val="00045DCE"/>
    <w:rsid w:val="00045E35"/>
    <w:rsid w:val="0004600D"/>
    <w:rsid w:val="00046120"/>
    <w:rsid w:val="00046894"/>
    <w:rsid w:val="000472E7"/>
    <w:rsid w:val="00047615"/>
    <w:rsid w:val="00047A3A"/>
    <w:rsid w:val="00047BF1"/>
    <w:rsid w:val="00050A69"/>
    <w:rsid w:val="00050AC2"/>
    <w:rsid w:val="00050B15"/>
    <w:rsid w:val="000517F1"/>
    <w:rsid w:val="00052978"/>
    <w:rsid w:val="00052DF4"/>
    <w:rsid w:val="00053132"/>
    <w:rsid w:val="00053338"/>
    <w:rsid w:val="0005462B"/>
    <w:rsid w:val="00054DEA"/>
    <w:rsid w:val="000550E1"/>
    <w:rsid w:val="0005571C"/>
    <w:rsid w:val="00055A14"/>
    <w:rsid w:val="00056382"/>
    <w:rsid w:val="0005650A"/>
    <w:rsid w:val="00056CEA"/>
    <w:rsid w:val="000570BD"/>
    <w:rsid w:val="000578D2"/>
    <w:rsid w:val="00057A42"/>
    <w:rsid w:val="00057F65"/>
    <w:rsid w:val="0006007B"/>
    <w:rsid w:val="00060F98"/>
    <w:rsid w:val="00061043"/>
    <w:rsid w:val="0006127F"/>
    <w:rsid w:val="00061ACE"/>
    <w:rsid w:val="00061F3B"/>
    <w:rsid w:val="00061FA2"/>
    <w:rsid w:val="000626B0"/>
    <w:rsid w:val="00063CC3"/>
    <w:rsid w:val="000640CE"/>
    <w:rsid w:val="00064DC4"/>
    <w:rsid w:val="00066341"/>
    <w:rsid w:val="00066642"/>
    <w:rsid w:val="00067B1A"/>
    <w:rsid w:val="00067F5D"/>
    <w:rsid w:val="0007064F"/>
    <w:rsid w:val="000710AF"/>
    <w:rsid w:val="00071ED6"/>
    <w:rsid w:val="000720BE"/>
    <w:rsid w:val="00072B21"/>
    <w:rsid w:val="00074777"/>
    <w:rsid w:val="00074C9D"/>
    <w:rsid w:val="000753ED"/>
    <w:rsid w:val="00075868"/>
    <w:rsid w:val="00075A0E"/>
    <w:rsid w:val="00075D1E"/>
    <w:rsid w:val="00075E6D"/>
    <w:rsid w:val="00076ACE"/>
    <w:rsid w:val="00076B6C"/>
    <w:rsid w:val="0007715F"/>
    <w:rsid w:val="00077479"/>
    <w:rsid w:val="00080216"/>
    <w:rsid w:val="00080722"/>
    <w:rsid w:val="00080757"/>
    <w:rsid w:val="00080B5E"/>
    <w:rsid w:val="0008277B"/>
    <w:rsid w:val="00083E8B"/>
    <w:rsid w:val="000848C2"/>
    <w:rsid w:val="00086845"/>
    <w:rsid w:val="00090B7B"/>
    <w:rsid w:val="00091851"/>
    <w:rsid w:val="00091D20"/>
    <w:rsid w:val="00091F5B"/>
    <w:rsid w:val="00094CAC"/>
    <w:rsid w:val="00095D97"/>
    <w:rsid w:val="00095FA0"/>
    <w:rsid w:val="0009622B"/>
    <w:rsid w:val="00097C5B"/>
    <w:rsid w:val="00097DA0"/>
    <w:rsid w:val="000A17D0"/>
    <w:rsid w:val="000A1B77"/>
    <w:rsid w:val="000A2817"/>
    <w:rsid w:val="000A2F01"/>
    <w:rsid w:val="000A3143"/>
    <w:rsid w:val="000A4E10"/>
    <w:rsid w:val="000A55C6"/>
    <w:rsid w:val="000A5B46"/>
    <w:rsid w:val="000A5F1E"/>
    <w:rsid w:val="000A67CF"/>
    <w:rsid w:val="000A7FAF"/>
    <w:rsid w:val="000B01B0"/>
    <w:rsid w:val="000B0339"/>
    <w:rsid w:val="000B05F8"/>
    <w:rsid w:val="000B13C6"/>
    <w:rsid w:val="000B1914"/>
    <w:rsid w:val="000B1E6B"/>
    <w:rsid w:val="000B2737"/>
    <w:rsid w:val="000B2D72"/>
    <w:rsid w:val="000B42AD"/>
    <w:rsid w:val="000B4EB9"/>
    <w:rsid w:val="000B59FE"/>
    <w:rsid w:val="000B5B1A"/>
    <w:rsid w:val="000B5E26"/>
    <w:rsid w:val="000B5F2B"/>
    <w:rsid w:val="000B616C"/>
    <w:rsid w:val="000B6AA7"/>
    <w:rsid w:val="000B6DE9"/>
    <w:rsid w:val="000B7749"/>
    <w:rsid w:val="000B7A0B"/>
    <w:rsid w:val="000B7AAD"/>
    <w:rsid w:val="000B7AFC"/>
    <w:rsid w:val="000C0936"/>
    <w:rsid w:val="000C1789"/>
    <w:rsid w:val="000C2786"/>
    <w:rsid w:val="000C2BF9"/>
    <w:rsid w:val="000C35CD"/>
    <w:rsid w:val="000C3687"/>
    <w:rsid w:val="000C474E"/>
    <w:rsid w:val="000C493F"/>
    <w:rsid w:val="000C50DC"/>
    <w:rsid w:val="000C594F"/>
    <w:rsid w:val="000C5F4B"/>
    <w:rsid w:val="000C7176"/>
    <w:rsid w:val="000C754B"/>
    <w:rsid w:val="000C7814"/>
    <w:rsid w:val="000C7972"/>
    <w:rsid w:val="000C7BDB"/>
    <w:rsid w:val="000C7CEB"/>
    <w:rsid w:val="000C7FE8"/>
    <w:rsid w:val="000D09FA"/>
    <w:rsid w:val="000D13A2"/>
    <w:rsid w:val="000D19F9"/>
    <w:rsid w:val="000D1C20"/>
    <w:rsid w:val="000D1EEA"/>
    <w:rsid w:val="000D28C7"/>
    <w:rsid w:val="000D2B41"/>
    <w:rsid w:val="000D3057"/>
    <w:rsid w:val="000D3E9C"/>
    <w:rsid w:val="000D445E"/>
    <w:rsid w:val="000D464E"/>
    <w:rsid w:val="000D4D3D"/>
    <w:rsid w:val="000D6899"/>
    <w:rsid w:val="000D6EDC"/>
    <w:rsid w:val="000D7C4D"/>
    <w:rsid w:val="000D7C8E"/>
    <w:rsid w:val="000D7E11"/>
    <w:rsid w:val="000D7EF2"/>
    <w:rsid w:val="000E0B0E"/>
    <w:rsid w:val="000E193E"/>
    <w:rsid w:val="000E1D59"/>
    <w:rsid w:val="000E225E"/>
    <w:rsid w:val="000E2E34"/>
    <w:rsid w:val="000E3952"/>
    <w:rsid w:val="000E39E9"/>
    <w:rsid w:val="000E3E46"/>
    <w:rsid w:val="000E4515"/>
    <w:rsid w:val="000E4A2D"/>
    <w:rsid w:val="000E5AEC"/>
    <w:rsid w:val="000E5B27"/>
    <w:rsid w:val="000E6125"/>
    <w:rsid w:val="000E763E"/>
    <w:rsid w:val="000F2266"/>
    <w:rsid w:val="000F29EF"/>
    <w:rsid w:val="000F2BB3"/>
    <w:rsid w:val="000F2F8C"/>
    <w:rsid w:val="000F383E"/>
    <w:rsid w:val="000F395E"/>
    <w:rsid w:val="000F4424"/>
    <w:rsid w:val="000F4859"/>
    <w:rsid w:val="000F49E0"/>
    <w:rsid w:val="000F4AD0"/>
    <w:rsid w:val="000F4B33"/>
    <w:rsid w:val="000F4F40"/>
    <w:rsid w:val="000F516C"/>
    <w:rsid w:val="000F52CE"/>
    <w:rsid w:val="000F5F13"/>
    <w:rsid w:val="000F6F3C"/>
    <w:rsid w:val="000F70BB"/>
    <w:rsid w:val="000F7C89"/>
    <w:rsid w:val="000F7E00"/>
    <w:rsid w:val="000F7FE0"/>
    <w:rsid w:val="0010034B"/>
    <w:rsid w:val="00101C3D"/>
    <w:rsid w:val="00101D3B"/>
    <w:rsid w:val="00102FD6"/>
    <w:rsid w:val="0010322E"/>
    <w:rsid w:val="001035E9"/>
    <w:rsid w:val="00103907"/>
    <w:rsid w:val="00103EB7"/>
    <w:rsid w:val="0010418C"/>
    <w:rsid w:val="001044A4"/>
    <w:rsid w:val="001049E1"/>
    <w:rsid w:val="0010562C"/>
    <w:rsid w:val="001056E3"/>
    <w:rsid w:val="00105774"/>
    <w:rsid w:val="00105B1D"/>
    <w:rsid w:val="00106915"/>
    <w:rsid w:val="00106AF1"/>
    <w:rsid w:val="00106E61"/>
    <w:rsid w:val="00107B3B"/>
    <w:rsid w:val="00110388"/>
    <w:rsid w:val="001109D6"/>
    <w:rsid w:val="00110EFF"/>
    <w:rsid w:val="00111750"/>
    <w:rsid w:val="00111E92"/>
    <w:rsid w:val="001122FE"/>
    <w:rsid w:val="00113105"/>
    <w:rsid w:val="00113F11"/>
    <w:rsid w:val="00114564"/>
    <w:rsid w:val="001145D8"/>
    <w:rsid w:val="00114FC7"/>
    <w:rsid w:val="00115735"/>
    <w:rsid w:val="00116892"/>
    <w:rsid w:val="0011722B"/>
    <w:rsid w:val="00120516"/>
    <w:rsid w:val="00120E49"/>
    <w:rsid w:val="001212AB"/>
    <w:rsid w:val="001214DD"/>
    <w:rsid w:val="001216E4"/>
    <w:rsid w:val="00122AA4"/>
    <w:rsid w:val="00123E6B"/>
    <w:rsid w:val="00124F36"/>
    <w:rsid w:val="00125313"/>
    <w:rsid w:val="00126163"/>
    <w:rsid w:val="0012669B"/>
    <w:rsid w:val="00126875"/>
    <w:rsid w:val="00127586"/>
    <w:rsid w:val="00127659"/>
    <w:rsid w:val="00127A56"/>
    <w:rsid w:val="00127C93"/>
    <w:rsid w:val="00127F5F"/>
    <w:rsid w:val="00130E92"/>
    <w:rsid w:val="00131800"/>
    <w:rsid w:val="00131849"/>
    <w:rsid w:val="00131AE5"/>
    <w:rsid w:val="00131D1E"/>
    <w:rsid w:val="001326AF"/>
    <w:rsid w:val="001326F6"/>
    <w:rsid w:val="00134366"/>
    <w:rsid w:val="001354BF"/>
    <w:rsid w:val="00135CFB"/>
    <w:rsid w:val="00137730"/>
    <w:rsid w:val="001378C3"/>
    <w:rsid w:val="00140C2B"/>
    <w:rsid w:val="00140D26"/>
    <w:rsid w:val="00140E11"/>
    <w:rsid w:val="00142563"/>
    <w:rsid w:val="00142A63"/>
    <w:rsid w:val="00143435"/>
    <w:rsid w:val="0014450E"/>
    <w:rsid w:val="00144754"/>
    <w:rsid w:val="00144F2D"/>
    <w:rsid w:val="00144F3C"/>
    <w:rsid w:val="0014580C"/>
    <w:rsid w:val="00145ADD"/>
    <w:rsid w:val="00145B19"/>
    <w:rsid w:val="00145B7B"/>
    <w:rsid w:val="00145D57"/>
    <w:rsid w:val="00146F0A"/>
    <w:rsid w:val="0014712E"/>
    <w:rsid w:val="00147500"/>
    <w:rsid w:val="00147B27"/>
    <w:rsid w:val="00147C62"/>
    <w:rsid w:val="00150038"/>
    <w:rsid w:val="0015143E"/>
    <w:rsid w:val="00151501"/>
    <w:rsid w:val="001518A7"/>
    <w:rsid w:val="00151940"/>
    <w:rsid w:val="0015195F"/>
    <w:rsid w:val="00151A35"/>
    <w:rsid w:val="00151B40"/>
    <w:rsid w:val="00152D39"/>
    <w:rsid w:val="001530FA"/>
    <w:rsid w:val="001531AE"/>
    <w:rsid w:val="001533D4"/>
    <w:rsid w:val="00153CDE"/>
    <w:rsid w:val="00153E3F"/>
    <w:rsid w:val="00153EC4"/>
    <w:rsid w:val="001541B5"/>
    <w:rsid w:val="001543F5"/>
    <w:rsid w:val="001548AF"/>
    <w:rsid w:val="00155A6F"/>
    <w:rsid w:val="00155E83"/>
    <w:rsid w:val="00156962"/>
    <w:rsid w:val="00157199"/>
    <w:rsid w:val="001611B0"/>
    <w:rsid w:val="001613FA"/>
    <w:rsid w:val="00161621"/>
    <w:rsid w:val="00161D54"/>
    <w:rsid w:val="001623D6"/>
    <w:rsid w:val="001624A2"/>
    <w:rsid w:val="001627D5"/>
    <w:rsid w:val="00162945"/>
    <w:rsid w:val="00162A96"/>
    <w:rsid w:val="00163446"/>
    <w:rsid w:val="00163882"/>
    <w:rsid w:val="001639CB"/>
    <w:rsid w:val="00164767"/>
    <w:rsid w:val="00164EF1"/>
    <w:rsid w:val="001657F3"/>
    <w:rsid w:val="00165978"/>
    <w:rsid w:val="00165CAE"/>
    <w:rsid w:val="00165F36"/>
    <w:rsid w:val="00166D36"/>
    <w:rsid w:val="0016764A"/>
    <w:rsid w:val="00170487"/>
    <w:rsid w:val="001706A9"/>
    <w:rsid w:val="00170CBE"/>
    <w:rsid w:val="00170EF6"/>
    <w:rsid w:val="00171607"/>
    <w:rsid w:val="00171B07"/>
    <w:rsid w:val="00171D0E"/>
    <w:rsid w:val="00171DF1"/>
    <w:rsid w:val="001724CA"/>
    <w:rsid w:val="001728B4"/>
    <w:rsid w:val="0017291F"/>
    <w:rsid w:val="0017370D"/>
    <w:rsid w:val="00173EB9"/>
    <w:rsid w:val="00174853"/>
    <w:rsid w:val="00175458"/>
    <w:rsid w:val="0017561B"/>
    <w:rsid w:val="001759F3"/>
    <w:rsid w:val="001774B2"/>
    <w:rsid w:val="00177E6B"/>
    <w:rsid w:val="00177F46"/>
    <w:rsid w:val="00182484"/>
    <w:rsid w:val="00182AD1"/>
    <w:rsid w:val="001836C7"/>
    <w:rsid w:val="00183721"/>
    <w:rsid w:val="00184437"/>
    <w:rsid w:val="00184BEB"/>
    <w:rsid w:val="001867EE"/>
    <w:rsid w:val="001868E9"/>
    <w:rsid w:val="0018697F"/>
    <w:rsid w:val="00186CB3"/>
    <w:rsid w:val="00187E8C"/>
    <w:rsid w:val="001905CA"/>
    <w:rsid w:val="00191600"/>
    <w:rsid w:val="001916C0"/>
    <w:rsid w:val="00192C98"/>
    <w:rsid w:val="00192D41"/>
    <w:rsid w:val="00192F16"/>
    <w:rsid w:val="0019335A"/>
    <w:rsid w:val="00193925"/>
    <w:rsid w:val="00193ECE"/>
    <w:rsid w:val="00194311"/>
    <w:rsid w:val="001955B5"/>
    <w:rsid w:val="00195791"/>
    <w:rsid w:val="00195A7F"/>
    <w:rsid w:val="00196B91"/>
    <w:rsid w:val="0019733A"/>
    <w:rsid w:val="00197758"/>
    <w:rsid w:val="0019792C"/>
    <w:rsid w:val="00197B28"/>
    <w:rsid w:val="001A012E"/>
    <w:rsid w:val="001A0161"/>
    <w:rsid w:val="001A02E6"/>
    <w:rsid w:val="001A14E6"/>
    <w:rsid w:val="001A16BA"/>
    <w:rsid w:val="001A198F"/>
    <w:rsid w:val="001A26E0"/>
    <w:rsid w:val="001A2718"/>
    <w:rsid w:val="001A2D1F"/>
    <w:rsid w:val="001A2EF8"/>
    <w:rsid w:val="001A348B"/>
    <w:rsid w:val="001A4AE8"/>
    <w:rsid w:val="001A4CA5"/>
    <w:rsid w:val="001A531D"/>
    <w:rsid w:val="001A55A9"/>
    <w:rsid w:val="001A5950"/>
    <w:rsid w:val="001A5CD0"/>
    <w:rsid w:val="001A60B6"/>
    <w:rsid w:val="001A628C"/>
    <w:rsid w:val="001A62C0"/>
    <w:rsid w:val="001A69AD"/>
    <w:rsid w:val="001A79E7"/>
    <w:rsid w:val="001A7FF2"/>
    <w:rsid w:val="001B0851"/>
    <w:rsid w:val="001B0925"/>
    <w:rsid w:val="001B0A95"/>
    <w:rsid w:val="001B0D4F"/>
    <w:rsid w:val="001B21C6"/>
    <w:rsid w:val="001B2510"/>
    <w:rsid w:val="001B373E"/>
    <w:rsid w:val="001B3F7A"/>
    <w:rsid w:val="001B41A4"/>
    <w:rsid w:val="001B4404"/>
    <w:rsid w:val="001B4A3C"/>
    <w:rsid w:val="001B4C0C"/>
    <w:rsid w:val="001B4FE1"/>
    <w:rsid w:val="001B58C6"/>
    <w:rsid w:val="001B5B9C"/>
    <w:rsid w:val="001B6351"/>
    <w:rsid w:val="001B7367"/>
    <w:rsid w:val="001B792C"/>
    <w:rsid w:val="001C0015"/>
    <w:rsid w:val="001C0134"/>
    <w:rsid w:val="001C02AE"/>
    <w:rsid w:val="001C079A"/>
    <w:rsid w:val="001C07BC"/>
    <w:rsid w:val="001C083E"/>
    <w:rsid w:val="001C1A99"/>
    <w:rsid w:val="001C2392"/>
    <w:rsid w:val="001C2A7A"/>
    <w:rsid w:val="001C356D"/>
    <w:rsid w:val="001C4037"/>
    <w:rsid w:val="001C5AD4"/>
    <w:rsid w:val="001C5C74"/>
    <w:rsid w:val="001C63CE"/>
    <w:rsid w:val="001C642B"/>
    <w:rsid w:val="001C7091"/>
    <w:rsid w:val="001C71A0"/>
    <w:rsid w:val="001C75AB"/>
    <w:rsid w:val="001C7C70"/>
    <w:rsid w:val="001D06AA"/>
    <w:rsid w:val="001D0A79"/>
    <w:rsid w:val="001D227C"/>
    <w:rsid w:val="001D259F"/>
    <w:rsid w:val="001D39B9"/>
    <w:rsid w:val="001D3B1E"/>
    <w:rsid w:val="001D3CD1"/>
    <w:rsid w:val="001D42B8"/>
    <w:rsid w:val="001D46AA"/>
    <w:rsid w:val="001D48FC"/>
    <w:rsid w:val="001D50C9"/>
    <w:rsid w:val="001D5ECE"/>
    <w:rsid w:val="001D6448"/>
    <w:rsid w:val="001D657A"/>
    <w:rsid w:val="001D7395"/>
    <w:rsid w:val="001D782F"/>
    <w:rsid w:val="001D799B"/>
    <w:rsid w:val="001D7FD5"/>
    <w:rsid w:val="001E090A"/>
    <w:rsid w:val="001E0978"/>
    <w:rsid w:val="001E1BE6"/>
    <w:rsid w:val="001E322A"/>
    <w:rsid w:val="001E4094"/>
    <w:rsid w:val="001E4173"/>
    <w:rsid w:val="001E48C7"/>
    <w:rsid w:val="001E56E8"/>
    <w:rsid w:val="001E5916"/>
    <w:rsid w:val="001E5DE3"/>
    <w:rsid w:val="001F0D5E"/>
    <w:rsid w:val="001F13D4"/>
    <w:rsid w:val="001F1FC3"/>
    <w:rsid w:val="001F2985"/>
    <w:rsid w:val="001F311B"/>
    <w:rsid w:val="001F3BF0"/>
    <w:rsid w:val="001F40BC"/>
    <w:rsid w:val="001F4122"/>
    <w:rsid w:val="001F5209"/>
    <w:rsid w:val="001F7D08"/>
    <w:rsid w:val="00200D49"/>
    <w:rsid w:val="00200D70"/>
    <w:rsid w:val="00200E26"/>
    <w:rsid w:val="00201507"/>
    <w:rsid w:val="002015CA"/>
    <w:rsid w:val="00201650"/>
    <w:rsid w:val="00201724"/>
    <w:rsid w:val="002025F8"/>
    <w:rsid w:val="002027E1"/>
    <w:rsid w:val="0020283E"/>
    <w:rsid w:val="00202A5E"/>
    <w:rsid w:val="00203FCB"/>
    <w:rsid w:val="002047EE"/>
    <w:rsid w:val="00204F20"/>
    <w:rsid w:val="00206320"/>
    <w:rsid w:val="00206AAD"/>
    <w:rsid w:val="00206D73"/>
    <w:rsid w:val="00206F1E"/>
    <w:rsid w:val="002075F9"/>
    <w:rsid w:val="0020788B"/>
    <w:rsid w:val="00207AF7"/>
    <w:rsid w:val="00207D94"/>
    <w:rsid w:val="002101B8"/>
    <w:rsid w:val="00210EB7"/>
    <w:rsid w:val="002110B0"/>
    <w:rsid w:val="0021256B"/>
    <w:rsid w:val="00213C75"/>
    <w:rsid w:val="00213F1B"/>
    <w:rsid w:val="002140A7"/>
    <w:rsid w:val="00214C9E"/>
    <w:rsid w:val="00214D73"/>
    <w:rsid w:val="00215B97"/>
    <w:rsid w:val="00215BA4"/>
    <w:rsid w:val="00216BAB"/>
    <w:rsid w:val="00216F0E"/>
    <w:rsid w:val="002211AF"/>
    <w:rsid w:val="0022133D"/>
    <w:rsid w:val="00221B02"/>
    <w:rsid w:val="002223D7"/>
    <w:rsid w:val="00222698"/>
    <w:rsid w:val="00222852"/>
    <w:rsid w:val="002239E1"/>
    <w:rsid w:val="00224755"/>
    <w:rsid w:val="0022594A"/>
    <w:rsid w:val="002259B1"/>
    <w:rsid w:val="00225B6A"/>
    <w:rsid w:val="00226213"/>
    <w:rsid w:val="00226AAA"/>
    <w:rsid w:val="00227D73"/>
    <w:rsid w:val="00227E1B"/>
    <w:rsid w:val="00227EE2"/>
    <w:rsid w:val="002303D2"/>
    <w:rsid w:val="002317D7"/>
    <w:rsid w:val="00232061"/>
    <w:rsid w:val="00232990"/>
    <w:rsid w:val="00232EC9"/>
    <w:rsid w:val="00233110"/>
    <w:rsid w:val="00234293"/>
    <w:rsid w:val="00236371"/>
    <w:rsid w:val="00236F27"/>
    <w:rsid w:val="00237B6B"/>
    <w:rsid w:val="00237BD8"/>
    <w:rsid w:val="00237E3E"/>
    <w:rsid w:val="00240AEB"/>
    <w:rsid w:val="00240AF1"/>
    <w:rsid w:val="002411D8"/>
    <w:rsid w:val="0024222E"/>
    <w:rsid w:val="0024261D"/>
    <w:rsid w:val="00242938"/>
    <w:rsid w:val="00243414"/>
    <w:rsid w:val="00244956"/>
    <w:rsid w:val="00244CA8"/>
    <w:rsid w:val="00244F7E"/>
    <w:rsid w:val="00245FCC"/>
    <w:rsid w:val="00246319"/>
    <w:rsid w:val="002471E7"/>
    <w:rsid w:val="002502C7"/>
    <w:rsid w:val="00250C4F"/>
    <w:rsid w:val="00251B53"/>
    <w:rsid w:val="0025377C"/>
    <w:rsid w:val="00253A15"/>
    <w:rsid w:val="00253A99"/>
    <w:rsid w:val="00253D75"/>
    <w:rsid w:val="002541C6"/>
    <w:rsid w:val="00254620"/>
    <w:rsid w:val="002549F5"/>
    <w:rsid w:val="002553DA"/>
    <w:rsid w:val="0025626D"/>
    <w:rsid w:val="00256563"/>
    <w:rsid w:val="00257536"/>
    <w:rsid w:val="00257602"/>
    <w:rsid w:val="0025798C"/>
    <w:rsid w:val="0026042D"/>
    <w:rsid w:val="00261468"/>
    <w:rsid w:val="002614D3"/>
    <w:rsid w:val="00261DFD"/>
    <w:rsid w:val="00261EB1"/>
    <w:rsid w:val="002629AE"/>
    <w:rsid w:val="00262C7E"/>
    <w:rsid w:val="00263949"/>
    <w:rsid w:val="00264567"/>
    <w:rsid w:val="00264AAE"/>
    <w:rsid w:val="00265374"/>
    <w:rsid w:val="002659DD"/>
    <w:rsid w:val="0026674E"/>
    <w:rsid w:val="002668C5"/>
    <w:rsid w:val="0026769C"/>
    <w:rsid w:val="00271408"/>
    <w:rsid w:val="00272BFB"/>
    <w:rsid w:val="00272D77"/>
    <w:rsid w:val="002730E3"/>
    <w:rsid w:val="0027390A"/>
    <w:rsid w:val="00273952"/>
    <w:rsid w:val="00273992"/>
    <w:rsid w:val="00274A61"/>
    <w:rsid w:val="00274BD2"/>
    <w:rsid w:val="002758E0"/>
    <w:rsid w:val="002762D0"/>
    <w:rsid w:val="00276FA8"/>
    <w:rsid w:val="00277C8E"/>
    <w:rsid w:val="00277E20"/>
    <w:rsid w:val="0028017B"/>
    <w:rsid w:val="002806F1"/>
    <w:rsid w:val="00281B00"/>
    <w:rsid w:val="0028270F"/>
    <w:rsid w:val="00283ABD"/>
    <w:rsid w:val="00284DCB"/>
    <w:rsid w:val="00285CF8"/>
    <w:rsid w:val="00287229"/>
    <w:rsid w:val="0028799A"/>
    <w:rsid w:val="00290039"/>
    <w:rsid w:val="00291409"/>
    <w:rsid w:val="0029176B"/>
    <w:rsid w:val="0029223F"/>
    <w:rsid w:val="00293190"/>
    <w:rsid w:val="00293B36"/>
    <w:rsid w:val="00294ADF"/>
    <w:rsid w:val="00294FF8"/>
    <w:rsid w:val="002958FF"/>
    <w:rsid w:val="00295919"/>
    <w:rsid w:val="002A036B"/>
    <w:rsid w:val="002A1399"/>
    <w:rsid w:val="002A15F2"/>
    <w:rsid w:val="002A17A9"/>
    <w:rsid w:val="002A1BB6"/>
    <w:rsid w:val="002A2AFC"/>
    <w:rsid w:val="002A48C8"/>
    <w:rsid w:val="002A4E1A"/>
    <w:rsid w:val="002A5404"/>
    <w:rsid w:val="002A5482"/>
    <w:rsid w:val="002A5E74"/>
    <w:rsid w:val="002A78D4"/>
    <w:rsid w:val="002B0532"/>
    <w:rsid w:val="002B08FF"/>
    <w:rsid w:val="002B0B28"/>
    <w:rsid w:val="002B0C59"/>
    <w:rsid w:val="002B22F8"/>
    <w:rsid w:val="002B3487"/>
    <w:rsid w:val="002B3AA6"/>
    <w:rsid w:val="002B3F01"/>
    <w:rsid w:val="002B3F5A"/>
    <w:rsid w:val="002B40B8"/>
    <w:rsid w:val="002B42FC"/>
    <w:rsid w:val="002B431C"/>
    <w:rsid w:val="002B4BEF"/>
    <w:rsid w:val="002B6844"/>
    <w:rsid w:val="002B6946"/>
    <w:rsid w:val="002B6BF8"/>
    <w:rsid w:val="002C0370"/>
    <w:rsid w:val="002C0C9E"/>
    <w:rsid w:val="002C0F90"/>
    <w:rsid w:val="002C1088"/>
    <w:rsid w:val="002C2316"/>
    <w:rsid w:val="002C23B1"/>
    <w:rsid w:val="002C25B3"/>
    <w:rsid w:val="002C2890"/>
    <w:rsid w:val="002C28E5"/>
    <w:rsid w:val="002C2E68"/>
    <w:rsid w:val="002C2E86"/>
    <w:rsid w:val="002C5523"/>
    <w:rsid w:val="002C5784"/>
    <w:rsid w:val="002C5ED5"/>
    <w:rsid w:val="002C696D"/>
    <w:rsid w:val="002C69CE"/>
    <w:rsid w:val="002C79B3"/>
    <w:rsid w:val="002C7DBD"/>
    <w:rsid w:val="002D0C2E"/>
    <w:rsid w:val="002D11D2"/>
    <w:rsid w:val="002D153B"/>
    <w:rsid w:val="002D2275"/>
    <w:rsid w:val="002D23A0"/>
    <w:rsid w:val="002D2A71"/>
    <w:rsid w:val="002D2D9D"/>
    <w:rsid w:val="002D2E9F"/>
    <w:rsid w:val="002D2F0B"/>
    <w:rsid w:val="002D2FDB"/>
    <w:rsid w:val="002D31BA"/>
    <w:rsid w:val="002D44D3"/>
    <w:rsid w:val="002D4904"/>
    <w:rsid w:val="002D4DDF"/>
    <w:rsid w:val="002D577F"/>
    <w:rsid w:val="002D58D9"/>
    <w:rsid w:val="002D5A16"/>
    <w:rsid w:val="002D7324"/>
    <w:rsid w:val="002D7CF7"/>
    <w:rsid w:val="002D7F49"/>
    <w:rsid w:val="002E0062"/>
    <w:rsid w:val="002E0854"/>
    <w:rsid w:val="002E09A6"/>
    <w:rsid w:val="002E09CE"/>
    <w:rsid w:val="002E0C95"/>
    <w:rsid w:val="002E25EE"/>
    <w:rsid w:val="002E2DEE"/>
    <w:rsid w:val="002E2F69"/>
    <w:rsid w:val="002E5049"/>
    <w:rsid w:val="002E55E2"/>
    <w:rsid w:val="002E5DC8"/>
    <w:rsid w:val="002E5E35"/>
    <w:rsid w:val="002E626B"/>
    <w:rsid w:val="002E68D6"/>
    <w:rsid w:val="002E6C62"/>
    <w:rsid w:val="002E6F78"/>
    <w:rsid w:val="002E7849"/>
    <w:rsid w:val="002F052A"/>
    <w:rsid w:val="002F0FD1"/>
    <w:rsid w:val="002F1277"/>
    <w:rsid w:val="002F2312"/>
    <w:rsid w:val="002F2914"/>
    <w:rsid w:val="002F33CE"/>
    <w:rsid w:val="002F3691"/>
    <w:rsid w:val="002F45CE"/>
    <w:rsid w:val="002F4876"/>
    <w:rsid w:val="002F53E0"/>
    <w:rsid w:val="002F59B2"/>
    <w:rsid w:val="002F5B35"/>
    <w:rsid w:val="002F6679"/>
    <w:rsid w:val="002F6BBB"/>
    <w:rsid w:val="002F783C"/>
    <w:rsid w:val="00300B3B"/>
    <w:rsid w:val="00300FE7"/>
    <w:rsid w:val="003010EC"/>
    <w:rsid w:val="00301FCF"/>
    <w:rsid w:val="00303152"/>
    <w:rsid w:val="003032E1"/>
    <w:rsid w:val="0030343A"/>
    <w:rsid w:val="0030364A"/>
    <w:rsid w:val="00303E41"/>
    <w:rsid w:val="003045CF"/>
    <w:rsid w:val="00304810"/>
    <w:rsid w:val="0030597A"/>
    <w:rsid w:val="003074E2"/>
    <w:rsid w:val="0030770A"/>
    <w:rsid w:val="003103EF"/>
    <w:rsid w:val="00310AFF"/>
    <w:rsid w:val="00311B9B"/>
    <w:rsid w:val="00311FCC"/>
    <w:rsid w:val="00312431"/>
    <w:rsid w:val="0031257F"/>
    <w:rsid w:val="003128B6"/>
    <w:rsid w:val="003133CE"/>
    <w:rsid w:val="00313B85"/>
    <w:rsid w:val="00315267"/>
    <w:rsid w:val="00317D7B"/>
    <w:rsid w:val="0032102F"/>
    <w:rsid w:val="00321975"/>
    <w:rsid w:val="003229A2"/>
    <w:rsid w:val="003236A5"/>
    <w:rsid w:val="003243D1"/>
    <w:rsid w:val="00325394"/>
    <w:rsid w:val="00326227"/>
    <w:rsid w:val="003264D8"/>
    <w:rsid w:val="00327040"/>
    <w:rsid w:val="0032724F"/>
    <w:rsid w:val="0032746B"/>
    <w:rsid w:val="00331192"/>
    <w:rsid w:val="00332483"/>
    <w:rsid w:val="00332903"/>
    <w:rsid w:val="00334868"/>
    <w:rsid w:val="00334A77"/>
    <w:rsid w:val="00334C87"/>
    <w:rsid w:val="00334D2E"/>
    <w:rsid w:val="00335D6A"/>
    <w:rsid w:val="00335DF5"/>
    <w:rsid w:val="00336A98"/>
    <w:rsid w:val="00337A9A"/>
    <w:rsid w:val="00340B54"/>
    <w:rsid w:val="00340CDA"/>
    <w:rsid w:val="00342288"/>
    <w:rsid w:val="003424D0"/>
    <w:rsid w:val="003425B9"/>
    <w:rsid w:val="00343369"/>
    <w:rsid w:val="00344204"/>
    <w:rsid w:val="00344707"/>
    <w:rsid w:val="003453D7"/>
    <w:rsid w:val="00345711"/>
    <w:rsid w:val="00345C2A"/>
    <w:rsid w:val="00345D47"/>
    <w:rsid w:val="00345F9A"/>
    <w:rsid w:val="00346739"/>
    <w:rsid w:val="003469E3"/>
    <w:rsid w:val="00346F62"/>
    <w:rsid w:val="003474DE"/>
    <w:rsid w:val="00347746"/>
    <w:rsid w:val="0034774F"/>
    <w:rsid w:val="00347CB7"/>
    <w:rsid w:val="0035007B"/>
    <w:rsid w:val="00350A75"/>
    <w:rsid w:val="00350E77"/>
    <w:rsid w:val="00350E95"/>
    <w:rsid w:val="00351138"/>
    <w:rsid w:val="00351B72"/>
    <w:rsid w:val="00351E65"/>
    <w:rsid w:val="0035201A"/>
    <w:rsid w:val="00352186"/>
    <w:rsid w:val="00352694"/>
    <w:rsid w:val="00353CF0"/>
    <w:rsid w:val="003540EE"/>
    <w:rsid w:val="00354469"/>
    <w:rsid w:val="00354EF4"/>
    <w:rsid w:val="00354F34"/>
    <w:rsid w:val="003558A7"/>
    <w:rsid w:val="00355FC5"/>
    <w:rsid w:val="003567DC"/>
    <w:rsid w:val="00356B41"/>
    <w:rsid w:val="00356F27"/>
    <w:rsid w:val="003573D3"/>
    <w:rsid w:val="00357C32"/>
    <w:rsid w:val="00357D35"/>
    <w:rsid w:val="00357F50"/>
    <w:rsid w:val="003605B9"/>
    <w:rsid w:val="0036142D"/>
    <w:rsid w:val="00361891"/>
    <w:rsid w:val="003619A8"/>
    <w:rsid w:val="00361EF4"/>
    <w:rsid w:val="003625BE"/>
    <w:rsid w:val="00363AAD"/>
    <w:rsid w:val="00363D6B"/>
    <w:rsid w:val="00363FDA"/>
    <w:rsid w:val="003646F4"/>
    <w:rsid w:val="00364883"/>
    <w:rsid w:val="00364EA4"/>
    <w:rsid w:val="00365270"/>
    <w:rsid w:val="0036531D"/>
    <w:rsid w:val="003653BB"/>
    <w:rsid w:val="00366179"/>
    <w:rsid w:val="00366257"/>
    <w:rsid w:val="0036685F"/>
    <w:rsid w:val="00366A9E"/>
    <w:rsid w:val="003701DC"/>
    <w:rsid w:val="003709B1"/>
    <w:rsid w:val="00370D4C"/>
    <w:rsid w:val="00370F8D"/>
    <w:rsid w:val="00371CE7"/>
    <w:rsid w:val="00372F06"/>
    <w:rsid w:val="00372FF4"/>
    <w:rsid w:val="003738C9"/>
    <w:rsid w:val="003739A8"/>
    <w:rsid w:val="003742E0"/>
    <w:rsid w:val="00374CC5"/>
    <w:rsid w:val="00374CDD"/>
    <w:rsid w:val="0037635D"/>
    <w:rsid w:val="003767BD"/>
    <w:rsid w:val="00376805"/>
    <w:rsid w:val="00376FEB"/>
    <w:rsid w:val="00377361"/>
    <w:rsid w:val="003777AE"/>
    <w:rsid w:val="00380189"/>
    <w:rsid w:val="0038023A"/>
    <w:rsid w:val="00380A7C"/>
    <w:rsid w:val="00380CE2"/>
    <w:rsid w:val="00381A5D"/>
    <w:rsid w:val="0038213B"/>
    <w:rsid w:val="0038284D"/>
    <w:rsid w:val="00382FBD"/>
    <w:rsid w:val="00384417"/>
    <w:rsid w:val="00384B18"/>
    <w:rsid w:val="0038586D"/>
    <w:rsid w:val="003861C4"/>
    <w:rsid w:val="003864D5"/>
    <w:rsid w:val="00386717"/>
    <w:rsid w:val="00387702"/>
    <w:rsid w:val="00387AD4"/>
    <w:rsid w:val="00387F44"/>
    <w:rsid w:val="00387FAE"/>
    <w:rsid w:val="003909D2"/>
    <w:rsid w:val="00390B49"/>
    <w:rsid w:val="00390BD0"/>
    <w:rsid w:val="0039179B"/>
    <w:rsid w:val="003918C1"/>
    <w:rsid w:val="00391FAB"/>
    <w:rsid w:val="0039211E"/>
    <w:rsid w:val="003924CE"/>
    <w:rsid w:val="00392670"/>
    <w:rsid w:val="00393528"/>
    <w:rsid w:val="0039384A"/>
    <w:rsid w:val="00393A59"/>
    <w:rsid w:val="00393E65"/>
    <w:rsid w:val="00394297"/>
    <w:rsid w:val="00395808"/>
    <w:rsid w:val="00395884"/>
    <w:rsid w:val="003961DA"/>
    <w:rsid w:val="003967C1"/>
    <w:rsid w:val="00396A45"/>
    <w:rsid w:val="00396D34"/>
    <w:rsid w:val="00397434"/>
    <w:rsid w:val="003978F3"/>
    <w:rsid w:val="003A00CF"/>
    <w:rsid w:val="003A045A"/>
    <w:rsid w:val="003A06EE"/>
    <w:rsid w:val="003A07BC"/>
    <w:rsid w:val="003A0897"/>
    <w:rsid w:val="003A0F58"/>
    <w:rsid w:val="003A1B95"/>
    <w:rsid w:val="003A1D8E"/>
    <w:rsid w:val="003A1E20"/>
    <w:rsid w:val="003A30A8"/>
    <w:rsid w:val="003A38F6"/>
    <w:rsid w:val="003A48D5"/>
    <w:rsid w:val="003A4D31"/>
    <w:rsid w:val="003A55AE"/>
    <w:rsid w:val="003A5DE6"/>
    <w:rsid w:val="003A67CC"/>
    <w:rsid w:val="003A6C33"/>
    <w:rsid w:val="003A7979"/>
    <w:rsid w:val="003A7E7C"/>
    <w:rsid w:val="003B02EE"/>
    <w:rsid w:val="003B0D76"/>
    <w:rsid w:val="003B1284"/>
    <w:rsid w:val="003B2F55"/>
    <w:rsid w:val="003B320B"/>
    <w:rsid w:val="003B3271"/>
    <w:rsid w:val="003B3FA8"/>
    <w:rsid w:val="003B4007"/>
    <w:rsid w:val="003B48A3"/>
    <w:rsid w:val="003B517A"/>
    <w:rsid w:val="003B621D"/>
    <w:rsid w:val="003B67A6"/>
    <w:rsid w:val="003B6B58"/>
    <w:rsid w:val="003B6D75"/>
    <w:rsid w:val="003B6EE8"/>
    <w:rsid w:val="003B7C7E"/>
    <w:rsid w:val="003C0136"/>
    <w:rsid w:val="003C0550"/>
    <w:rsid w:val="003C05D0"/>
    <w:rsid w:val="003C1708"/>
    <w:rsid w:val="003C1B5A"/>
    <w:rsid w:val="003C2302"/>
    <w:rsid w:val="003C2E3D"/>
    <w:rsid w:val="003C422A"/>
    <w:rsid w:val="003C504A"/>
    <w:rsid w:val="003C5B80"/>
    <w:rsid w:val="003C6608"/>
    <w:rsid w:val="003C6C0E"/>
    <w:rsid w:val="003C753C"/>
    <w:rsid w:val="003C7944"/>
    <w:rsid w:val="003D20D0"/>
    <w:rsid w:val="003D2CB5"/>
    <w:rsid w:val="003D2DB0"/>
    <w:rsid w:val="003D41F2"/>
    <w:rsid w:val="003D47E8"/>
    <w:rsid w:val="003D5270"/>
    <w:rsid w:val="003D53D0"/>
    <w:rsid w:val="003D554F"/>
    <w:rsid w:val="003D5B5A"/>
    <w:rsid w:val="003D5CDB"/>
    <w:rsid w:val="003D6886"/>
    <w:rsid w:val="003E0099"/>
    <w:rsid w:val="003E1330"/>
    <w:rsid w:val="003E1D7E"/>
    <w:rsid w:val="003E22F7"/>
    <w:rsid w:val="003E317D"/>
    <w:rsid w:val="003E707A"/>
    <w:rsid w:val="003E7DB0"/>
    <w:rsid w:val="003F027B"/>
    <w:rsid w:val="003F028F"/>
    <w:rsid w:val="003F0E59"/>
    <w:rsid w:val="003F17D7"/>
    <w:rsid w:val="003F208B"/>
    <w:rsid w:val="003F20BF"/>
    <w:rsid w:val="003F2205"/>
    <w:rsid w:val="003F3747"/>
    <w:rsid w:val="003F3773"/>
    <w:rsid w:val="003F416E"/>
    <w:rsid w:val="003F5839"/>
    <w:rsid w:val="003F64A4"/>
    <w:rsid w:val="004001D9"/>
    <w:rsid w:val="0040051B"/>
    <w:rsid w:val="0040062F"/>
    <w:rsid w:val="004007BA"/>
    <w:rsid w:val="00400E7A"/>
    <w:rsid w:val="00401070"/>
    <w:rsid w:val="00401724"/>
    <w:rsid w:val="004019E0"/>
    <w:rsid w:val="00401B72"/>
    <w:rsid w:val="004020C7"/>
    <w:rsid w:val="0040308A"/>
    <w:rsid w:val="004030EE"/>
    <w:rsid w:val="004031A4"/>
    <w:rsid w:val="00403422"/>
    <w:rsid w:val="00404AAA"/>
    <w:rsid w:val="00404FAC"/>
    <w:rsid w:val="00405DA2"/>
    <w:rsid w:val="00405DD2"/>
    <w:rsid w:val="004067A5"/>
    <w:rsid w:val="004068AE"/>
    <w:rsid w:val="00407010"/>
    <w:rsid w:val="0040711D"/>
    <w:rsid w:val="004075F5"/>
    <w:rsid w:val="00410130"/>
    <w:rsid w:val="004104CE"/>
    <w:rsid w:val="00410A93"/>
    <w:rsid w:val="00410DF2"/>
    <w:rsid w:val="00410EF1"/>
    <w:rsid w:val="00411416"/>
    <w:rsid w:val="00411823"/>
    <w:rsid w:val="0041227B"/>
    <w:rsid w:val="004132B9"/>
    <w:rsid w:val="004133B6"/>
    <w:rsid w:val="004133E1"/>
    <w:rsid w:val="004146CB"/>
    <w:rsid w:val="00414CA7"/>
    <w:rsid w:val="00415761"/>
    <w:rsid w:val="00415AA0"/>
    <w:rsid w:val="00416088"/>
    <w:rsid w:val="004161DC"/>
    <w:rsid w:val="00416ABF"/>
    <w:rsid w:val="004176F5"/>
    <w:rsid w:val="004177CB"/>
    <w:rsid w:val="00420813"/>
    <w:rsid w:val="004215FA"/>
    <w:rsid w:val="0042179E"/>
    <w:rsid w:val="00421BEB"/>
    <w:rsid w:val="00422476"/>
    <w:rsid w:val="00423138"/>
    <w:rsid w:val="00423250"/>
    <w:rsid w:val="00424091"/>
    <w:rsid w:val="00424AEF"/>
    <w:rsid w:val="00424D42"/>
    <w:rsid w:val="004251D5"/>
    <w:rsid w:val="00425C96"/>
    <w:rsid w:val="004265E7"/>
    <w:rsid w:val="00427FE9"/>
    <w:rsid w:val="004307E3"/>
    <w:rsid w:val="004307E5"/>
    <w:rsid w:val="00430BA7"/>
    <w:rsid w:val="00431062"/>
    <w:rsid w:val="00432BA2"/>
    <w:rsid w:val="00432C4B"/>
    <w:rsid w:val="00433EF4"/>
    <w:rsid w:val="00433F37"/>
    <w:rsid w:val="00433F84"/>
    <w:rsid w:val="0043452F"/>
    <w:rsid w:val="00435330"/>
    <w:rsid w:val="004354CE"/>
    <w:rsid w:val="00436356"/>
    <w:rsid w:val="004365B5"/>
    <w:rsid w:val="0044076D"/>
    <w:rsid w:val="0044131B"/>
    <w:rsid w:val="00441552"/>
    <w:rsid w:val="004416AE"/>
    <w:rsid w:val="004417D1"/>
    <w:rsid w:val="00441883"/>
    <w:rsid w:val="00441E39"/>
    <w:rsid w:val="00441F83"/>
    <w:rsid w:val="0044200E"/>
    <w:rsid w:val="004423BE"/>
    <w:rsid w:val="00443335"/>
    <w:rsid w:val="0044468D"/>
    <w:rsid w:val="00444AF9"/>
    <w:rsid w:val="00444BAE"/>
    <w:rsid w:val="00445C7E"/>
    <w:rsid w:val="00445C87"/>
    <w:rsid w:val="00445CE3"/>
    <w:rsid w:val="0044603E"/>
    <w:rsid w:val="00446485"/>
    <w:rsid w:val="00446AFC"/>
    <w:rsid w:val="0044778D"/>
    <w:rsid w:val="00447826"/>
    <w:rsid w:val="00447A68"/>
    <w:rsid w:val="00450D55"/>
    <w:rsid w:val="004512DC"/>
    <w:rsid w:val="004513CF"/>
    <w:rsid w:val="004526FA"/>
    <w:rsid w:val="00452CD7"/>
    <w:rsid w:val="00453147"/>
    <w:rsid w:val="0045363F"/>
    <w:rsid w:val="004549A7"/>
    <w:rsid w:val="00454F52"/>
    <w:rsid w:val="004554E1"/>
    <w:rsid w:val="00455F00"/>
    <w:rsid w:val="00455F63"/>
    <w:rsid w:val="004563D9"/>
    <w:rsid w:val="004565FF"/>
    <w:rsid w:val="00456772"/>
    <w:rsid w:val="00456D74"/>
    <w:rsid w:val="004570D8"/>
    <w:rsid w:val="004600B8"/>
    <w:rsid w:val="00461C0C"/>
    <w:rsid w:val="00461C28"/>
    <w:rsid w:val="0046386F"/>
    <w:rsid w:val="00463B07"/>
    <w:rsid w:val="0046464B"/>
    <w:rsid w:val="00465B96"/>
    <w:rsid w:val="00465D9D"/>
    <w:rsid w:val="00466040"/>
    <w:rsid w:val="004665DE"/>
    <w:rsid w:val="004668DD"/>
    <w:rsid w:val="0046715F"/>
    <w:rsid w:val="004672DA"/>
    <w:rsid w:val="00467AAC"/>
    <w:rsid w:val="00467B22"/>
    <w:rsid w:val="00467BC1"/>
    <w:rsid w:val="0047129A"/>
    <w:rsid w:val="00471E71"/>
    <w:rsid w:val="00471EC3"/>
    <w:rsid w:val="00472517"/>
    <w:rsid w:val="00473223"/>
    <w:rsid w:val="00473B12"/>
    <w:rsid w:val="00473F95"/>
    <w:rsid w:val="00474D3B"/>
    <w:rsid w:val="00474E7B"/>
    <w:rsid w:val="00475AC5"/>
    <w:rsid w:val="00475D26"/>
    <w:rsid w:val="00476408"/>
    <w:rsid w:val="00477CF6"/>
    <w:rsid w:val="00477DA8"/>
    <w:rsid w:val="004803A1"/>
    <w:rsid w:val="00480822"/>
    <w:rsid w:val="00480F7D"/>
    <w:rsid w:val="0048176F"/>
    <w:rsid w:val="00481A2B"/>
    <w:rsid w:val="00482409"/>
    <w:rsid w:val="00482BB6"/>
    <w:rsid w:val="00483AC1"/>
    <w:rsid w:val="00483CF7"/>
    <w:rsid w:val="00484064"/>
    <w:rsid w:val="0048409E"/>
    <w:rsid w:val="00484510"/>
    <w:rsid w:val="00484949"/>
    <w:rsid w:val="0048626D"/>
    <w:rsid w:val="00486B88"/>
    <w:rsid w:val="00486DE5"/>
    <w:rsid w:val="00486EA8"/>
    <w:rsid w:val="00487BA4"/>
    <w:rsid w:val="00490F78"/>
    <w:rsid w:val="004919A9"/>
    <w:rsid w:val="00493DE4"/>
    <w:rsid w:val="00493E4F"/>
    <w:rsid w:val="00495A14"/>
    <w:rsid w:val="00495CB6"/>
    <w:rsid w:val="00497D3B"/>
    <w:rsid w:val="004A0BD7"/>
    <w:rsid w:val="004A0D02"/>
    <w:rsid w:val="004A10D0"/>
    <w:rsid w:val="004A21E4"/>
    <w:rsid w:val="004A2488"/>
    <w:rsid w:val="004A24F2"/>
    <w:rsid w:val="004A265E"/>
    <w:rsid w:val="004A280B"/>
    <w:rsid w:val="004A36FE"/>
    <w:rsid w:val="004A402E"/>
    <w:rsid w:val="004A435D"/>
    <w:rsid w:val="004A5CC5"/>
    <w:rsid w:val="004A6314"/>
    <w:rsid w:val="004A6988"/>
    <w:rsid w:val="004A6BCE"/>
    <w:rsid w:val="004A73FE"/>
    <w:rsid w:val="004A78F8"/>
    <w:rsid w:val="004A7E76"/>
    <w:rsid w:val="004A7F8F"/>
    <w:rsid w:val="004B108B"/>
    <w:rsid w:val="004B160D"/>
    <w:rsid w:val="004B21A0"/>
    <w:rsid w:val="004B32BA"/>
    <w:rsid w:val="004B4572"/>
    <w:rsid w:val="004B56B0"/>
    <w:rsid w:val="004B5B8A"/>
    <w:rsid w:val="004B5BDB"/>
    <w:rsid w:val="004B5C5F"/>
    <w:rsid w:val="004B5C95"/>
    <w:rsid w:val="004B5ECD"/>
    <w:rsid w:val="004B7091"/>
    <w:rsid w:val="004B7FCA"/>
    <w:rsid w:val="004C02B8"/>
    <w:rsid w:val="004C04CB"/>
    <w:rsid w:val="004C0FF9"/>
    <w:rsid w:val="004C11A7"/>
    <w:rsid w:val="004C284F"/>
    <w:rsid w:val="004C29A5"/>
    <w:rsid w:val="004C3707"/>
    <w:rsid w:val="004C3725"/>
    <w:rsid w:val="004C4907"/>
    <w:rsid w:val="004C5426"/>
    <w:rsid w:val="004C5694"/>
    <w:rsid w:val="004C68C2"/>
    <w:rsid w:val="004C6A1C"/>
    <w:rsid w:val="004C6AA0"/>
    <w:rsid w:val="004C735F"/>
    <w:rsid w:val="004C7830"/>
    <w:rsid w:val="004D06A9"/>
    <w:rsid w:val="004D1C36"/>
    <w:rsid w:val="004D317C"/>
    <w:rsid w:val="004D3211"/>
    <w:rsid w:val="004D3370"/>
    <w:rsid w:val="004D3811"/>
    <w:rsid w:val="004D38AD"/>
    <w:rsid w:val="004D3B39"/>
    <w:rsid w:val="004D3EEB"/>
    <w:rsid w:val="004D3F04"/>
    <w:rsid w:val="004D400F"/>
    <w:rsid w:val="004D4081"/>
    <w:rsid w:val="004D425E"/>
    <w:rsid w:val="004D4A3A"/>
    <w:rsid w:val="004D5ACB"/>
    <w:rsid w:val="004D5B12"/>
    <w:rsid w:val="004D7A55"/>
    <w:rsid w:val="004E1593"/>
    <w:rsid w:val="004E3A2A"/>
    <w:rsid w:val="004E3B84"/>
    <w:rsid w:val="004E433F"/>
    <w:rsid w:val="004E44ED"/>
    <w:rsid w:val="004E4553"/>
    <w:rsid w:val="004E455B"/>
    <w:rsid w:val="004E4AA2"/>
    <w:rsid w:val="004E5933"/>
    <w:rsid w:val="004E5C00"/>
    <w:rsid w:val="004E5F72"/>
    <w:rsid w:val="004E6ED5"/>
    <w:rsid w:val="004E7098"/>
    <w:rsid w:val="004E75EF"/>
    <w:rsid w:val="004F0396"/>
    <w:rsid w:val="004F064B"/>
    <w:rsid w:val="004F0BDA"/>
    <w:rsid w:val="004F0C36"/>
    <w:rsid w:val="004F0F20"/>
    <w:rsid w:val="004F0F3E"/>
    <w:rsid w:val="004F1597"/>
    <w:rsid w:val="004F1F09"/>
    <w:rsid w:val="004F2B43"/>
    <w:rsid w:val="004F2F35"/>
    <w:rsid w:val="004F4232"/>
    <w:rsid w:val="004F581D"/>
    <w:rsid w:val="004F7161"/>
    <w:rsid w:val="004F7611"/>
    <w:rsid w:val="004F7932"/>
    <w:rsid w:val="004F7DCF"/>
    <w:rsid w:val="00500181"/>
    <w:rsid w:val="00504EA9"/>
    <w:rsid w:val="005069F0"/>
    <w:rsid w:val="00507913"/>
    <w:rsid w:val="00507A76"/>
    <w:rsid w:val="00507E37"/>
    <w:rsid w:val="00511389"/>
    <w:rsid w:val="00511504"/>
    <w:rsid w:val="00511696"/>
    <w:rsid w:val="00511F12"/>
    <w:rsid w:val="00512D39"/>
    <w:rsid w:val="00513D69"/>
    <w:rsid w:val="0051437F"/>
    <w:rsid w:val="00514F15"/>
    <w:rsid w:val="0051555F"/>
    <w:rsid w:val="00515AF8"/>
    <w:rsid w:val="00515C57"/>
    <w:rsid w:val="00516237"/>
    <w:rsid w:val="005163E3"/>
    <w:rsid w:val="00516CB1"/>
    <w:rsid w:val="00516D3A"/>
    <w:rsid w:val="00517153"/>
    <w:rsid w:val="005179E1"/>
    <w:rsid w:val="00517DDF"/>
    <w:rsid w:val="00517EE3"/>
    <w:rsid w:val="0052089E"/>
    <w:rsid w:val="0052095D"/>
    <w:rsid w:val="00520FB6"/>
    <w:rsid w:val="005214B8"/>
    <w:rsid w:val="00521E19"/>
    <w:rsid w:val="00522ECD"/>
    <w:rsid w:val="00524129"/>
    <w:rsid w:val="0052425A"/>
    <w:rsid w:val="005243A2"/>
    <w:rsid w:val="00524522"/>
    <w:rsid w:val="00524FF7"/>
    <w:rsid w:val="0052633D"/>
    <w:rsid w:val="0052675C"/>
    <w:rsid w:val="005268D7"/>
    <w:rsid w:val="00526E0F"/>
    <w:rsid w:val="00527B01"/>
    <w:rsid w:val="00527F25"/>
    <w:rsid w:val="00530215"/>
    <w:rsid w:val="0053099A"/>
    <w:rsid w:val="005312B0"/>
    <w:rsid w:val="00532126"/>
    <w:rsid w:val="005324AF"/>
    <w:rsid w:val="0053270D"/>
    <w:rsid w:val="00532A92"/>
    <w:rsid w:val="00532CB9"/>
    <w:rsid w:val="005334F0"/>
    <w:rsid w:val="00533DB8"/>
    <w:rsid w:val="00534585"/>
    <w:rsid w:val="005345D9"/>
    <w:rsid w:val="005346A6"/>
    <w:rsid w:val="005348D7"/>
    <w:rsid w:val="00535C2E"/>
    <w:rsid w:val="00536771"/>
    <w:rsid w:val="00540057"/>
    <w:rsid w:val="0054010A"/>
    <w:rsid w:val="00540365"/>
    <w:rsid w:val="00540848"/>
    <w:rsid w:val="00540FB3"/>
    <w:rsid w:val="00541D62"/>
    <w:rsid w:val="005420ED"/>
    <w:rsid w:val="00542102"/>
    <w:rsid w:val="0054433D"/>
    <w:rsid w:val="0054446F"/>
    <w:rsid w:val="00544995"/>
    <w:rsid w:val="00544FB7"/>
    <w:rsid w:val="00545A5F"/>
    <w:rsid w:val="00545FA6"/>
    <w:rsid w:val="00546250"/>
    <w:rsid w:val="00546456"/>
    <w:rsid w:val="00546593"/>
    <w:rsid w:val="0054699C"/>
    <w:rsid w:val="00547DD9"/>
    <w:rsid w:val="00547FA1"/>
    <w:rsid w:val="0055007D"/>
    <w:rsid w:val="00550370"/>
    <w:rsid w:val="00551260"/>
    <w:rsid w:val="005518CE"/>
    <w:rsid w:val="0055265D"/>
    <w:rsid w:val="00552736"/>
    <w:rsid w:val="005533A6"/>
    <w:rsid w:val="00553BAC"/>
    <w:rsid w:val="00553C2C"/>
    <w:rsid w:val="00554385"/>
    <w:rsid w:val="00554A57"/>
    <w:rsid w:val="00554ADD"/>
    <w:rsid w:val="00554B45"/>
    <w:rsid w:val="00554FBE"/>
    <w:rsid w:val="00555CEE"/>
    <w:rsid w:val="00555CF5"/>
    <w:rsid w:val="0055606A"/>
    <w:rsid w:val="005562E0"/>
    <w:rsid w:val="005563EA"/>
    <w:rsid w:val="005569F8"/>
    <w:rsid w:val="00556BD1"/>
    <w:rsid w:val="00557436"/>
    <w:rsid w:val="00557699"/>
    <w:rsid w:val="005620C5"/>
    <w:rsid w:val="00563E86"/>
    <w:rsid w:val="005647D0"/>
    <w:rsid w:val="00564DA2"/>
    <w:rsid w:val="00564EC1"/>
    <w:rsid w:val="0056542E"/>
    <w:rsid w:val="005661EC"/>
    <w:rsid w:val="00567469"/>
    <w:rsid w:val="00570AF7"/>
    <w:rsid w:val="00571CF4"/>
    <w:rsid w:val="00572B54"/>
    <w:rsid w:val="00572BF1"/>
    <w:rsid w:val="0057324F"/>
    <w:rsid w:val="005733D1"/>
    <w:rsid w:val="005736DB"/>
    <w:rsid w:val="00573903"/>
    <w:rsid w:val="00574BFA"/>
    <w:rsid w:val="00576000"/>
    <w:rsid w:val="00576C55"/>
    <w:rsid w:val="00577F9C"/>
    <w:rsid w:val="00580170"/>
    <w:rsid w:val="005807A0"/>
    <w:rsid w:val="005825E4"/>
    <w:rsid w:val="005834FB"/>
    <w:rsid w:val="0058388B"/>
    <w:rsid w:val="005839B1"/>
    <w:rsid w:val="00583DCB"/>
    <w:rsid w:val="0058415F"/>
    <w:rsid w:val="00584594"/>
    <w:rsid w:val="00585231"/>
    <w:rsid w:val="00585759"/>
    <w:rsid w:val="00585771"/>
    <w:rsid w:val="00586B06"/>
    <w:rsid w:val="00586CD2"/>
    <w:rsid w:val="0059036C"/>
    <w:rsid w:val="00590BC6"/>
    <w:rsid w:val="00590DA5"/>
    <w:rsid w:val="0059130A"/>
    <w:rsid w:val="00591FD4"/>
    <w:rsid w:val="0059233E"/>
    <w:rsid w:val="00592441"/>
    <w:rsid w:val="0059350F"/>
    <w:rsid w:val="00593A2D"/>
    <w:rsid w:val="00593D7B"/>
    <w:rsid w:val="00595108"/>
    <w:rsid w:val="005958BC"/>
    <w:rsid w:val="00595CF8"/>
    <w:rsid w:val="005962E0"/>
    <w:rsid w:val="005A1260"/>
    <w:rsid w:val="005A263F"/>
    <w:rsid w:val="005A2B25"/>
    <w:rsid w:val="005A4DE8"/>
    <w:rsid w:val="005A54A7"/>
    <w:rsid w:val="005A57F0"/>
    <w:rsid w:val="005A6E2D"/>
    <w:rsid w:val="005A7228"/>
    <w:rsid w:val="005B060B"/>
    <w:rsid w:val="005B1C6F"/>
    <w:rsid w:val="005B2076"/>
    <w:rsid w:val="005B21BF"/>
    <w:rsid w:val="005B27DB"/>
    <w:rsid w:val="005B3C89"/>
    <w:rsid w:val="005B40F6"/>
    <w:rsid w:val="005B4585"/>
    <w:rsid w:val="005B6638"/>
    <w:rsid w:val="005B6993"/>
    <w:rsid w:val="005B6A38"/>
    <w:rsid w:val="005B745E"/>
    <w:rsid w:val="005B7CC4"/>
    <w:rsid w:val="005B7D33"/>
    <w:rsid w:val="005B7D3C"/>
    <w:rsid w:val="005C2250"/>
    <w:rsid w:val="005C3682"/>
    <w:rsid w:val="005C3836"/>
    <w:rsid w:val="005C387B"/>
    <w:rsid w:val="005C3C44"/>
    <w:rsid w:val="005C4124"/>
    <w:rsid w:val="005C5798"/>
    <w:rsid w:val="005C5850"/>
    <w:rsid w:val="005C5AA5"/>
    <w:rsid w:val="005C5C17"/>
    <w:rsid w:val="005C5D17"/>
    <w:rsid w:val="005C6207"/>
    <w:rsid w:val="005C689B"/>
    <w:rsid w:val="005C75A5"/>
    <w:rsid w:val="005C7EFD"/>
    <w:rsid w:val="005D0ED6"/>
    <w:rsid w:val="005D11DC"/>
    <w:rsid w:val="005D1E26"/>
    <w:rsid w:val="005D2214"/>
    <w:rsid w:val="005D25A0"/>
    <w:rsid w:val="005D2D74"/>
    <w:rsid w:val="005D2DFD"/>
    <w:rsid w:val="005D4119"/>
    <w:rsid w:val="005D470D"/>
    <w:rsid w:val="005D5CEA"/>
    <w:rsid w:val="005D5D16"/>
    <w:rsid w:val="005D6305"/>
    <w:rsid w:val="005D63C7"/>
    <w:rsid w:val="005D6431"/>
    <w:rsid w:val="005D759F"/>
    <w:rsid w:val="005E08D6"/>
    <w:rsid w:val="005E0CE9"/>
    <w:rsid w:val="005E1278"/>
    <w:rsid w:val="005E12C1"/>
    <w:rsid w:val="005E19D3"/>
    <w:rsid w:val="005E19EE"/>
    <w:rsid w:val="005E1C00"/>
    <w:rsid w:val="005E2820"/>
    <w:rsid w:val="005E2EC9"/>
    <w:rsid w:val="005E3E00"/>
    <w:rsid w:val="005E3E7B"/>
    <w:rsid w:val="005E40CB"/>
    <w:rsid w:val="005E4411"/>
    <w:rsid w:val="005E444E"/>
    <w:rsid w:val="005E497E"/>
    <w:rsid w:val="005E4A26"/>
    <w:rsid w:val="005E538F"/>
    <w:rsid w:val="005E68C2"/>
    <w:rsid w:val="005E77BB"/>
    <w:rsid w:val="005E7902"/>
    <w:rsid w:val="005E7A80"/>
    <w:rsid w:val="005E7B6A"/>
    <w:rsid w:val="005E7DB8"/>
    <w:rsid w:val="005E7E22"/>
    <w:rsid w:val="005F0639"/>
    <w:rsid w:val="005F07B2"/>
    <w:rsid w:val="005F12AF"/>
    <w:rsid w:val="005F18AA"/>
    <w:rsid w:val="005F1BD7"/>
    <w:rsid w:val="005F1CA1"/>
    <w:rsid w:val="005F2555"/>
    <w:rsid w:val="005F2620"/>
    <w:rsid w:val="005F265D"/>
    <w:rsid w:val="005F2B1C"/>
    <w:rsid w:val="005F2D88"/>
    <w:rsid w:val="005F2DDC"/>
    <w:rsid w:val="005F47A1"/>
    <w:rsid w:val="005F4FD0"/>
    <w:rsid w:val="005F54E0"/>
    <w:rsid w:val="005F6233"/>
    <w:rsid w:val="005F62D5"/>
    <w:rsid w:val="006006C9"/>
    <w:rsid w:val="00601214"/>
    <w:rsid w:val="00601B1B"/>
    <w:rsid w:val="00601F66"/>
    <w:rsid w:val="006023AB"/>
    <w:rsid w:val="00602919"/>
    <w:rsid w:val="00602BDE"/>
    <w:rsid w:val="006053A0"/>
    <w:rsid w:val="006053E6"/>
    <w:rsid w:val="006054E9"/>
    <w:rsid w:val="0060595E"/>
    <w:rsid w:val="00607402"/>
    <w:rsid w:val="00607504"/>
    <w:rsid w:val="00607534"/>
    <w:rsid w:val="0060796F"/>
    <w:rsid w:val="00607AAA"/>
    <w:rsid w:val="00610757"/>
    <w:rsid w:val="00612F2D"/>
    <w:rsid w:val="0061426C"/>
    <w:rsid w:val="00614491"/>
    <w:rsid w:val="0061577E"/>
    <w:rsid w:val="00615A5F"/>
    <w:rsid w:val="00616A35"/>
    <w:rsid w:val="006173A5"/>
    <w:rsid w:val="0061775C"/>
    <w:rsid w:val="00617DC6"/>
    <w:rsid w:val="00620098"/>
    <w:rsid w:val="0062096F"/>
    <w:rsid w:val="006211A3"/>
    <w:rsid w:val="00621CE5"/>
    <w:rsid w:val="00621D35"/>
    <w:rsid w:val="006220C5"/>
    <w:rsid w:val="006221F3"/>
    <w:rsid w:val="006226E0"/>
    <w:rsid w:val="006226F8"/>
    <w:rsid w:val="00623B8D"/>
    <w:rsid w:val="0062408C"/>
    <w:rsid w:val="00624CBA"/>
    <w:rsid w:val="0062536A"/>
    <w:rsid w:val="00625C0D"/>
    <w:rsid w:val="00625C4F"/>
    <w:rsid w:val="00626F9A"/>
    <w:rsid w:val="0062779D"/>
    <w:rsid w:val="00627F31"/>
    <w:rsid w:val="00630125"/>
    <w:rsid w:val="006304D7"/>
    <w:rsid w:val="00630CAD"/>
    <w:rsid w:val="00631849"/>
    <w:rsid w:val="00631965"/>
    <w:rsid w:val="00631FEE"/>
    <w:rsid w:val="00634FD2"/>
    <w:rsid w:val="0063500E"/>
    <w:rsid w:val="006351A9"/>
    <w:rsid w:val="00635926"/>
    <w:rsid w:val="00635E11"/>
    <w:rsid w:val="00636B6C"/>
    <w:rsid w:val="006376FD"/>
    <w:rsid w:val="006379B2"/>
    <w:rsid w:val="00637CAA"/>
    <w:rsid w:val="00637EE5"/>
    <w:rsid w:val="00637FBE"/>
    <w:rsid w:val="00637FE5"/>
    <w:rsid w:val="0064008F"/>
    <w:rsid w:val="00640169"/>
    <w:rsid w:val="006404F4"/>
    <w:rsid w:val="0064066E"/>
    <w:rsid w:val="00640CB1"/>
    <w:rsid w:val="006414D3"/>
    <w:rsid w:val="00641750"/>
    <w:rsid w:val="00641830"/>
    <w:rsid w:val="0064194C"/>
    <w:rsid w:val="00641F36"/>
    <w:rsid w:val="00642756"/>
    <w:rsid w:val="0064279A"/>
    <w:rsid w:val="006440BF"/>
    <w:rsid w:val="0064530C"/>
    <w:rsid w:val="0064560D"/>
    <w:rsid w:val="00645959"/>
    <w:rsid w:val="00645B03"/>
    <w:rsid w:val="00646EC4"/>
    <w:rsid w:val="0064742A"/>
    <w:rsid w:val="0064751D"/>
    <w:rsid w:val="00647A70"/>
    <w:rsid w:val="00650067"/>
    <w:rsid w:val="006502C6"/>
    <w:rsid w:val="00650CC1"/>
    <w:rsid w:val="00651041"/>
    <w:rsid w:val="00651D29"/>
    <w:rsid w:val="00652695"/>
    <w:rsid w:val="0065317E"/>
    <w:rsid w:val="00653337"/>
    <w:rsid w:val="006535E4"/>
    <w:rsid w:val="00653D98"/>
    <w:rsid w:val="00654018"/>
    <w:rsid w:val="00654B9B"/>
    <w:rsid w:val="00654D74"/>
    <w:rsid w:val="00654DC5"/>
    <w:rsid w:val="00654F6C"/>
    <w:rsid w:val="00654FA7"/>
    <w:rsid w:val="00654FC3"/>
    <w:rsid w:val="00656666"/>
    <w:rsid w:val="006567D0"/>
    <w:rsid w:val="006568BB"/>
    <w:rsid w:val="00656956"/>
    <w:rsid w:val="00657096"/>
    <w:rsid w:val="006572B0"/>
    <w:rsid w:val="00657383"/>
    <w:rsid w:val="00657CD5"/>
    <w:rsid w:val="00660759"/>
    <w:rsid w:val="00660774"/>
    <w:rsid w:val="00660A4B"/>
    <w:rsid w:val="00662848"/>
    <w:rsid w:val="00663339"/>
    <w:rsid w:val="00664510"/>
    <w:rsid w:val="00664DDE"/>
    <w:rsid w:val="006650D8"/>
    <w:rsid w:val="006657DB"/>
    <w:rsid w:val="00666567"/>
    <w:rsid w:val="00666569"/>
    <w:rsid w:val="0066777B"/>
    <w:rsid w:val="00667CE7"/>
    <w:rsid w:val="00670AB8"/>
    <w:rsid w:val="00671288"/>
    <w:rsid w:val="006719DA"/>
    <w:rsid w:val="00671C2F"/>
    <w:rsid w:val="0067332C"/>
    <w:rsid w:val="006734F2"/>
    <w:rsid w:val="006736CE"/>
    <w:rsid w:val="00673C2D"/>
    <w:rsid w:val="00673D8A"/>
    <w:rsid w:val="006744D5"/>
    <w:rsid w:val="0067770D"/>
    <w:rsid w:val="00677B15"/>
    <w:rsid w:val="00680138"/>
    <w:rsid w:val="006803C4"/>
    <w:rsid w:val="00680919"/>
    <w:rsid w:val="0068116B"/>
    <w:rsid w:val="00681283"/>
    <w:rsid w:val="006816D2"/>
    <w:rsid w:val="00681B9E"/>
    <w:rsid w:val="00681CE8"/>
    <w:rsid w:val="0068229C"/>
    <w:rsid w:val="006833B6"/>
    <w:rsid w:val="00683B7E"/>
    <w:rsid w:val="00683F79"/>
    <w:rsid w:val="0068486D"/>
    <w:rsid w:val="00684A53"/>
    <w:rsid w:val="00684A70"/>
    <w:rsid w:val="00684A9E"/>
    <w:rsid w:val="00684D6C"/>
    <w:rsid w:val="00685055"/>
    <w:rsid w:val="006855BE"/>
    <w:rsid w:val="006856C2"/>
    <w:rsid w:val="0068615F"/>
    <w:rsid w:val="00686CD1"/>
    <w:rsid w:val="006875B5"/>
    <w:rsid w:val="006908F3"/>
    <w:rsid w:val="00690FAE"/>
    <w:rsid w:val="00691790"/>
    <w:rsid w:val="00691FE7"/>
    <w:rsid w:val="006929E9"/>
    <w:rsid w:val="00693601"/>
    <w:rsid w:val="0069535C"/>
    <w:rsid w:val="00695468"/>
    <w:rsid w:val="00695F0B"/>
    <w:rsid w:val="006965F1"/>
    <w:rsid w:val="00697461"/>
    <w:rsid w:val="006975F7"/>
    <w:rsid w:val="006977EF"/>
    <w:rsid w:val="006A0899"/>
    <w:rsid w:val="006A0A97"/>
    <w:rsid w:val="006A0FC1"/>
    <w:rsid w:val="006A1483"/>
    <w:rsid w:val="006A18DB"/>
    <w:rsid w:val="006A1C19"/>
    <w:rsid w:val="006A1DEC"/>
    <w:rsid w:val="006A2AE7"/>
    <w:rsid w:val="006A2BA4"/>
    <w:rsid w:val="006A30D9"/>
    <w:rsid w:val="006A32B9"/>
    <w:rsid w:val="006A3B4D"/>
    <w:rsid w:val="006A3DB0"/>
    <w:rsid w:val="006A40C0"/>
    <w:rsid w:val="006A4812"/>
    <w:rsid w:val="006A4D05"/>
    <w:rsid w:val="006A54D8"/>
    <w:rsid w:val="006A5572"/>
    <w:rsid w:val="006A60B8"/>
    <w:rsid w:val="006A6DA2"/>
    <w:rsid w:val="006A7985"/>
    <w:rsid w:val="006B00BF"/>
    <w:rsid w:val="006B0154"/>
    <w:rsid w:val="006B03DA"/>
    <w:rsid w:val="006B08CC"/>
    <w:rsid w:val="006B0C92"/>
    <w:rsid w:val="006B0FA8"/>
    <w:rsid w:val="006B1944"/>
    <w:rsid w:val="006B1A2A"/>
    <w:rsid w:val="006B258D"/>
    <w:rsid w:val="006B3ED9"/>
    <w:rsid w:val="006B3FBC"/>
    <w:rsid w:val="006B436C"/>
    <w:rsid w:val="006B5CD9"/>
    <w:rsid w:val="006B6689"/>
    <w:rsid w:val="006B79E7"/>
    <w:rsid w:val="006B7CE8"/>
    <w:rsid w:val="006B7FD3"/>
    <w:rsid w:val="006C061C"/>
    <w:rsid w:val="006C21DC"/>
    <w:rsid w:val="006C251A"/>
    <w:rsid w:val="006C2F97"/>
    <w:rsid w:val="006C3AF3"/>
    <w:rsid w:val="006C3F9F"/>
    <w:rsid w:val="006C4638"/>
    <w:rsid w:val="006C4F06"/>
    <w:rsid w:val="006C5FBB"/>
    <w:rsid w:val="006C68FF"/>
    <w:rsid w:val="006C6B6A"/>
    <w:rsid w:val="006C7131"/>
    <w:rsid w:val="006C7B07"/>
    <w:rsid w:val="006C7F7A"/>
    <w:rsid w:val="006D108E"/>
    <w:rsid w:val="006D134E"/>
    <w:rsid w:val="006D1752"/>
    <w:rsid w:val="006D1B9B"/>
    <w:rsid w:val="006D1C95"/>
    <w:rsid w:val="006D25D9"/>
    <w:rsid w:val="006D2DEF"/>
    <w:rsid w:val="006D2EEA"/>
    <w:rsid w:val="006D3AD0"/>
    <w:rsid w:val="006D4369"/>
    <w:rsid w:val="006D4943"/>
    <w:rsid w:val="006D4DEC"/>
    <w:rsid w:val="006D5130"/>
    <w:rsid w:val="006D51D6"/>
    <w:rsid w:val="006D6182"/>
    <w:rsid w:val="006D61C3"/>
    <w:rsid w:val="006D6AED"/>
    <w:rsid w:val="006D72DF"/>
    <w:rsid w:val="006D7438"/>
    <w:rsid w:val="006E1046"/>
    <w:rsid w:val="006E14FD"/>
    <w:rsid w:val="006E1CC6"/>
    <w:rsid w:val="006E2022"/>
    <w:rsid w:val="006E2402"/>
    <w:rsid w:val="006E24C3"/>
    <w:rsid w:val="006E26A6"/>
    <w:rsid w:val="006E2FEF"/>
    <w:rsid w:val="006E3227"/>
    <w:rsid w:val="006E3696"/>
    <w:rsid w:val="006E3799"/>
    <w:rsid w:val="006E3CCD"/>
    <w:rsid w:val="006E3E64"/>
    <w:rsid w:val="006E4641"/>
    <w:rsid w:val="006E59CD"/>
    <w:rsid w:val="006E5A45"/>
    <w:rsid w:val="006E5CF6"/>
    <w:rsid w:val="006E5D70"/>
    <w:rsid w:val="006E629B"/>
    <w:rsid w:val="006E6667"/>
    <w:rsid w:val="006F00FE"/>
    <w:rsid w:val="006F02C0"/>
    <w:rsid w:val="006F0FF1"/>
    <w:rsid w:val="006F2876"/>
    <w:rsid w:val="006F326E"/>
    <w:rsid w:val="006F371A"/>
    <w:rsid w:val="006F3BFE"/>
    <w:rsid w:val="006F4D48"/>
    <w:rsid w:val="006F4EC1"/>
    <w:rsid w:val="006F511D"/>
    <w:rsid w:val="006F51D4"/>
    <w:rsid w:val="006F6765"/>
    <w:rsid w:val="006F6A25"/>
    <w:rsid w:val="006F7511"/>
    <w:rsid w:val="00700B8B"/>
    <w:rsid w:val="00700C47"/>
    <w:rsid w:val="00702F0D"/>
    <w:rsid w:val="00703CD2"/>
    <w:rsid w:val="007040AE"/>
    <w:rsid w:val="0070443A"/>
    <w:rsid w:val="0070467A"/>
    <w:rsid w:val="007047C8"/>
    <w:rsid w:val="00704995"/>
    <w:rsid w:val="00704E7B"/>
    <w:rsid w:val="00705032"/>
    <w:rsid w:val="007058E4"/>
    <w:rsid w:val="00706DDE"/>
    <w:rsid w:val="00707909"/>
    <w:rsid w:val="007100A6"/>
    <w:rsid w:val="0071018D"/>
    <w:rsid w:val="00710C38"/>
    <w:rsid w:val="00711399"/>
    <w:rsid w:val="007115C6"/>
    <w:rsid w:val="00711684"/>
    <w:rsid w:val="0071198C"/>
    <w:rsid w:val="0071284B"/>
    <w:rsid w:val="00712F7C"/>
    <w:rsid w:val="00713811"/>
    <w:rsid w:val="00713A44"/>
    <w:rsid w:val="00713E87"/>
    <w:rsid w:val="00713FD2"/>
    <w:rsid w:val="00714953"/>
    <w:rsid w:val="00714A95"/>
    <w:rsid w:val="007156EC"/>
    <w:rsid w:val="00715C28"/>
    <w:rsid w:val="00715E35"/>
    <w:rsid w:val="00716601"/>
    <w:rsid w:val="0071677A"/>
    <w:rsid w:val="00716E2D"/>
    <w:rsid w:val="00721B77"/>
    <w:rsid w:val="00721ECF"/>
    <w:rsid w:val="0072230C"/>
    <w:rsid w:val="007224DE"/>
    <w:rsid w:val="0072260A"/>
    <w:rsid w:val="00722ECE"/>
    <w:rsid w:val="0072325B"/>
    <w:rsid w:val="007245F7"/>
    <w:rsid w:val="0072501D"/>
    <w:rsid w:val="00725518"/>
    <w:rsid w:val="00725F5D"/>
    <w:rsid w:val="00726008"/>
    <w:rsid w:val="007272E8"/>
    <w:rsid w:val="00727771"/>
    <w:rsid w:val="00730E77"/>
    <w:rsid w:val="00730FFD"/>
    <w:rsid w:val="00731045"/>
    <w:rsid w:val="007321B9"/>
    <w:rsid w:val="00734305"/>
    <w:rsid w:val="0073438C"/>
    <w:rsid w:val="00734EC5"/>
    <w:rsid w:val="00734FF3"/>
    <w:rsid w:val="00736413"/>
    <w:rsid w:val="00736CE8"/>
    <w:rsid w:val="00737194"/>
    <w:rsid w:val="00737D0D"/>
    <w:rsid w:val="00740A01"/>
    <w:rsid w:val="00741440"/>
    <w:rsid w:val="00742399"/>
    <w:rsid w:val="007424E4"/>
    <w:rsid w:val="00743247"/>
    <w:rsid w:val="007449FF"/>
    <w:rsid w:val="00744CA1"/>
    <w:rsid w:val="00744FAC"/>
    <w:rsid w:val="007454D5"/>
    <w:rsid w:val="007458B5"/>
    <w:rsid w:val="00745B5A"/>
    <w:rsid w:val="0074643B"/>
    <w:rsid w:val="0074665F"/>
    <w:rsid w:val="00746B05"/>
    <w:rsid w:val="00746B82"/>
    <w:rsid w:val="0074713C"/>
    <w:rsid w:val="00747F17"/>
    <w:rsid w:val="00747F63"/>
    <w:rsid w:val="00750842"/>
    <w:rsid w:val="0075151E"/>
    <w:rsid w:val="00751B1D"/>
    <w:rsid w:val="00751B58"/>
    <w:rsid w:val="00752131"/>
    <w:rsid w:val="007524E1"/>
    <w:rsid w:val="00752DC6"/>
    <w:rsid w:val="007532DA"/>
    <w:rsid w:val="007535B6"/>
    <w:rsid w:val="0075430D"/>
    <w:rsid w:val="007544FE"/>
    <w:rsid w:val="00755A10"/>
    <w:rsid w:val="00755DB4"/>
    <w:rsid w:val="00756A84"/>
    <w:rsid w:val="00756B7F"/>
    <w:rsid w:val="007578CC"/>
    <w:rsid w:val="00760065"/>
    <w:rsid w:val="00760451"/>
    <w:rsid w:val="0076076A"/>
    <w:rsid w:val="00762283"/>
    <w:rsid w:val="0076245F"/>
    <w:rsid w:val="00762A1D"/>
    <w:rsid w:val="00762B6D"/>
    <w:rsid w:val="00762D02"/>
    <w:rsid w:val="00763DE4"/>
    <w:rsid w:val="0076425C"/>
    <w:rsid w:val="007649C6"/>
    <w:rsid w:val="00766A45"/>
    <w:rsid w:val="007675BE"/>
    <w:rsid w:val="007678D6"/>
    <w:rsid w:val="00770C9F"/>
    <w:rsid w:val="00771233"/>
    <w:rsid w:val="00771801"/>
    <w:rsid w:val="007718FC"/>
    <w:rsid w:val="0077194A"/>
    <w:rsid w:val="00771A77"/>
    <w:rsid w:val="00772B4D"/>
    <w:rsid w:val="00773092"/>
    <w:rsid w:val="00773F21"/>
    <w:rsid w:val="0077409E"/>
    <w:rsid w:val="00774E93"/>
    <w:rsid w:val="007759A4"/>
    <w:rsid w:val="007759C0"/>
    <w:rsid w:val="007769DA"/>
    <w:rsid w:val="00777169"/>
    <w:rsid w:val="0077738F"/>
    <w:rsid w:val="0077781B"/>
    <w:rsid w:val="00780869"/>
    <w:rsid w:val="00780F36"/>
    <w:rsid w:val="00781EFB"/>
    <w:rsid w:val="007823DE"/>
    <w:rsid w:val="00782FE0"/>
    <w:rsid w:val="00783995"/>
    <w:rsid w:val="007839DE"/>
    <w:rsid w:val="00783E97"/>
    <w:rsid w:val="007841BA"/>
    <w:rsid w:val="00785D12"/>
    <w:rsid w:val="007860E8"/>
    <w:rsid w:val="00786CED"/>
    <w:rsid w:val="007907DE"/>
    <w:rsid w:val="0079169C"/>
    <w:rsid w:val="00791C65"/>
    <w:rsid w:val="0079200A"/>
    <w:rsid w:val="00792D1D"/>
    <w:rsid w:val="0079372F"/>
    <w:rsid w:val="00794668"/>
    <w:rsid w:val="00794D58"/>
    <w:rsid w:val="00794D77"/>
    <w:rsid w:val="00795D2C"/>
    <w:rsid w:val="00796CAC"/>
    <w:rsid w:val="00796EF5"/>
    <w:rsid w:val="00797C6F"/>
    <w:rsid w:val="007A0044"/>
    <w:rsid w:val="007A00F1"/>
    <w:rsid w:val="007A0146"/>
    <w:rsid w:val="007A0231"/>
    <w:rsid w:val="007A027A"/>
    <w:rsid w:val="007A02D8"/>
    <w:rsid w:val="007A0E07"/>
    <w:rsid w:val="007A1B93"/>
    <w:rsid w:val="007A1F6C"/>
    <w:rsid w:val="007A2CD4"/>
    <w:rsid w:val="007A3F5B"/>
    <w:rsid w:val="007A474D"/>
    <w:rsid w:val="007A4A44"/>
    <w:rsid w:val="007A4FCE"/>
    <w:rsid w:val="007A4FD7"/>
    <w:rsid w:val="007A609C"/>
    <w:rsid w:val="007A60F9"/>
    <w:rsid w:val="007A6244"/>
    <w:rsid w:val="007A6A65"/>
    <w:rsid w:val="007A6ACF"/>
    <w:rsid w:val="007A7475"/>
    <w:rsid w:val="007A7814"/>
    <w:rsid w:val="007A7AF9"/>
    <w:rsid w:val="007B1129"/>
    <w:rsid w:val="007B1322"/>
    <w:rsid w:val="007B1572"/>
    <w:rsid w:val="007B1AE2"/>
    <w:rsid w:val="007B39F0"/>
    <w:rsid w:val="007B4CB9"/>
    <w:rsid w:val="007B5EA0"/>
    <w:rsid w:val="007B79BD"/>
    <w:rsid w:val="007B7E01"/>
    <w:rsid w:val="007C0BA7"/>
    <w:rsid w:val="007C27FB"/>
    <w:rsid w:val="007C2A73"/>
    <w:rsid w:val="007C2CAB"/>
    <w:rsid w:val="007C300B"/>
    <w:rsid w:val="007C38C2"/>
    <w:rsid w:val="007C4890"/>
    <w:rsid w:val="007C4D1B"/>
    <w:rsid w:val="007C5BBC"/>
    <w:rsid w:val="007C5F5A"/>
    <w:rsid w:val="007C67EC"/>
    <w:rsid w:val="007C68A9"/>
    <w:rsid w:val="007C6C70"/>
    <w:rsid w:val="007C7616"/>
    <w:rsid w:val="007C774F"/>
    <w:rsid w:val="007D0E0F"/>
    <w:rsid w:val="007D15D1"/>
    <w:rsid w:val="007D1A82"/>
    <w:rsid w:val="007D21AB"/>
    <w:rsid w:val="007D250E"/>
    <w:rsid w:val="007D2C70"/>
    <w:rsid w:val="007D3024"/>
    <w:rsid w:val="007D3CE8"/>
    <w:rsid w:val="007D4785"/>
    <w:rsid w:val="007D7075"/>
    <w:rsid w:val="007D70B2"/>
    <w:rsid w:val="007D7297"/>
    <w:rsid w:val="007D7961"/>
    <w:rsid w:val="007D7F28"/>
    <w:rsid w:val="007D7F62"/>
    <w:rsid w:val="007E0167"/>
    <w:rsid w:val="007E08D3"/>
    <w:rsid w:val="007E0D21"/>
    <w:rsid w:val="007E0D84"/>
    <w:rsid w:val="007E1753"/>
    <w:rsid w:val="007E1CCB"/>
    <w:rsid w:val="007E2277"/>
    <w:rsid w:val="007E2A3E"/>
    <w:rsid w:val="007E32CF"/>
    <w:rsid w:val="007E4185"/>
    <w:rsid w:val="007E4E65"/>
    <w:rsid w:val="007E5A3E"/>
    <w:rsid w:val="007E68FA"/>
    <w:rsid w:val="007E69B9"/>
    <w:rsid w:val="007E6C11"/>
    <w:rsid w:val="007E6D58"/>
    <w:rsid w:val="007E75FF"/>
    <w:rsid w:val="007F0746"/>
    <w:rsid w:val="007F089C"/>
    <w:rsid w:val="007F14B1"/>
    <w:rsid w:val="007F2C85"/>
    <w:rsid w:val="007F2CC7"/>
    <w:rsid w:val="007F2DE9"/>
    <w:rsid w:val="007F30DF"/>
    <w:rsid w:val="007F3343"/>
    <w:rsid w:val="007F33F5"/>
    <w:rsid w:val="007F3AB8"/>
    <w:rsid w:val="007F3D2A"/>
    <w:rsid w:val="007F4AFE"/>
    <w:rsid w:val="007F56EA"/>
    <w:rsid w:val="007F5A18"/>
    <w:rsid w:val="007F648F"/>
    <w:rsid w:val="007F6FB7"/>
    <w:rsid w:val="007F70A5"/>
    <w:rsid w:val="007F74CD"/>
    <w:rsid w:val="007F74EB"/>
    <w:rsid w:val="008002D2"/>
    <w:rsid w:val="008002D7"/>
    <w:rsid w:val="00801761"/>
    <w:rsid w:val="00801BCA"/>
    <w:rsid w:val="00801CAA"/>
    <w:rsid w:val="0080231E"/>
    <w:rsid w:val="00802AAC"/>
    <w:rsid w:val="00802EDA"/>
    <w:rsid w:val="00803236"/>
    <w:rsid w:val="00803D62"/>
    <w:rsid w:val="00805440"/>
    <w:rsid w:val="008057CD"/>
    <w:rsid w:val="008059D3"/>
    <w:rsid w:val="008063C3"/>
    <w:rsid w:val="00806794"/>
    <w:rsid w:val="00806950"/>
    <w:rsid w:val="008070A3"/>
    <w:rsid w:val="008072DA"/>
    <w:rsid w:val="008076AF"/>
    <w:rsid w:val="00807ADB"/>
    <w:rsid w:val="00810228"/>
    <w:rsid w:val="00810525"/>
    <w:rsid w:val="00810D0F"/>
    <w:rsid w:val="00810D4D"/>
    <w:rsid w:val="008117CB"/>
    <w:rsid w:val="00811CA6"/>
    <w:rsid w:val="00811FB7"/>
    <w:rsid w:val="008131F7"/>
    <w:rsid w:val="008139C3"/>
    <w:rsid w:val="00813A65"/>
    <w:rsid w:val="008140B1"/>
    <w:rsid w:val="00814124"/>
    <w:rsid w:val="008147CC"/>
    <w:rsid w:val="00814F7E"/>
    <w:rsid w:val="00815FE2"/>
    <w:rsid w:val="00816FEE"/>
    <w:rsid w:val="008171DE"/>
    <w:rsid w:val="00817AB5"/>
    <w:rsid w:val="00820470"/>
    <w:rsid w:val="00820EAE"/>
    <w:rsid w:val="00820F54"/>
    <w:rsid w:val="00821DEE"/>
    <w:rsid w:val="00822019"/>
    <w:rsid w:val="00822379"/>
    <w:rsid w:val="008223D7"/>
    <w:rsid w:val="00822408"/>
    <w:rsid w:val="008227F9"/>
    <w:rsid w:val="00823162"/>
    <w:rsid w:val="00824612"/>
    <w:rsid w:val="00825357"/>
    <w:rsid w:val="0082541E"/>
    <w:rsid w:val="008255DC"/>
    <w:rsid w:val="00825A90"/>
    <w:rsid w:val="00825D6C"/>
    <w:rsid w:val="0082633D"/>
    <w:rsid w:val="008273A2"/>
    <w:rsid w:val="008279EA"/>
    <w:rsid w:val="00827E3E"/>
    <w:rsid w:val="008310DC"/>
    <w:rsid w:val="008324B0"/>
    <w:rsid w:val="00832910"/>
    <w:rsid w:val="008331E3"/>
    <w:rsid w:val="00834253"/>
    <w:rsid w:val="008346D6"/>
    <w:rsid w:val="00835C44"/>
    <w:rsid w:val="00836003"/>
    <w:rsid w:val="0083652A"/>
    <w:rsid w:val="008365DE"/>
    <w:rsid w:val="00836C5C"/>
    <w:rsid w:val="00837971"/>
    <w:rsid w:val="0084030E"/>
    <w:rsid w:val="00840436"/>
    <w:rsid w:val="0084064B"/>
    <w:rsid w:val="00840C7F"/>
    <w:rsid w:val="00840FCF"/>
    <w:rsid w:val="008411EB"/>
    <w:rsid w:val="00842F00"/>
    <w:rsid w:val="0084386B"/>
    <w:rsid w:val="0084418B"/>
    <w:rsid w:val="00844F25"/>
    <w:rsid w:val="0084548C"/>
    <w:rsid w:val="0084566F"/>
    <w:rsid w:val="00846865"/>
    <w:rsid w:val="00846FA4"/>
    <w:rsid w:val="00847180"/>
    <w:rsid w:val="00847553"/>
    <w:rsid w:val="00847BA9"/>
    <w:rsid w:val="008509AC"/>
    <w:rsid w:val="00850E76"/>
    <w:rsid w:val="0085128A"/>
    <w:rsid w:val="00852025"/>
    <w:rsid w:val="008525BF"/>
    <w:rsid w:val="00852A4E"/>
    <w:rsid w:val="008532C5"/>
    <w:rsid w:val="00853691"/>
    <w:rsid w:val="0085471A"/>
    <w:rsid w:val="00855F62"/>
    <w:rsid w:val="00856EBD"/>
    <w:rsid w:val="00857F75"/>
    <w:rsid w:val="00860362"/>
    <w:rsid w:val="00860562"/>
    <w:rsid w:val="008605F6"/>
    <w:rsid w:val="00860FFE"/>
    <w:rsid w:val="00861388"/>
    <w:rsid w:val="0086168E"/>
    <w:rsid w:val="00861755"/>
    <w:rsid w:val="008622DC"/>
    <w:rsid w:val="00862427"/>
    <w:rsid w:val="00862453"/>
    <w:rsid w:val="0086266B"/>
    <w:rsid w:val="00862691"/>
    <w:rsid w:val="00862B92"/>
    <w:rsid w:val="00863AAC"/>
    <w:rsid w:val="00863F13"/>
    <w:rsid w:val="00864438"/>
    <w:rsid w:val="00864B1C"/>
    <w:rsid w:val="00864EEA"/>
    <w:rsid w:val="00864F9A"/>
    <w:rsid w:val="00865240"/>
    <w:rsid w:val="00866A63"/>
    <w:rsid w:val="0087187B"/>
    <w:rsid w:val="00871D55"/>
    <w:rsid w:val="0087200E"/>
    <w:rsid w:val="008724A9"/>
    <w:rsid w:val="00872BC2"/>
    <w:rsid w:val="008735C9"/>
    <w:rsid w:val="008737DA"/>
    <w:rsid w:val="00873EB9"/>
    <w:rsid w:val="00874255"/>
    <w:rsid w:val="0087444E"/>
    <w:rsid w:val="008744C2"/>
    <w:rsid w:val="00874633"/>
    <w:rsid w:val="008756EC"/>
    <w:rsid w:val="008756F5"/>
    <w:rsid w:val="0087636E"/>
    <w:rsid w:val="00876647"/>
    <w:rsid w:val="00881A42"/>
    <w:rsid w:val="00883D71"/>
    <w:rsid w:val="008841B3"/>
    <w:rsid w:val="0088449B"/>
    <w:rsid w:val="0088505E"/>
    <w:rsid w:val="00885CF7"/>
    <w:rsid w:val="00885EDA"/>
    <w:rsid w:val="008862DA"/>
    <w:rsid w:val="0088681F"/>
    <w:rsid w:val="00887291"/>
    <w:rsid w:val="008906A0"/>
    <w:rsid w:val="00891075"/>
    <w:rsid w:val="00891D49"/>
    <w:rsid w:val="008921BB"/>
    <w:rsid w:val="00892231"/>
    <w:rsid w:val="00892951"/>
    <w:rsid w:val="008933AD"/>
    <w:rsid w:val="00893EB3"/>
    <w:rsid w:val="008941E5"/>
    <w:rsid w:val="0089448E"/>
    <w:rsid w:val="00895884"/>
    <w:rsid w:val="00895CEA"/>
    <w:rsid w:val="008973EC"/>
    <w:rsid w:val="008974F2"/>
    <w:rsid w:val="008975EF"/>
    <w:rsid w:val="008A0764"/>
    <w:rsid w:val="008A0E22"/>
    <w:rsid w:val="008A11DC"/>
    <w:rsid w:val="008A146A"/>
    <w:rsid w:val="008A2D9A"/>
    <w:rsid w:val="008A3FBB"/>
    <w:rsid w:val="008A497B"/>
    <w:rsid w:val="008A5251"/>
    <w:rsid w:val="008A5A0D"/>
    <w:rsid w:val="008A5AE8"/>
    <w:rsid w:val="008A5B55"/>
    <w:rsid w:val="008A5C99"/>
    <w:rsid w:val="008A5CEC"/>
    <w:rsid w:val="008A61AB"/>
    <w:rsid w:val="008A65FE"/>
    <w:rsid w:val="008A7391"/>
    <w:rsid w:val="008A7441"/>
    <w:rsid w:val="008A7BD9"/>
    <w:rsid w:val="008A7C68"/>
    <w:rsid w:val="008B0114"/>
    <w:rsid w:val="008B0231"/>
    <w:rsid w:val="008B0E6F"/>
    <w:rsid w:val="008B1950"/>
    <w:rsid w:val="008B33F2"/>
    <w:rsid w:val="008B341F"/>
    <w:rsid w:val="008B35C3"/>
    <w:rsid w:val="008B3F72"/>
    <w:rsid w:val="008B5429"/>
    <w:rsid w:val="008B596B"/>
    <w:rsid w:val="008B5E2F"/>
    <w:rsid w:val="008B7C71"/>
    <w:rsid w:val="008C1D61"/>
    <w:rsid w:val="008C3508"/>
    <w:rsid w:val="008C383E"/>
    <w:rsid w:val="008C3CF9"/>
    <w:rsid w:val="008C4373"/>
    <w:rsid w:val="008C61E0"/>
    <w:rsid w:val="008C7373"/>
    <w:rsid w:val="008C7773"/>
    <w:rsid w:val="008D0267"/>
    <w:rsid w:val="008D03E6"/>
    <w:rsid w:val="008D07BD"/>
    <w:rsid w:val="008D0EEA"/>
    <w:rsid w:val="008D0F89"/>
    <w:rsid w:val="008D1C7C"/>
    <w:rsid w:val="008D1D46"/>
    <w:rsid w:val="008D1EA9"/>
    <w:rsid w:val="008D283C"/>
    <w:rsid w:val="008D3059"/>
    <w:rsid w:val="008D38C0"/>
    <w:rsid w:val="008D4E48"/>
    <w:rsid w:val="008D50D2"/>
    <w:rsid w:val="008D5698"/>
    <w:rsid w:val="008D57D2"/>
    <w:rsid w:val="008D5ADB"/>
    <w:rsid w:val="008D5C80"/>
    <w:rsid w:val="008D5FB7"/>
    <w:rsid w:val="008D63FA"/>
    <w:rsid w:val="008D6410"/>
    <w:rsid w:val="008D6442"/>
    <w:rsid w:val="008D76C6"/>
    <w:rsid w:val="008D7FB8"/>
    <w:rsid w:val="008E0F8B"/>
    <w:rsid w:val="008E1D12"/>
    <w:rsid w:val="008E2355"/>
    <w:rsid w:val="008E2545"/>
    <w:rsid w:val="008E267D"/>
    <w:rsid w:val="008E33ED"/>
    <w:rsid w:val="008E3F0E"/>
    <w:rsid w:val="008E4BAB"/>
    <w:rsid w:val="008E6B92"/>
    <w:rsid w:val="008E7618"/>
    <w:rsid w:val="008E7D16"/>
    <w:rsid w:val="008E7EEB"/>
    <w:rsid w:val="008F04A3"/>
    <w:rsid w:val="008F12FB"/>
    <w:rsid w:val="008F1913"/>
    <w:rsid w:val="008F21F2"/>
    <w:rsid w:val="008F2E5B"/>
    <w:rsid w:val="008F3CC1"/>
    <w:rsid w:val="008F42CC"/>
    <w:rsid w:val="008F457E"/>
    <w:rsid w:val="008F501A"/>
    <w:rsid w:val="008F6E54"/>
    <w:rsid w:val="008F741D"/>
    <w:rsid w:val="008F7EE2"/>
    <w:rsid w:val="0090018B"/>
    <w:rsid w:val="00900B60"/>
    <w:rsid w:val="00900DFD"/>
    <w:rsid w:val="0090114A"/>
    <w:rsid w:val="00901BE9"/>
    <w:rsid w:val="00901F42"/>
    <w:rsid w:val="0090202A"/>
    <w:rsid w:val="009024C5"/>
    <w:rsid w:val="00903017"/>
    <w:rsid w:val="00903C6C"/>
    <w:rsid w:val="00904102"/>
    <w:rsid w:val="00904772"/>
    <w:rsid w:val="00904B8B"/>
    <w:rsid w:val="00905CC4"/>
    <w:rsid w:val="00905FCC"/>
    <w:rsid w:val="00907665"/>
    <w:rsid w:val="0091028C"/>
    <w:rsid w:val="00910667"/>
    <w:rsid w:val="009106D6"/>
    <w:rsid w:val="00911992"/>
    <w:rsid w:val="00912250"/>
    <w:rsid w:val="00912996"/>
    <w:rsid w:val="00912A05"/>
    <w:rsid w:val="00913620"/>
    <w:rsid w:val="00913BCD"/>
    <w:rsid w:val="00914772"/>
    <w:rsid w:val="0091596B"/>
    <w:rsid w:val="00916AC5"/>
    <w:rsid w:val="009170B1"/>
    <w:rsid w:val="00917EE0"/>
    <w:rsid w:val="00920342"/>
    <w:rsid w:val="00920CE3"/>
    <w:rsid w:val="00920D45"/>
    <w:rsid w:val="00920DF2"/>
    <w:rsid w:val="00921409"/>
    <w:rsid w:val="00921906"/>
    <w:rsid w:val="009224F8"/>
    <w:rsid w:val="0092253A"/>
    <w:rsid w:val="009226FF"/>
    <w:rsid w:val="00922850"/>
    <w:rsid w:val="00922B1D"/>
    <w:rsid w:val="00923FB0"/>
    <w:rsid w:val="00924547"/>
    <w:rsid w:val="009247AC"/>
    <w:rsid w:val="00924C1A"/>
    <w:rsid w:val="0092588E"/>
    <w:rsid w:val="00925C25"/>
    <w:rsid w:val="009265D1"/>
    <w:rsid w:val="00926726"/>
    <w:rsid w:val="00926ABA"/>
    <w:rsid w:val="00926D09"/>
    <w:rsid w:val="00926DC2"/>
    <w:rsid w:val="00927A7D"/>
    <w:rsid w:val="00927F5F"/>
    <w:rsid w:val="009319CA"/>
    <w:rsid w:val="009339D8"/>
    <w:rsid w:val="00933C0D"/>
    <w:rsid w:val="00934192"/>
    <w:rsid w:val="009346BB"/>
    <w:rsid w:val="00934C90"/>
    <w:rsid w:val="0093544A"/>
    <w:rsid w:val="0093561F"/>
    <w:rsid w:val="009356C8"/>
    <w:rsid w:val="009358EE"/>
    <w:rsid w:val="00936F91"/>
    <w:rsid w:val="0093725D"/>
    <w:rsid w:val="00940F2C"/>
    <w:rsid w:val="009417D4"/>
    <w:rsid w:val="009418C0"/>
    <w:rsid w:val="00941B85"/>
    <w:rsid w:val="00941D66"/>
    <w:rsid w:val="009425F6"/>
    <w:rsid w:val="00942CE1"/>
    <w:rsid w:val="00942FAE"/>
    <w:rsid w:val="0094405E"/>
    <w:rsid w:val="00944565"/>
    <w:rsid w:val="00944661"/>
    <w:rsid w:val="009459AC"/>
    <w:rsid w:val="00945AC6"/>
    <w:rsid w:val="00945BD2"/>
    <w:rsid w:val="00946252"/>
    <w:rsid w:val="00946A07"/>
    <w:rsid w:val="00947454"/>
    <w:rsid w:val="009501A6"/>
    <w:rsid w:val="0095166C"/>
    <w:rsid w:val="009518A5"/>
    <w:rsid w:val="00951E64"/>
    <w:rsid w:val="0095216A"/>
    <w:rsid w:val="009522BB"/>
    <w:rsid w:val="009537A0"/>
    <w:rsid w:val="00953E19"/>
    <w:rsid w:val="00953E9F"/>
    <w:rsid w:val="009542CE"/>
    <w:rsid w:val="00954B2B"/>
    <w:rsid w:val="00954B80"/>
    <w:rsid w:val="00954F87"/>
    <w:rsid w:val="009553E5"/>
    <w:rsid w:val="00955AEA"/>
    <w:rsid w:val="00957D40"/>
    <w:rsid w:val="00957DBF"/>
    <w:rsid w:val="00960055"/>
    <w:rsid w:val="00960835"/>
    <w:rsid w:val="00962714"/>
    <w:rsid w:val="00962C97"/>
    <w:rsid w:val="00962F5F"/>
    <w:rsid w:val="0096303E"/>
    <w:rsid w:val="00963818"/>
    <w:rsid w:val="009638EA"/>
    <w:rsid w:val="00963BA8"/>
    <w:rsid w:val="00963D90"/>
    <w:rsid w:val="00963FB1"/>
    <w:rsid w:val="009645CB"/>
    <w:rsid w:val="00964A7A"/>
    <w:rsid w:val="00964DCD"/>
    <w:rsid w:val="00964EA7"/>
    <w:rsid w:val="009650C0"/>
    <w:rsid w:val="00965FC3"/>
    <w:rsid w:val="00967460"/>
    <w:rsid w:val="00967875"/>
    <w:rsid w:val="00967968"/>
    <w:rsid w:val="009701A4"/>
    <w:rsid w:val="00970425"/>
    <w:rsid w:val="009704EE"/>
    <w:rsid w:val="00971233"/>
    <w:rsid w:val="00971C2F"/>
    <w:rsid w:val="00971EC9"/>
    <w:rsid w:val="0097222B"/>
    <w:rsid w:val="00972249"/>
    <w:rsid w:val="00974B2F"/>
    <w:rsid w:val="00974CC3"/>
    <w:rsid w:val="00974ED3"/>
    <w:rsid w:val="00975A10"/>
    <w:rsid w:val="00975D92"/>
    <w:rsid w:val="00975DBB"/>
    <w:rsid w:val="009764CF"/>
    <w:rsid w:val="009766F5"/>
    <w:rsid w:val="009775C0"/>
    <w:rsid w:val="00980379"/>
    <w:rsid w:val="0098061D"/>
    <w:rsid w:val="00980F2D"/>
    <w:rsid w:val="00981613"/>
    <w:rsid w:val="0098200C"/>
    <w:rsid w:val="009829A0"/>
    <w:rsid w:val="00982BF2"/>
    <w:rsid w:val="00983832"/>
    <w:rsid w:val="00983947"/>
    <w:rsid w:val="00984229"/>
    <w:rsid w:val="009844AE"/>
    <w:rsid w:val="0098512B"/>
    <w:rsid w:val="009851DC"/>
    <w:rsid w:val="009857E2"/>
    <w:rsid w:val="009861E5"/>
    <w:rsid w:val="00986232"/>
    <w:rsid w:val="00986311"/>
    <w:rsid w:val="00986DF0"/>
    <w:rsid w:val="00987237"/>
    <w:rsid w:val="00987F9C"/>
    <w:rsid w:val="009906F3"/>
    <w:rsid w:val="00991B17"/>
    <w:rsid w:val="00992C54"/>
    <w:rsid w:val="00993554"/>
    <w:rsid w:val="009937DB"/>
    <w:rsid w:val="00994DC6"/>
    <w:rsid w:val="00994DE5"/>
    <w:rsid w:val="00994E50"/>
    <w:rsid w:val="0099673B"/>
    <w:rsid w:val="009979CF"/>
    <w:rsid w:val="00997A33"/>
    <w:rsid w:val="00997BFC"/>
    <w:rsid w:val="009A05A5"/>
    <w:rsid w:val="009A0A27"/>
    <w:rsid w:val="009A1BBC"/>
    <w:rsid w:val="009A1E68"/>
    <w:rsid w:val="009A20AF"/>
    <w:rsid w:val="009A238E"/>
    <w:rsid w:val="009A3186"/>
    <w:rsid w:val="009A4C2C"/>
    <w:rsid w:val="009A53AF"/>
    <w:rsid w:val="009A5ADF"/>
    <w:rsid w:val="009A5D38"/>
    <w:rsid w:val="009A65FF"/>
    <w:rsid w:val="009A72B1"/>
    <w:rsid w:val="009A74AA"/>
    <w:rsid w:val="009B0523"/>
    <w:rsid w:val="009B05B2"/>
    <w:rsid w:val="009B09E9"/>
    <w:rsid w:val="009B16CB"/>
    <w:rsid w:val="009B1C80"/>
    <w:rsid w:val="009B23B0"/>
    <w:rsid w:val="009B2B33"/>
    <w:rsid w:val="009B3133"/>
    <w:rsid w:val="009B340C"/>
    <w:rsid w:val="009B3BE9"/>
    <w:rsid w:val="009B52DD"/>
    <w:rsid w:val="009B58BC"/>
    <w:rsid w:val="009B5CFB"/>
    <w:rsid w:val="009B709B"/>
    <w:rsid w:val="009B7178"/>
    <w:rsid w:val="009B770D"/>
    <w:rsid w:val="009B79DA"/>
    <w:rsid w:val="009B7C04"/>
    <w:rsid w:val="009C063D"/>
    <w:rsid w:val="009C0857"/>
    <w:rsid w:val="009C0AF9"/>
    <w:rsid w:val="009C0C80"/>
    <w:rsid w:val="009C1634"/>
    <w:rsid w:val="009C1920"/>
    <w:rsid w:val="009C1DB7"/>
    <w:rsid w:val="009C265E"/>
    <w:rsid w:val="009C33A1"/>
    <w:rsid w:val="009C3CBA"/>
    <w:rsid w:val="009C3EC1"/>
    <w:rsid w:val="009C4370"/>
    <w:rsid w:val="009C5600"/>
    <w:rsid w:val="009C583D"/>
    <w:rsid w:val="009C666E"/>
    <w:rsid w:val="009C6753"/>
    <w:rsid w:val="009C68B1"/>
    <w:rsid w:val="009C75C7"/>
    <w:rsid w:val="009D231E"/>
    <w:rsid w:val="009D2894"/>
    <w:rsid w:val="009D2C16"/>
    <w:rsid w:val="009D30B8"/>
    <w:rsid w:val="009D3110"/>
    <w:rsid w:val="009D3643"/>
    <w:rsid w:val="009D3F35"/>
    <w:rsid w:val="009D3FC0"/>
    <w:rsid w:val="009D437C"/>
    <w:rsid w:val="009D46C9"/>
    <w:rsid w:val="009D50B8"/>
    <w:rsid w:val="009D515D"/>
    <w:rsid w:val="009D560C"/>
    <w:rsid w:val="009D562D"/>
    <w:rsid w:val="009D5710"/>
    <w:rsid w:val="009D598A"/>
    <w:rsid w:val="009D5F9F"/>
    <w:rsid w:val="009D67E9"/>
    <w:rsid w:val="009D6BD6"/>
    <w:rsid w:val="009D6C1C"/>
    <w:rsid w:val="009D6D8C"/>
    <w:rsid w:val="009D771B"/>
    <w:rsid w:val="009D7A6F"/>
    <w:rsid w:val="009E060F"/>
    <w:rsid w:val="009E0835"/>
    <w:rsid w:val="009E0AAA"/>
    <w:rsid w:val="009E0FC1"/>
    <w:rsid w:val="009E16C0"/>
    <w:rsid w:val="009E19CC"/>
    <w:rsid w:val="009E22D1"/>
    <w:rsid w:val="009E2A63"/>
    <w:rsid w:val="009E3A52"/>
    <w:rsid w:val="009E4161"/>
    <w:rsid w:val="009E610D"/>
    <w:rsid w:val="009E6CBA"/>
    <w:rsid w:val="009E7E72"/>
    <w:rsid w:val="009F0250"/>
    <w:rsid w:val="009F1033"/>
    <w:rsid w:val="009F1104"/>
    <w:rsid w:val="009F1898"/>
    <w:rsid w:val="009F1DFF"/>
    <w:rsid w:val="009F1E00"/>
    <w:rsid w:val="009F23A6"/>
    <w:rsid w:val="009F23E0"/>
    <w:rsid w:val="009F273F"/>
    <w:rsid w:val="009F33CD"/>
    <w:rsid w:val="009F3841"/>
    <w:rsid w:val="009F3E23"/>
    <w:rsid w:val="009F48B5"/>
    <w:rsid w:val="009F490C"/>
    <w:rsid w:val="009F4BE2"/>
    <w:rsid w:val="009F4CD1"/>
    <w:rsid w:val="009F5E84"/>
    <w:rsid w:val="009F73C1"/>
    <w:rsid w:val="009F7D80"/>
    <w:rsid w:val="00A00439"/>
    <w:rsid w:val="00A0155B"/>
    <w:rsid w:val="00A021C1"/>
    <w:rsid w:val="00A02208"/>
    <w:rsid w:val="00A024F3"/>
    <w:rsid w:val="00A0282B"/>
    <w:rsid w:val="00A02CE3"/>
    <w:rsid w:val="00A03258"/>
    <w:rsid w:val="00A03467"/>
    <w:rsid w:val="00A05B3D"/>
    <w:rsid w:val="00A05C6A"/>
    <w:rsid w:val="00A078FB"/>
    <w:rsid w:val="00A11260"/>
    <w:rsid w:val="00A117EA"/>
    <w:rsid w:val="00A120F4"/>
    <w:rsid w:val="00A12BC4"/>
    <w:rsid w:val="00A13035"/>
    <w:rsid w:val="00A13114"/>
    <w:rsid w:val="00A13174"/>
    <w:rsid w:val="00A1465D"/>
    <w:rsid w:val="00A14815"/>
    <w:rsid w:val="00A15310"/>
    <w:rsid w:val="00A158A5"/>
    <w:rsid w:val="00A171F9"/>
    <w:rsid w:val="00A2050F"/>
    <w:rsid w:val="00A20E84"/>
    <w:rsid w:val="00A21411"/>
    <w:rsid w:val="00A21725"/>
    <w:rsid w:val="00A22FF9"/>
    <w:rsid w:val="00A2420D"/>
    <w:rsid w:val="00A246BD"/>
    <w:rsid w:val="00A254B1"/>
    <w:rsid w:val="00A263B5"/>
    <w:rsid w:val="00A27D81"/>
    <w:rsid w:val="00A304C6"/>
    <w:rsid w:val="00A31056"/>
    <w:rsid w:val="00A31105"/>
    <w:rsid w:val="00A32B31"/>
    <w:rsid w:val="00A33282"/>
    <w:rsid w:val="00A336FC"/>
    <w:rsid w:val="00A33D12"/>
    <w:rsid w:val="00A33E4A"/>
    <w:rsid w:val="00A354AC"/>
    <w:rsid w:val="00A356A4"/>
    <w:rsid w:val="00A35B04"/>
    <w:rsid w:val="00A35D8A"/>
    <w:rsid w:val="00A365C3"/>
    <w:rsid w:val="00A36DD8"/>
    <w:rsid w:val="00A36FEB"/>
    <w:rsid w:val="00A376AD"/>
    <w:rsid w:val="00A37D1A"/>
    <w:rsid w:val="00A402C4"/>
    <w:rsid w:val="00A4067C"/>
    <w:rsid w:val="00A41D41"/>
    <w:rsid w:val="00A43247"/>
    <w:rsid w:val="00A43AA5"/>
    <w:rsid w:val="00A43B10"/>
    <w:rsid w:val="00A45D22"/>
    <w:rsid w:val="00A463F8"/>
    <w:rsid w:val="00A46631"/>
    <w:rsid w:val="00A46BC8"/>
    <w:rsid w:val="00A46FF1"/>
    <w:rsid w:val="00A47DFC"/>
    <w:rsid w:val="00A50060"/>
    <w:rsid w:val="00A501DD"/>
    <w:rsid w:val="00A5021C"/>
    <w:rsid w:val="00A502B5"/>
    <w:rsid w:val="00A50AA1"/>
    <w:rsid w:val="00A5143D"/>
    <w:rsid w:val="00A51C99"/>
    <w:rsid w:val="00A525BB"/>
    <w:rsid w:val="00A5264D"/>
    <w:rsid w:val="00A539E6"/>
    <w:rsid w:val="00A54094"/>
    <w:rsid w:val="00A54444"/>
    <w:rsid w:val="00A5469D"/>
    <w:rsid w:val="00A55A78"/>
    <w:rsid w:val="00A55B10"/>
    <w:rsid w:val="00A569D6"/>
    <w:rsid w:val="00A56D3C"/>
    <w:rsid w:val="00A572E4"/>
    <w:rsid w:val="00A57C23"/>
    <w:rsid w:val="00A60C95"/>
    <w:rsid w:val="00A61624"/>
    <w:rsid w:val="00A619A8"/>
    <w:rsid w:val="00A62065"/>
    <w:rsid w:val="00A63172"/>
    <w:rsid w:val="00A635F1"/>
    <w:rsid w:val="00A65057"/>
    <w:rsid w:val="00A65167"/>
    <w:rsid w:val="00A6562E"/>
    <w:rsid w:val="00A65DF7"/>
    <w:rsid w:val="00A65FCC"/>
    <w:rsid w:val="00A678F1"/>
    <w:rsid w:val="00A67A01"/>
    <w:rsid w:val="00A70DEC"/>
    <w:rsid w:val="00A71E2D"/>
    <w:rsid w:val="00A72489"/>
    <w:rsid w:val="00A73009"/>
    <w:rsid w:val="00A7304C"/>
    <w:rsid w:val="00A734D9"/>
    <w:rsid w:val="00A734F1"/>
    <w:rsid w:val="00A73531"/>
    <w:rsid w:val="00A739AF"/>
    <w:rsid w:val="00A74731"/>
    <w:rsid w:val="00A75D76"/>
    <w:rsid w:val="00A7642A"/>
    <w:rsid w:val="00A77581"/>
    <w:rsid w:val="00A776B3"/>
    <w:rsid w:val="00A77C44"/>
    <w:rsid w:val="00A80492"/>
    <w:rsid w:val="00A8063C"/>
    <w:rsid w:val="00A824DB"/>
    <w:rsid w:val="00A82A6C"/>
    <w:rsid w:val="00A83117"/>
    <w:rsid w:val="00A83672"/>
    <w:rsid w:val="00A8424F"/>
    <w:rsid w:val="00A844E7"/>
    <w:rsid w:val="00A84902"/>
    <w:rsid w:val="00A849D3"/>
    <w:rsid w:val="00A85E6A"/>
    <w:rsid w:val="00A86464"/>
    <w:rsid w:val="00A86675"/>
    <w:rsid w:val="00A8750C"/>
    <w:rsid w:val="00A87D7D"/>
    <w:rsid w:val="00A90C8A"/>
    <w:rsid w:val="00A90CB7"/>
    <w:rsid w:val="00A90EE3"/>
    <w:rsid w:val="00A91516"/>
    <w:rsid w:val="00A91595"/>
    <w:rsid w:val="00A91D7A"/>
    <w:rsid w:val="00A931CD"/>
    <w:rsid w:val="00A93AFA"/>
    <w:rsid w:val="00A95730"/>
    <w:rsid w:val="00A95B8D"/>
    <w:rsid w:val="00A9695F"/>
    <w:rsid w:val="00A96EA7"/>
    <w:rsid w:val="00A9749D"/>
    <w:rsid w:val="00AA035D"/>
    <w:rsid w:val="00AA1240"/>
    <w:rsid w:val="00AA1678"/>
    <w:rsid w:val="00AA1A70"/>
    <w:rsid w:val="00AA1C0F"/>
    <w:rsid w:val="00AA2D57"/>
    <w:rsid w:val="00AA2E9B"/>
    <w:rsid w:val="00AA2FB0"/>
    <w:rsid w:val="00AA3C5D"/>
    <w:rsid w:val="00AA509B"/>
    <w:rsid w:val="00AA56B9"/>
    <w:rsid w:val="00AA5745"/>
    <w:rsid w:val="00AA5A75"/>
    <w:rsid w:val="00AA7680"/>
    <w:rsid w:val="00AB100F"/>
    <w:rsid w:val="00AB1440"/>
    <w:rsid w:val="00AB182A"/>
    <w:rsid w:val="00AB22D7"/>
    <w:rsid w:val="00AB2535"/>
    <w:rsid w:val="00AB2F09"/>
    <w:rsid w:val="00AB3320"/>
    <w:rsid w:val="00AB38E5"/>
    <w:rsid w:val="00AB5525"/>
    <w:rsid w:val="00AB5729"/>
    <w:rsid w:val="00AB5D62"/>
    <w:rsid w:val="00AB648B"/>
    <w:rsid w:val="00AB661F"/>
    <w:rsid w:val="00AB6A83"/>
    <w:rsid w:val="00AB6BAC"/>
    <w:rsid w:val="00AB6E8E"/>
    <w:rsid w:val="00AB7E65"/>
    <w:rsid w:val="00AC1D9A"/>
    <w:rsid w:val="00AC25DE"/>
    <w:rsid w:val="00AC30B9"/>
    <w:rsid w:val="00AC3AA4"/>
    <w:rsid w:val="00AC3EE0"/>
    <w:rsid w:val="00AC4A4F"/>
    <w:rsid w:val="00AC4BC3"/>
    <w:rsid w:val="00AC5760"/>
    <w:rsid w:val="00AC66FE"/>
    <w:rsid w:val="00AC768A"/>
    <w:rsid w:val="00AC781A"/>
    <w:rsid w:val="00AC7A08"/>
    <w:rsid w:val="00AD0AF2"/>
    <w:rsid w:val="00AD1370"/>
    <w:rsid w:val="00AD1B99"/>
    <w:rsid w:val="00AD1D22"/>
    <w:rsid w:val="00AD3EB7"/>
    <w:rsid w:val="00AD4508"/>
    <w:rsid w:val="00AD49D1"/>
    <w:rsid w:val="00AD4C5D"/>
    <w:rsid w:val="00AD5C5A"/>
    <w:rsid w:val="00AD5E53"/>
    <w:rsid w:val="00AD5F16"/>
    <w:rsid w:val="00AD60E4"/>
    <w:rsid w:val="00AD6207"/>
    <w:rsid w:val="00AD6977"/>
    <w:rsid w:val="00AD700A"/>
    <w:rsid w:val="00AD742E"/>
    <w:rsid w:val="00AE0A6B"/>
    <w:rsid w:val="00AE10A7"/>
    <w:rsid w:val="00AE1449"/>
    <w:rsid w:val="00AE192B"/>
    <w:rsid w:val="00AE1C49"/>
    <w:rsid w:val="00AE2206"/>
    <w:rsid w:val="00AE2231"/>
    <w:rsid w:val="00AE29C0"/>
    <w:rsid w:val="00AE2C9B"/>
    <w:rsid w:val="00AE4ADE"/>
    <w:rsid w:val="00AE6030"/>
    <w:rsid w:val="00AE67A9"/>
    <w:rsid w:val="00AE7114"/>
    <w:rsid w:val="00AE71D1"/>
    <w:rsid w:val="00AE78CB"/>
    <w:rsid w:val="00AF0879"/>
    <w:rsid w:val="00AF1255"/>
    <w:rsid w:val="00AF1EA6"/>
    <w:rsid w:val="00AF2A2E"/>
    <w:rsid w:val="00AF2AEB"/>
    <w:rsid w:val="00AF2D85"/>
    <w:rsid w:val="00AF3192"/>
    <w:rsid w:val="00AF3750"/>
    <w:rsid w:val="00AF3B7B"/>
    <w:rsid w:val="00AF44F5"/>
    <w:rsid w:val="00AF547F"/>
    <w:rsid w:val="00AF5D0A"/>
    <w:rsid w:val="00AF72C3"/>
    <w:rsid w:val="00AF77EE"/>
    <w:rsid w:val="00B035CA"/>
    <w:rsid w:val="00B0439C"/>
    <w:rsid w:val="00B04A87"/>
    <w:rsid w:val="00B06578"/>
    <w:rsid w:val="00B06B06"/>
    <w:rsid w:val="00B070B1"/>
    <w:rsid w:val="00B0748F"/>
    <w:rsid w:val="00B106C5"/>
    <w:rsid w:val="00B10957"/>
    <w:rsid w:val="00B10BD3"/>
    <w:rsid w:val="00B11ACC"/>
    <w:rsid w:val="00B12310"/>
    <w:rsid w:val="00B126CB"/>
    <w:rsid w:val="00B13870"/>
    <w:rsid w:val="00B13B19"/>
    <w:rsid w:val="00B1479C"/>
    <w:rsid w:val="00B15235"/>
    <w:rsid w:val="00B15AB9"/>
    <w:rsid w:val="00B15C51"/>
    <w:rsid w:val="00B15D07"/>
    <w:rsid w:val="00B168E5"/>
    <w:rsid w:val="00B16B8D"/>
    <w:rsid w:val="00B16D12"/>
    <w:rsid w:val="00B20F0B"/>
    <w:rsid w:val="00B219BD"/>
    <w:rsid w:val="00B224BB"/>
    <w:rsid w:val="00B230E5"/>
    <w:rsid w:val="00B239A1"/>
    <w:rsid w:val="00B26792"/>
    <w:rsid w:val="00B267F3"/>
    <w:rsid w:val="00B26938"/>
    <w:rsid w:val="00B26F1E"/>
    <w:rsid w:val="00B26F39"/>
    <w:rsid w:val="00B2788E"/>
    <w:rsid w:val="00B301B3"/>
    <w:rsid w:val="00B3176C"/>
    <w:rsid w:val="00B31ADD"/>
    <w:rsid w:val="00B31F59"/>
    <w:rsid w:val="00B32742"/>
    <w:rsid w:val="00B32BCA"/>
    <w:rsid w:val="00B33583"/>
    <w:rsid w:val="00B33BC0"/>
    <w:rsid w:val="00B340E9"/>
    <w:rsid w:val="00B37007"/>
    <w:rsid w:val="00B40312"/>
    <w:rsid w:val="00B405C0"/>
    <w:rsid w:val="00B40843"/>
    <w:rsid w:val="00B41319"/>
    <w:rsid w:val="00B41DF6"/>
    <w:rsid w:val="00B42511"/>
    <w:rsid w:val="00B42FA2"/>
    <w:rsid w:val="00B4491A"/>
    <w:rsid w:val="00B457A5"/>
    <w:rsid w:val="00B45B9D"/>
    <w:rsid w:val="00B46457"/>
    <w:rsid w:val="00B464B8"/>
    <w:rsid w:val="00B5149B"/>
    <w:rsid w:val="00B51CD9"/>
    <w:rsid w:val="00B522F5"/>
    <w:rsid w:val="00B53297"/>
    <w:rsid w:val="00B53446"/>
    <w:rsid w:val="00B53553"/>
    <w:rsid w:val="00B53D3C"/>
    <w:rsid w:val="00B541CC"/>
    <w:rsid w:val="00B544C1"/>
    <w:rsid w:val="00B55004"/>
    <w:rsid w:val="00B5588B"/>
    <w:rsid w:val="00B55B5E"/>
    <w:rsid w:val="00B5607A"/>
    <w:rsid w:val="00B560BF"/>
    <w:rsid w:val="00B56174"/>
    <w:rsid w:val="00B5796C"/>
    <w:rsid w:val="00B57D19"/>
    <w:rsid w:val="00B603AA"/>
    <w:rsid w:val="00B60F5B"/>
    <w:rsid w:val="00B612C7"/>
    <w:rsid w:val="00B61A9C"/>
    <w:rsid w:val="00B61E8D"/>
    <w:rsid w:val="00B6282B"/>
    <w:rsid w:val="00B6440A"/>
    <w:rsid w:val="00B645B0"/>
    <w:rsid w:val="00B645C1"/>
    <w:rsid w:val="00B65FBA"/>
    <w:rsid w:val="00B66767"/>
    <w:rsid w:val="00B67180"/>
    <w:rsid w:val="00B707B9"/>
    <w:rsid w:val="00B70F0F"/>
    <w:rsid w:val="00B71534"/>
    <w:rsid w:val="00B71917"/>
    <w:rsid w:val="00B71AA6"/>
    <w:rsid w:val="00B71D49"/>
    <w:rsid w:val="00B724D4"/>
    <w:rsid w:val="00B72E46"/>
    <w:rsid w:val="00B73072"/>
    <w:rsid w:val="00B7312E"/>
    <w:rsid w:val="00B732EE"/>
    <w:rsid w:val="00B73A52"/>
    <w:rsid w:val="00B73B33"/>
    <w:rsid w:val="00B74AC2"/>
    <w:rsid w:val="00B74E8E"/>
    <w:rsid w:val="00B7527A"/>
    <w:rsid w:val="00B75575"/>
    <w:rsid w:val="00B762E5"/>
    <w:rsid w:val="00B76D4A"/>
    <w:rsid w:val="00B7701A"/>
    <w:rsid w:val="00B8045F"/>
    <w:rsid w:val="00B810F5"/>
    <w:rsid w:val="00B8291F"/>
    <w:rsid w:val="00B82B14"/>
    <w:rsid w:val="00B82B60"/>
    <w:rsid w:val="00B8337C"/>
    <w:rsid w:val="00B84A27"/>
    <w:rsid w:val="00B85077"/>
    <w:rsid w:val="00B85579"/>
    <w:rsid w:val="00B85B02"/>
    <w:rsid w:val="00B86E00"/>
    <w:rsid w:val="00B8706C"/>
    <w:rsid w:val="00B87348"/>
    <w:rsid w:val="00B87F56"/>
    <w:rsid w:val="00B9006E"/>
    <w:rsid w:val="00B9041F"/>
    <w:rsid w:val="00B90B47"/>
    <w:rsid w:val="00B91705"/>
    <w:rsid w:val="00B92BE3"/>
    <w:rsid w:val="00B92E17"/>
    <w:rsid w:val="00B935FC"/>
    <w:rsid w:val="00B93B1E"/>
    <w:rsid w:val="00B94B3B"/>
    <w:rsid w:val="00B95900"/>
    <w:rsid w:val="00B964A5"/>
    <w:rsid w:val="00B97619"/>
    <w:rsid w:val="00B97830"/>
    <w:rsid w:val="00B9796D"/>
    <w:rsid w:val="00B979B1"/>
    <w:rsid w:val="00BA0391"/>
    <w:rsid w:val="00BA0574"/>
    <w:rsid w:val="00BA0A59"/>
    <w:rsid w:val="00BA0B7E"/>
    <w:rsid w:val="00BA0EE0"/>
    <w:rsid w:val="00BA1679"/>
    <w:rsid w:val="00BA1DCC"/>
    <w:rsid w:val="00BA1FCA"/>
    <w:rsid w:val="00BA3B54"/>
    <w:rsid w:val="00BA4122"/>
    <w:rsid w:val="00BA4742"/>
    <w:rsid w:val="00BA4807"/>
    <w:rsid w:val="00BA48BE"/>
    <w:rsid w:val="00BA57F9"/>
    <w:rsid w:val="00BA5842"/>
    <w:rsid w:val="00BA5BA0"/>
    <w:rsid w:val="00BA5FE5"/>
    <w:rsid w:val="00BA7433"/>
    <w:rsid w:val="00BA79F2"/>
    <w:rsid w:val="00BB00B0"/>
    <w:rsid w:val="00BB01A7"/>
    <w:rsid w:val="00BB0E32"/>
    <w:rsid w:val="00BB24AF"/>
    <w:rsid w:val="00BB256F"/>
    <w:rsid w:val="00BB27A8"/>
    <w:rsid w:val="00BB27E2"/>
    <w:rsid w:val="00BB3055"/>
    <w:rsid w:val="00BB32DE"/>
    <w:rsid w:val="00BB3F50"/>
    <w:rsid w:val="00BB406C"/>
    <w:rsid w:val="00BB411D"/>
    <w:rsid w:val="00BB472B"/>
    <w:rsid w:val="00BB4DCA"/>
    <w:rsid w:val="00BB5AE3"/>
    <w:rsid w:val="00BB5B09"/>
    <w:rsid w:val="00BB62F3"/>
    <w:rsid w:val="00BB6335"/>
    <w:rsid w:val="00BB7122"/>
    <w:rsid w:val="00BB7BFF"/>
    <w:rsid w:val="00BB7E56"/>
    <w:rsid w:val="00BC17C1"/>
    <w:rsid w:val="00BC26A9"/>
    <w:rsid w:val="00BC37CD"/>
    <w:rsid w:val="00BC3B20"/>
    <w:rsid w:val="00BC4D7F"/>
    <w:rsid w:val="00BC54DE"/>
    <w:rsid w:val="00BC5BAA"/>
    <w:rsid w:val="00BC5EAA"/>
    <w:rsid w:val="00BC76FE"/>
    <w:rsid w:val="00BC77C0"/>
    <w:rsid w:val="00BD02A8"/>
    <w:rsid w:val="00BD0638"/>
    <w:rsid w:val="00BD110D"/>
    <w:rsid w:val="00BD174B"/>
    <w:rsid w:val="00BD36CB"/>
    <w:rsid w:val="00BD39B6"/>
    <w:rsid w:val="00BD4F81"/>
    <w:rsid w:val="00BD5141"/>
    <w:rsid w:val="00BD52BD"/>
    <w:rsid w:val="00BD5499"/>
    <w:rsid w:val="00BD58F9"/>
    <w:rsid w:val="00BD5E43"/>
    <w:rsid w:val="00BD7C1E"/>
    <w:rsid w:val="00BE0D48"/>
    <w:rsid w:val="00BE0EAA"/>
    <w:rsid w:val="00BE1457"/>
    <w:rsid w:val="00BE293C"/>
    <w:rsid w:val="00BE3634"/>
    <w:rsid w:val="00BE4299"/>
    <w:rsid w:val="00BE4314"/>
    <w:rsid w:val="00BE4C1E"/>
    <w:rsid w:val="00BE58F7"/>
    <w:rsid w:val="00BF1146"/>
    <w:rsid w:val="00BF1FA6"/>
    <w:rsid w:val="00BF21EB"/>
    <w:rsid w:val="00BF22A0"/>
    <w:rsid w:val="00BF32CA"/>
    <w:rsid w:val="00BF41A5"/>
    <w:rsid w:val="00BF4751"/>
    <w:rsid w:val="00BF4A30"/>
    <w:rsid w:val="00BF5117"/>
    <w:rsid w:val="00BF516E"/>
    <w:rsid w:val="00BF560E"/>
    <w:rsid w:val="00BF664A"/>
    <w:rsid w:val="00BF6C14"/>
    <w:rsid w:val="00BF7969"/>
    <w:rsid w:val="00C001B1"/>
    <w:rsid w:val="00C00DA6"/>
    <w:rsid w:val="00C016E8"/>
    <w:rsid w:val="00C02248"/>
    <w:rsid w:val="00C02667"/>
    <w:rsid w:val="00C02892"/>
    <w:rsid w:val="00C02F51"/>
    <w:rsid w:val="00C03AE5"/>
    <w:rsid w:val="00C04567"/>
    <w:rsid w:val="00C04A3A"/>
    <w:rsid w:val="00C04B87"/>
    <w:rsid w:val="00C0561F"/>
    <w:rsid w:val="00C0600D"/>
    <w:rsid w:val="00C061AF"/>
    <w:rsid w:val="00C06894"/>
    <w:rsid w:val="00C06EC0"/>
    <w:rsid w:val="00C0736E"/>
    <w:rsid w:val="00C07822"/>
    <w:rsid w:val="00C07B0B"/>
    <w:rsid w:val="00C1004F"/>
    <w:rsid w:val="00C100D8"/>
    <w:rsid w:val="00C10963"/>
    <w:rsid w:val="00C10B60"/>
    <w:rsid w:val="00C11668"/>
    <w:rsid w:val="00C1197C"/>
    <w:rsid w:val="00C11CD6"/>
    <w:rsid w:val="00C11E09"/>
    <w:rsid w:val="00C12985"/>
    <w:rsid w:val="00C12D26"/>
    <w:rsid w:val="00C132BE"/>
    <w:rsid w:val="00C132CC"/>
    <w:rsid w:val="00C14B7D"/>
    <w:rsid w:val="00C161CF"/>
    <w:rsid w:val="00C1701A"/>
    <w:rsid w:val="00C1760E"/>
    <w:rsid w:val="00C20330"/>
    <w:rsid w:val="00C2095A"/>
    <w:rsid w:val="00C20964"/>
    <w:rsid w:val="00C21ABB"/>
    <w:rsid w:val="00C223C0"/>
    <w:rsid w:val="00C2398E"/>
    <w:rsid w:val="00C23A13"/>
    <w:rsid w:val="00C23BC5"/>
    <w:rsid w:val="00C248C3"/>
    <w:rsid w:val="00C257F6"/>
    <w:rsid w:val="00C26C8F"/>
    <w:rsid w:val="00C275AA"/>
    <w:rsid w:val="00C30FDE"/>
    <w:rsid w:val="00C31BB6"/>
    <w:rsid w:val="00C3203C"/>
    <w:rsid w:val="00C32DFA"/>
    <w:rsid w:val="00C3426D"/>
    <w:rsid w:val="00C345CD"/>
    <w:rsid w:val="00C349BC"/>
    <w:rsid w:val="00C34B79"/>
    <w:rsid w:val="00C35A7E"/>
    <w:rsid w:val="00C360DE"/>
    <w:rsid w:val="00C36262"/>
    <w:rsid w:val="00C36334"/>
    <w:rsid w:val="00C364EE"/>
    <w:rsid w:val="00C368C3"/>
    <w:rsid w:val="00C36E70"/>
    <w:rsid w:val="00C377B7"/>
    <w:rsid w:val="00C37C89"/>
    <w:rsid w:val="00C413F0"/>
    <w:rsid w:val="00C41AB8"/>
    <w:rsid w:val="00C42831"/>
    <w:rsid w:val="00C42B4B"/>
    <w:rsid w:val="00C43A87"/>
    <w:rsid w:val="00C43FF5"/>
    <w:rsid w:val="00C4489F"/>
    <w:rsid w:val="00C44B00"/>
    <w:rsid w:val="00C458F4"/>
    <w:rsid w:val="00C45B1B"/>
    <w:rsid w:val="00C45DC5"/>
    <w:rsid w:val="00C46265"/>
    <w:rsid w:val="00C46A8F"/>
    <w:rsid w:val="00C46C3F"/>
    <w:rsid w:val="00C46CC1"/>
    <w:rsid w:val="00C47AF5"/>
    <w:rsid w:val="00C50721"/>
    <w:rsid w:val="00C5087F"/>
    <w:rsid w:val="00C51518"/>
    <w:rsid w:val="00C52498"/>
    <w:rsid w:val="00C52B49"/>
    <w:rsid w:val="00C52D6E"/>
    <w:rsid w:val="00C53491"/>
    <w:rsid w:val="00C535C6"/>
    <w:rsid w:val="00C53799"/>
    <w:rsid w:val="00C53880"/>
    <w:rsid w:val="00C54A0F"/>
    <w:rsid w:val="00C5554B"/>
    <w:rsid w:val="00C559DC"/>
    <w:rsid w:val="00C569DF"/>
    <w:rsid w:val="00C56E19"/>
    <w:rsid w:val="00C57FEB"/>
    <w:rsid w:val="00C601B6"/>
    <w:rsid w:val="00C613B7"/>
    <w:rsid w:val="00C614E8"/>
    <w:rsid w:val="00C614F8"/>
    <w:rsid w:val="00C61B78"/>
    <w:rsid w:val="00C61BCC"/>
    <w:rsid w:val="00C61C1C"/>
    <w:rsid w:val="00C62686"/>
    <w:rsid w:val="00C62895"/>
    <w:rsid w:val="00C62AD6"/>
    <w:rsid w:val="00C645D2"/>
    <w:rsid w:val="00C64F06"/>
    <w:rsid w:val="00C6534B"/>
    <w:rsid w:val="00C66384"/>
    <w:rsid w:val="00C67076"/>
    <w:rsid w:val="00C67289"/>
    <w:rsid w:val="00C673CF"/>
    <w:rsid w:val="00C70885"/>
    <w:rsid w:val="00C71545"/>
    <w:rsid w:val="00C71AED"/>
    <w:rsid w:val="00C721B8"/>
    <w:rsid w:val="00C729E9"/>
    <w:rsid w:val="00C735AD"/>
    <w:rsid w:val="00C74FB8"/>
    <w:rsid w:val="00C7511C"/>
    <w:rsid w:val="00C75AB1"/>
    <w:rsid w:val="00C763C0"/>
    <w:rsid w:val="00C7645E"/>
    <w:rsid w:val="00C769A1"/>
    <w:rsid w:val="00C76A2E"/>
    <w:rsid w:val="00C76F22"/>
    <w:rsid w:val="00C77083"/>
    <w:rsid w:val="00C77576"/>
    <w:rsid w:val="00C7781D"/>
    <w:rsid w:val="00C77AB0"/>
    <w:rsid w:val="00C77FDC"/>
    <w:rsid w:val="00C8267D"/>
    <w:rsid w:val="00C82BD7"/>
    <w:rsid w:val="00C82DF9"/>
    <w:rsid w:val="00C8334A"/>
    <w:rsid w:val="00C83699"/>
    <w:rsid w:val="00C841EA"/>
    <w:rsid w:val="00C85160"/>
    <w:rsid w:val="00C8524E"/>
    <w:rsid w:val="00C8531C"/>
    <w:rsid w:val="00C86098"/>
    <w:rsid w:val="00C86F26"/>
    <w:rsid w:val="00C871F6"/>
    <w:rsid w:val="00C8746E"/>
    <w:rsid w:val="00C87487"/>
    <w:rsid w:val="00C878B9"/>
    <w:rsid w:val="00C87B42"/>
    <w:rsid w:val="00C87C44"/>
    <w:rsid w:val="00C90AFF"/>
    <w:rsid w:val="00C90C61"/>
    <w:rsid w:val="00C91549"/>
    <w:rsid w:val="00C9161E"/>
    <w:rsid w:val="00C91773"/>
    <w:rsid w:val="00C917A3"/>
    <w:rsid w:val="00C92D55"/>
    <w:rsid w:val="00C9374F"/>
    <w:rsid w:val="00C93964"/>
    <w:rsid w:val="00C93CC5"/>
    <w:rsid w:val="00C940CC"/>
    <w:rsid w:val="00C942D2"/>
    <w:rsid w:val="00C9583D"/>
    <w:rsid w:val="00C96922"/>
    <w:rsid w:val="00C9746B"/>
    <w:rsid w:val="00C97BE3"/>
    <w:rsid w:val="00CA0190"/>
    <w:rsid w:val="00CA01AA"/>
    <w:rsid w:val="00CA0D4F"/>
    <w:rsid w:val="00CA139A"/>
    <w:rsid w:val="00CA2B57"/>
    <w:rsid w:val="00CA31FC"/>
    <w:rsid w:val="00CA32CB"/>
    <w:rsid w:val="00CA3FC2"/>
    <w:rsid w:val="00CA47C4"/>
    <w:rsid w:val="00CA48E3"/>
    <w:rsid w:val="00CA4980"/>
    <w:rsid w:val="00CA5129"/>
    <w:rsid w:val="00CA67AB"/>
    <w:rsid w:val="00CA778A"/>
    <w:rsid w:val="00CB054F"/>
    <w:rsid w:val="00CB07BC"/>
    <w:rsid w:val="00CB1D92"/>
    <w:rsid w:val="00CB1FCA"/>
    <w:rsid w:val="00CB3812"/>
    <w:rsid w:val="00CB40B3"/>
    <w:rsid w:val="00CB4553"/>
    <w:rsid w:val="00CB4C02"/>
    <w:rsid w:val="00CB5380"/>
    <w:rsid w:val="00CB5F7F"/>
    <w:rsid w:val="00CB6157"/>
    <w:rsid w:val="00CB647F"/>
    <w:rsid w:val="00CB7D20"/>
    <w:rsid w:val="00CB7DC0"/>
    <w:rsid w:val="00CC09DF"/>
    <w:rsid w:val="00CC19FF"/>
    <w:rsid w:val="00CC3200"/>
    <w:rsid w:val="00CC384B"/>
    <w:rsid w:val="00CC4015"/>
    <w:rsid w:val="00CC4137"/>
    <w:rsid w:val="00CC65C6"/>
    <w:rsid w:val="00CC7294"/>
    <w:rsid w:val="00CC7324"/>
    <w:rsid w:val="00CC741C"/>
    <w:rsid w:val="00CC7422"/>
    <w:rsid w:val="00CC792C"/>
    <w:rsid w:val="00CD0BE3"/>
    <w:rsid w:val="00CD17D0"/>
    <w:rsid w:val="00CD1CE6"/>
    <w:rsid w:val="00CD27C2"/>
    <w:rsid w:val="00CD34E5"/>
    <w:rsid w:val="00CD453B"/>
    <w:rsid w:val="00CD45E0"/>
    <w:rsid w:val="00CD55B2"/>
    <w:rsid w:val="00CD5FD5"/>
    <w:rsid w:val="00CD64FE"/>
    <w:rsid w:val="00CD6DDC"/>
    <w:rsid w:val="00CD6F42"/>
    <w:rsid w:val="00CD7152"/>
    <w:rsid w:val="00CD7244"/>
    <w:rsid w:val="00CD7324"/>
    <w:rsid w:val="00CD7A72"/>
    <w:rsid w:val="00CE0423"/>
    <w:rsid w:val="00CE08FE"/>
    <w:rsid w:val="00CE1D0B"/>
    <w:rsid w:val="00CE1DEE"/>
    <w:rsid w:val="00CE2920"/>
    <w:rsid w:val="00CE2930"/>
    <w:rsid w:val="00CE2CEF"/>
    <w:rsid w:val="00CE480F"/>
    <w:rsid w:val="00CE4EBC"/>
    <w:rsid w:val="00CE606F"/>
    <w:rsid w:val="00CE6B86"/>
    <w:rsid w:val="00CE6EE1"/>
    <w:rsid w:val="00CE70BA"/>
    <w:rsid w:val="00CE7845"/>
    <w:rsid w:val="00CE79F1"/>
    <w:rsid w:val="00CE7B98"/>
    <w:rsid w:val="00CF00C0"/>
    <w:rsid w:val="00CF02E9"/>
    <w:rsid w:val="00CF04EF"/>
    <w:rsid w:val="00CF0DC6"/>
    <w:rsid w:val="00CF1D8F"/>
    <w:rsid w:val="00CF35F5"/>
    <w:rsid w:val="00CF3BA0"/>
    <w:rsid w:val="00CF4270"/>
    <w:rsid w:val="00CF4AEB"/>
    <w:rsid w:val="00CF4D68"/>
    <w:rsid w:val="00CF55DE"/>
    <w:rsid w:val="00CF572B"/>
    <w:rsid w:val="00CF5807"/>
    <w:rsid w:val="00CF69D2"/>
    <w:rsid w:val="00CF7094"/>
    <w:rsid w:val="00CF7476"/>
    <w:rsid w:val="00CF7AC8"/>
    <w:rsid w:val="00CF7C65"/>
    <w:rsid w:val="00D013AF"/>
    <w:rsid w:val="00D02B4B"/>
    <w:rsid w:val="00D032C0"/>
    <w:rsid w:val="00D039BA"/>
    <w:rsid w:val="00D044A5"/>
    <w:rsid w:val="00D04E61"/>
    <w:rsid w:val="00D05014"/>
    <w:rsid w:val="00D052DA"/>
    <w:rsid w:val="00D0549C"/>
    <w:rsid w:val="00D05F15"/>
    <w:rsid w:val="00D06A3C"/>
    <w:rsid w:val="00D06C23"/>
    <w:rsid w:val="00D072D2"/>
    <w:rsid w:val="00D0797A"/>
    <w:rsid w:val="00D1013F"/>
    <w:rsid w:val="00D1090F"/>
    <w:rsid w:val="00D10D60"/>
    <w:rsid w:val="00D10F63"/>
    <w:rsid w:val="00D11890"/>
    <w:rsid w:val="00D11BB8"/>
    <w:rsid w:val="00D11CAE"/>
    <w:rsid w:val="00D121F2"/>
    <w:rsid w:val="00D127C5"/>
    <w:rsid w:val="00D13F6C"/>
    <w:rsid w:val="00D14CA2"/>
    <w:rsid w:val="00D1505A"/>
    <w:rsid w:val="00D154B5"/>
    <w:rsid w:val="00D158A8"/>
    <w:rsid w:val="00D15D64"/>
    <w:rsid w:val="00D161E2"/>
    <w:rsid w:val="00D163AC"/>
    <w:rsid w:val="00D16E14"/>
    <w:rsid w:val="00D17786"/>
    <w:rsid w:val="00D178F8"/>
    <w:rsid w:val="00D201C3"/>
    <w:rsid w:val="00D20BF3"/>
    <w:rsid w:val="00D20C49"/>
    <w:rsid w:val="00D20E57"/>
    <w:rsid w:val="00D21218"/>
    <w:rsid w:val="00D21242"/>
    <w:rsid w:val="00D212A0"/>
    <w:rsid w:val="00D21B0A"/>
    <w:rsid w:val="00D22AEC"/>
    <w:rsid w:val="00D22BAD"/>
    <w:rsid w:val="00D22DC9"/>
    <w:rsid w:val="00D22F7E"/>
    <w:rsid w:val="00D245E4"/>
    <w:rsid w:val="00D24EF4"/>
    <w:rsid w:val="00D24FCE"/>
    <w:rsid w:val="00D256FA"/>
    <w:rsid w:val="00D25B21"/>
    <w:rsid w:val="00D26233"/>
    <w:rsid w:val="00D2636E"/>
    <w:rsid w:val="00D267CF"/>
    <w:rsid w:val="00D27E8E"/>
    <w:rsid w:val="00D3023B"/>
    <w:rsid w:val="00D306A0"/>
    <w:rsid w:val="00D312EA"/>
    <w:rsid w:val="00D3152E"/>
    <w:rsid w:val="00D31758"/>
    <w:rsid w:val="00D31D1D"/>
    <w:rsid w:val="00D321B6"/>
    <w:rsid w:val="00D3239E"/>
    <w:rsid w:val="00D32464"/>
    <w:rsid w:val="00D3268E"/>
    <w:rsid w:val="00D3277D"/>
    <w:rsid w:val="00D33FF6"/>
    <w:rsid w:val="00D34971"/>
    <w:rsid w:val="00D34A59"/>
    <w:rsid w:val="00D35637"/>
    <w:rsid w:val="00D358C0"/>
    <w:rsid w:val="00D35AFE"/>
    <w:rsid w:val="00D3621A"/>
    <w:rsid w:val="00D36312"/>
    <w:rsid w:val="00D36758"/>
    <w:rsid w:val="00D36DD9"/>
    <w:rsid w:val="00D370A1"/>
    <w:rsid w:val="00D376CB"/>
    <w:rsid w:val="00D37A66"/>
    <w:rsid w:val="00D37FCE"/>
    <w:rsid w:val="00D4077B"/>
    <w:rsid w:val="00D40FFF"/>
    <w:rsid w:val="00D4124E"/>
    <w:rsid w:val="00D414D1"/>
    <w:rsid w:val="00D41FE3"/>
    <w:rsid w:val="00D428DC"/>
    <w:rsid w:val="00D43206"/>
    <w:rsid w:val="00D44B3F"/>
    <w:rsid w:val="00D44BD8"/>
    <w:rsid w:val="00D44E4F"/>
    <w:rsid w:val="00D44F69"/>
    <w:rsid w:val="00D44F89"/>
    <w:rsid w:val="00D44FC2"/>
    <w:rsid w:val="00D45C0E"/>
    <w:rsid w:val="00D464CD"/>
    <w:rsid w:val="00D46574"/>
    <w:rsid w:val="00D465DD"/>
    <w:rsid w:val="00D46B74"/>
    <w:rsid w:val="00D46CB4"/>
    <w:rsid w:val="00D46DD0"/>
    <w:rsid w:val="00D474D6"/>
    <w:rsid w:val="00D47701"/>
    <w:rsid w:val="00D47E3D"/>
    <w:rsid w:val="00D50136"/>
    <w:rsid w:val="00D5043C"/>
    <w:rsid w:val="00D5051B"/>
    <w:rsid w:val="00D50CB3"/>
    <w:rsid w:val="00D519D7"/>
    <w:rsid w:val="00D51CCE"/>
    <w:rsid w:val="00D534E4"/>
    <w:rsid w:val="00D53620"/>
    <w:rsid w:val="00D537C3"/>
    <w:rsid w:val="00D55464"/>
    <w:rsid w:val="00D567B6"/>
    <w:rsid w:val="00D56D63"/>
    <w:rsid w:val="00D56FE6"/>
    <w:rsid w:val="00D57846"/>
    <w:rsid w:val="00D57877"/>
    <w:rsid w:val="00D57D1F"/>
    <w:rsid w:val="00D57D4E"/>
    <w:rsid w:val="00D60D62"/>
    <w:rsid w:val="00D60DA2"/>
    <w:rsid w:val="00D6107E"/>
    <w:rsid w:val="00D62B25"/>
    <w:rsid w:val="00D62D2C"/>
    <w:rsid w:val="00D6351E"/>
    <w:rsid w:val="00D637F0"/>
    <w:rsid w:val="00D63B43"/>
    <w:rsid w:val="00D64C3E"/>
    <w:rsid w:val="00D64FD3"/>
    <w:rsid w:val="00D653DB"/>
    <w:rsid w:val="00D65651"/>
    <w:rsid w:val="00D66230"/>
    <w:rsid w:val="00D67272"/>
    <w:rsid w:val="00D67699"/>
    <w:rsid w:val="00D6769A"/>
    <w:rsid w:val="00D67AB4"/>
    <w:rsid w:val="00D702E7"/>
    <w:rsid w:val="00D7107E"/>
    <w:rsid w:val="00D711B7"/>
    <w:rsid w:val="00D721A9"/>
    <w:rsid w:val="00D7258F"/>
    <w:rsid w:val="00D7381E"/>
    <w:rsid w:val="00D74145"/>
    <w:rsid w:val="00D7571D"/>
    <w:rsid w:val="00D75795"/>
    <w:rsid w:val="00D75B25"/>
    <w:rsid w:val="00D75CF6"/>
    <w:rsid w:val="00D76314"/>
    <w:rsid w:val="00D763F6"/>
    <w:rsid w:val="00D774BF"/>
    <w:rsid w:val="00D7796A"/>
    <w:rsid w:val="00D77FDE"/>
    <w:rsid w:val="00D80140"/>
    <w:rsid w:val="00D816E3"/>
    <w:rsid w:val="00D8193A"/>
    <w:rsid w:val="00D828D2"/>
    <w:rsid w:val="00D8323B"/>
    <w:rsid w:val="00D83517"/>
    <w:rsid w:val="00D836D8"/>
    <w:rsid w:val="00D83EEB"/>
    <w:rsid w:val="00D8480B"/>
    <w:rsid w:val="00D84900"/>
    <w:rsid w:val="00D84E5A"/>
    <w:rsid w:val="00D857E8"/>
    <w:rsid w:val="00D859D0"/>
    <w:rsid w:val="00D85D62"/>
    <w:rsid w:val="00D86D6E"/>
    <w:rsid w:val="00D870F3"/>
    <w:rsid w:val="00D879C1"/>
    <w:rsid w:val="00D87A2E"/>
    <w:rsid w:val="00D87F7B"/>
    <w:rsid w:val="00D91CD6"/>
    <w:rsid w:val="00D92968"/>
    <w:rsid w:val="00D92B65"/>
    <w:rsid w:val="00D93212"/>
    <w:rsid w:val="00D93579"/>
    <w:rsid w:val="00D93A0D"/>
    <w:rsid w:val="00D93A65"/>
    <w:rsid w:val="00D93D08"/>
    <w:rsid w:val="00D942AC"/>
    <w:rsid w:val="00D9518F"/>
    <w:rsid w:val="00D95360"/>
    <w:rsid w:val="00D95513"/>
    <w:rsid w:val="00D95A4A"/>
    <w:rsid w:val="00D96312"/>
    <w:rsid w:val="00D9702E"/>
    <w:rsid w:val="00D9760D"/>
    <w:rsid w:val="00D97A9E"/>
    <w:rsid w:val="00DA056A"/>
    <w:rsid w:val="00DA0CEF"/>
    <w:rsid w:val="00DA1CFC"/>
    <w:rsid w:val="00DA1DAC"/>
    <w:rsid w:val="00DA1DB7"/>
    <w:rsid w:val="00DA26FD"/>
    <w:rsid w:val="00DA34AF"/>
    <w:rsid w:val="00DA34BC"/>
    <w:rsid w:val="00DA4D31"/>
    <w:rsid w:val="00DA4DB2"/>
    <w:rsid w:val="00DA532B"/>
    <w:rsid w:val="00DA582C"/>
    <w:rsid w:val="00DA5D80"/>
    <w:rsid w:val="00DA5ED4"/>
    <w:rsid w:val="00DA65AC"/>
    <w:rsid w:val="00DA774A"/>
    <w:rsid w:val="00DB068F"/>
    <w:rsid w:val="00DB0DEA"/>
    <w:rsid w:val="00DB0F0D"/>
    <w:rsid w:val="00DB135C"/>
    <w:rsid w:val="00DB14E3"/>
    <w:rsid w:val="00DB170E"/>
    <w:rsid w:val="00DB2379"/>
    <w:rsid w:val="00DB290A"/>
    <w:rsid w:val="00DB4336"/>
    <w:rsid w:val="00DB5315"/>
    <w:rsid w:val="00DB5BBD"/>
    <w:rsid w:val="00DB651B"/>
    <w:rsid w:val="00DB657A"/>
    <w:rsid w:val="00DB6D72"/>
    <w:rsid w:val="00DB6F9E"/>
    <w:rsid w:val="00DB77A3"/>
    <w:rsid w:val="00DB7855"/>
    <w:rsid w:val="00DB7FB7"/>
    <w:rsid w:val="00DC0CD6"/>
    <w:rsid w:val="00DC128A"/>
    <w:rsid w:val="00DC1424"/>
    <w:rsid w:val="00DC18A8"/>
    <w:rsid w:val="00DC1E1A"/>
    <w:rsid w:val="00DC298E"/>
    <w:rsid w:val="00DC2BE3"/>
    <w:rsid w:val="00DC3406"/>
    <w:rsid w:val="00DC3F63"/>
    <w:rsid w:val="00DC47B4"/>
    <w:rsid w:val="00DC578E"/>
    <w:rsid w:val="00DC64F5"/>
    <w:rsid w:val="00DC6A1C"/>
    <w:rsid w:val="00DC77A8"/>
    <w:rsid w:val="00DD02F6"/>
    <w:rsid w:val="00DD05AE"/>
    <w:rsid w:val="00DD09E3"/>
    <w:rsid w:val="00DD13D7"/>
    <w:rsid w:val="00DD145B"/>
    <w:rsid w:val="00DD14E1"/>
    <w:rsid w:val="00DD163E"/>
    <w:rsid w:val="00DD173D"/>
    <w:rsid w:val="00DD25CB"/>
    <w:rsid w:val="00DD2745"/>
    <w:rsid w:val="00DD2821"/>
    <w:rsid w:val="00DD2897"/>
    <w:rsid w:val="00DD28AC"/>
    <w:rsid w:val="00DD2964"/>
    <w:rsid w:val="00DD32B2"/>
    <w:rsid w:val="00DD397E"/>
    <w:rsid w:val="00DD3BCC"/>
    <w:rsid w:val="00DD4B0F"/>
    <w:rsid w:val="00DD6E8F"/>
    <w:rsid w:val="00DD708E"/>
    <w:rsid w:val="00DD72A9"/>
    <w:rsid w:val="00DD7EAC"/>
    <w:rsid w:val="00DE0C0F"/>
    <w:rsid w:val="00DE2539"/>
    <w:rsid w:val="00DE2AA7"/>
    <w:rsid w:val="00DE3018"/>
    <w:rsid w:val="00DE3042"/>
    <w:rsid w:val="00DE40AB"/>
    <w:rsid w:val="00DE40AC"/>
    <w:rsid w:val="00DE57B6"/>
    <w:rsid w:val="00DE5CF6"/>
    <w:rsid w:val="00DE62B9"/>
    <w:rsid w:val="00DE643D"/>
    <w:rsid w:val="00DE6639"/>
    <w:rsid w:val="00DE6C74"/>
    <w:rsid w:val="00DE78C4"/>
    <w:rsid w:val="00DE7A22"/>
    <w:rsid w:val="00DE7F18"/>
    <w:rsid w:val="00DF0704"/>
    <w:rsid w:val="00DF0801"/>
    <w:rsid w:val="00DF1183"/>
    <w:rsid w:val="00DF1317"/>
    <w:rsid w:val="00DF1896"/>
    <w:rsid w:val="00DF1AD9"/>
    <w:rsid w:val="00DF1DD5"/>
    <w:rsid w:val="00DF4000"/>
    <w:rsid w:val="00DF4571"/>
    <w:rsid w:val="00DF4B71"/>
    <w:rsid w:val="00DF502E"/>
    <w:rsid w:val="00DF50BD"/>
    <w:rsid w:val="00DF67BC"/>
    <w:rsid w:val="00DF749A"/>
    <w:rsid w:val="00E000BB"/>
    <w:rsid w:val="00E002EE"/>
    <w:rsid w:val="00E00AA8"/>
    <w:rsid w:val="00E01300"/>
    <w:rsid w:val="00E01E0D"/>
    <w:rsid w:val="00E0221F"/>
    <w:rsid w:val="00E033DA"/>
    <w:rsid w:val="00E039EB"/>
    <w:rsid w:val="00E044BA"/>
    <w:rsid w:val="00E0532B"/>
    <w:rsid w:val="00E05426"/>
    <w:rsid w:val="00E072A5"/>
    <w:rsid w:val="00E07807"/>
    <w:rsid w:val="00E07844"/>
    <w:rsid w:val="00E0785A"/>
    <w:rsid w:val="00E07868"/>
    <w:rsid w:val="00E10543"/>
    <w:rsid w:val="00E1151F"/>
    <w:rsid w:val="00E1196B"/>
    <w:rsid w:val="00E12780"/>
    <w:rsid w:val="00E1292B"/>
    <w:rsid w:val="00E12A9D"/>
    <w:rsid w:val="00E12D03"/>
    <w:rsid w:val="00E12F2E"/>
    <w:rsid w:val="00E14100"/>
    <w:rsid w:val="00E1526C"/>
    <w:rsid w:val="00E157A3"/>
    <w:rsid w:val="00E17077"/>
    <w:rsid w:val="00E17BD9"/>
    <w:rsid w:val="00E20216"/>
    <w:rsid w:val="00E20C3B"/>
    <w:rsid w:val="00E210A3"/>
    <w:rsid w:val="00E217F3"/>
    <w:rsid w:val="00E22131"/>
    <w:rsid w:val="00E227F4"/>
    <w:rsid w:val="00E22CD3"/>
    <w:rsid w:val="00E2316E"/>
    <w:rsid w:val="00E232BB"/>
    <w:rsid w:val="00E2349D"/>
    <w:rsid w:val="00E23519"/>
    <w:rsid w:val="00E23664"/>
    <w:rsid w:val="00E2376B"/>
    <w:rsid w:val="00E23785"/>
    <w:rsid w:val="00E23939"/>
    <w:rsid w:val="00E23C2D"/>
    <w:rsid w:val="00E247B5"/>
    <w:rsid w:val="00E25237"/>
    <w:rsid w:val="00E25563"/>
    <w:rsid w:val="00E25FED"/>
    <w:rsid w:val="00E262D9"/>
    <w:rsid w:val="00E26849"/>
    <w:rsid w:val="00E27383"/>
    <w:rsid w:val="00E27425"/>
    <w:rsid w:val="00E274B1"/>
    <w:rsid w:val="00E2763C"/>
    <w:rsid w:val="00E300C2"/>
    <w:rsid w:val="00E305A6"/>
    <w:rsid w:val="00E30B87"/>
    <w:rsid w:val="00E30CF2"/>
    <w:rsid w:val="00E3115A"/>
    <w:rsid w:val="00E31164"/>
    <w:rsid w:val="00E3119D"/>
    <w:rsid w:val="00E31653"/>
    <w:rsid w:val="00E31A52"/>
    <w:rsid w:val="00E32450"/>
    <w:rsid w:val="00E34576"/>
    <w:rsid w:val="00E36BAE"/>
    <w:rsid w:val="00E37ED8"/>
    <w:rsid w:val="00E404EF"/>
    <w:rsid w:val="00E407CC"/>
    <w:rsid w:val="00E41121"/>
    <w:rsid w:val="00E416D6"/>
    <w:rsid w:val="00E419C5"/>
    <w:rsid w:val="00E41B2A"/>
    <w:rsid w:val="00E41E24"/>
    <w:rsid w:val="00E42A0B"/>
    <w:rsid w:val="00E42AFF"/>
    <w:rsid w:val="00E42E40"/>
    <w:rsid w:val="00E4302D"/>
    <w:rsid w:val="00E4318C"/>
    <w:rsid w:val="00E441F2"/>
    <w:rsid w:val="00E44B6D"/>
    <w:rsid w:val="00E452E7"/>
    <w:rsid w:val="00E467B0"/>
    <w:rsid w:val="00E46A02"/>
    <w:rsid w:val="00E46D9B"/>
    <w:rsid w:val="00E50196"/>
    <w:rsid w:val="00E50567"/>
    <w:rsid w:val="00E5120C"/>
    <w:rsid w:val="00E52014"/>
    <w:rsid w:val="00E524E7"/>
    <w:rsid w:val="00E52A38"/>
    <w:rsid w:val="00E52DD1"/>
    <w:rsid w:val="00E5346A"/>
    <w:rsid w:val="00E54E94"/>
    <w:rsid w:val="00E55821"/>
    <w:rsid w:val="00E5660F"/>
    <w:rsid w:val="00E56C3C"/>
    <w:rsid w:val="00E5700A"/>
    <w:rsid w:val="00E57862"/>
    <w:rsid w:val="00E6133E"/>
    <w:rsid w:val="00E613D6"/>
    <w:rsid w:val="00E62919"/>
    <w:rsid w:val="00E63990"/>
    <w:rsid w:val="00E6399E"/>
    <w:rsid w:val="00E63C0F"/>
    <w:rsid w:val="00E6431B"/>
    <w:rsid w:val="00E64945"/>
    <w:rsid w:val="00E64B35"/>
    <w:rsid w:val="00E65AFF"/>
    <w:rsid w:val="00E65FB0"/>
    <w:rsid w:val="00E667BC"/>
    <w:rsid w:val="00E67007"/>
    <w:rsid w:val="00E673EF"/>
    <w:rsid w:val="00E67446"/>
    <w:rsid w:val="00E70170"/>
    <w:rsid w:val="00E717B4"/>
    <w:rsid w:val="00E71D18"/>
    <w:rsid w:val="00E73A72"/>
    <w:rsid w:val="00E73DBB"/>
    <w:rsid w:val="00E740AC"/>
    <w:rsid w:val="00E742EB"/>
    <w:rsid w:val="00E74D91"/>
    <w:rsid w:val="00E7562A"/>
    <w:rsid w:val="00E75BC7"/>
    <w:rsid w:val="00E75E5D"/>
    <w:rsid w:val="00E762B7"/>
    <w:rsid w:val="00E76863"/>
    <w:rsid w:val="00E76C06"/>
    <w:rsid w:val="00E7701A"/>
    <w:rsid w:val="00E7751C"/>
    <w:rsid w:val="00E80C75"/>
    <w:rsid w:val="00E81B48"/>
    <w:rsid w:val="00E8347A"/>
    <w:rsid w:val="00E8373D"/>
    <w:rsid w:val="00E83832"/>
    <w:rsid w:val="00E8413B"/>
    <w:rsid w:val="00E848E2"/>
    <w:rsid w:val="00E8493A"/>
    <w:rsid w:val="00E84A2B"/>
    <w:rsid w:val="00E84B03"/>
    <w:rsid w:val="00E8571D"/>
    <w:rsid w:val="00E857D0"/>
    <w:rsid w:val="00E86AB2"/>
    <w:rsid w:val="00E878DA"/>
    <w:rsid w:val="00E908FC"/>
    <w:rsid w:val="00E90D5C"/>
    <w:rsid w:val="00E90FA6"/>
    <w:rsid w:val="00E91341"/>
    <w:rsid w:val="00E917EF"/>
    <w:rsid w:val="00E924CB"/>
    <w:rsid w:val="00E92EC2"/>
    <w:rsid w:val="00E92F59"/>
    <w:rsid w:val="00E934AE"/>
    <w:rsid w:val="00E93588"/>
    <w:rsid w:val="00E936BD"/>
    <w:rsid w:val="00E93FAF"/>
    <w:rsid w:val="00E944B7"/>
    <w:rsid w:val="00E94D36"/>
    <w:rsid w:val="00E94FC8"/>
    <w:rsid w:val="00E9507C"/>
    <w:rsid w:val="00E96FF1"/>
    <w:rsid w:val="00E9756A"/>
    <w:rsid w:val="00E97863"/>
    <w:rsid w:val="00E97A86"/>
    <w:rsid w:val="00E97D37"/>
    <w:rsid w:val="00EA1650"/>
    <w:rsid w:val="00EA1DE6"/>
    <w:rsid w:val="00EA250D"/>
    <w:rsid w:val="00EA2A31"/>
    <w:rsid w:val="00EA2ACA"/>
    <w:rsid w:val="00EA2D1B"/>
    <w:rsid w:val="00EA2D5C"/>
    <w:rsid w:val="00EA2D85"/>
    <w:rsid w:val="00EA2DC8"/>
    <w:rsid w:val="00EA36FD"/>
    <w:rsid w:val="00EA3B50"/>
    <w:rsid w:val="00EA3CB7"/>
    <w:rsid w:val="00EA3F71"/>
    <w:rsid w:val="00EA42AC"/>
    <w:rsid w:val="00EA437F"/>
    <w:rsid w:val="00EA4801"/>
    <w:rsid w:val="00EA4EDA"/>
    <w:rsid w:val="00EA5381"/>
    <w:rsid w:val="00EA5BE4"/>
    <w:rsid w:val="00EA622E"/>
    <w:rsid w:val="00EA6FB1"/>
    <w:rsid w:val="00EA7544"/>
    <w:rsid w:val="00EA76E2"/>
    <w:rsid w:val="00EB03C0"/>
    <w:rsid w:val="00EB0469"/>
    <w:rsid w:val="00EB0620"/>
    <w:rsid w:val="00EB21A8"/>
    <w:rsid w:val="00EB2299"/>
    <w:rsid w:val="00EB3393"/>
    <w:rsid w:val="00EB3B4B"/>
    <w:rsid w:val="00EB4634"/>
    <w:rsid w:val="00EB4A1B"/>
    <w:rsid w:val="00EB50FC"/>
    <w:rsid w:val="00EB560E"/>
    <w:rsid w:val="00EB6258"/>
    <w:rsid w:val="00EB72B4"/>
    <w:rsid w:val="00EC0249"/>
    <w:rsid w:val="00EC09CF"/>
    <w:rsid w:val="00EC0B1B"/>
    <w:rsid w:val="00EC0CF1"/>
    <w:rsid w:val="00EC13FA"/>
    <w:rsid w:val="00EC200D"/>
    <w:rsid w:val="00EC2290"/>
    <w:rsid w:val="00EC252D"/>
    <w:rsid w:val="00EC2A40"/>
    <w:rsid w:val="00EC333F"/>
    <w:rsid w:val="00EC3BBB"/>
    <w:rsid w:val="00EC3C05"/>
    <w:rsid w:val="00EC4644"/>
    <w:rsid w:val="00EC55D5"/>
    <w:rsid w:val="00EC6E5A"/>
    <w:rsid w:val="00EC7601"/>
    <w:rsid w:val="00EC7BB4"/>
    <w:rsid w:val="00EC7D54"/>
    <w:rsid w:val="00ED0A66"/>
    <w:rsid w:val="00ED116A"/>
    <w:rsid w:val="00ED14B8"/>
    <w:rsid w:val="00ED20A6"/>
    <w:rsid w:val="00ED2AE6"/>
    <w:rsid w:val="00ED2CD7"/>
    <w:rsid w:val="00ED34D1"/>
    <w:rsid w:val="00ED3AB8"/>
    <w:rsid w:val="00ED4225"/>
    <w:rsid w:val="00ED4300"/>
    <w:rsid w:val="00ED4788"/>
    <w:rsid w:val="00ED5B13"/>
    <w:rsid w:val="00ED6CE9"/>
    <w:rsid w:val="00EE07BE"/>
    <w:rsid w:val="00EE0B99"/>
    <w:rsid w:val="00EE1646"/>
    <w:rsid w:val="00EE1CE5"/>
    <w:rsid w:val="00EE2677"/>
    <w:rsid w:val="00EE2891"/>
    <w:rsid w:val="00EE2A40"/>
    <w:rsid w:val="00EE3FF1"/>
    <w:rsid w:val="00EE4246"/>
    <w:rsid w:val="00EE4557"/>
    <w:rsid w:val="00EE5F0E"/>
    <w:rsid w:val="00EE6496"/>
    <w:rsid w:val="00EE64A5"/>
    <w:rsid w:val="00EE68E0"/>
    <w:rsid w:val="00EE6BCC"/>
    <w:rsid w:val="00EE791C"/>
    <w:rsid w:val="00EF0969"/>
    <w:rsid w:val="00EF11F4"/>
    <w:rsid w:val="00EF164C"/>
    <w:rsid w:val="00EF26A0"/>
    <w:rsid w:val="00EF3F65"/>
    <w:rsid w:val="00EF52A8"/>
    <w:rsid w:val="00EF54BC"/>
    <w:rsid w:val="00EF5AC6"/>
    <w:rsid w:val="00EF5B37"/>
    <w:rsid w:val="00EF5B3D"/>
    <w:rsid w:val="00EF6A36"/>
    <w:rsid w:val="00EF6CE0"/>
    <w:rsid w:val="00EF6DDE"/>
    <w:rsid w:val="00EF7095"/>
    <w:rsid w:val="00EF70B2"/>
    <w:rsid w:val="00EF7139"/>
    <w:rsid w:val="00EF78AB"/>
    <w:rsid w:val="00EF7A76"/>
    <w:rsid w:val="00F003D1"/>
    <w:rsid w:val="00F00D24"/>
    <w:rsid w:val="00F0112C"/>
    <w:rsid w:val="00F0115B"/>
    <w:rsid w:val="00F01462"/>
    <w:rsid w:val="00F014E4"/>
    <w:rsid w:val="00F0179E"/>
    <w:rsid w:val="00F01A07"/>
    <w:rsid w:val="00F021D4"/>
    <w:rsid w:val="00F02AF6"/>
    <w:rsid w:val="00F02D21"/>
    <w:rsid w:val="00F02DD7"/>
    <w:rsid w:val="00F0325A"/>
    <w:rsid w:val="00F039E3"/>
    <w:rsid w:val="00F0430F"/>
    <w:rsid w:val="00F04F6F"/>
    <w:rsid w:val="00F0529E"/>
    <w:rsid w:val="00F056A5"/>
    <w:rsid w:val="00F0571B"/>
    <w:rsid w:val="00F059E9"/>
    <w:rsid w:val="00F05CB6"/>
    <w:rsid w:val="00F060EE"/>
    <w:rsid w:val="00F0661C"/>
    <w:rsid w:val="00F0668C"/>
    <w:rsid w:val="00F06E5F"/>
    <w:rsid w:val="00F07196"/>
    <w:rsid w:val="00F072C9"/>
    <w:rsid w:val="00F07B7F"/>
    <w:rsid w:val="00F10515"/>
    <w:rsid w:val="00F10987"/>
    <w:rsid w:val="00F10C90"/>
    <w:rsid w:val="00F122F2"/>
    <w:rsid w:val="00F12608"/>
    <w:rsid w:val="00F1301B"/>
    <w:rsid w:val="00F130D2"/>
    <w:rsid w:val="00F132D3"/>
    <w:rsid w:val="00F1333D"/>
    <w:rsid w:val="00F133F8"/>
    <w:rsid w:val="00F13630"/>
    <w:rsid w:val="00F139BA"/>
    <w:rsid w:val="00F14AEF"/>
    <w:rsid w:val="00F151F0"/>
    <w:rsid w:val="00F15D3B"/>
    <w:rsid w:val="00F15F85"/>
    <w:rsid w:val="00F16E6C"/>
    <w:rsid w:val="00F170A0"/>
    <w:rsid w:val="00F171F7"/>
    <w:rsid w:val="00F17340"/>
    <w:rsid w:val="00F175F1"/>
    <w:rsid w:val="00F1781F"/>
    <w:rsid w:val="00F17884"/>
    <w:rsid w:val="00F17A6E"/>
    <w:rsid w:val="00F17B79"/>
    <w:rsid w:val="00F17FE3"/>
    <w:rsid w:val="00F20ADA"/>
    <w:rsid w:val="00F21304"/>
    <w:rsid w:val="00F215C7"/>
    <w:rsid w:val="00F21689"/>
    <w:rsid w:val="00F2236E"/>
    <w:rsid w:val="00F23108"/>
    <w:rsid w:val="00F23793"/>
    <w:rsid w:val="00F24832"/>
    <w:rsid w:val="00F25021"/>
    <w:rsid w:val="00F253CF"/>
    <w:rsid w:val="00F25460"/>
    <w:rsid w:val="00F2608F"/>
    <w:rsid w:val="00F271AD"/>
    <w:rsid w:val="00F276CE"/>
    <w:rsid w:val="00F2770E"/>
    <w:rsid w:val="00F27AE0"/>
    <w:rsid w:val="00F30B35"/>
    <w:rsid w:val="00F3124F"/>
    <w:rsid w:val="00F323D2"/>
    <w:rsid w:val="00F34A1F"/>
    <w:rsid w:val="00F352E8"/>
    <w:rsid w:val="00F3660F"/>
    <w:rsid w:val="00F376F7"/>
    <w:rsid w:val="00F37790"/>
    <w:rsid w:val="00F37890"/>
    <w:rsid w:val="00F41789"/>
    <w:rsid w:val="00F41847"/>
    <w:rsid w:val="00F421C1"/>
    <w:rsid w:val="00F428AF"/>
    <w:rsid w:val="00F42A3B"/>
    <w:rsid w:val="00F42A8F"/>
    <w:rsid w:val="00F42F5A"/>
    <w:rsid w:val="00F43123"/>
    <w:rsid w:val="00F431B7"/>
    <w:rsid w:val="00F434E1"/>
    <w:rsid w:val="00F43C7E"/>
    <w:rsid w:val="00F440A6"/>
    <w:rsid w:val="00F447A1"/>
    <w:rsid w:val="00F44C78"/>
    <w:rsid w:val="00F4573C"/>
    <w:rsid w:val="00F464AF"/>
    <w:rsid w:val="00F46B13"/>
    <w:rsid w:val="00F47003"/>
    <w:rsid w:val="00F5044C"/>
    <w:rsid w:val="00F507DF"/>
    <w:rsid w:val="00F50FEE"/>
    <w:rsid w:val="00F51579"/>
    <w:rsid w:val="00F5240E"/>
    <w:rsid w:val="00F5261B"/>
    <w:rsid w:val="00F541BE"/>
    <w:rsid w:val="00F54B48"/>
    <w:rsid w:val="00F54EF0"/>
    <w:rsid w:val="00F5509D"/>
    <w:rsid w:val="00F55186"/>
    <w:rsid w:val="00F551CB"/>
    <w:rsid w:val="00F554B5"/>
    <w:rsid w:val="00F56010"/>
    <w:rsid w:val="00F56479"/>
    <w:rsid w:val="00F56DB4"/>
    <w:rsid w:val="00F56E1C"/>
    <w:rsid w:val="00F57121"/>
    <w:rsid w:val="00F57C7D"/>
    <w:rsid w:val="00F60233"/>
    <w:rsid w:val="00F60CA2"/>
    <w:rsid w:val="00F61005"/>
    <w:rsid w:val="00F61643"/>
    <w:rsid w:val="00F621A3"/>
    <w:rsid w:val="00F6264C"/>
    <w:rsid w:val="00F62B50"/>
    <w:rsid w:val="00F62D83"/>
    <w:rsid w:val="00F63800"/>
    <w:rsid w:val="00F64B08"/>
    <w:rsid w:val="00F64EF2"/>
    <w:rsid w:val="00F64FEF"/>
    <w:rsid w:val="00F6568D"/>
    <w:rsid w:val="00F65B60"/>
    <w:rsid w:val="00F65DF6"/>
    <w:rsid w:val="00F6610D"/>
    <w:rsid w:val="00F66611"/>
    <w:rsid w:val="00F667CD"/>
    <w:rsid w:val="00F67EAB"/>
    <w:rsid w:val="00F70433"/>
    <w:rsid w:val="00F704A4"/>
    <w:rsid w:val="00F70918"/>
    <w:rsid w:val="00F70AC7"/>
    <w:rsid w:val="00F70B75"/>
    <w:rsid w:val="00F70D56"/>
    <w:rsid w:val="00F710EE"/>
    <w:rsid w:val="00F712EB"/>
    <w:rsid w:val="00F716AB"/>
    <w:rsid w:val="00F719B1"/>
    <w:rsid w:val="00F7242B"/>
    <w:rsid w:val="00F72C58"/>
    <w:rsid w:val="00F73443"/>
    <w:rsid w:val="00F73C61"/>
    <w:rsid w:val="00F73F32"/>
    <w:rsid w:val="00F7511F"/>
    <w:rsid w:val="00F754AE"/>
    <w:rsid w:val="00F761FF"/>
    <w:rsid w:val="00F76DE5"/>
    <w:rsid w:val="00F77600"/>
    <w:rsid w:val="00F77CCC"/>
    <w:rsid w:val="00F77DED"/>
    <w:rsid w:val="00F807E8"/>
    <w:rsid w:val="00F80FC3"/>
    <w:rsid w:val="00F81213"/>
    <w:rsid w:val="00F82F17"/>
    <w:rsid w:val="00F82F99"/>
    <w:rsid w:val="00F845F8"/>
    <w:rsid w:val="00F84752"/>
    <w:rsid w:val="00F85847"/>
    <w:rsid w:val="00F8603D"/>
    <w:rsid w:val="00F86069"/>
    <w:rsid w:val="00F86624"/>
    <w:rsid w:val="00F86DDC"/>
    <w:rsid w:val="00F9263F"/>
    <w:rsid w:val="00F9384F"/>
    <w:rsid w:val="00F939EA"/>
    <w:rsid w:val="00F93E76"/>
    <w:rsid w:val="00F95F5B"/>
    <w:rsid w:val="00F965DC"/>
    <w:rsid w:val="00F96E7D"/>
    <w:rsid w:val="00F97154"/>
    <w:rsid w:val="00F971AD"/>
    <w:rsid w:val="00F97979"/>
    <w:rsid w:val="00F97E01"/>
    <w:rsid w:val="00FA013D"/>
    <w:rsid w:val="00FA02C3"/>
    <w:rsid w:val="00FA13F7"/>
    <w:rsid w:val="00FA17E2"/>
    <w:rsid w:val="00FA1CAB"/>
    <w:rsid w:val="00FA22CC"/>
    <w:rsid w:val="00FA341A"/>
    <w:rsid w:val="00FA38A2"/>
    <w:rsid w:val="00FA418E"/>
    <w:rsid w:val="00FA4642"/>
    <w:rsid w:val="00FA682F"/>
    <w:rsid w:val="00FA774D"/>
    <w:rsid w:val="00FA77A0"/>
    <w:rsid w:val="00FA7DBD"/>
    <w:rsid w:val="00FB02F7"/>
    <w:rsid w:val="00FB0E69"/>
    <w:rsid w:val="00FB1247"/>
    <w:rsid w:val="00FB1271"/>
    <w:rsid w:val="00FB3A66"/>
    <w:rsid w:val="00FB3B2D"/>
    <w:rsid w:val="00FB465C"/>
    <w:rsid w:val="00FB4707"/>
    <w:rsid w:val="00FB4EDE"/>
    <w:rsid w:val="00FB4FC6"/>
    <w:rsid w:val="00FB5782"/>
    <w:rsid w:val="00FB6CA1"/>
    <w:rsid w:val="00FB6CE2"/>
    <w:rsid w:val="00FB72B6"/>
    <w:rsid w:val="00FB75A7"/>
    <w:rsid w:val="00FC04F5"/>
    <w:rsid w:val="00FC11CA"/>
    <w:rsid w:val="00FC13D0"/>
    <w:rsid w:val="00FC1D5F"/>
    <w:rsid w:val="00FC224A"/>
    <w:rsid w:val="00FC26AB"/>
    <w:rsid w:val="00FC2F22"/>
    <w:rsid w:val="00FC3458"/>
    <w:rsid w:val="00FC3638"/>
    <w:rsid w:val="00FC44A1"/>
    <w:rsid w:val="00FC47B6"/>
    <w:rsid w:val="00FC5997"/>
    <w:rsid w:val="00FC6718"/>
    <w:rsid w:val="00FC7955"/>
    <w:rsid w:val="00FC7D41"/>
    <w:rsid w:val="00FD003C"/>
    <w:rsid w:val="00FD0CAC"/>
    <w:rsid w:val="00FD1E3D"/>
    <w:rsid w:val="00FD44D3"/>
    <w:rsid w:val="00FD5700"/>
    <w:rsid w:val="00FD64DB"/>
    <w:rsid w:val="00FD653E"/>
    <w:rsid w:val="00FD68C9"/>
    <w:rsid w:val="00FD6A63"/>
    <w:rsid w:val="00FD6AA1"/>
    <w:rsid w:val="00FD72EE"/>
    <w:rsid w:val="00FE0847"/>
    <w:rsid w:val="00FE111A"/>
    <w:rsid w:val="00FE1581"/>
    <w:rsid w:val="00FE18D2"/>
    <w:rsid w:val="00FE1CFB"/>
    <w:rsid w:val="00FE2816"/>
    <w:rsid w:val="00FE3C70"/>
    <w:rsid w:val="00FE3F80"/>
    <w:rsid w:val="00FE45D5"/>
    <w:rsid w:val="00FE4768"/>
    <w:rsid w:val="00FE4928"/>
    <w:rsid w:val="00FE4B9B"/>
    <w:rsid w:val="00FE4C34"/>
    <w:rsid w:val="00FE6086"/>
    <w:rsid w:val="00FE6C19"/>
    <w:rsid w:val="00FE7442"/>
    <w:rsid w:val="00FE74AB"/>
    <w:rsid w:val="00FE7AF4"/>
    <w:rsid w:val="00FE7C5E"/>
    <w:rsid w:val="00FF0051"/>
    <w:rsid w:val="00FF05D0"/>
    <w:rsid w:val="00FF12CE"/>
    <w:rsid w:val="00FF16F5"/>
    <w:rsid w:val="00FF1C31"/>
    <w:rsid w:val="00FF1C43"/>
    <w:rsid w:val="00FF1EDB"/>
    <w:rsid w:val="00FF21E9"/>
    <w:rsid w:val="00FF26FD"/>
    <w:rsid w:val="00FF311D"/>
    <w:rsid w:val="00FF35EE"/>
    <w:rsid w:val="00FF40ED"/>
    <w:rsid w:val="00FF4828"/>
    <w:rsid w:val="00FF4CB0"/>
    <w:rsid w:val="00FF5A57"/>
    <w:rsid w:val="00FF5DB7"/>
    <w:rsid w:val="00FF6127"/>
    <w:rsid w:val="00FF61C4"/>
    <w:rsid w:val="00FF62B9"/>
    <w:rsid w:val="00FF6D82"/>
    <w:rsid w:val="00FF7209"/>
    <w:rsid w:val="00FF72B3"/>
    <w:rsid w:val="00FF73FD"/>
    <w:rsid w:val="00FF7D83"/>
    <w:rsid w:val="2A936AE0"/>
    <w:rsid w:val="5CAC3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rFonts w:eastAsia="黑体"/>
      <w:bCs/>
      <w:kern w:val="44"/>
      <w:sz w:val="30"/>
      <w:szCs w:val="44"/>
    </w:rPr>
  </w:style>
  <w:style w:type="paragraph" w:styleId="3">
    <w:name w:val="heading 2"/>
    <w:basedOn w:val="1"/>
    <w:next w:val="1"/>
    <w:link w:val="5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5"/>
    <w:link w:val="65"/>
    <w:qFormat/>
    <w:uiPriority w:val="0"/>
    <w:pPr>
      <w:keepNext/>
      <w:jc w:val="center"/>
      <w:outlineLvl w:val="2"/>
    </w:pPr>
    <w:rPr>
      <w:rFonts w:ascii="宋体" w:hAnsi="宋体" w:eastAsia="宋体" w:cs="Times New Roman"/>
      <w:sz w:val="28"/>
      <w:szCs w:val="20"/>
    </w:rPr>
  </w:style>
  <w:style w:type="character" w:default="1" w:styleId="15">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5">
    <w:name w:val="Normal Indent"/>
    <w:basedOn w:val="1"/>
    <w:semiHidden/>
    <w:unhideWhenUsed/>
    <w:uiPriority w:val="99"/>
    <w:pPr>
      <w:ind w:firstLine="420" w:firstLineChars="200"/>
    </w:pPr>
  </w:style>
  <w:style w:type="paragraph" w:styleId="6">
    <w:name w:val="annotation subject"/>
    <w:basedOn w:val="7"/>
    <w:next w:val="7"/>
    <w:link w:val="31"/>
    <w:semiHidden/>
    <w:unhideWhenUsed/>
    <w:qFormat/>
    <w:uiPriority w:val="99"/>
    <w:rPr>
      <w:b/>
      <w:bCs/>
    </w:rPr>
  </w:style>
  <w:style w:type="paragraph" w:styleId="7">
    <w:name w:val="annotation text"/>
    <w:basedOn w:val="1"/>
    <w:link w:val="30"/>
    <w:unhideWhenUsed/>
    <w:qFormat/>
    <w:uiPriority w:val="0"/>
    <w:pPr>
      <w:jc w:val="left"/>
    </w:pPr>
  </w:style>
  <w:style w:type="paragraph" w:styleId="8">
    <w:name w:val="Body Text First Indent"/>
    <w:basedOn w:val="9"/>
    <w:next w:val="1"/>
    <w:link w:val="68"/>
    <w:qFormat/>
    <w:uiPriority w:val="0"/>
    <w:pPr>
      <w:autoSpaceDE w:val="0"/>
      <w:autoSpaceDN w:val="0"/>
      <w:spacing w:after="0"/>
      <w:ind w:firstLine="420" w:firstLineChars="100"/>
      <w:jc w:val="left"/>
    </w:pPr>
    <w:rPr>
      <w:rFonts w:ascii="宋体" w:hAnsi="宋体" w:eastAsia="宋体" w:cs="宋体"/>
      <w:kern w:val="0"/>
      <w:sz w:val="24"/>
      <w:szCs w:val="24"/>
      <w:lang w:eastAsia="en-US"/>
    </w:rPr>
  </w:style>
  <w:style w:type="paragraph" w:styleId="9">
    <w:name w:val="Body Text"/>
    <w:basedOn w:val="1"/>
    <w:link w:val="67"/>
    <w:unhideWhenUsed/>
    <w:qFormat/>
    <w:uiPriority w:val="99"/>
    <w:pPr>
      <w:spacing w:after="120"/>
    </w:pPr>
  </w:style>
  <w:style w:type="paragraph" w:styleId="10">
    <w:name w:val="Plain Text"/>
    <w:basedOn w:val="1"/>
    <w:link w:val="27"/>
    <w:qFormat/>
    <w:uiPriority w:val="0"/>
    <w:rPr>
      <w:rFonts w:ascii="宋体" w:hAnsi="Courier New" w:eastAsia="宋体" w:cs="Times New Roman"/>
      <w:szCs w:val="20"/>
    </w:rPr>
  </w:style>
  <w:style w:type="paragraph" w:styleId="11">
    <w:name w:val="Balloon Text"/>
    <w:basedOn w:val="1"/>
    <w:link w:val="64"/>
    <w:semiHidden/>
    <w:unhideWhenUsed/>
    <w:qFormat/>
    <w:uiPriority w:val="99"/>
    <w:rPr>
      <w:sz w:val="18"/>
      <w:szCs w:val="18"/>
    </w:rPr>
  </w:style>
  <w:style w:type="paragraph" w:styleId="12">
    <w:name w:val="footer"/>
    <w:basedOn w:val="1"/>
    <w:link w:val="22"/>
    <w:unhideWhenUsed/>
    <w:qFormat/>
    <w:uiPriority w:val="99"/>
    <w:pPr>
      <w:tabs>
        <w:tab w:val="center" w:pos="4153"/>
        <w:tab w:val="right" w:pos="8306"/>
      </w:tabs>
      <w:snapToGrid w:val="0"/>
      <w:jc w:val="left"/>
    </w:pPr>
    <w:rPr>
      <w:sz w:val="18"/>
      <w:szCs w:val="18"/>
    </w:rPr>
  </w:style>
  <w:style w:type="paragraph" w:styleId="13">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49"/>
    <w:uiPriority w:val="0"/>
    <w:pPr>
      <w:widowControl/>
      <w:spacing w:before="100" w:beforeAutospacing="1" w:after="100" w:afterAutospacing="1"/>
      <w:jc w:val="left"/>
    </w:pPr>
    <w:rPr>
      <w:rFonts w:ascii="宋体" w:hAnsi="宋体" w:eastAsia="宋体"/>
      <w:sz w:val="24"/>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unhideWhenUsed/>
    <w:qFormat/>
    <w:uiPriority w:val="0"/>
    <w:rPr>
      <w:sz w:val="21"/>
      <w:szCs w:val="21"/>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0">
    <w:name w:val="Table Theme"/>
    <w:basedOn w:val="18"/>
    <w:unhideWhenUs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页眉 字符"/>
    <w:basedOn w:val="15"/>
    <w:link w:val="13"/>
    <w:qFormat/>
    <w:uiPriority w:val="99"/>
    <w:rPr>
      <w:sz w:val="18"/>
      <w:szCs w:val="18"/>
    </w:rPr>
  </w:style>
  <w:style w:type="character" w:customStyle="1" w:styleId="22">
    <w:name w:val="页脚 字符"/>
    <w:basedOn w:val="15"/>
    <w:link w:val="12"/>
    <w:uiPriority w:val="99"/>
    <w:rPr>
      <w:sz w:val="18"/>
      <w:szCs w:val="18"/>
    </w:rPr>
  </w:style>
  <w:style w:type="paragraph" w:customStyle="1" w:styleId="23">
    <w:name w:val="表中文字"/>
    <w:basedOn w:val="1"/>
    <w:link w:val="24"/>
    <w:uiPriority w:val="0"/>
    <w:pPr>
      <w:adjustRightInd w:val="0"/>
      <w:snapToGrid w:val="0"/>
      <w:spacing w:line="400" w:lineRule="exact"/>
      <w:jc w:val="center"/>
    </w:pPr>
    <w:rPr>
      <w:rFonts w:ascii="Times New Roman" w:hAnsi="Times New Roman" w:eastAsia="宋体" w:cs="Times New Roman"/>
      <w:szCs w:val="24"/>
    </w:rPr>
  </w:style>
  <w:style w:type="character" w:customStyle="1" w:styleId="24">
    <w:name w:val="表中文字 Char"/>
    <w:link w:val="23"/>
    <w:qFormat/>
    <w:uiPriority w:val="0"/>
    <w:rPr>
      <w:rFonts w:ascii="Times New Roman" w:hAnsi="Times New Roman" w:eastAsia="宋体" w:cs="Times New Roman"/>
      <w:szCs w:val="24"/>
    </w:rPr>
  </w:style>
  <w:style w:type="paragraph" w:customStyle="1" w:styleId="25">
    <w:name w:val="Default"/>
    <w:qFormat/>
    <w:uiPriority w:val="0"/>
    <w:pPr>
      <w:widowControl w:val="0"/>
      <w:autoSpaceDE w:val="0"/>
      <w:autoSpaceDN w:val="0"/>
      <w:adjustRightInd w:val="0"/>
    </w:pPr>
    <w:rPr>
      <w:rFonts w:ascii="宋体..惡猀." w:eastAsia="宋体..惡猀." w:cs="宋体..惡猀." w:hAnsiTheme="minorHAnsi"/>
      <w:color w:val="000000"/>
      <w:kern w:val="0"/>
      <w:sz w:val="24"/>
      <w:szCs w:val="24"/>
      <w:lang w:val="en-US" w:eastAsia="zh-CN" w:bidi="ar-SA"/>
    </w:rPr>
  </w:style>
  <w:style w:type="paragraph" w:customStyle="1" w:styleId="26">
    <w:name w:val="4小表"/>
    <w:basedOn w:val="1"/>
    <w:qFormat/>
    <w:uiPriority w:val="0"/>
    <w:pPr>
      <w:adjustRightInd w:val="0"/>
      <w:snapToGrid w:val="0"/>
      <w:spacing w:line="320" w:lineRule="exact"/>
      <w:jc w:val="center"/>
    </w:pPr>
    <w:rPr>
      <w:rFonts w:ascii="Times New Roman" w:hAnsi="Times New Roman" w:eastAsia="宋体" w:cs="Times New Roman"/>
      <w:kern w:val="0"/>
      <w:sz w:val="22"/>
      <w:szCs w:val="21"/>
    </w:rPr>
  </w:style>
  <w:style w:type="character" w:customStyle="1" w:styleId="27">
    <w:name w:val="纯文本 字符"/>
    <w:basedOn w:val="15"/>
    <w:link w:val="10"/>
    <w:qFormat/>
    <w:uiPriority w:val="0"/>
    <w:rPr>
      <w:rFonts w:ascii="宋体" w:hAnsi="Courier New" w:eastAsia="宋体" w:cs="Times New Roman"/>
      <w:szCs w:val="20"/>
    </w:rPr>
  </w:style>
  <w:style w:type="character" w:customStyle="1" w:styleId="28">
    <w:name w:val="表格文字 Char Char"/>
    <w:link w:val="29"/>
    <w:qFormat/>
    <w:uiPriority w:val="0"/>
    <w:rPr>
      <w:szCs w:val="21"/>
    </w:rPr>
  </w:style>
  <w:style w:type="paragraph" w:customStyle="1" w:styleId="29">
    <w:name w:val="表格文字"/>
    <w:basedOn w:val="1"/>
    <w:link w:val="28"/>
    <w:qFormat/>
    <w:uiPriority w:val="0"/>
    <w:pPr>
      <w:adjustRightInd w:val="0"/>
      <w:spacing w:line="360" w:lineRule="auto"/>
      <w:jc w:val="center"/>
      <w:textAlignment w:val="baseline"/>
    </w:pPr>
    <w:rPr>
      <w:szCs w:val="21"/>
    </w:rPr>
  </w:style>
  <w:style w:type="character" w:customStyle="1" w:styleId="30">
    <w:name w:val="批注文字 字符"/>
    <w:basedOn w:val="15"/>
    <w:link w:val="7"/>
    <w:qFormat/>
    <w:uiPriority w:val="0"/>
  </w:style>
  <w:style w:type="character" w:customStyle="1" w:styleId="31">
    <w:name w:val="批注主题 字符"/>
    <w:basedOn w:val="30"/>
    <w:link w:val="6"/>
    <w:semiHidden/>
    <w:qFormat/>
    <w:uiPriority w:val="99"/>
    <w:rPr>
      <w:b/>
      <w:bCs/>
    </w:rPr>
  </w:style>
  <w:style w:type="paragraph" w:customStyle="1" w:styleId="32">
    <w:name w:val="正文_4"/>
    <w:qFormat/>
    <w:uiPriority w:val="0"/>
    <w:pPr>
      <w:widowControl w:val="0"/>
      <w:jc w:val="both"/>
    </w:pPr>
    <w:rPr>
      <w:rFonts w:ascii="Calibri" w:hAnsi="Calibri" w:eastAsia="宋体" w:cs="Times New Roman"/>
      <w:kern w:val="2"/>
      <w:sz w:val="21"/>
      <w:szCs w:val="20"/>
      <w:lang w:val="en-US" w:eastAsia="zh-CN" w:bidi="ar-SA"/>
    </w:rPr>
  </w:style>
  <w:style w:type="paragraph" w:customStyle="1" w:styleId="33">
    <w:name w:val="正文_6"/>
    <w:qFormat/>
    <w:uiPriority w:val="0"/>
    <w:pPr>
      <w:widowControl w:val="0"/>
      <w:jc w:val="both"/>
    </w:pPr>
    <w:rPr>
      <w:rFonts w:ascii="Calibri" w:hAnsi="Calibri" w:eastAsia="宋体" w:cs="Times New Roman"/>
      <w:kern w:val="2"/>
      <w:sz w:val="21"/>
      <w:szCs w:val="20"/>
      <w:lang w:val="en-US" w:eastAsia="zh-CN" w:bidi="ar-SA"/>
    </w:rPr>
  </w:style>
  <w:style w:type="paragraph" w:customStyle="1" w:styleId="3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5">
    <w:name w:val="表格表格 Char"/>
    <w:link w:val="36"/>
    <w:qFormat/>
    <w:uiPriority w:val="0"/>
    <w:rPr>
      <w:color w:val="000000"/>
      <w:szCs w:val="21"/>
    </w:rPr>
  </w:style>
  <w:style w:type="paragraph" w:customStyle="1" w:styleId="36">
    <w:name w:val="表格表格"/>
    <w:basedOn w:val="1"/>
    <w:link w:val="35"/>
    <w:qFormat/>
    <w:uiPriority w:val="0"/>
    <w:pPr>
      <w:jc w:val="left"/>
    </w:pPr>
    <w:rPr>
      <w:color w:val="000000"/>
      <w:szCs w:val="21"/>
    </w:rPr>
  </w:style>
  <w:style w:type="character" w:customStyle="1" w:styleId="37">
    <w:name w:val="样式 表中文字 + Char Char"/>
    <w:link w:val="38"/>
    <w:qFormat/>
    <w:uiPriority w:val="0"/>
    <w:rPr>
      <w:szCs w:val="21"/>
    </w:rPr>
  </w:style>
  <w:style w:type="paragraph" w:customStyle="1" w:styleId="38">
    <w:name w:val="样式 表中文字 +"/>
    <w:basedOn w:val="23"/>
    <w:link w:val="37"/>
    <w:uiPriority w:val="0"/>
    <w:rPr>
      <w:rFonts w:asciiTheme="minorHAnsi" w:hAnsiTheme="minorHAnsi" w:eastAsiaTheme="minorEastAsia" w:cstheme="minorBidi"/>
      <w:szCs w:val="21"/>
    </w:rPr>
  </w:style>
  <w:style w:type="paragraph" w:customStyle="1" w:styleId="39">
    <w:name w:val="正文(首行缩进)"/>
    <w:basedOn w:val="1"/>
    <w:qFormat/>
    <w:uiPriority w:val="0"/>
    <w:pPr>
      <w:spacing w:line="360" w:lineRule="auto"/>
      <w:ind w:firstLine="510"/>
    </w:pPr>
    <w:rPr>
      <w:rFonts w:ascii="宋体" w:hAnsi="宋体" w:eastAsia="宋体" w:cs="Times New Roman"/>
      <w:snapToGrid w:val="0"/>
      <w:kern w:val="0"/>
      <w:sz w:val="24"/>
      <w:szCs w:val="24"/>
    </w:rPr>
  </w:style>
  <w:style w:type="paragraph" w:customStyle="1" w:styleId="40">
    <w:name w:val="正文_5"/>
    <w:qFormat/>
    <w:uiPriority w:val="0"/>
    <w:pPr>
      <w:widowControl w:val="0"/>
      <w:jc w:val="both"/>
    </w:pPr>
    <w:rPr>
      <w:rFonts w:ascii="Calibri" w:hAnsi="Calibri" w:eastAsia="宋体" w:cs="Times New Roman"/>
      <w:kern w:val="2"/>
      <w:sz w:val="21"/>
      <w:szCs w:val="20"/>
      <w:lang w:val="en-US" w:eastAsia="zh-CN" w:bidi="ar-SA"/>
    </w:rPr>
  </w:style>
  <w:style w:type="paragraph" w:customStyle="1" w:styleId="41">
    <w:name w:val="正文_17"/>
    <w:qFormat/>
    <w:uiPriority w:val="0"/>
    <w:pPr>
      <w:widowControl w:val="0"/>
      <w:jc w:val="both"/>
    </w:pPr>
    <w:rPr>
      <w:rFonts w:ascii="等线" w:hAnsi="等线" w:eastAsia="等线" w:cs="Times New Roman"/>
      <w:kern w:val="2"/>
      <w:sz w:val="21"/>
      <w:szCs w:val="22"/>
      <w:lang w:val="en-US" w:eastAsia="zh-CN" w:bidi="ar-SA"/>
    </w:rPr>
  </w:style>
  <w:style w:type="paragraph" w:styleId="42">
    <w:name w:val="List Paragraph"/>
    <w:basedOn w:val="1"/>
    <w:qFormat/>
    <w:uiPriority w:val="34"/>
    <w:pPr>
      <w:ind w:firstLine="420" w:firstLineChars="200"/>
    </w:pPr>
  </w:style>
  <w:style w:type="paragraph" w:customStyle="1" w:styleId="43">
    <w:name w:val="Char Char Char Char"/>
    <w:basedOn w:val="1"/>
    <w:uiPriority w:val="0"/>
    <w:rPr>
      <w:rFonts w:ascii="Times New Roman" w:hAnsi="Times New Roman" w:eastAsia="宋体" w:cs="Times New Roman"/>
      <w:szCs w:val="20"/>
    </w:rPr>
  </w:style>
  <w:style w:type="paragraph" w:customStyle="1" w:styleId="44">
    <w:name w:val="表内字体111"/>
    <w:basedOn w:val="1"/>
    <w:link w:val="45"/>
    <w:qFormat/>
    <w:uiPriority w:val="0"/>
    <w:pPr>
      <w:adjustRightInd w:val="0"/>
      <w:snapToGrid w:val="0"/>
      <w:jc w:val="center"/>
    </w:pPr>
    <w:rPr>
      <w:rFonts w:ascii="Times New Roman" w:hAnsi="Times New Roman" w:eastAsia="宋体" w:cs="Times New Roman"/>
      <w:snapToGrid w:val="0"/>
      <w:kern w:val="0"/>
      <w:szCs w:val="24"/>
    </w:rPr>
  </w:style>
  <w:style w:type="character" w:customStyle="1" w:styleId="45">
    <w:name w:val="表内字体111 Char"/>
    <w:link w:val="44"/>
    <w:qFormat/>
    <w:uiPriority w:val="0"/>
    <w:rPr>
      <w:rFonts w:ascii="Times New Roman" w:hAnsi="Times New Roman" w:eastAsia="宋体" w:cs="Times New Roman"/>
      <w:snapToGrid w:val="0"/>
      <w:kern w:val="0"/>
      <w:szCs w:val="24"/>
    </w:rPr>
  </w:style>
  <w:style w:type="character" w:customStyle="1" w:styleId="46">
    <w:name w:val="11正文 Char"/>
    <w:link w:val="47"/>
    <w:locked/>
    <w:uiPriority w:val="0"/>
    <w:rPr>
      <w:bCs/>
      <w:sz w:val="24"/>
      <w:szCs w:val="24"/>
    </w:rPr>
  </w:style>
  <w:style w:type="paragraph" w:customStyle="1" w:styleId="47">
    <w:name w:val="11正文"/>
    <w:basedOn w:val="1"/>
    <w:link w:val="46"/>
    <w:qFormat/>
    <w:uiPriority w:val="0"/>
    <w:pPr>
      <w:spacing w:line="460" w:lineRule="exact"/>
      <w:ind w:firstLine="200" w:firstLineChars="200"/>
    </w:pPr>
    <w:rPr>
      <w:bCs/>
      <w:sz w:val="24"/>
      <w:szCs w:val="24"/>
    </w:rPr>
  </w:style>
  <w:style w:type="character" w:customStyle="1" w:styleId="48">
    <w:name w:val="未处理的提及1"/>
    <w:basedOn w:val="15"/>
    <w:semiHidden/>
    <w:unhideWhenUsed/>
    <w:uiPriority w:val="99"/>
    <w:rPr>
      <w:color w:val="605E5C"/>
      <w:shd w:val="clear" w:color="auto" w:fill="E1DFDD"/>
    </w:rPr>
  </w:style>
  <w:style w:type="character" w:customStyle="1" w:styleId="49">
    <w:name w:val="普通(网站) 字符"/>
    <w:link w:val="14"/>
    <w:qFormat/>
    <w:locked/>
    <w:uiPriority w:val="0"/>
    <w:rPr>
      <w:rFonts w:ascii="宋体" w:hAnsi="宋体" w:eastAsia="宋体"/>
      <w:sz w:val="24"/>
    </w:rPr>
  </w:style>
  <w:style w:type="paragraph" w:customStyle="1" w:styleId="50">
    <w:name w:val="正文_1"/>
    <w:qFormat/>
    <w:uiPriority w:val="0"/>
    <w:pPr>
      <w:widowControl w:val="0"/>
      <w:jc w:val="both"/>
    </w:pPr>
    <w:rPr>
      <w:rFonts w:ascii="Calibri" w:hAnsi="Calibri" w:eastAsia="宋体" w:cs="Times New Roman"/>
      <w:kern w:val="2"/>
      <w:sz w:val="21"/>
      <w:szCs w:val="20"/>
      <w:lang w:val="en-US" w:eastAsia="zh-CN" w:bidi="ar-SA"/>
    </w:rPr>
  </w:style>
  <w:style w:type="character" w:customStyle="1" w:styleId="51">
    <w:name w:val="标题 1 字符"/>
    <w:basedOn w:val="15"/>
    <w:link w:val="2"/>
    <w:qFormat/>
    <w:uiPriority w:val="9"/>
    <w:rPr>
      <w:rFonts w:eastAsia="黑体"/>
      <w:bCs/>
      <w:kern w:val="44"/>
      <w:sz w:val="30"/>
      <w:szCs w:val="44"/>
    </w:rPr>
  </w:style>
  <w:style w:type="character" w:customStyle="1" w:styleId="52">
    <w:name w:val="标题 2 字符"/>
    <w:basedOn w:val="15"/>
    <w:link w:val="3"/>
    <w:uiPriority w:val="9"/>
    <w:rPr>
      <w:rFonts w:asciiTheme="majorHAnsi" w:hAnsiTheme="majorHAnsi" w:eastAsiaTheme="majorEastAsia" w:cstheme="majorBidi"/>
      <w:b/>
      <w:bCs/>
      <w:sz w:val="32"/>
      <w:szCs w:val="32"/>
    </w:rPr>
  </w:style>
  <w:style w:type="character" w:customStyle="1" w:styleId="53">
    <w:name w:val="样式1 Char Char"/>
    <w:link w:val="54"/>
    <w:qFormat/>
    <w:uiPriority w:val="0"/>
    <w:rPr>
      <w:rFonts w:ascii="宋体" w:hAnsi="宋体" w:eastAsia="宋体" w:cs="Dutch801 Rm BT"/>
      <w:sz w:val="26"/>
      <w:szCs w:val="26"/>
    </w:rPr>
  </w:style>
  <w:style w:type="paragraph" w:customStyle="1" w:styleId="54">
    <w:name w:val="样式1"/>
    <w:basedOn w:val="1"/>
    <w:link w:val="53"/>
    <w:uiPriority w:val="0"/>
    <w:pPr>
      <w:spacing w:line="480" w:lineRule="exact"/>
      <w:ind w:firstLine="200" w:firstLineChars="200"/>
    </w:pPr>
    <w:rPr>
      <w:rFonts w:ascii="宋体" w:hAnsi="宋体" w:eastAsia="宋体" w:cs="Dutch801 Rm BT"/>
      <w:sz w:val="26"/>
      <w:szCs w:val="26"/>
    </w:rPr>
  </w:style>
  <w:style w:type="paragraph" w:customStyle="1" w:styleId="55">
    <w:name w:val="谢谢谢谢谢"/>
    <w:basedOn w:val="1"/>
    <w:link w:val="56"/>
    <w:qFormat/>
    <w:uiPriority w:val="0"/>
    <w:pPr>
      <w:spacing w:line="440" w:lineRule="exact"/>
      <w:ind w:firstLine="200" w:firstLineChars="200"/>
      <w:jc w:val="left"/>
    </w:pPr>
    <w:rPr>
      <w:rFonts w:ascii="Times New Roman" w:hAnsi="Times New Roman" w:eastAsia="宋体" w:cs="Times New Roman"/>
      <w:sz w:val="24"/>
      <w:szCs w:val="24"/>
    </w:rPr>
  </w:style>
  <w:style w:type="character" w:customStyle="1" w:styleId="56">
    <w:name w:val="谢谢谢谢谢 Char"/>
    <w:link w:val="55"/>
    <w:qFormat/>
    <w:uiPriority w:val="0"/>
    <w:rPr>
      <w:rFonts w:ascii="Times New Roman" w:hAnsi="Times New Roman" w:eastAsia="宋体" w:cs="Times New Roman"/>
      <w:sz w:val="24"/>
      <w:szCs w:val="24"/>
    </w:rPr>
  </w:style>
  <w:style w:type="paragraph" w:customStyle="1" w:styleId="57">
    <w:name w:val="谢谢谢谢谢谢"/>
    <w:basedOn w:val="1"/>
    <w:qFormat/>
    <w:uiPriority w:val="0"/>
    <w:pPr>
      <w:spacing w:line="440" w:lineRule="exact"/>
      <w:ind w:firstLine="200" w:firstLineChars="200"/>
    </w:pPr>
    <w:rPr>
      <w:rFonts w:ascii="Times New Roman" w:eastAsia="宋体" w:cs="Times New Roman" w:hAnsiTheme="minorEastAsia"/>
      <w:sz w:val="24"/>
      <w:szCs w:val="24"/>
    </w:rPr>
  </w:style>
  <w:style w:type="paragraph" w:customStyle="1" w:styleId="58">
    <w:name w:val="1正文段落"/>
    <w:uiPriority w:val="0"/>
    <w:pPr>
      <w:ind w:firstLine="480"/>
    </w:pPr>
    <w:rPr>
      <w:rFonts w:ascii="Times New Roman" w:hAnsi="Times New Roman" w:eastAsia="宋体" w:cs="Times New Roman"/>
      <w:snapToGrid w:val="0"/>
      <w:kern w:val="0"/>
      <w:sz w:val="20"/>
      <w:szCs w:val="24"/>
      <w:lang w:val="en-US" w:eastAsia="zh-CN" w:bidi="ar-SA"/>
    </w:rPr>
  </w:style>
  <w:style w:type="paragraph" w:customStyle="1" w:styleId="59">
    <w:name w:val="11表格格式"/>
    <w:basedOn w:val="1"/>
    <w:qFormat/>
    <w:uiPriority w:val="0"/>
    <w:pPr>
      <w:autoSpaceDE w:val="0"/>
      <w:autoSpaceDN w:val="0"/>
      <w:adjustRightInd w:val="0"/>
      <w:jc w:val="center"/>
    </w:pPr>
    <w:rPr>
      <w:rFonts w:ascii="Times New Roman" w:hAnsi="Times New Roman" w:eastAsia="宋体" w:cs="Times New Roman"/>
      <w:szCs w:val="24"/>
    </w:rPr>
  </w:style>
  <w:style w:type="character" w:customStyle="1" w:styleId="60">
    <w:name w:val="页脚 字符2"/>
    <w:locked/>
    <w:uiPriority w:val="99"/>
    <w:rPr>
      <w:sz w:val="18"/>
    </w:rPr>
  </w:style>
  <w:style w:type="character" w:customStyle="1" w:styleId="61">
    <w:name w:val="表格 Char"/>
    <w:link w:val="62"/>
    <w:locked/>
    <w:uiPriority w:val="0"/>
    <w:rPr>
      <w:rFonts w:ascii="宋体"/>
    </w:rPr>
  </w:style>
  <w:style w:type="paragraph" w:customStyle="1" w:styleId="62">
    <w:name w:val="表格"/>
    <w:basedOn w:val="1"/>
    <w:next w:val="1"/>
    <w:link w:val="61"/>
    <w:qFormat/>
    <w:uiPriority w:val="0"/>
    <w:pPr>
      <w:adjustRightInd w:val="0"/>
      <w:snapToGrid w:val="0"/>
      <w:spacing w:beforeLines="10" w:afterLines="10" w:line="259" w:lineRule="auto"/>
      <w:jc w:val="center"/>
    </w:pPr>
    <w:rPr>
      <w:rFonts w:ascii="宋体"/>
    </w:rPr>
  </w:style>
  <w:style w:type="paragraph" w:customStyle="1" w:styleId="63">
    <w:name w:val="Table Paragraph"/>
    <w:basedOn w:val="1"/>
    <w:qFormat/>
    <w:uiPriority w:val="0"/>
    <w:rPr>
      <w:rFonts w:ascii="Times New Roman" w:hAnsi="Times New Roman" w:eastAsia="宋体" w:cs="Times New Roman"/>
      <w:szCs w:val="20"/>
    </w:rPr>
  </w:style>
  <w:style w:type="character" w:customStyle="1" w:styleId="64">
    <w:name w:val="批注框文本 字符"/>
    <w:basedOn w:val="15"/>
    <w:link w:val="11"/>
    <w:semiHidden/>
    <w:uiPriority w:val="99"/>
    <w:rPr>
      <w:sz w:val="18"/>
      <w:szCs w:val="18"/>
    </w:rPr>
  </w:style>
  <w:style w:type="character" w:customStyle="1" w:styleId="65">
    <w:name w:val="标题 3 字符"/>
    <w:basedOn w:val="15"/>
    <w:link w:val="4"/>
    <w:uiPriority w:val="0"/>
    <w:rPr>
      <w:rFonts w:ascii="宋体" w:hAnsi="宋体" w:eastAsia="宋体" w:cs="Times New Roman"/>
      <w:sz w:val="28"/>
      <w:szCs w:val="20"/>
    </w:rPr>
  </w:style>
  <w:style w:type="paragraph" w:customStyle="1" w:styleId="66">
    <w:name w:val="4正文"/>
    <w:basedOn w:val="1"/>
    <w:qFormat/>
    <w:uiPriority w:val="0"/>
    <w:pPr>
      <w:adjustRightInd w:val="0"/>
      <w:snapToGrid w:val="0"/>
      <w:spacing w:line="360" w:lineRule="auto"/>
      <w:ind w:firstLine="200" w:firstLineChars="200"/>
      <w:jc w:val="left"/>
    </w:pPr>
    <w:rPr>
      <w:rFonts w:ascii="Times New Roman" w:hAnsi="Times New Roman" w:eastAsia="宋体" w:cs="Times New Roman"/>
      <w:kern w:val="0"/>
      <w:sz w:val="24"/>
      <w:szCs w:val="21"/>
    </w:rPr>
  </w:style>
  <w:style w:type="character" w:customStyle="1" w:styleId="67">
    <w:name w:val="正文文本 字符"/>
    <w:basedOn w:val="15"/>
    <w:link w:val="9"/>
    <w:uiPriority w:val="99"/>
  </w:style>
  <w:style w:type="character" w:customStyle="1" w:styleId="68">
    <w:name w:val="正文文本首行缩进 字符"/>
    <w:basedOn w:val="67"/>
    <w:link w:val="8"/>
    <w:uiPriority w:val="0"/>
    <w:rPr>
      <w:rFonts w:ascii="宋体" w:hAnsi="宋体" w:eastAsia="宋体" w:cs="宋体"/>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emf"/><Relationship Id="rId24" Type="http://schemas.openxmlformats.org/officeDocument/2006/relationships/oleObject" Target="embeddings/oleObject7.bin"/><Relationship Id="rId23" Type="http://schemas.openxmlformats.org/officeDocument/2006/relationships/image" Target="media/image11.emf"/><Relationship Id="rId22" Type="http://schemas.openxmlformats.org/officeDocument/2006/relationships/oleObject" Target="embeddings/oleObject6.bin"/><Relationship Id="rId21" Type="http://schemas.openxmlformats.org/officeDocument/2006/relationships/image" Target="media/image10.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4.bin"/><Relationship Id="rId17" Type="http://schemas.openxmlformats.org/officeDocument/2006/relationships/image" Target="media/image8.emf"/><Relationship Id="rId16" Type="http://schemas.openxmlformats.org/officeDocument/2006/relationships/oleObject" Target="embeddings/oleObject3.bin"/><Relationship Id="rId15" Type="http://schemas.openxmlformats.org/officeDocument/2006/relationships/image" Target="media/image7.emf"/><Relationship Id="rId14" Type="http://schemas.openxmlformats.org/officeDocument/2006/relationships/oleObject" Target="embeddings/oleObject2.bin"/><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D5E382-8A22-4056-B934-83A4F64D2EB2}">
  <ds:schemaRefs/>
</ds:datastoreItem>
</file>

<file path=docProps/app.xml><?xml version="1.0" encoding="utf-8"?>
<Properties xmlns="http://schemas.openxmlformats.org/officeDocument/2006/extended-properties" xmlns:vt="http://schemas.openxmlformats.org/officeDocument/2006/docPropsVTypes">
  <Template>Normal.dotm</Template>
  <Pages>67</Pages>
  <Words>7673</Words>
  <Characters>43740</Characters>
  <Lines>364</Lines>
  <Paragraphs>102</Paragraphs>
  <TotalTime>19</TotalTime>
  <ScaleCrop>false</ScaleCrop>
  <LinksUpToDate>false</LinksUpToDate>
  <CharactersWithSpaces>51311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2024-01-24T03:34:00Z</dcterms:created>
  <dc:creator>Chen Xiaozhou</dc:creator>
  <cp:lastModifiedBy>boicevecn</cp:lastModifiedBy>
  <cp:lastPrinted>2021-04-26T09:15:00Z</cp:lastPrinted>
  <dcterms:modified xsi:type="dcterms:W3CDTF">2024-03-13T09:35:52Z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CB33E80032BD46D79AA2881DAF803760_12</vt:lpwstr>
  </property>
</Properties>
</file>